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6" w:type="dxa"/>
        <w:tblLayout w:type="fixed"/>
        <w:tblCellMar>
          <w:left w:w="0" w:type="dxa"/>
          <w:right w:w="0" w:type="dxa"/>
        </w:tblCellMar>
        <w:tblLook w:val="00BF" w:firstRow="1" w:lastRow="0" w:firstColumn="1" w:lastColumn="0" w:noHBand="0" w:noVBand="0"/>
      </w:tblPr>
      <w:tblGrid>
        <w:gridCol w:w="1191"/>
        <w:gridCol w:w="5621"/>
        <w:gridCol w:w="2580"/>
      </w:tblGrid>
      <w:tr w:rsidR="00000000">
        <w:tblPrEx>
          <w:tblCellMar>
            <w:top w:w="0" w:type="dxa"/>
            <w:left w:w="0" w:type="dxa"/>
            <w:bottom w:w="0" w:type="dxa"/>
            <w:right w:w="0" w:type="dxa"/>
          </w:tblCellMar>
        </w:tblPrEx>
        <w:tc>
          <w:tcPr>
            <w:tcW w:w="6812" w:type="dxa"/>
            <w:gridSpan w:val="2"/>
            <w:tcBorders>
              <w:bottom w:val="single" w:sz="12" w:space="0" w:color="auto"/>
            </w:tcBorders>
          </w:tcPr>
          <w:p w:rsidR="00000000" w:rsidRDefault="00000000">
            <w:pPr>
              <w:tabs>
                <w:tab w:val="left" w:pos="680"/>
                <w:tab w:val="left" w:pos="1134"/>
              </w:tabs>
              <w:spacing w:before="120" w:after="60"/>
              <w:jc w:val="left"/>
              <w:rPr>
                <w:b/>
                <w:sz w:val="24"/>
              </w:rPr>
            </w:pPr>
            <w:r>
              <w:rPr>
                <w:b/>
                <w:sz w:val="28"/>
              </w:rPr>
              <w:t>Организация Объединенных Наций</w:t>
            </w:r>
          </w:p>
        </w:tc>
        <w:tc>
          <w:tcPr>
            <w:tcW w:w="2580" w:type="dxa"/>
            <w:tcBorders>
              <w:bottom w:val="single" w:sz="12" w:space="0" w:color="auto"/>
            </w:tcBorders>
          </w:tcPr>
          <w:p w:rsidR="00000000" w:rsidRDefault="00000000">
            <w:pPr>
              <w:tabs>
                <w:tab w:val="left" w:pos="680"/>
                <w:tab w:val="left" w:pos="1134"/>
              </w:tabs>
              <w:spacing w:after="0"/>
              <w:jc w:val="right"/>
              <w:rPr>
                <w:b/>
                <w:sz w:val="24"/>
                <w:lang w:val="en-US"/>
              </w:rPr>
            </w:pPr>
            <w:r>
              <w:rPr>
                <w:b/>
                <w:sz w:val="40"/>
                <w:lang w:val="en-US"/>
              </w:rPr>
              <w:t>C</w:t>
            </w:r>
            <w:r>
              <w:rPr>
                <w:b/>
                <w:sz w:val="40"/>
                <w:lang w:val="en-US"/>
              </w:rPr>
              <w:t>E</w:t>
            </w:r>
            <w:r>
              <w:rPr>
                <w:b/>
                <w:sz w:val="40"/>
                <w:lang w:val="en-US"/>
              </w:rPr>
              <w:t>DAW</w:t>
            </w:r>
            <w:r>
              <w:rPr>
                <w:lang w:val="en-US"/>
              </w:rPr>
              <w:t>/C/GRC/6</w:t>
            </w:r>
          </w:p>
        </w:tc>
      </w:tr>
      <w:tr w:rsidR="00000000">
        <w:tblPrEx>
          <w:tblCellMar>
            <w:top w:w="0" w:type="dxa"/>
            <w:left w:w="0" w:type="dxa"/>
            <w:bottom w:w="0" w:type="dxa"/>
            <w:right w:w="0" w:type="dxa"/>
          </w:tblCellMar>
        </w:tblPrEx>
        <w:tc>
          <w:tcPr>
            <w:tcW w:w="1191" w:type="dxa"/>
            <w:tcBorders>
              <w:top w:val="single" w:sz="12" w:space="0" w:color="auto"/>
            </w:tcBorders>
          </w:tcPr>
          <w:p w:rsidR="00000000" w:rsidRDefault="00000000">
            <w:pPr>
              <w:tabs>
                <w:tab w:val="left" w:pos="680"/>
                <w:tab w:val="left" w:pos="1134"/>
              </w:tabs>
              <w:spacing w:after="0"/>
              <w:jc w:val="left"/>
              <w:rPr>
                <w:b/>
                <w:sz w:val="24"/>
                <w:lang w:val="en-US"/>
              </w:rPr>
            </w:pPr>
          </w:p>
        </w:tc>
        <w:tc>
          <w:tcPr>
            <w:tcW w:w="5621" w:type="dxa"/>
            <w:tcBorders>
              <w:top w:val="single" w:sz="12" w:space="0" w:color="auto"/>
            </w:tcBorders>
          </w:tcPr>
          <w:p w:rsidR="00000000" w:rsidRDefault="00000000">
            <w:pPr>
              <w:tabs>
                <w:tab w:val="left" w:pos="680"/>
                <w:tab w:val="left" w:pos="1134"/>
              </w:tabs>
              <w:spacing w:after="0"/>
              <w:jc w:val="left"/>
              <w:rPr>
                <w:b/>
                <w:sz w:val="24"/>
                <w:lang w:val="en-US"/>
              </w:rPr>
            </w:pPr>
          </w:p>
        </w:tc>
        <w:tc>
          <w:tcPr>
            <w:tcW w:w="2580" w:type="dxa"/>
            <w:tcBorders>
              <w:top w:val="single" w:sz="12" w:space="0" w:color="auto"/>
            </w:tcBorders>
          </w:tcPr>
          <w:p w:rsidR="00000000" w:rsidRDefault="00000000">
            <w:pPr>
              <w:tabs>
                <w:tab w:val="left" w:pos="680"/>
                <w:tab w:val="left" w:pos="1134"/>
              </w:tabs>
              <w:spacing w:after="0"/>
              <w:jc w:val="left"/>
              <w:rPr>
                <w:b/>
                <w:sz w:val="24"/>
                <w:lang w:val="en-US"/>
              </w:rPr>
            </w:pPr>
          </w:p>
        </w:tc>
      </w:tr>
      <w:tr w:rsidR="00000000">
        <w:tblPrEx>
          <w:tblCellMar>
            <w:top w:w="0" w:type="dxa"/>
            <w:left w:w="0" w:type="dxa"/>
            <w:bottom w:w="0" w:type="dxa"/>
            <w:right w:w="0" w:type="dxa"/>
          </w:tblCellMar>
        </w:tblPrEx>
        <w:tc>
          <w:tcPr>
            <w:tcW w:w="1191" w:type="dxa"/>
            <w:tcBorders>
              <w:bottom w:val="single" w:sz="12" w:space="0" w:color="auto"/>
            </w:tcBorders>
          </w:tcPr>
          <w:p w:rsidR="00000000" w:rsidRDefault="00000000">
            <w:pPr>
              <w:tabs>
                <w:tab w:val="left" w:pos="680"/>
                <w:tab w:val="left" w:pos="1134"/>
              </w:tabs>
              <w:spacing w:before="40"/>
              <w:jc w:val="left"/>
              <w:rPr>
                <w:b/>
                <w:sz w:val="24"/>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0.25pt;height:41.25pt" fillcolor="window">
                  <v:imagedata r:id="rId7" o:title="Log-OOH"/>
                </v:shape>
              </w:pict>
            </w:r>
          </w:p>
        </w:tc>
        <w:tc>
          <w:tcPr>
            <w:tcW w:w="5621" w:type="dxa"/>
            <w:tcBorders>
              <w:bottom w:val="single" w:sz="12" w:space="0" w:color="auto"/>
            </w:tcBorders>
          </w:tcPr>
          <w:p w:rsidR="00000000" w:rsidRDefault="00000000">
            <w:pPr>
              <w:tabs>
                <w:tab w:val="left" w:pos="680"/>
                <w:tab w:val="left" w:pos="1134"/>
              </w:tabs>
              <w:jc w:val="left"/>
              <w:rPr>
                <w:b/>
                <w:sz w:val="24"/>
              </w:rPr>
            </w:pPr>
            <w:r>
              <w:rPr>
                <w:b/>
                <w:sz w:val="32"/>
              </w:rPr>
              <w:t xml:space="preserve">Конвенция о ликвидации </w:t>
            </w:r>
            <w:r>
              <w:rPr>
                <w:b/>
                <w:sz w:val="32"/>
              </w:rPr>
              <w:br/>
              <w:t xml:space="preserve">всех форм дискриминации </w:t>
            </w:r>
            <w:r>
              <w:rPr>
                <w:b/>
                <w:sz w:val="32"/>
              </w:rPr>
              <w:br/>
              <w:t>в отношении женщин</w:t>
            </w:r>
          </w:p>
        </w:tc>
        <w:tc>
          <w:tcPr>
            <w:tcW w:w="2580" w:type="dxa"/>
            <w:tcBorders>
              <w:bottom w:val="single" w:sz="12" w:space="0" w:color="auto"/>
            </w:tcBorders>
          </w:tcPr>
          <w:p w:rsidR="00000000" w:rsidRDefault="00000000">
            <w:pPr>
              <w:tabs>
                <w:tab w:val="left" w:pos="680"/>
                <w:tab w:val="left" w:pos="1134"/>
              </w:tabs>
              <w:spacing w:before="40" w:after="120"/>
              <w:jc w:val="left"/>
              <w:rPr>
                <w:lang w:val="en-US"/>
              </w:rPr>
            </w:pPr>
            <w:r>
              <w:rPr>
                <w:lang w:val="en-US"/>
              </w:rPr>
              <w:t>Distr.: General</w:t>
            </w:r>
            <w:r>
              <w:rPr>
                <w:lang w:val="en-US"/>
              </w:rPr>
              <w:br/>
              <w:t>1 July 2005</w:t>
            </w:r>
          </w:p>
          <w:p w:rsidR="00000000" w:rsidRDefault="00000000">
            <w:pPr>
              <w:pStyle w:val="Heading9"/>
              <w:tabs>
                <w:tab w:val="left" w:pos="680"/>
                <w:tab w:val="left" w:pos="1134"/>
              </w:tabs>
              <w:spacing w:before="0" w:after="0"/>
              <w:jc w:val="left"/>
              <w:rPr>
                <w:rFonts w:ascii="Times New Roman" w:hAnsi="Times New Roman"/>
                <w:sz w:val="20"/>
              </w:rPr>
            </w:pPr>
            <w:r>
              <w:rPr>
                <w:rFonts w:ascii="Times New Roman" w:hAnsi="Times New Roman"/>
                <w:lang w:val="en-US"/>
              </w:rPr>
              <w:t>Russian</w:t>
            </w:r>
            <w:r>
              <w:rPr>
                <w:rFonts w:ascii="Times New Roman" w:hAnsi="Times New Roman"/>
              </w:rPr>
              <w:br/>
            </w:r>
            <w:r>
              <w:rPr>
                <w:rFonts w:ascii="Times New Roman" w:hAnsi="Times New Roman"/>
                <w:lang w:val="en-US"/>
              </w:rPr>
              <w:t>Original</w:t>
            </w:r>
            <w:r>
              <w:rPr>
                <w:rFonts w:ascii="Times New Roman" w:hAnsi="Times New Roman"/>
              </w:rPr>
              <w:t xml:space="preserve">: </w:t>
            </w:r>
            <w:r>
              <w:rPr>
                <w:rFonts w:ascii="Times New Roman" w:hAnsi="Times New Roman"/>
                <w:lang w:val="en-US"/>
              </w:rPr>
              <w:t>English</w:t>
            </w:r>
          </w:p>
          <w:p w:rsidR="00000000" w:rsidRDefault="00000000">
            <w:pPr>
              <w:tabs>
                <w:tab w:val="left" w:pos="680"/>
                <w:tab w:val="left" w:pos="1134"/>
              </w:tabs>
              <w:spacing w:after="0"/>
              <w:jc w:val="left"/>
            </w:pPr>
          </w:p>
          <w:p w:rsidR="00000000" w:rsidRDefault="00000000">
            <w:pPr>
              <w:tabs>
                <w:tab w:val="left" w:pos="680"/>
                <w:tab w:val="left" w:pos="1134"/>
              </w:tabs>
              <w:spacing w:after="0"/>
              <w:jc w:val="left"/>
            </w:pPr>
          </w:p>
          <w:p w:rsidR="00000000" w:rsidRDefault="00000000">
            <w:pPr>
              <w:tabs>
                <w:tab w:val="left" w:pos="680"/>
                <w:tab w:val="left" w:pos="1134"/>
              </w:tabs>
              <w:spacing w:after="0"/>
              <w:jc w:val="left"/>
            </w:pPr>
          </w:p>
          <w:p w:rsidR="00000000" w:rsidRDefault="00000000">
            <w:pPr>
              <w:tabs>
                <w:tab w:val="left" w:pos="680"/>
                <w:tab w:val="left" w:pos="1134"/>
              </w:tabs>
              <w:spacing w:after="0"/>
              <w:jc w:val="left"/>
            </w:pPr>
          </w:p>
          <w:p w:rsidR="00000000" w:rsidRDefault="00000000">
            <w:pPr>
              <w:tabs>
                <w:tab w:val="left" w:pos="680"/>
                <w:tab w:val="left" w:pos="1134"/>
              </w:tabs>
              <w:spacing w:after="0"/>
              <w:jc w:val="left"/>
              <w:rPr>
                <w:b/>
                <w:sz w:val="24"/>
              </w:rPr>
            </w:pPr>
          </w:p>
        </w:tc>
      </w:tr>
    </w:tbl>
    <w:p w:rsidR="00000000" w:rsidRDefault="00000000">
      <w:pPr>
        <w:tabs>
          <w:tab w:val="left" w:pos="680"/>
          <w:tab w:val="left" w:pos="1134"/>
        </w:tabs>
        <w:spacing w:before="120" w:after="1080"/>
        <w:ind w:left="284" w:hanging="284"/>
        <w:jc w:val="left"/>
        <w:rPr>
          <w:b/>
          <w:caps/>
          <w:sz w:val="24"/>
        </w:rPr>
      </w:pPr>
      <w:commentRangeStart w:id="0"/>
      <w:r>
        <w:rPr>
          <w:b/>
          <w:sz w:val="24"/>
        </w:rPr>
        <w:t xml:space="preserve">Комитет </w:t>
      </w:r>
      <w:commentRangeEnd w:id="0"/>
      <w:r>
        <w:rPr>
          <w:rStyle w:val="CommentReference"/>
          <w:vanish/>
        </w:rPr>
        <w:commentReference w:id="0"/>
      </w:r>
      <w:r>
        <w:rPr>
          <w:b/>
          <w:sz w:val="24"/>
        </w:rPr>
        <w:t xml:space="preserve">по ликвидации дискриминации </w:t>
      </w:r>
      <w:r>
        <w:rPr>
          <w:b/>
          <w:sz w:val="24"/>
        </w:rPr>
        <w:br/>
        <w:t>в отношении женщин</w:t>
      </w:r>
    </w:p>
    <w:p w:rsidR="00000000" w:rsidRDefault="00000000">
      <w:pPr>
        <w:tabs>
          <w:tab w:val="left" w:pos="680"/>
          <w:tab w:val="left" w:pos="1134"/>
        </w:tabs>
        <w:spacing w:after="720"/>
        <w:jc w:val="center"/>
        <w:rPr>
          <w:b/>
          <w:sz w:val="28"/>
        </w:rPr>
      </w:pPr>
      <w:r>
        <w:rPr>
          <w:b/>
          <w:caps/>
          <w:sz w:val="28"/>
        </w:rPr>
        <w:t>р</w:t>
      </w:r>
      <w:r>
        <w:rPr>
          <w:b/>
          <w:sz w:val="28"/>
        </w:rPr>
        <w:t>ассмотрение докладов, представленных государствами-участниками</w:t>
      </w:r>
      <w:r>
        <w:rPr>
          <w:b/>
          <w:sz w:val="28"/>
        </w:rPr>
        <w:br/>
        <w:t>в соответствии со статьей 18 Конвенции о ликвидации</w:t>
      </w:r>
      <w:r>
        <w:rPr>
          <w:b/>
          <w:sz w:val="28"/>
        </w:rPr>
        <w:br/>
        <w:t>всех форм дискриминации в отношении женщин</w:t>
      </w:r>
    </w:p>
    <w:p w:rsidR="00000000" w:rsidRDefault="00000000">
      <w:pPr>
        <w:spacing w:after="1080"/>
        <w:jc w:val="center"/>
        <w:rPr>
          <w:sz w:val="24"/>
        </w:rPr>
      </w:pPr>
      <w:r>
        <w:rPr>
          <w:sz w:val="24"/>
        </w:rPr>
        <w:t>Шестые периодические доклады государств-участников</w:t>
      </w:r>
    </w:p>
    <w:p w:rsidR="00000000" w:rsidRDefault="00000000">
      <w:pPr>
        <w:pStyle w:val="BodyText"/>
        <w:tabs>
          <w:tab w:val="left" w:pos="680"/>
          <w:tab w:val="left" w:pos="1134"/>
        </w:tabs>
        <w:jc w:val="center"/>
        <w:rPr>
          <w:b/>
          <w:sz w:val="28"/>
        </w:rPr>
      </w:pPr>
      <w:r>
        <w:rPr>
          <w:b/>
          <w:sz w:val="28"/>
        </w:rPr>
        <w:t>Греция</w:t>
      </w:r>
      <w:r>
        <w:rPr>
          <w:rStyle w:val="FootnoteReference"/>
          <w:vertAlign w:val="baseline"/>
        </w:rPr>
        <w:footnoteReference w:customMarkFollows="1" w:id="1"/>
        <w:t>*</w:t>
      </w:r>
    </w:p>
    <w:p w:rsidR="00000000" w:rsidRDefault="00000000">
      <w:pPr>
        <w:pStyle w:val="Heading1"/>
        <w:rPr>
          <w:b w:val="0"/>
        </w:rPr>
        <w:sectPr w:rsidR="00000000">
          <w:headerReference w:type="even" r:id="rId9"/>
          <w:headerReference w:type="default" r:id="rId10"/>
          <w:footerReference w:type="even" r:id="rId11"/>
          <w:footerReference w:type="default" r:id="rId12"/>
          <w:footerReference w:type="first" r:id="rId13"/>
          <w:pgSz w:w="12242" w:h="15842" w:code="1"/>
          <w:pgMar w:top="907" w:right="1418" w:bottom="1247" w:left="1418" w:header="0" w:footer="907" w:gutter="0"/>
          <w:pgNumType w:start="1"/>
          <w:cols w:space="720"/>
          <w:titlePg/>
        </w:sectPr>
      </w:pPr>
    </w:p>
    <w:p w:rsidR="00000000" w:rsidRDefault="00000000">
      <w:bookmarkStart w:id="1" w:name="_Toc115759657"/>
      <w:r>
        <w:t>В подготовке шестого национального доклада Комитету по ликвидации дискриминации в отношении женщин участвовали следующие сотрудники Генерального секретариата по вопросам гендерного равенства:</w:t>
      </w:r>
    </w:p>
    <w:p w:rsidR="00000000" w:rsidRDefault="00000000"/>
    <w:p w:rsidR="00000000" w:rsidRDefault="00000000">
      <w:r>
        <w:rPr>
          <w:b/>
        </w:rPr>
        <w:t>Артопулу, Сюзанна</w:t>
      </w:r>
      <w:r>
        <w:t>, Департамент публикаций и общих мероприятий (поддержка секретариата)</w:t>
      </w:r>
    </w:p>
    <w:p w:rsidR="00000000" w:rsidRDefault="00000000">
      <w:r>
        <w:rPr>
          <w:b/>
        </w:rPr>
        <w:t>Кристодулу, Афина-Мария</w:t>
      </w:r>
      <w:r>
        <w:t xml:space="preserve">, юрисконсульт Генерального секретариата по вопросам гендерного равенства </w:t>
      </w:r>
    </w:p>
    <w:p w:rsidR="00000000" w:rsidRDefault="00000000">
      <w:r>
        <w:rPr>
          <w:b/>
        </w:rPr>
        <w:t>Даилиани, Константина</w:t>
      </w:r>
      <w:r>
        <w:t xml:space="preserve">, Департамент труда и трудовых отношений </w:t>
      </w:r>
    </w:p>
    <w:p w:rsidR="00000000" w:rsidRDefault="00000000">
      <w:r>
        <w:rPr>
          <w:b/>
        </w:rPr>
        <w:t>Филиппиду, Аспасия</w:t>
      </w:r>
      <w:r>
        <w:t xml:space="preserve">, Департамент социального участия, децентрализации и регионального развития </w:t>
      </w:r>
    </w:p>
    <w:p w:rsidR="00000000" w:rsidRDefault="00000000">
      <w:r>
        <w:rPr>
          <w:b/>
        </w:rPr>
        <w:t>Гераки, Кристина</w:t>
      </w:r>
      <w:r>
        <w:t xml:space="preserve">, руководитель Департамента СМИ </w:t>
      </w:r>
    </w:p>
    <w:p w:rsidR="00000000" w:rsidRDefault="00000000">
      <w:r>
        <w:rPr>
          <w:b/>
        </w:rPr>
        <w:t>Каколирис, Герасимос</w:t>
      </w:r>
      <w:r>
        <w:t>, руководитель Департамента правовых вопросов</w:t>
      </w:r>
    </w:p>
    <w:p w:rsidR="00000000" w:rsidRDefault="00000000">
      <w:r>
        <w:rPr>
          <w:b/>
        </w:rPr>
        <w:t>Кацивардаку, Теодора</w:t>
      </w:r>
      <w:r>
        <w:t xml:space="preserve">, руководитель Департамента социальной защиты и страхования </w:t>
      </w:r>
    </w:p>
    <w:p w:rsidR="00000000" w:rsidRDefault="00000000">
      <w:r>
        <w:rPr>
          <w:b/>
        </w:rPr>
        <w:t>Констандопулу, Екатерини</w:t>
      </w:r>
      <w:r>
        <w:t>, Департамент публикаций и общих мероприятий (поддержка секретариата)</w:t>
      </w:r>
    </w:p>
    <w:p w:rsidR="00000000" w:rsidRDefault="00000000">
      <w:r>
        <w:rPr>
          <w:b/>
        </w:rPr>
        <w:t>Лиоки, Ерасмия</w:t>
      </w:r>
      <w:r>
        <w:t>, Департамент публикаций и общих мероприятий</w:t>
      </w:r>
    </w:p>
    <w:p w:rsidR="00000000" w:rsidRDefault="00000000">
      <w:r>
        <w:rPr>
          <w:b/>
        </w:rPr>
        <w:t>Марагаки, Екатерини</w:t>
      </w:r>
      <w:r>
        <w:t>, Департамент СМИ</w:t>
      </w:r>
    </w:p>
    <w:p w:rsidR="00000000" w:rsidRDefault="00000000">
      <w:r>
        <w:rPr>
          <w:b/>
        </w:rPr>
        <w:t>Мегалу, Анна</w:t>
      </w:r>
      <w:r>
        <w:t xml:space="preserve">, Управление по развитию и информации </w:t>
      </w:r>
    </w:p>
    <w:p w:rsidR="00000000" w:rsidRDefault="00000000">
      <w:r>
        <w:rPr>
          <w:b/>
        </w:rPr>
        <w:t>Палайологу, Элени</w:t>
      </w:r>
      <w:r>
        <w:t>, Департамент публикаций и общих мероприятий</w:t>
      </w:r>
    </w:p>
    <w:p w:rsidR="00000000" w:rsidRDefault="00000000">
      <w:r>
        <w:rPr>
          <w:b/>
        </w:rPr>
        <w:t>Пападопулу, Василики</w:t>
      </w:r>
      <w:r>
        <w:t>, Департамент социального участия, децентрализации и регионального развития</w:t>
      </w:r>
    </w:p>
    <w:p w:rsidR="00000000" w:rsidRDefault="00000000">
      <w:r>
        <w:rPr>
          <w:b/>
        </w:rPr>
        <w:t>Пендарчу, Константина</w:t>
      </w:r>
      <w:r>
        <w:t>, Департамент образования и профессиональной подготовки (поддержка секретариата)</w:t>
      </w:r>
    </w:p>
    <w:p w:rsidR="00000000" w:rsidRDefault="00000000">
      <w:r>
        <w:rPr>
          <w:b/>
        </w:rPr>
        <w:t>Сакарели, София</w:t>
      </w:r>
      <w:r>
        <w:t>, Департамент социальной защиты и страхования</w:t>
      </w:r>
    </w:p>
    <w:p w:rsidR="00000000" w:rsidRDefault="00000000">
      <w:r>
        <w:rPr>
          <w:b/>
        </w:rPr>
        <w:t>Сари, Стаматина-Амалия</w:t>
      </w:r>
      <w:r>
        <w:t xml:space="preserve">, руководитель Управления занятости, социальной защиты и страхования </w:t>
      </w:r>
    </w:p>
    <w:p w:rsidR="00000000" w:rsidRDefault="00000000">
      <w:r>
        <w:rPr>
          <w:b/>
        </w:rPr>
        <w:t>Сотириаду, Анастасия</w:t>
      </w:r>
      <w:r>
        <w:t>, руководитель Департамента образования и профессиональной подготовки</w:t>
      </w:r>
    </w:p>
    <w:p w:rsidR="00000000" w:rsidRDefault="00000000">
      <w:r>
        <w:rPr>
          <w:b/>
        </w:rPr>
        <w:t>Татси, Элени</w:t>
      </w:r>
      <w:r>
        <w:t>, Департамент социальной защиты и страхования</w:t>
      </w:r>
    </w:p>
    <w:p w:rsidR="00000000" w:rsidRDefault="00000000">
      <w:r>
        <w:rPr>
          <w:b/>
        </w:rPr>
        <w:t>Тремос, Димостенис</w:t>
      </w:r>
      <w:r>
        <w:t>, Департамент публикаций и общих мероприятий</w:t>
      </w:r>
    </w:p>
    <w:p w:rsidR="00000000" w:rsidRDefault="00000000">
      <w:r>
        <w:rPr>
          <w:b/>
        </w:rPr>
        <w:t>Венди, Ставрула</w:t>
      </w:r>
      <w:r>
        <w:t>, Департамент социальной защиты и страхования</w:t>
      </w:r>
    </w:p>
    <w:p w:rsidR="00000000" w:rsidRDefault="00000000">
      <w:r>
        <w:rPr>
          <w:i/>
        </w:rPr>
        <w:t>Координация документации:</w:t>
      </w:r>
      <w:r>
        <w:t xml:space="preserve"> </w:t>
      </w:r>
      <w:r>
        <w:rPr>
          <w:b/>
        </w:rPr>
        <w:t>Kацариду, Ифигения</w:t>
      </w:r>
      <w:r>
        <w:t xml:space="preserve">, генеральный директор Исследовательского центра по вопросам гендерного равенства </w:t>
      </w:r>
    </w:p>
    <w:p w:rsidR="00000000" w:rsidRDefault="00000000"/>
    <w:p w:rsidR="00000000" w:rsidRDefault="00000000">
      <w:r>
        <w:rPr>
          <w:i/>
        </w:rPr>
        <w:t>Перевод на английский язык:</w:t>
      </w:r>
      <w:r>
        <w:t xml:space="preserve"> </w:t>
      </w:r>
      <w:r>
        <w:rPr>
          <w:b/>
        </w:rPr>
        <w:t>Mегалу, Анна</w:t>
      </w:r>
      <w:r>
        <w:t xml:space="preserve">; </w:t>
      </w:r>
      <w:r>
        <w:rPr>
          <w:b/>
        </w:rPr>
        <w:t>Палайологу, Элени</w:t>
      </w:r>
      <w:r>
        <w:t xml:space="preserve">, сотрудницы Генерального секретариата по вопросам гендерного равенства </w:t>
      </w:r>
    </w:p>
    <w:p w:rsidR="00000000" w:rsidRDefault="00000000"/>
    <w:p w:rsidR="00000000" w:rsidRDefault="00000000">
      <w:r>
        <w:rPr>
          <w:i/>
        </w:rPr>
        <w:t xml:space="preserve">Редакция английского текста: </w:t>
      </w:r>
      <w:r>
        <w:rPr>
          <w:b/>
        </w:rPr>
        <w:t>Mегалу, Анна</w:t>
      </w:r>
      <w:r>
        <w:t xml:space="preserve">; </w:t>
      </w:r>
      <w:r>
        <w:rPr>
          <w:b/>
        </w:rPr>
        <w:t>Палайологу, Элени</w:t>
      </w:r>
      <w:r>
        <w:t>, сотрудницы Генерального секретариата по вопросам гендерного равенства</w:t>
      </w:r>
      <w:r>
        <w:rPr>
          <w:b/>
        </w:rPr>
        <w:t xml:space="preserve"> </w:t>
      </w:r>
    </w:p>
    <w:p w:rsidR="00000000" w:rsidRDefault="00000000"/>
    <w:p w:rsidR="00000000" w:rsidRDefault="00000000">
      <w:r>
        <w:rPr>
          <w:i/>
        </w:rPr>
        <w:t>Координация проекта и научная редакция</w:t>
      </w:r>
      <w:r>
        <w:t xml:space="preserve">: </w:t>
      </w:r>
      <w:r>
        <w:rPr>
          <w:b/>
        </w:rPr>
        <w:t>Яннакуру, Матина</w:t>
      </w:r>
      <w:r>
        <w:t xml:space="preserve">, специальный советник Генерального секретаря по вопросам гендерного равенства, доктор юриспруденции </w:t>
      </w:r>
    </w:p>
    <w:p w:rsidR="00000000" w:rsidRDefault="00000000"/>
    <w:p w:rsidR="00000000" w:rsidRDefault="00000000">
      <w:pPr>
        <w:pStyle w:val="BodyText"/>
        <w:ind w:left="0" w:firstLine="0"/>
        <w:jc w:val="center"/>
        <w:rPr>
          <w:b/>
          <w:color w:val="000000"/>
        </w:rPr>
      </w:pPr>
      <w:r>
        <w:rPr>
          <w:b/>
          <w:color w:val="000000"/>
          <w:spacing w:val="20"/>
        </w:rPr>
        <w:br w:type="page"/>
      </w:r>
      <w:r>
        <w:rPr>
          <w:b/>
          <w:color w:val="000000"/>
        </w:rPr>
        <w:t>Предисловие</w:t>
      </w:r>
    </w:p>
    <w:p w:rsidR="00000000" w:rsidRDefault="00000000">
      <w:pPr>
        <w:spacing w:after="200"/>
      </w:pPr>
      <w:r>
        <w:t>Греция как член Организации Объединенных Наций в 1983 году ратифицировала Конвенцию о ликвидации всех форм дискриминации в отношении женщин (закон 1342/1983), при этом, она стала одной из 22 стран, первыми ратифицировавших в 2001 году Факультативный протокол к данной Конвенции (закон 2952/2001).</w:t>
      </w:r>
    </w:p>
    <w:p w:rsidR="00000000" w:rsidRDefault="00000000">
      <w:pPr>
        <w:spacing w:after="200"/>
      </w:pPr>
      <w:r>
        <w:t>Выполнение положений Конвенции о ликвидации всех форм дискриминации в отношении женщин побудило Грецию к активному проведению соответствующих мероприятий и принятию законодательных и иных мер, нацеленных на ликвидацию неравенства в обращении по признаку пола, а также на включение гендерной проблематики во все направления политики. В сборе информации, оценке текущих потребностей, проблем и пробелов в законодательстве исключительно полезными стали составление национальных докладов, представленных Организации Объединенных Наций, замечания компетентного Комитета по ликвидации дискриминации в отношении женщин, а также соответствующие обсуждения делегацией Греции с членами этого Комитета содержания данного доклада. Кроме того, все это способствовало началу непрерывного открытого диалога Греции с международным гражданским обществом по проблемам гендерного равенства.</w:t>
      </w:r>
    </w:p>
    <w:p w:rsidR="00000000" w:rsidRDefault="00000000">
      <w:pPr>
        <w:spacing w:after="200"/>
      </w:pPr>
      <w:r>
        <w:t>Шестой периодический доклад Греции охватывает отчетный период с 2001 по 2004 годы, в течение которого произошли важные институциональные, законодательные, правовые, административные и социальные изменения в области равенства между мужчинами и женщинами.</w:t>
      </w:r>
    </w:p>
    <w:p w:rsidR="00000000" w:rsidRDefault="00000000">
      <w:pPr>
        <w:spacing w:after="200"/>
      </w:pPr>
      <w:r>
        <w:t>В первую очередь, хотелось бы подчеркнуть, что важнейшим катализатором этого процесса стало конституционное признание позитивных мер в качестве средства достижения реального равенства и ликвидации дискриминации в отношении женщин; речь идет о пересмотре Конституции Греции в 2001 году. Необходимо также отметить, что в 2001 году была законодательно установлена обязательная минимальная квота в размере одной трети для каждого из полов в избирательных списках местных и региональных органов власти (выборы в муниципалитеты и префектуры), что стало важным шагом в направлении участия женщин в процессах принятия государственных решений.</w:t>
      </w:r>
    </w:p>
    <w:p w:rsidR="00000000" w:rsidRDefault="00000000">
      <w:pPr>
        <w:spacing w:after="200"/>
      </w:pPr>
      <w:r>
        <w:t>Другой областью, в которой был достигнут заметный прогресс, стала систематическая борьба против торговли женщинами. Учитывая, кроме всего прочего, замечания Комитета по ликвидации дискриминации в отношении женщин, правительство Греции с 2001 года начало комплексную борьбу с вышеуказанным явлением, квалифицируя торговлю женщинами как преступление, которому необходимо противодействовать особыми методами. Важным первым шагом стало создание Группы против торговли людьми. Являясь межведомственным механизмом, Группа против торговли людьми содействовала изменению законодательной базы и координировала процесс информирования и повышения уровня осведомленности в отношении данной проблемы. В 2004 году по инициативе правительства Греции на высоком политическом уровне был сформирован Межминистерский комитет, который разработал комплексный Национальный план действий против торговли людьми. Эта программа базируется на координации работы министерств, имеющих параллельную сферу компетенции, и охватывает весь спектр действий, связанных с такой торговлей, начиная с выявления, подтверждения, оказания полной поддержки и обеспечения крова пострадавшим, предоставления временного вида на жительство с разрешением на работу или оказания содействия в добровольной репатриации, в зависимости от конкретных обстоятельств, и заканчивая обеспечением доступа к образованию и возможности получения работы пострадавшим, которые остаются в Греции; при этом проводится работа среди населения по ознакомлению с проблемой, а также проводится специальная подготовка сотрудников судебных и правоохранительных органов.</w:t>
      </w:r>
    </w:p>
    <w:p w:rsidR="00000000" w:rsidRDefault="00000000">
      <w:r>
        <w:t>2004 год ознаменован выдвижением на приоритетное место в повестке дня социально-политической дискуссии вопроса о насилии в отношении женщин во всех его проявлениях. Это сопровождалось широкой информационно-просветительской кампанией в отношении насилия в семье. Рабочий комитет, сформированный по инициативе Генерального секретариата по вопросам гендерного равенства Министерства внутренних дел, государственной администрации и децентрализации, намерен изучить все социальные и правовые аспекты, связанные с явлением насилия в семье, а также требования к инфраструктуре, необходимой для предотвращения такого вида насилия и борьбы с ним. В скором времени данный Комитет выдвинет на рассмотрение соответствующие законодательные меры.</w:t>
      </w:r>
    </w:p>
    <w:p w:rsidR="00000000" w:rsidRDefault="00000000">
      <w:r>
        <w:t>На законодательном уровне Комитет Министерства внутренних дел, государственной администрации и децентрализации, ответственный за внесение поправок в Кодекс государственной службы (закон 2683/1989), принял предложения Генерального секретариата по вопросам гендерного равенства в отношении отпусков по уходу за ребенком для государственных служащих. Среди таких предложений предусматривается принятие нормативных актов, направленных на достижение равного обращения в отношении мужчин и женщин, кроме того, особое внимание в них уделяется семьям с одним родителем и большим семьям.</w:t>
      </w:r>
    </w:p>
    <w:p w:rsidR="00000000" w:rsidRDefault="00000000">
      <w:r>
        <w:t>На институциональном уровне предлагается напрямую, с помощью законодательных рычагов создать новый национальный механизм – Национальный комитет по вопросам равенства между мужчинами и женщинами. Мы разрабатываем концепцию этого Комитета в качестве постоянно действующего инструмента диалога между правительством, ключевыми организациями в рамках социального партнерства и представителями женских неправительственных организаций. Задачей Комитета будет разработка и мониторинг политических инициатив в сфере гендерного равенства. В то же время нашим приоритетом является укрепление существующих институциональных механизмов по проблемам гендерного равенства, а также распространение политики в области гендерного равенства и соответствующих действий Организации Объединенных Наций на регионы страны. Как было заявлено в ходе обсуждений на 49-й сессии Комиссии по положению женщин (Нью-Йорк), перед правительствами стоит не только сложная задача создания соответствующих механизмов, но и обеспечение эффективной деятельности и координации этих механизмов для получения осязаемых результатов, которые могут послужить ориентирами для будущих политических инициатив.</w:t>
      </w:r>
    </w:p>
    <w:p w:rsidR="00000000" w:rsidRDefault="00000000">
      <w:r>
        <w:t>Основной вектор предполагаемой деятельности – это рост участия женщин в занятости и борьба с женской безработицей с помощью программ назначения женщин на различные должности, содействия женскому предпринимательству и помощи в профессиональной подготовке. Выявление в сфере занятости проблемных мест, касающихся гендерного равенства, создает необходимость в позитивных действиях в частном секторе при особом внимании к созданию баланса между семьей и производственной деятельностью.</w:t>
      </w:r>
    </w:p>
    <w:p w:rsidR="00000000" w:rsidRDefault="00000000">
      <w:r>
        <w:t>Настоящий доклад является продуктом сотрудничества различных служб Генерального секретариата по вопросам гендерного равенства с государственными и общественными органами, независимыми агентствами, международными организациями, с неправительственными и женскими организациями, а также с независимыми экспертами. Кроме того, в данный доклад включена в максимальном объеме ценная информация Национальной комиссии по правам человека, официальное заключение которой было запрошено в соответствии с действующими нормативными актами.</w:t>
      </w:r>
    </w:p>
    <w:p w:rsidR="00000000" w:rsidRDefault="00000000">
      <w:r>
        <w:t>Хотелось бы выразить признательность всем, кто прямо или косвенно внес свой вклад в реализацию этого проекта, и в особенности сотрудникам Генерального секретариата по вопросам гендерного равенства. Особо я бы хотела поблагодарить г-на Янниса Ктистакиса, научного сотрудника Университета "Демокритус" Фракии, за его ценные советы при подготовке данного доклада, а также сотрудницу Генерального секретариата по вопросам гендерного равенства г-жу Анну Мегалу (бакалавра в области английского языка и филологии Университета Аристотеля в городе Салоники, Греция) за ответственное и профессиональное редактирование английского текста.</w:t>
      </w:r>
    </w:p>
    <w:p w:rsidR="00000000" w:rsidRDefault="00000000">
      <w:r>
        <w:t>Мы прекрасно понимаем, что проблема равенства между мужчинами и женщинами касается не только женщин. Это проблема всего греческого общества, так как женщины составляют 52 процента населения Греции.</w:t>
      </w:r>
    </w:p>
    <w:p w:rsidR="00000000" w:rsidRDefault="00000000">
      <w:r>
        <w:t>Греция представляет настоящий доклад в надежде, что он станет важным инструментом в выявлении и искоренении существующих случаев дискриминации в отношении женщин, укреплении их прав и действенного участия в политической, экономической, социальной, культурной жизни и в сфере образования. Мы уверены, что усиление позиций женщин в греческом обществе внесет значительный вклад в развитие, повышение конкурентоспособности и социальной сплоченности страны.</w:t>
      </w:r>
    </w:p>
    <w:p w:rsidR="00000000" w:rsidRDefault="00000000">
      <w:pPr>
        <w:pStyle w:val="BodyText"/>
        <w:ind w:left="0" w:firstLine="0"/>
        <w:jc w:val="center"/>
        <w:rPr>
          <w:b/>
          <w:caps/>
          <w:color w:val="000000"/>
          <w:sz w:val="24"/>
        </w:rPr>
      </w:pPr>
    </w:p>
    <w:p w:rsidR="00000000" w:rsidRDefault="00000000">
      <w:pPr>
        <w:pStyle w:val="BodyText"/>
        <w:ind w:left="0" w:firstLine="0"/>
        <w:jc w:val="right"/>
        <w:rPr>
          <w:i/>
          <w:caps/>
          <w:color w:val="000000"/>
        </w:rPr>
      </w:pPr>
      <w:r>
        <w:rPr>
          <w:i/>
          <w:caps/>
          <w:color w:val="000000"/>
        </w:rPr>
        <w:t>Г</w:t>
      </w:r>
      <w:r>
        <w:rPr>
          <w:i/>
          <w:color w:val="000000"/>
        </w:rPr>
        <w:t>енеральный секретарь по вопросам гендерного равенства</w:t>
      </w:r>
      <w:r>
        <w:rPr>
          <w:i/>
          <w:color w:val="000000"/>
        </w:rPr>
        <w:br/>
      </w:r>
      <w:r>
        <w:rPr>
          <w:i/>
          <w:color w:val="000000"/>
        </w:rPr>
        <w:br/>
      </w:r>
      <w:r>
        <w:rPr>
          <w:i/>
          <w:caps/>
          <w:color w:val="000000"/>
        </w:rPr>
        <w:t>Е</w:t>
      </w:r>
      <w:r>
        <w:rPr>
          <w:i/>
          <w:color w:val="000000"/>
        </w:rPr>
        <w:t>вгения</w:t>
      </w:r>
      <w:r>
        <w:rPr>
          <w:i/>
          <w:caps/>
          <w:color w:val="000000"/>
        </w:rPr>
        <w:t xml:space="preserve"> Т</w:t>
      </w:r>
      <w:r>
        <w:rPr>
          <w:i/>
          <w:color w:val="000000"/>
        </w:rPr>
        <w:t>сумани</w:t>
      </w:r>
    </w:p>
    <w:p w:rsidR="00000000" w:rsidRDefault="00000000">
      <w:pPr>
        <w:pStyle w:val="BodyText"/>
        <w:spacing w:after="120"/>
        <w:ind w:left="0" w:firstLine="0"/>
        <w:jc w:val="center"/>
        <w:rPr>
          <w:b/>
          <w:caps/>
          <w:color w:val="000000"/>
        </w:rPr>
      </w:pPr>
    </w:p>
    <w:p w:rsidR="00000000" w:rsidRDefault="00000000">
      <w:pPr>
        <w:pStyle w:val="BodyText"/>
        <w:spacing w:after="200"/>
        <w:ind w:left="0" w:firstLine="0"/>
        <w:jc w:val="center"/>
        <w:rPr>
          <w:b/>
        </w:rPr>
      </w:pPr>
      <w:r>
        <w:rPr>
          <w:b/>
        </w:rPr>
        <w:br w:type="page"/>
        <w:t>Краткий обзор</w:t>
      </w:r>
    </w:p>
    <w:p w:rsidR="00000000" w:rsidRDefault="00000000">
      <w:pPr>
        <w:pStyle w:val="BodyText"/>
        <w:spacing w:after="200"/>
        <w:rPr>
          <w:color w:val="000000"/>
        </w:rPr>
      </w:pPr>
      <w:r>
        <w:rPr>
          <w:color w:val="000000"/>
        </w:rPr>
        <w:t>1.</w:t>
      </w:r>
      <w:r>
        <w:rPr>
          <w:color w:val="000000"/>
        </w:rPr>
        <w:tab/>
        <w:t>Внесенные в 2001 году поправки к Конституции открыли дорогу для реального (де-факто) гендерного равенства. В соответствии с положениями пункта 2 статьи 116 Конституции были упразднены любые отклонения от принципа гендерного равенства и установлена обязанность государства принимать соответствующие меры по ликвидации любой дискриминации в отношении женщин.</w:t>
      </w:r>
    </w:p>
    <w:p w:rsidR="00000000" w:rsidRDefault="00000000">
      <w:pPr>
        <w:pStyle w:val="BodyText"/>
        <w:spacing w:after="200"/>
        <w:rPr>
          <w:color w:val="000000"/>
        </w:rPr>
      </w:pPr>
      <w:r>
        <w:rPr>
          <w:color w:val="000000"/>
        </w:rPr>
        <w:t>2.</w:t>
      </w:r>
      <w:r>
        <w:rPr>
          <w:color w:val="000000"/>
        </w:rPr>
        <w:tab/>
        <w:t xml:space="preserve">Греция также ратифицировала Факультативный протокол к </w:t>
      </w:r>
      <w:r>
        <w:t>Конвенции о ликвидации всех форм дискриминации в отношении женщин</w:t>
      </w:r>
      <w:r>
        <w:rPr>
          <w:color w:val="000000"/>
        </w:rPr>
        <w:t xml:space="preserve"> (закон 2952/2001).</w:t>
      </w:r>
    </w:p>
    <w:p w:rsidR="00000000" w:rsidRDefault="00000000">
      <w:pPr>
        <w:pStyle w:val="BodyText"/>
        <w:spacing w:after="200"/>
        <w:rPr>
          <w:color w:val="000000"/>
        </w:rPr>
      </w:pPr>
      <w:r>
        <w:rPr>
          <w:color w:val="000000"/>
        </w:rPr>
        <w:t>3.</w:t>
      </w:r>
      <w:r>
        <w:rPr>
          <w:color w:val="000000"/>
        </w:rPr>
        <w:tab/>
        <w:t>На институциональном уровне были созданы новые организационные механизмы, такие как Межминистерский комитет по гендерному равенству (2000 год), Постоянный парламентский комитет по равенству и правам человека (2002 год) и Управление по гендерному равенству Министерства национальной обороны (2004 год).</w:t>
      </w:r>
    </w:p>
    <w:p w:rsidR="00000000" w:rsidRDefault="00000000">
      <w:pPr>
        <w:pStyle w:val="BodyText"/>
        <w:spacing w:after="200"/>
        <w:rPr>
          <w:color w:val="000000"/>
        </w:rPr>
      </w:pPr>
      <w:r>
        <w:rPr>
          <w:color w:val="000000"/>
        </w:rPr>
        <w:t>4.</w:t>
      </w:r>
      <w:r>
        <w:rPr>
          <w:color w:val="000000"/>
        </w:rPr>
        <w:tab/>
        <w:t>В сфере занятости и трудовых отношений</w:t>
      </w:r>
    </w:p>
    <w:p w:rsidR="00000000" w:rsidRDefault="00000000">
      <w:pPr>
        <w:pStyle w:val="110"/>
        <w:spacing w:after="200"/>
      </w:pPr>
      <w:r>
        <w:sym w:font="Symbol" w:char="F0B7"/>
      </w:r>
      <w:r>
        <w:tab/>
        <w:t>Национальные коллективные трудовые договоры 2002–2004 годов усовершенствовали действующее законодательство, касающееся работников частного сектора, в плане равенства в сфере трудовых отношений, родительских отпусков, отпусков по уходу за ребенком и других гендерных аспектов.</w:t>
      </w:r>
    </w:p>
    <w:p w:rsidR="00000000" w:rsidRDefault="00000000">
      <w:pPr>
        <w:pStyle w:val="110"/>
        <w:spacing w:after="200"/>
      </w:pPr>
      <w:r>
        <w:sym w:font="Symbol" w:char="F0B7"/>
      </w:r>
      <w:r>
        <w:tab/>
        <w:t>Закон 3227/2004 "О мерах против безработицы и других проблемах" также в более благоприятном контексте регулирует статус работающих и безработных матерей.</w:t>
      </w:r>
    </w:p>
    <w:p w:rsidR="00000000" w:rsidRDefault="00000000">
      <w:pPr>
        <w:pStyle w:val="110"/>
        <w:spacing w:after="200"/>
      </w:pPr>
      <w:r>
        <w:sym w:font="Symbol" w:char="F0B7"/>
      </w:r>
      <w:r>
        <w:tab/>
        <w:t>Закон 3250/2004 содействует занятости матерей с несовершеннолетними детьми путем предоставления им работы в рамках 10-процентной квоты на рабочие места с неполным рабочим днем в государственном секторе, в компаниях, работающих по нормам публичного права, а также в местных органах власти и в службах социальной направленности. В то же время закон предусматривает, что 60-процентная квота для различных категорий безработных, которые подпадают под указанные критерии, будет отдаваться женщинам при наличии заинтересованности с их стороны.</w:t>
      </w:r>
    </w:p>
    <w:p w:rsidR="00000000" w:rsidRDefault="00000000">
      <w:pPr>
        <w:pStyle w:val="110"/>
        <w:spacing w:after="200"/>
      </w:pPr>
      <w:r>
        <w:sym w:font="Symbol" w:char="F0B7"/>
      </w:r>
      <w:r>
        <w:tab/>
        <w:t>В рамках Национального плана действий в области занятости и Национального плана действий по социальной интеграции предпринимаются усилия по искоренению случаев исключения женщин из занятости как в государственном, так и в частном секторе.</w:t>
      </w:r>
    </w:p>
    <w:p w:rsidR="00000000" w:rsidRDefault="00000000">
      <w:pPr>
        <w:pStyle w:val="110"/>
      </w:pPr>
      <w:r>
        <w:sym w:font="Symbol" w:char="F0B7"/>
      </w:r>
      <w:r>
        <w:tab/>
        <w:t>Компетентный Комитет Министерства внутренних дел, государственной администрации и децентрализации, курирующий внесение поправок в рамках пересмотра Кодекса государственной гражданской службы (закон 2683/1989), принял предложения Генерального секретариата по вопросам гендерного равенства относительно родительских отпусков для государственных служащих. Вышеуказанные предложения предполагают полное соблюдение принципа равного обращения в отношении мужчин и женщин и отражают повышенное внимание к одиноким родителям и большим семьям.</w:t>
      </w:r>
    </w:p>
    <w:p w:rsidR="00000000" w:rsidRDefault="00000000">
      <w:pPr>
        <w:pStyle w:val="BodyText"/>
        <w:rPr>
          <w:color w:val="000000"/>
        </w:rPr>
      </w:pPr>
      <w:r>
        <w:rPr>
          <w:color w:val="000000"/>
        </w:rPr>
        <w:t>5.</w:t>
      </w:r>
      <w:r>
        <w:rPr>
          <w:color w:val="000000"/>
        </w:rPr>
        <w:tab/>
        <w:t>В сфере социальной защиты</w:t>
      </w:r>
    </w:p>
    <w:p w:rsidR="00000000" w:rsidRDefault="00000000">
      <w:pPr>
        <w:pStyle w:val="110"/>
      </w:pPr>
      <w:r>
        <w:sym w:font="Symbol" w:char="F0B7"/>
      </w:r>
      <w:r>
        <w:tab/>
        <w:t>Закон 3029/2002 усовершенствовал пенсионную систему и аннулировал все существующие различия по признаку пола при защите интересов пожилых граждан.</w:t>
      </w:r>
    </w:p>
    <w:p w:rsidR="00000000" w:rsidRDefault="00000000">
      <w:pPr>
        <w:pStyle w:val="110"/>
      </w:pPr>
      <w:r>
        <w:sym w:font="Symbol" w:char="F0B7"/>
      </w:r>
      <w:r>
        <w:tab/>
        <w:t>Закон 3232/2004 впервые содержит положение о том, что разведенные родители имеют право на получение пенсии на дожитие и могут получать часть пенсии бывшего супруга после его/ее смерти.</w:t>
      </w:r>
    </w:p>
    <w:p w:rsidR="00000000" w:rsidRDefault="00000000">
      <w:pPr>
        <w:pStyle w:val="110"/>
      </w:pPr>
      <w:r>
        <w:sym w:font="Symbol" w:char="F0B7"/>
      </w:r>
      <w:r>
        <w:tab/>
        <w:t>Президентский указ 87/2002 ввел в законодательство Греции директивы 86/378/EEC и 96/97/EC о реализации принципа равного обращения в отношении мужчин и женщин в системах социальной защиты на рабочем месте. Этот принцип будет включаться в устав любого из фондов социального страхования работников, который будет создан в будущем.</w:t>
      </w:r>
    </w:p>
    <w:p w:rsidR="00000000" w:rsidRDefault="00000000">
      <w:pPr>
        <w:pStyle w:val="110"/>
      </w:pPr>
      <w:r>
        <w:sym w:font="Symbol" w:char="F0B7"/>
      </w:r>
      <w:r>
        <w:tab/>
        <w:t>С принятием нового Положения о страховании</w:t>
      </w:r>
      <w:r>
        <w:rPr>
          <w:i/>
        </w:rPr>
        <w:t xml:space="preserve"> </w:t>
      </w:r>
      <w:r>
        <w:t>государственных служащих Организации медицинского страхования (OPAD), уже не существует дискриминации по признаку пола в отношении лиц (семей), охваченных страховкой члена указанной организации, имеющего право на медицинское обслуживание за счет этой организации.</w:t>
      </w:r>
    </w:p>
    <w:p w:rsidR="00000000" w:rsidRDefault="00000000">
      <w:pPr>
        <w:pStyle w:val="BodyText"/>
        <w:rPr>
          <w:color w:val="000000"/>
        </w:rPr>
      </w:pPr>
      <w:r>
        <w:rPr>
          <w:color w:val="000000"/>
        </w:rPr>
        <w:t>6.</w:t>
      </w:r>
      <w:r>
        <w:rPr>
          <w:color w:val="000000"/>
        </w:rPr>
        <w:tab/>
        <w:t xml:space="preserve">В сельскохозяйственной сфере </w:t>
      </w:r>
    </w:p>
    <w:p w:rsidR="00000000" w:rsidRDefault="00000000">
      <w:pPr>
        <w:pStyle w:val="110"/>
      </w:pPr>
      <w:r>
        <w:sym w:font="Symbol" w:char="F0B7"/>
      </w:r>
      <w:r>
        <w:tab/>
        <w:t>Закон 2810/2003 "О сельскохозяйственных кооперативных организациях" внес поправки в условия учреждения сельскохозяйственных кооперативов, создавая благоприятные условия для участия женщин в таких кооперативах.</w:t>
      </w:r>
    </w:p>
    <w:p w:rsidR="00000000" w:rsidRDefault="00000000">
      <w:pPr>
        <w:pStyle w:val="110"/>
      </w:pPr>
      <w:r>
        <w:sym w:font="Symbol" w:char="F0B7"/>
      </w:r>
      <w:r>
        <w:tab/>
        <w:t>Закон 3147/2003 "Регулирование вопросов, касающихся сельских земель, решения проблем восстановления фермерами поголовья скота, и другие положения" улучшает условия участия женщин в сельскохозяйственном производстве.</w:t>
      </w:r>
    </w:p>
    <w:p w:rsidR="00000000" w:rsidRDefault="00000000">
      <w:pPr>
        <w:pStyle w:val="110"/>
      </w:pPr>
      <w:r>
        <w:sym w:font="Symbol" w:char="F0B7"/>
      </w:r>
      <w:r>
        <w:tab/>
        <w:t>В течение 2001–2003 годов 2141 женщина-фермер была охвачена программами профессиональной подготовки.</w:t>
      </w:r>
    </w:p>
    <w:p w:rsidR="00000000" w:rsidRDefault="00000000">
      <w:pPr>
        <w:pStyle w:val="BodyText"/>
        <w:rPr>
          <w:color w:val="000000"/>
        </w:rPr>
      </w:pPr>
      <w:r>
        <w:rPr>
          <w:b/>
          <w:color w:val="000000"/>
        </w:rPr>
        <w:t>7.</w:t>
      </w:r>
      <w:r>
        <w:rPr>
          <w:b/>
          <w:color w:val="000000"/>
        </w:rPr>
        <w:tab/>
      </w:r>
      <w:r>
        <w:rPr>
          <w:color w:val="000000"/>
        </w:rPr>
        <w:t xml:space="preserve">В сфере борьбы с насилием в отношении женщин и их эксплуатацией </w:t>
      </w:r>
    </w:p>
    <w:p w:rsidR="00000000" w:rsidRDefault="00000000">
      <w:pPr>
        <w:pStyle w:val="110"/>
      </w:pPr>
      <w:r>
        <w:sym w:font="Symbol" w:char="F0B7"/>
      </w:r>
      <w:r>
        <w:tab/>
        <w:t>Закон 3064/2002 по борьбе с торговлей людьми, который был единогласно принят парламентом Греции, внес значительные и существенные изменения в Уголовный кодекс и предусмотрел чрезвычайно серьезное наказание для правонарушителей.</w:t>
      </w:r>
    </w:p>
    <w:p w:rsidR="00000000" w:rsidRDefault="00000000">
      <w:pPr>
        <w:pStyle w:val="110"/>
      </w:pPr>
      <w:r>
        <w:sym w:font="Symbol" w:char="F0B7"/>
      </w:r>
      <w:r>
        <w:tab/>
        <w:t>Президентский указ 233/2003 о предоставлении помощи жертвам торговли людьми и их защите обеспечил необходимую законодательную базу для предоставления помощи, защиты и ухода за жертвами преступлений, связанных со сводничеством, незаконным ввозом и торговлей людьми, сексуальным насилием над детьми в коммерческих целях и работорговлей. В частности, имеются положения по защите жизни пострадавших, их физической неприкосновенности, личной и сексуальной свободы. Также оказывается помощь в предоставлении жилья, предметов первой необходимости, медицинского обслуживания, психологической поддержки, услуг адвоката и переводчика.</w:t>
      </w:r>
    </w:p>
    <w:p w:rsidR="00000000" w:rsidRDefault="00000000">
      <w:pPr>
        <w:pStyle w:val="110"/>
      </w:pPr>
      <w:r>
        <w:sym w:font="Symbol" w:char="F0B7"/>
      </w:r>
      <w:r>
        <w:tab/>
        <w:t>В недавно принятом законодательном акте (закон 3274/2004, пункт 7 статьи 34) предусматривается выдача временного вида на жительство, действительного также в качестве разрешения на работу, нелегальным иммигрантам, заявившим, что они стали жертвами нелегального ввоза в страну и сводничества. Если в соответствии с указанием государственного прокурора суда первой инстанции и с одобрения генерального прокурора приостанавливается процедура их депортации, вышеуказанный вид на жительство предоставляется на срок в шесть месяцев и продляется на такой же срок или вплоть до окончательного решения суда по претензиям пострадавшего.</w:t>
      </w:r>
    </w:p>
    <w:p w:rsidR="00000000" w:rsidRDefault="00000000">
      <w:pPr>
        <w:pStyle w:val="110"/>
      </w:pPr>
      <w:r>
        <w:sym w:font="Symbol" w:char="F0B7"/>
      </w:r>
      <w:r>
        <w:tab/>
        <w:t>С августа 2004 года в Греции осуществляется комплексная программа действий по борьбе с торговлей людьми, которая проводится на основе координации между министерствами, имеющими параллельные сферы компетенции. Данная программа охватывает весь спектр правонарушений, связанных с торговлей людьми. Она была разработана Межминистерским комитетом по борьбе с торговлей людьми, сформированным в 2004 году на высоком политическом уровне по инициативе Министерства юстиции. В контексте данной программы Генеральный секретариат по вопросам гендерного равенства Министерства внутренних дел, государственной администрации и децентрализации в сотрудничестве с греческой Организацией по вопросам занятости и в рамках их совместных программ предоставляет рабочие места женщинам – жертвам торговли людьми, получившим временный вид на жительство и разрешение на работу в соответствии с пунктом 7 статьи 34 закона 3274/2004.</w:t>
      </w:r>
    </w:p>
    <w:p w:rsidR="00000000" w:rsidRDefault="00000000">
      <w:pPr>
        <w:pStyle w:val="BodyText"/>
        <w:rPr>
          <w:color w:val="000000"/>
        </w:rPr>
      </w:pPr>
      <w:r>
        <w:rPr>
          <w:color w:val="000000"/>
        </w:rPr>
        <w:t>8.</w:t>
      </w:r>
      <w:r>
        <w:rPr>
          <w:color w:val="000000"/>
        </w:rPr>
        <w:tab/>
        <w:t xml:space="preserve">В сфере миграции населения/гражданства </w:t>
      </w:r>
    </w:p>
    <w:p w:rsidR="00000000" w:rsidRDefault="00000000">
      <w:pPr>
        <w:pStyle w:val="110"/>
      </w:pPr>
      <w:r>
        <w:sym w:font="Symbol" w:char="F0B7"/>
      </w:r>
      <w:r>
        <w:tab/>
        <w:t xml:space="preserve">В 2002 году Генеральный секретариат по вопросам гендерного равенства и </w:t>
      </w:r>
      <w:r>
        <w:rPr>
          <w:sz w:val="24"/>
        </w:rPr>
        <w:t xml:space="preserve">Бюро Верховного комиссара Организации Объединенных Наций </w:t>
      </w:r>
      <w:r>
        <w:t>в Греции подписали Меморандум о сотрудничестве в рамках общих усилий по содействию соблюдению прав женщин и несовершеннолетних девочек, которым было предоставлено убежище, которые ходатайствуют об убежище или которым был предоставлен гуманитарный статус в Греции в соответствии с Женевской конвенцией 1951 года и президентским указом 61/1999. Результатом этих скоординированных действий стало директивное указание начальника полиции Греции относительно задержания и условий содержания задержанных лиц, ходатайствующих о получении убежища; в данном документе специальная ссылка делается на обращение с задержанными женщинами.</w:t>
      </w:r>
    </w:p>
    <w:p w:rsidR="00000000" w:rsidRDefault="00000000">
      <w:pPr>
        <w:pStyle w:val="110"/>
      </w:pPr>
      <w:r>
        <w:sym w:font="Symbol" w:char="F0B7"/>
      </w:r>
      <w:r>
        <w:tab/>
        <w:t xml:space="preserve">Начиная с 2001 года и по настоящее время государственные учреждения, </w:t>
      </w:r>
      <w:r>
        <w:rPr>
          <w:sz w:val="24"/>
        </w:rPr>
        <w:t xml:space="preserve">Бюро </w:t>
      </w:r>
      <w:r>
        <w:t>Верховного комиссара Организации Объединенных Наций</w:t>
      </w:r>
      <w:r>
        <w:rPr>
          <w:sz w:val="24"/>
        </w:rPr>
        <w:t xml:space="preserve"> </w:t>
      </w:r>
      <w:r>
        <w:t>в Греции и неправительственные организации осуществили крупномасштабные программы помощи женщинам, ищущим убежище, женщинам-иммигрантам и женщинам из наиболее уязвимых групп населения.</w:t>
      </w:r>
    </w:p>
    <w:p w:rsidR="00000000" w:rsidRDefault="00000000">
      <w:pPr>
        <w:pStyle w:val="110"/>
      </w:pPr>
      <w:r>
        <w:sym w:font="Symbol" w:char="F0B7"/>
      </w:r>
      <w:r>
        <w:tab/>
        <w:t>Новый Кодекс гражданства Греции (закон 3284/2004) ликвидировал любые сохранявшиеся проявления дискриминации в отношении детей женщин – гражданок Греции или иностранок.</w:t>
      </w:r>
    </w:p>
    <w:p w:rsidR="00000000" w:rsidRDefault="00000000">
      <w:pPr>
        <w:pStyle w:val="BodyText"/>
      </w:pPr>
      <w:r>
        <w:rPr>
          <w:color w:val="000000"/>
        </w:rPr>
        <w:t>9.</w:t>
      </w:r>
      <w:r>
        <w:rPr>
          <w:color w:val="000000"/>
        </w:rPr>
        <w:tab/>
        <w:t xml:space="preserve">В сфере образования и </w:t>
      </w:r>
      <w:r>
        <w:t>семейного просвещения</w:t>
      </w:r>
    </w:p>
    <w:p w:rsidR="00000000" w:rsidRDefault="00000000">
      <w:pPr>
        <w:pStyle w:val="110"/>
      </w:pPr>
      <w:r>
        <w:sym w:font="Symbol" w:char="F0B7"/>
      </w:r>
      <w:r>
        <w:tab/>
        <w:t>Борьба со стереотипными концепциями роли полов имеет первоочередное значение как в Национальном плане действий предыдущего периода, так и в Национальных политических приоритетах 2004–2008 годов. В частности, в отношении стереотипов, пропагандируемых в СМИ, были осуществлены конкретные действия и приняты меры в сфере образования, культуры и каждого аспекта повседневной жизни, нацеленные на повышение информированности. Основное внимание было уделено борьбе со стереотипными подходами с помощью образовательных программ, особенно на уровне начальной школы, учебников, путем модернизации библиотек и пересмотра задач профессиональной ориентации в школах.</w:t>
      </w:r>
    </w:p>
    <w:p w:rsidR="00000000" w:rsidRDefault="00000000">
      <w:pPr>
        <w:pStyle w:val="110"/>
      </w:pPr>
      <w:r>
        <w:sym w:font="Symbol" w:char="F0B7"/>
      </w:r>
      <w:r>
        <w:tab/>
        <w:t>В рамках комплексной системы, позволяющей женщинам совмещать семейные обязанности и производственную деятельность, были организованы школы продленного дня и детские сады. Открыто уже 3964 начальные школы и 2169 детских садов, работающих по продленному графику.</w:t>
      </w:r>
    </w:p>
    <w:p w:rsidR="00000000" w:rsidRDefault="00000000">
      <w:pPr>
        <w:pStyle w:val="BodyText"/>
        <w:rPr>
          <w:color w:val="000000"/>
        </w:rPr>
      </w:pPr>
      <w:r>
        <w:rPr>
          <w:color w:val="000000"/>
        </w:rPr>
        <w:t>10.</w:t>
      </w:r>
      <w:r>
        <w:rPr>
          <w:color w:val="000000"/>
        </w:rPr>
        <w:tab/>
        <w:t xml:space="preserve">В сфере участия женщин в принятии решений </w:t>
      </w:r>
    </w:p>
    <w:p w:rsidR="00000000" w:rsidRDefault="00000000">
      <w:pPr>
        <w:pStyle w:val="110"/>
      </w:pPr>
      <w:r>
        <w:sym w:font="Symbol" w:char="F0B7"/>
      </w:r>
      <w:r>
        <w:tab/>
        <w:t>В законе 2839/2000 установлена квота участия для представителей обоих полов на уровне по крайней мере, в одну треть от общей численности в ведомственных руководящих органах, коллегиальных органах общественных организаций и местных административных учреждений.</w:t>
      </w:r>
    </w:p>
    <w:p w:rsidR="00000000" w:rsidRDefault="00000000">
      <w:pPr>
        <w:pStyle w:val="110"/>
      </w:pPr>
      <w:r>
        <w:sym w:font="Symbol" w:char="F0B7"/>
      </w:r>
      <w:r>
        <w:tab/>
        <w:t>В законе 2910/2001 установлена квота участия для представителей обоих полов на уровне по крайней мере в одну треть от общей численности в избирательных списках при выборах в муниципалитеты и префектуры.</w:t>
      </w:r>
    </w:p>
    <w:p w:rsidR="00000000" w:rsidRDefault="00000000">
      <w:pPr>
        <w:pStyle w:val="BodyText"/>
      </w:pPr>
      <w:r>
        <w:rPr>
          <w:color w:val="000000"/>
        </w:rPr>
        <w:t>11.</w:t>
      </w:r>
      <w:r>
        <w:rPr>
          <w:color w:val="000000"/>
        </w:rPr>
        <w:tab/>
        <w:t>Правительство Греции одобрило комплексную и всеобъемлющую стратегическую программу действий на 2004–2008 годы, нацеленную на пропаганду гендерной проблематики как на национальном уровне, так и в национальных масштабах. В настоящее время вследствие этих двух параметров пропаганда указанной проблематики становится национальным приоритетом вне зависимости от любых политических разногласий. Основной задачей действий в рамках этой программы станет перевод вопросов гендерного равенства из категории маргинальных или "особых" в разряд важнейших проблем, имеющих политический, экономический и социальный характер, а также огромное значение для развития посредством их прямой увязки с превалирующими национальными приоритетами (развитие, занятость, социальное единство). Достижение этой цели требует осознания в полной мере того факта, что женщины составляют больше половины населения Греции (52 процента) и сталкиваются с серьезными проблемами на пути своей социальной и экономической интеграции.</w:t>
      </w:r>
    </w:p>
    <w:p w:rsidR="00000000" w:rsidRDefault="00000000">
      <w:pPr>
        <w:jc w:val="center"/>
        <w:rPr>
          <w:b/>
          <w:sz w:val="24"/>
        </w:rPr>
      </w:pPr>
      <w:r>
        <w:br w:type="page"/>
      </w:r>
      <w:r>
        <w:rPr>
          <w:b/>
          <w:sz w:val="24"/>
        </w:rPr>
        <w:t>Содержание</w:t>
      </w:r>
      <w:bookmarkEnd w:id="1"/>
    </w:p>
    <w:p w:rsidR="00000000" w:rsidRDefault="00000000">
      <w:pPr>
        <w:pStyle w:val="BodyText"/>
        <w:ind w:left="0" w:firstLine="0"/>
        <w:jc w:val="right"/>
      </w:pPr>
      <w:r>
        <w:t>Стр.</w:t>
      </w:r>
    </w:p>
    <w:p w:rsidR="00000000" w:rsidRDefault="00000000">
      <w:pPr>
        <w:pStyle w:val="TOC1"/>
        <w:spacing w:after="220"/>
        <w:rPr>
          <w:sz w:val="24"/>
        </w:rPr>
      </w:pPr>
      <w:r>
        <w:fldChar w:fldCharType="begin"/>
      </w:r>
      <w:r>
        <w:instrText xml:space="preserve"> TOC \o "1-2" \h \z </w:instrText>
      </w:r>
      <w:r>
        <w:fldChar w:fldCharType="separate"/>
      </w:r>
      <w:hyperlink w:anchor="_Toc116466866" w:history="1">
        <w:r>
          <w:rPr>
            <w:rStyle w:val="Hyperlink"/>
          </w:rPr>
          <w:t xml:space="preserve">Национальные политические приоритеты и направления деятельности </w:t>
        </w:r>
        <w:r>
          <w:rPr>
            <w:rStyle w:val="Hyperlink"/>
          </w:rPr>
          <w:br/>
          <w:t>в достижении гендерного равенства</w:t>
        </w:r>
        <w:r>
          <w:tab/>
        </w:r>
        <w:r>
          <w:tab/>
        </w:r>
        <w:r>
          <w:fldChar w:fldCharType="begin"/>
        </w:r>
        <w:r>
          <w:instrText xml:space="preserve"> PAGEREF _Toc116466866 \h </w:instrText>
        </w:r>
        <w:r>
          <w:fldChar w:fldCharType="separate"/>
        </w:r>
        <w:r>
          <w:t>2</w:t>
        </w:r>
        <w:r>
          <w:fldChar w:fldCharType="end"/>
        </w:r>
      </w:hyperlink>
    </w:p>
    <w:p w:rsidR="00000000" w:rsidRDefault="00000000">
      <w:pPr>
        <w:pStyle w:val="TOC2"/>
        <w:spacing w:after="220"/>
        <w:rPr>
          <w:sz w:val="24"/>
        </w:rPr>
      </w:pPr>
      <w:hyperlink w:anchor="_Toc116466867" w:history="1">
        <w:r>
          <w:rPr>
            <w:rStyle w:val="Hyperlink"/>
          </w:rPr>
          <w:t>Статья 1</w:t>
        </w:r>
        <w:r>
          <w:tab/>
        </w:r>
        <w:r>
          <w:tab/>
        </w:r>
        <w:r>
          <w:fldChar w:fldCharType="begin"/>
        </w:r>
        <w:r>
          <w:instrText xml:space="preserve"> PAGEREF _Toc116466867 \h </w:instrText>
        </w:r>
        <w:r>
          <w:fldChar w:fldCharType="separate"/>
        </w:r>
        <w:r>
          <w:t>2</w:t>
        </w:r>
        <w:r>
          <w:fldChar w:fldCharType="end"/>
        </w:r>
      </w:hyperlink>
    </w:p>
    <w:p w:rsidR="00000000" w:rsidRDefault="00000000">
      <w:pPr>
        <w:pStyle w:val="TOC2"/>
        <w:spacing w:after="220"/>
        <w:rPr>
          <w:sz w:val="24"/>
        </w:rPr>
      </w:pPr>
      <w:hyperlink w:anchor="_Toc116466868" w:history="1">
        <w:r>
          <w:rPr>
            <w:rStyle w:val="Hyperlink"/>
          </w:rPr>
          <w:t>Статья 2</w:t>
        </w:r>
        <w:r>
          <w:tab/>
        </w:r>
        <w:r>
          <w:tab/>
        </w:r>
        <w:r>
          <w:fldChar w:fldCharType="begin"/>
        </w:r>
        <w:r>
          <w:instrText xml:space="preserve"> PAGEREF _Toc116466868 \h </w:instrText>
        </w:r>
        <w:r>
          <w:fldChar w:fldCharType="separate"/>
        </w:r>
        <w:r>
          <w:t>2</w:t>
        </w:r>
        <w:r>
          <w:fldChar w:fldCharType="end"/>
        </w:r>
      </w:hyperlink>
    </w:p>
    <w:p w:rsidR="00000000" w:rsidRDefault="00000000">
      <w:pPr>
        <w:pStyle w:val="TOC2"/>
        <w:spacing w:after="220"/>
        <w:rPr>
          <w:sz w:val="24"/>
        </w:rPr>
      </w:pPr>
      <w:hyperlink w:anchor="_Toc116466869" w:history="1">
        <w:r>
          <w:rPr>
            <w:rStyle w:val="Hyperlink"/>
          </w:rPr>
          <w:t>Статья 3</w:t>
        </w:r>
        <w:r>
          <w:tab/>
        </w:r>
        <w:r>
          <w:tab/>
        </w:r>
        <w:r>
          <w:fldChar w:fldCharType="begin"/>
        </w:r>
        <w:r>
          <w:instrText xml:space="preserve"> PAGEREF _Toc116466869 \h </w:instrText>
        </w:r>
        <w:r>
          <w:fldChar w:fldCharType="separate"/>
        </w:r>
        <w:r>
          <w:t>2</w:t>
        </w:r>
        <w:r>
          <w:fldChar w:fldCharType="end"/>
        </w:r>
      </w:hyperlink>
    </w:p>
    <w:p w:rsidR="00000000" w:rsidRDefault="00000000">
      <w:pPr>
        <w:pStyle w:val="TOC2"/>
        <w:spacing w:after="220"/>
        <w:rPr>
          <w:sz w:val="24"/>
        </w:rPr>
      </w:pPr>
      <w:hyperlink w:anchor="_Toc116466870" w:history="1">
        <w:r>
          <w:rPr>
            <w:rStyle w:val="Hyperlink"/>
          </w:rPr>
          <w:t>Статья 4</w:t>
        </w:r>
        <w:r>
          <w:tab/>
        </w:r>
        <w:r>
          <w:tab/>
        </w:r>
        <w:r>
          <w:fldChar w:fldCharType="begin"/>
        </w:r>
        <w:r>
          <w:instrText xml:space="preserve"> PAGEREF _Toc116466870 \h </w:instrText>
        </w:r>
        <w:r>
          <w:fldChar w:fldCharType="separate"/>
        </w:r>
        <w:r>
          <w:t>2</w:t>
        </w:r>
        <w:r>
          <w:fldChar w:fldCharType="end"/>
        </w:r>
      </w:hyperlink>
    </w:p>
    <w:p w:rsidR="00000000" w:rsidRDefault="00000000">
      <w:pPr>
        <w:pStyle w:val="TOC2"/>
        <w:spacing w:after="220"/>
        <w:rPr>
          <w:sz w:val="24"/>
        </w:rPr>
      </w:pPr>
      <w:hyperlink w:anchor="_Toc116466871" w:history="1">
        <w:r>
          <w:rPr>
            <w:rStyle w:val="Hyperlink"/>
          </w:rPr>
          <w:t>Статья 5</w:t>
        </w:r>
        <w:r>
          <w:tab/>
        </w:r>
        <w:r>
          <w:tab/>
        </w:r>
        <w:r>
          <w:fldChar w:fldCharType="begin"/>
        </w:r>
        <w:r>
          <w:instrText xml:space="preserve"> PAGEREF _Toc116466871 \h </w:instrText>
        </w:r>
        <w:r>
          <w:fldChar w:fldCharType="separate"/>
        </w:r>
        <w:r>
          <w:t>2</w:t>
        </w:r>
        <w:r>
          <w:fldChar w:fldCharType="end"/>
        </w:r>
      </w:hyperlink>
    </w:p>
    <w:p w:rsidR="00000000" w:rsidRDefault="00000000">
      <w:pPr>
        <w:pStyle w:val="TOC2"/>
        <w:spacing w:after="220"/>
        <w:rPr>
          <w:sz w:val="24"/>
        </w:rPr>
      </w:pPr>
      <w:hyperlink w:anchor="_Toc116466872" w:history="1">
        <w:r>
          <w:rPr>
            <w:rStyle w:val="Hyperlink"/>
          </w:rPr>
          <w:t>Статья 6</w:t>
        </w:r>
        <w:r>
          <w:tab/>
        </w:r>
        <w:r>
          <w:tab/>
        </w:r>
        <w:r>
          <w:fldChar w:fldCharType="begin"/>
        </w:r>
        <w:r>
          <w:instrText xml:space="preserve"> PAGEREF _Toc116466872 \h </w:instrText>
        </w:r>
        <w:r>
          <w:fldChar w:fldCharType="separate"/>
        </w:r>
        <w:r>
          <w:t>2</w:t>
        </w:r>
        <w:r>
          <w:fldChar w:fldCharType="end"/>
        </w:r>
      </w:hyperlink>
    </w:p>
    <w:p w:rsidR="00000000" w:rsidRDefault="00000000">
      <w:pPr>
        <w:pStyle w:val="TOC2"/>
        <w:spacing w:after="220"/>
        <w:rPr>
          <w:sz w:val="24"/>
        </w:rPr>
      </w:pPr>
      <w:hyperlink w:anchor="_Toc116466873" w:history="1">
        <w:r>
          <w:rPr>
            <w:rStyle w:val="Hyperlink"/>
          </w:rPr>
          <w:t>Статья 7</w:t>
        </w:r>
        <w:r>
          <w:tab/>
        </w:r>
        <w:r>
          <w:tab/>
        </w:r>
        <w:r>
          <w:fldChar w:fldCharType="begin"/>
        </w:r>
        <w:r>
          <w:instrText xml:space="preserve"> PAGEREF _Toc116466873 \h </w:instrText>
        </w:r>
        <w:r>
          <w:fldChar w:fldCharType="separate"/>
        </w:r>
        <w:r>
          <w:t>2</w:t>
        </w:r>
        <w:r>
          <w:fldChar w:fldCharType="end"/>
        </w:r>
      </w:hyperlink>
    </w:p>
    <w:p w:rsidR="00000000" w:rsidRDefault="00000000">
      <w:pPr>
        <w:pStyle w:val="TOC2"/>
        <w:spacing w:after="220"/>
        <w:rPr>
          <w:sz w:val="24"/>
        </w:rPr>
      </w:pPr>
      <w:hyperlink w:anchor="_Toc116466874" w:history="1">
        <w:r>
          <w:rPr>
            <w:rStyle w:val="Hyperlink"/>
          </w:rPr>
          <w:t>Статья 8</w:t>
        </w:r>
        <w:r>
          <w:tab/>
        </w:r>
        <w:r>
          <w:tab/>
        </w:r>
        <w:r>
          <w:fldChar w:fldCharType="begin"/>
        </w:r>
        <w:r>
          <w:instrText xml:space="preserve"> PAGEREF _Toc116466874 \h </w:instrText>
        </w:r>
        <w:r>
          <w:fldChar w:fldCharType="separate"/>
        </w:r>
        <w:r>
          <w:t>2</w:t>
        </w:r>
        <w:r>
          <w:fldChar w:fldCharType="end"/>
        </w:r>
      </w:hyperlink>
    </w:p>
    <w:p w:rsidR="00000000" w:rsidRDefault="00000000">
      <w:pPr>
        <w:pStyle w:val="TOC2"/>
        <w:spacing w:after="220"/>
        <w:rPr>
          <w:sz w:val="24"/>
        </w:rPr>
      </w:pPr>
      <w:hyperlink w:anchor="_Toc116466875" w:history="1">
        <w:r>
          <w:rPr>
            <w:rStyle w:val="Hyperlink"/>
            <w:rFonts w:eastAsia="Times"/>
          </w:rPr>
          <w:t>Статья 9</w:t>
        </w:r>
        <w:r>
          <w:tab/>
        </w:r>
        <w:r>
          <w:tab/>
        </w:r>
        <w:r>
          <w:fldChar w:fldCharType="begin"/>
        </w:r>
        <w:r>
          <w:instrText xml:space="preserve"> PAGEREF _Toc116466875 \h </w:instrText>
        </w:r>
        <w:r>
          <w:fldChar w:fldCharType="separate"/>
        </w:r>
        <w:r>
          <w:t>2</w:t>
        </w:r>
        <w:r>
          <w:fldChar w:fldCharType="end"/>
        </w:r>
      </w:hyperlink>
    </w:p>
    <w:p w:rsidR="00000000" w:rsidRDefault="00000000">
      <w:pPr>
        <w:pStyle w:val="TOC2"/>
        <w:spacing w:after="220"/>
        <w:rPr>
          <w:sz w:val="24"/>
        </w:rPr>
      </w:pPr>
      <w:hyperlink w:anchor="_Toc116466876" w:history="1">
        <w:r>
          <w:rPr>
            <w:rStyle w:val="Hyperlink"/>
          </w:rPr>
          <w:t>Статья 10</w:t>
        </w:r>
        <w:r>
          <w:tab/>
        </w:r>
        <w:r>
          <w:tab/>
        </w:r>
        <w:r>
          <w:fldChar w:fldCharType="begin"/>
        </w:r>
        <w:r>
          <w:instrText xml:space="preserve"> PAGEREF _Toc116466876 \h </w:instrText>
        </w:r>
        <w:r>
          <w:fldChar w:fldCharType="separate"/>
        </w:r>
        <w:r>
          <w:t>2</w:t>
        </w:r>
        <w:r>
          <w:fldChar w:fldCharType="end"/>
        </w:r>
      </w:hyperlink>
    </w:p>
    <w:p w:rsidR="00000000" w:rsidRDefault="00000000">
      <w:pPr>
        <w:pStyle w:val="TOC2"/>
        <w:spacing w:after="220"/>
        <w:rPr>
          <w:sz w:val="24"/>
        </w:rPr>
      </w:pPr>
      <w:hyperlink w:anchor="_Toc116466877" w:history="1">
        <w:r>
          <w:rPr>
            <w:rStyle w:val="Hyperlink"/>
          </w:rPr>
          <w:t>Статья 11</w:t>
        </w:r>
        <w:r>
          <w:tab/>
        </w:r>
        <w:r>
          <w:tab/>
        </w:r>
        <w:r>
          <w:fldChar w:fldCharType="begin"/>
        </w:r>
        <w:r>
          <w:instrText xml:space="preserve"> PAGEREF _Toc116466877 \h </w:instrText>
        </w:r>
        <w:r>
          <w:fldChar w:fldCharType="separate"/>
        </w:r>
        <w:r>
          <w:t>2</w:t>
        </w:r>
        <w:r>
          <w:fldChar w:fldCharType="end"/>
        </w:r>
      </w:hyperlink>
    </w:p>
    <w:p w:rsidR="00000000" w:rsidRDefault="00000000">
      <w:pPr>
        <w:pStyle w:val="TOC2"/>
        <w:spacing w:after="220"/>
        <w:rPr>
          <w:sz w:val="24"/>
        </w:rPr>
      </w:pPr>
      <w:hyperlink w:anchor="_Toc116466878" w:history="1">
        <w:r>
          <w:rPr>
            <w:rStyle w:val="Hyperlink"/>
          </w:rPr>
          <w:t>Статья 12</w:t>
        </w:r>
        <w:r>
          <w:tab/>
        </w:r>
        <w:r>
          <w:tab/>
        </w:r>
        <w:r>
          <w:fldChar w:fldCharType="begin"/>
        </w:r>
        <w:r>
          <w:instrText xml:space="preserve"> PAGEREF _Toc116466878 \h </w:instrText>
        </w:r>
        <w:r>
          <w:fldChar w:fldCharType="separate"/>
        </w:r>
        <w:r>
          <w:t>2</w:t>
        </w:r>
        <w:r>
          <w:fldChar w:fldCharType="end"/>
        </w:r>
      </w:hyperlink>
    </w:p>
    <w:p w:rsidR="00000000" w:rsidRDefault="00000000">
      <w:pPr>
        <w:pStyle w:val="TOC2"/>
        <w:spacing w:after="220"/>
        <w:rPr>
          <w:sz w:val="24"/>
        </w:rPr>
      </w:pPr>
      <w:hyperlink w:anchor="_Toc116466879" w:history="1">
        <w:r>
          <w:rPr>
            <w:rStyle w:val="Hyperlink"/>
          </w:rPr>
          <w:t>Статья 14</w:t>
        </w:r>
        <w:r>
          <w:tab/>
        </w:r>
        <w:r>
          <w:tab/>
        </w:r>
        <w:r>
          <w:fldChar w:fldCharType="begin"/>
        </w:r>
        <w:r>
          <w:instrText xml:space="preserve"> PAGEREF _Toc116466879 \h </w:instrText>
        </w:r>
        <w:r>
          <w:fldChar w:fldCharType="separate"/>
        </w:r>
        <w:r>
          <w:t>2</w:t>
        </w:r>
        <w:r>
          <w:fldChar w:fldCharType="end"/>
        </w:r>
      </w:hyperlink>
    </w:p>
    <w:p w:rsidR="00000000" w:rsidRDefault="00000000">
      <w:pPr>
        <w:pStyle w:val="TOC2"/>
        <w:spacing w:after="220"/>
        <w:rPr>
          <w:sz w:val="24"/>
        </w:rPr>
      </w:pPr>
      <w:hyperlink w:anchor="_Toc116466880" w:history="1">
        <w:r>
          <w:rPr>
            <w:rStyle w:val="Hyperlink"/>
          </w:rPr>
          <w:t>ПРИЛОЖЕНИЕ A (Статья 5)</w:t>
        </w:r>
        <w:r>
          <w:tab/>
        </w:r>
        <w:r>
          <w:tab/>
        </w:r>
        <w:r>
          <w:fldChar w:fldCharType="begin"/>
        </w:r>
        <w:r>
          <w:instrText xml:space="preserve"> PAGEREF _Toc116466880 \h </w:instrText>
        </w:r>
        <w:r>
          <w:fldChar w:fldCharType="separate"/>
        </w:r>
        <w:r>
          <w:rPr>
            <w:b/>
          </w:rPr>
          <w:t>Error! Bookmark not defined.</w:t>
        </w:r>
        <w:r>
          <w:fldChar w:fldCharType="end"/>
        </w:r>
      </w:hyperlink>
    </w:p>
    <w:p w:rsidR="00000000" w:rsidRDefault="00000000">
      <w:pPr>
        <w:pStyle w:val="TOC2"/>
        <w:spacing w:after="220"/>
        <w:rPr>
          <w:sz w:val="24"/>
        </w:rPr>
      </w:pPr>
      <w:hyperlink w:anchor="_Toc116466881" w:history="1">
        <w:r>
          <w:rPr>
            <w:rStyle w:val="Hyperlink"/>
          </w:rPr>
          <w:t>ПРИЛОЖЕНИЕ B (Статья 6)</w:t>
        </w:r>
        <w:r>
          <w:tab/>
        </w:r>
        <w:r>
          <w:tab/>
        </w:r>
        <w:r>
          <w:fldChar w:fldCharType="begin"/>
        </w:r>
        <w:r>
          <w:instrText xml:space="preserve"> PAGEREF _Toc116466881 \h </w:instrText>
        </w:r>
        <w:r>
          <w:fldChar w:fldCharType="separate"/>
        </w:r>
        <w:r>
          <w:rPr>
            <w:b/>
          </w:rPr>
          <w:t>Error! Bookmark not defined.</w:t>
        </w:r>
        <w:r>
          <w:fldChar w:fldCharType="end"/>
        </w:r>
      </w:hyperlink>
    </w:p>
    <w:p w:rsidR="00000000" w:rsidRDefault="00000000">
      <w:pPr>
        <w:pStyle w:val="TOC2"/>
        <w:spacing w:after="220"/>
        <w:rPr>
          <w:sz w:val="24"/>
        </w:rPr>
      </w:pPr>
      <w:hyperlink w:anchor="_Toc116466882" w:history="1">
        <w:r>
          <w:rPr>
            <w:rStyle w:val="Hyperlink"/>
          </w:rPr>
          <w:t>ПРИЛОЖЕНИЕ C (Статья 7)</w:t>
        </w:r>
        <w:r>
          <w:tab/>
        </w:r>
        <w:r>
          <w:tab/>
        </w:r>
        <w:r>
          <w:fldChar w:fldCharType="begin"/>
        </w:r>
        <w:r>
          <w:instrText xml:space="preserve"> PAGEREF _Toc116466882 \h </w:instrText>
        </w:r>
        <w:r>
          <w:fldChar w:fldCharType="separate"/>
        </w:r>
        <w:r>
          <w:rPr>
            <w:b/>
          </w:rPr>
          <w:t>Error! Bookmark not defined.</w:t>
        </w:r>
        <w:r>
          <w:fldChar w:fldCharType="end"/>
        </w:r>
      </w:hyperlink>
    </w:p>
    <w:p w:rsidR="00000000" w:rsidRDefault="00000000">
      <w:pPr>
        <w:pStyle w:val="TOC2"/>
        <w:spacing w:after="220"/>
        <w:rPr>
          <w:sz w:val="24"/>
        </w:rPr>
      </w:pPr>
      <w:hyperlink w:anchor="_Toc116466883" w:history="1">
        <w:r>
          <w:rPr>
            <w:rStyle w:val="Hyperlink"/>
          </w:rPr>
          <w:t>П</w:t>
        </w:r>
        <w:r>
          <w:rPr>
            <w:rStyle w:val="Hyperlink"/>
            <w:caps/>
          </w:rPr>
          <w:t>риложение</w:t>
        </w:r>
        <w:r>
          <w:rPr>
            <w:rStyle w:val="Hyperlink"/>
          </w:rPr>
          <w:t xml:space="preserve"> D (Статья 10)</w:t>
        </w:r>
        <w:r>
          <w:tab/>
        </w:r>
        <w:r>
          <w:tab/>
        </w:r>
        <w:r>
          <w:fldChar w:fldCharType="begin"/>
        </w:r>
        <w:r>
          <w:instrText xml:space="preserve"> PAGEREF _Toc116466883 \h </w:instrText>
        </w:r>
        <w:r>
          <w:fldChar w:fldCharType="separate"/>
        </w:r>
        <w:r>
          <w:rPr>
            <w:b/>
          </w:rPr>
          <w:t>Error! Bookmark not defined.</w:t>
        </w:r>
        <w:r>
          <w:fldChar w:fldCharType="end"/>
        </w:r>
      </w:hyperlink>
    </w:p>
    <w:p w:rsidR="00000000" w:rsidRDefault="00000000">
      <w:pPr>
        <w:pStyle w:val="TOC2"/>
        <w:spacing w:after="220"/>
        <w:rPr>
          <w:sz w:val="24"/>
        </w:rPr>
      </w:pPr>
      <w:hyperlink w:anchor="_Toc116466884" w:history="1">
        <w:r>
          <w:rPr>
            <w:rStyle w:val="Hyperlink"/>
          </w:rPr>
          <w:t>П</w:t>
        </w:r>
        <w:r>
          <w:rPr>
            <w:rStyle w:val="Hyperlink"/>
            <w:caps/>
          </w:rPr>
          <w:t>риложени</w:t>
        </w:r>
        <w:r>
          <w:rPr>
            <w:rStyle w:val="Hyperlink"/>
            <w:caps/>
          </w:rPr>
          <w:t>е</w:t>
        </w:r>
        <w:r>
          <w:rPr>
            <w:rStyle w:val="Hyperlink"/>
          </w:rPr>
          <w:t xml:space="preserve"> Е (Статья 11)</w:t>
        </w:r>
        <w:r>
          <w:tab/>
        </w:r>
        <w:r>
          <w:tab/>
        </w:r>
        <w:r>
          <w:fldChar w:fldCharType="begin"/>
        </w:r>
        <w:r>
          <w:instrText xml:space="preserve"> PAGEREF _Toc116466884 \h </w:instrText>
        </w:r>
        <w:r>
          <w:fldChar w:fldCharType="separate"/>
        </w:r>
        <w:r>
          <w:rPr>
            <w:b/>
          </w:rPr>
          <w:t>Error! Bookmark not defined.</w:t>
        </w:r>
        <w:r>
          <w:fldChar w:fldCharType="end"/>
        </w:r>
      </w:hyperlink>
    </w:p>
    <w:p w:rsidR="00000000" w:rsidRDefault="00000000">
      <w:pPr>
        <w:pStyle w:val="TOC2"/>
        <w:spacing w:after="220"/>
        <w:rPr>
          <w:sz w:val="24"/>
        </w:rPr>
      </w:pPr>
      <w:hyperlink w:anchor="_Toc116466885" w:history="1">
        <w:r>
          <w:rPr>
            <w:rStyle w:val="Hyperlink"/>
          </w:rPr>
          <w:t>ПРИЛОЖЕНИЕ F (Статья 12)</w:t>
        </w:r>
        <w:r>
          <w:tab/>
        </w:r>
        <w:r>
          <w:tab/>
        </w:r>
        <w:r>
          <w:fldChar w:fldCharType="begin"/>
        </w:r>
        <w:r>
          <w:instrText xml:space="preserve"> PAGEREF _Toc116466885 \h </w:instrText>
        </w:r>
        <w:r>
          <w:fldChar w:fldCharType="separate"/>
        </w:r>
        <w:r>
          <w:rPr>
            <w:b/>
          </w:rPr>
          <w:t>Error! Bookmark not defined.</w:t>
        </w:r>
        <w:r>
          <w:fldChar w:fldCharType="end"/>
        </w:r>
      </w:hyperlink>
    </w:p>
    <w:p w:rsidR="00000000" w:rsidRDefault="00000000">
      <w:pPr>
        <w:pStyle w:val="TOC2"/>
        <w:spacing w:after="220"/>
        <w:rPr>
          <w:sz w:val="24"/>
        </w:rPr>
      </w:pPr>
      <w:hyperlink w:anchor="_Toc116466886" w:history="1">
        <w:r>
          <w:rPr>
            <w:rStyle w:val="Hyperlink"/>
          </w:rPr>
          <w:t>ПРИЛОЖЕНИЕ G (Статья 14)</w:t>
        </w:r>
        <w:r>
          <w:tab/>
        </w:r>
        <w:r>
          <w:tab/>
        </w:r>
        <w:r>
          <w:fldChar w:fldCharType="begin"/>
        </w:r>
        <w:r>
          <w:instrText xml:space="preserve"> PAGEREF _Toc116466886 \h </w:instrText>
        </w:r>
        <w:r>
          <w:fldChar w:fldCharType="separate"/>
        </w:r>
        <w:r>
          <w:rPr>
            <w:b/>
          </w:rPr>
          <w:t>Error! Bookmark not defined.</w:t>
        </w:r>
        <w:r>
          <w:fldChar w:fldCharType="end"/>
        </w:r>
      </w:hyperlink>
    </w:p>
    <w:p w:rsidR="00000000" w:rsidRDefault="00000000">
      <w:pPr>
        <w:pStyle w:val="TOC2"/>
        <w:spacing w:after="220"/>
        <w:rPr>
          <w:sz w:val="24"/>
        </w:rPr>
      </w:pPr>
      <w:hyperlink w:anchor="_Toc116466887" w:history="1">
        <w:r>
          <w:rPr>
            <w:rStyle w:val="Hyperlink"/>
          </w:rPr>
          <w:t>ДОПОЛНЕНИЕ</w:t>
        </w:r>
        <w:r>
          <w:tab/>
        </w:r>
        <w:r>
          <w:tab/>
        </w:r>
        <w:r>
          <w:fldChar w:fldCharType="begin"/>
        </w:r>
        <w:r>
          <w:instrText xml:space="preserve"> PAGEREF _Toc116466887 \h </w:instrText>
        </w:r>
        <w:r>
          <w:fldChar w:fldCharType="separate"/>
        </w:r>
        <w:r>
          <w:rPr>
            <w:b/>
          </w:rPr>
          <w:t>Error! Bookmark not defined.</w:t>
        </w:r>
        <w:r>
          <w:fldChar w:fldCharType="end"/>
        </w:r>
      </w:hyperlink>
    </w:p>
    <w:p w:rsidR="00000000" w:rsidRDefault="00000000">
      <w:pPr>
        <w:pStyle w:val="TOC2"/>
        <w:spacing w:after="220"/>
      </w:pPr>
      <w:r>
        <w:fldChar w:fldCharType="end"/>
      </w:r>
    </w:p>
    <w:p w:rsidR="00000000" w:rsidRDefault="00000000">
      <w:pPr>
        <w:pStyle w:val="BodyText"/>
        <w:ind w:left="0" w:firstLine="0"/>
      </w:pPr>
      <w:r>
        <w:rPr>
          <w:i/>
          <w:lang w:eastAsia="en-US"/>
        </w:rPr>
        <w:t>Примечание Секретариата:</w:t>
      </w:r>
      <w:r>
        <w:rPr>
          <w:lang w:eastAsia="en-US"/>
        </w:rPr>
        <w:t xml:space="preserve"> </w:t>
      </w:r>
      <w:r>
        <w:rPr>
          <w:caps/>
          <w:lang w:eastAsia="en-US"/>
        </w:rPr>
        <w:t>п</w:t>
      </w:r>
      <w:r>
        <w:rPr>
          <w:lang w:eastAsia="en-US"/>
        </w:rPr>
        <w:t xml:space="preserve">риложения и </w:t>
      </w:r>
      <w:r>
        <w:rPr>
          <w:caps/>
          <w:lang w:eastAsia="en-US"/>
        </w:rPr>
        <w:t>д</w:t>
      </w:r>
      <w:r>
        <w:rPr>
          <w:lang w:eastAsia="en-US"/>
        </w:rPr>
        <w:t>ополнение к настоящему докладу будут предоставлены членам Комитета на том языке, на котором они были получены.</w:t>
      </w:r>
    </w:p>
    <w:p w:rsidR="00000000" w:rsidRDefault="00000000">
      <w:pPr>
        <w:sectPr w:rsidR="00000000">
          <w:headerReference w:type="default" r:id="rId14"/>
          <w:pgSz w:w="12242" w:h="15842" w:code="1"/>
          <w:pgMar w:top="1418" w:right="1418" w:bottom="1701" w:left="1418" w:header="0" w:footer="851" w:gutter="0"/>
          <w:pgNumType w:start="1"/>
          <w:cols w:space="720"/>
        </w:sectPr>
      </w:pPr>
    </w:p>
    <w:p w:rsidR="00000000" w:rsidRDefault="00000000">
      <w:pPr>
        <w:pStyle w:val="Heading1"/>
      </w:pPr>
      <w:bookmarkStart w:id="2" w:name="_Toc116466866"/>
      <w:r>
        <w:t>Национальные политические приоритеты и направления деятельности</w:t>
      </w:r>
      <w:r>
        <w:br/>
        <w:t>в достижении гендерного равенства</w:t>
      </w:r>
      <w:bookmarkEnd w:id="2"/>
    </w:p>
    <w:p w:rsidR="00000000" w:rsidRDefault="00000000">
      <w:pPr>
        <w:pStyle w:val="BodyText"/>
        <w:jc w:val="center"/>
        <w:rPr>
          <w:b/>
          <w:sz w:val="24"/>
        </w:rPr>
      </w:pPr>
      <w:r>
        <w:rPr>
          <w:b/>
          <w:sz w:val="24"/>
        </w:rPr>
        <w:t>(2004–2008 годы)</w:t>
      </w:r>
    </w:p>
    <w:p w:rsidR="00000000" w:rsidRDefault="00000000">
      <w:pPr>
        <w:pStyle w:val="BodyText"/>
        <w:jc w:val="center"/>
        <w:rPr>
          <w:b/>
        </w:rPr>
      </w:pPr>
    </w:p>
    <w:p w:rsidR="00000000" w:rsidRDefault="00000000">
      <w:pPr>
        <w:pStyle w:val="BodyText"/>
        <w:jc w:val="center"/>
        <w:rPr>
          <w:b/>
        </w:rPr>
      </w:pPr>
      <w:r>
        <w:rPr>
          <w:b/>
        </w:rPr>
        <w:t>I.  Разработка новой политической стратегии</w:t>
      </w:r>
    </w:p>
    <w:p w:rsidR="00000000" w:rsidRDefault="00000000">
      <w:pPr>
        <w:pStyle w:val="BodyText"/>
      </w:pPr>
      <w:r>
        <w:t>1.</w:t>
      </w:r>
      <w:r>
        <w:tab/>
        <w:t>Вслед за политическими преобразованиями в Греции в 1974 году в сфере гендерного равенства был достигнут серьезный прогресс. В этом контексте неоспорим вклад Конституции 1975 года, так как она впервые гарантировала приверженность принципу гендерного равенства (пункт 2 статьи 4) как одному из аспектов общего принципа равноправия. Данная статья открыла дорогу для обеспечения равного обращения в отношении мужчин и женщин во всех областях, на которые распространяется законодательство, а именно семья, образование, трудовые отношения и социальная защита. Важной вехой на пути к реальному (де-факто) гендерному равенству стал пункт 2 статьи 116, внесенный в новую редакцию Конституции 2001 года. В соответствии с этим пунктом запрещаются любые отклонения от принципа гендерного равенства и устанавливается обязанность государства принимать специальные позитивные меры по ликвидации любой дискриминации в отношении женщин.</w:t>
      </w:r>
    </w:p>
    <w:p w:rsidR="00000000" w:rsidRDefault="00000000">
      <w:pPr>
        <w:pStyle w:val="BodyText"/>
      </w:pPr>
      <w:r>
        <w:tab/>
      </w:r>
      <w:r>
        <w:tab/>
        <w:t>Это достижение, важную роль в котором сыграли женские организации Греции, поставило Грецию в рамки международного права и, в частности, свода правил Европейского сообщества. Таким образом была укреплена уже принятая международными организациями позиция, состоящая в том, что реализация принципа гендерного равенства путем перехода к политике равных возможностей означает осуществление социальных прав и принципа социального государства при одновременном уважении и защите прав человека.</w:t>
      </w:r>
    </w:p>
    <w:p w:rsidR="00000000" w:rsidRDefault="00000000">
      <w:pPr>
        <w:pStyle w:val="BodyText"/>
      </w:pPr>
      <w:r>
        <w:tab/>
      </w:r>
      <w:r>
        <w:tab/>
        <w:t>На европейском уровне положения проекта Конституции Европейского союза укрепляют в институциональном плане принцип равноправия, который считается одной из базовых ценностей Союза, а более конкретно, обеспечение гендерного равенства остается одной из целей Союза, что зафиксировано в Амстердамском договоре. Одно из наиболее существенных нововведений Европейской конституции, а именно включение в главную часть текста Хартии основных прав Европейского союза в качестве юридически обязательных для институтов и учреждений Союза, а также для государств-членов, является значительным вкладом в осуществление прав женщин. Кроме того, в настоящее время конституционно зафиксировано "горизонтальное" интегрирование принципов гендерного равенства и ликвидации дискриминации по признаку пола при разработке и реализации всех стратегий и политики ЕС.</w:t>
      </w:r>
    </w:p>
    <w:p w:rsidR="00000000" w:rsidRDefault="00000000">
      <w:pPr>
        <w:pStyle w:val="BodyText"/>
      </w:pPr>
      <w:r>
        <w:t>2.</w:t>
      </w:r>
      <w:r>
        <w:rPr>
          <w:b/>
        </w:rPr>
        <w:tab/>
      </w:r>
      <w:r>
        <w:t>Национальный план действий в области равноправия на 2001–2006 годы осуществлялся в период с 2001 по 2004 год (до марта 2004 года, когда в Греции произошла смена правительства). Основной целью программы было совершенствование социальных стандартов, достижение полного использования людских ресурсов вне зависимости от пола и ликвидация любых форм дискриминации в отношении женщин. Основным инструментом реализации принципа гендерного равенства является актуализация гендерной проблематики.</w:t>
      </w:r>
    </w:p>
    <w:p w:rsidR="00000000" w:rsidRDefault="00000000">
      <w:pPr>
        <w:pStyle w:val="BodyText"/>
        <w:keepNext/>
        <w:spacing w:after="220"/>
      </w:pPr>
      <w:r>
        <w:tab/>
      </w:r>
      <w:r>
        <w:tab/>
        <w:t>Ключевыми направлениями данной программы являются:</w:t>
      </w:r>
    </w:p>
    <w:p w:rsidR="00000000" w:rsidRDefault="00000000">
      <w:pPr>
        <w:pStyle w:val="26-8"/>
        <w:spacing w:after="220"/>
      </w:pPr>
      <w:r>
        <w:sym w:font="Symbol" w:char="F0B7"/>
      </w:r>
      <w:r>
        <w:tab/>
        <w:t>гендерное равенство в экономической жизни;</w:t>
      </w:r>
    </w:p>
    <w:p w:rsidR="00000000" w:rsidRDefault="00000000">
      <w:pPr>
        <w:pStyle w:val="26-8"/>
        <w:spacing w:after="220"/>
      </w:pPr>
      <w:r>
        <w:sym w:font="Symbol" w:char="F0B7"/>
      </w:r>
      <w:r>
        <w:tab/>
        <w:t>равные возможности для участия и представленность в политической, социальной и экономической областях;</w:t>
      </w:r>
    </w:p>
    <w:p w:rsidR="00000000" w:rsidRDefault="00000000">
      <w:pPr>
        <w:pStyle w:val="26-8"/>
        <w:spacing w:after="220"/>
      </w:pPr>
      <w:r>
        <w:sym w:font="Symbol" w:char="F0B7"/>
      </w:r>
      <w:r>
        <w:tab/>
        <w:t>равный доступ для мужчин и женщин к реализации их социальных прав;</w:t>
      </w:r>
    </w:p>
    <w:p w:rsidR="00000000" w:rsidRDefault="00000000">
      <w:pPr>
        <w:pStyle w:val="26-8"/>
      </w:pPr>
      <w:r>
        <w:sym w:font="Symbol" w:char="F0B7"/>
      </w:r>
      <w:r>
        <w:tab/>
        <w:t>изменение гендерных стереотипов и роли полов.</w:t>
      </w:r>
    </w:p>
    <w:p w:rsidR="00000000" w:rsidRDefault="00000000">
      <w:pPr>
        <w:pStyle w:val="BodyText"/>
        <w:spacing w:after="220"/>
      </w:pPr>
      <w:r>
        <w:t xml:space="preserve"> </w:t>
      </w:r>
      <w:r>
        <w:tab/>
      </w:r>
      <w:r>
        <w:tab/>
        <w:t>Политические решения, меры и мероприятия, принятые и реализованные в отчетный период, стали результатом осуществления вышеуказанной программы.</w:t>
      </w:r>
    </w:p>
    <w:p w:rsidR="00000000" w:rsidRDefault="00000000">
      <w:pPr>
        <w:pStyle w:val="BodyText"/>
        <w:spacing w:after="220"/>
      </w:pPr>
      <w:r>
        <w:t>3.</w:t>
      </w:r>
      <w:r>
        <w:tab/>
        <w:t xml:space="preserve">Правительство Греции начало разработку комплексной и всеобъемлющей стратегической программы действий (2004–2008 годы), ориентированной на пропаганду как национальной важности, так и наднациональных масштабов проблематики гендерного равенства. </w:t>
      </w:r>
      <w:r>
        <w:br/>
        <w:t>В настоящее время вследствие этих двух параметров пропаганда указанной проблематики становится национальным приоритетом вне зависимости от политических разногласий.</w:t>
      </w:r>
    </w:p>
    <w:p w:rsidR="00000000" w:rsidRDefault="00000000">
      <w:pPr>
        <w:pStyle w:val="BodyText"/>
        <w:spacing w:after="220"/>
      </w:pPr>
      <w:r>
        <w:tab/>
      </w:r>
      <w:r>
        <w:tab/>
        <w:t>Основной задачей действий в рамках этой программы станет перевод вопросов гендерного равенства из категории маргинальных или особых в разряд важнейших проблем, имеющих экономический и социальный характер, а также огромное значение для развития, посредством их прямой увязки с превалирующими национальными приоритетами (развитие, занятость, социальное единство). Достижение этой цели требует осознания в полной мере того факта, что женщины составляют более половины населения Греции (52 процента) и сталкиваются с серьезными проблемами на пути своей социальной и экономической интеграции. В связи с этим в политическом контексте неприемлемо отношение к женщинам как к особой или уязвимой социальной категории, что терминологически ошибочно характеризует их, как некую ущемленную группу. В силу того, что женщины составляют большинство населения Греции, признано необходимым увеличение инициатив в сфере принятия дополнительных мер по обеспечению доступа к соответствующим службам женской части населения страны.</w:t>
      </w:r>
    </w:p>
    <w:p w:rsidR="00000000" w:rsidRDefault="00000000">
      <w:pPr>
        <w:pStyle w:val="BodyText"/>
        <w:spacing w:after="220"/>
      </w:pPr>
      <w:r>
        <w:t>4.</w:t>
      </w:r>
      <w:r>
        <w:tab/>
        <w:t>Проблемы гендерного равенства обсуждаются в Греции в основном с точки зрения гражданских и социальных прав, что, безусловно, является важной плоскостью. При этом, однако, недостаточно внимания уделяется политической и экономической составляющей этих проблем, что указывает на необходимость дальнейшего содействия соблюдению таких прав.</w:t>
      </w:r>
    </w:p>
    <w:p w:rsidR="00000000" w:rsidRDefault="00000000">
      <w:pPr>
        <w:pStyle w:val="BodyText"/>
        <w:spacing w:after="220"/>
      </w:pPr>
      <w:r>
        <w:t>5.</w:t>
      </w:r>
      <w:r>
        <w:tab/>
      </w:r>
      <w:r>
        <w:rPr>
          <w:i/>
        </w:rPr>
        <w:t>Политические аспекты</w:t>
      </w:r>
      <w:r>
        <w:t xml:space="preserve"> </w:t>
      </w:r>
    </w:p>
    <w:p w:rsidR="00000000" w:rsidRDefault="00000000">
      <w:pPr>
        <w:pStyle w:val="BodyText"/>
      </w:pPr>
      <w:r>
        <w:tab/>
        <w:t>В настоящее время понятно, что проблемы равноправия – это не что иное, как вопросы политического характера, которые включены в повестку дня ЕС и всех международных организаций, таких как Организация Объединенных Наций, Совет Европы и Международное бюро труда. С точки зрения признания прав женщин в качестве неотъемлемой части прав человека, проблемы равноправия представляют собой основу для разработки международных показателей оценки уровня развития и благосостояния любой страны. Международный рейтинг стран по их уровню развития (то есть в соответствии с индексом развития людских ресурсов Организации Объединенных Наций – ИРЛР), прежде всего учитывает данные относительно соблюдения и реализации прав женщин и детей.</w:t>
      </w:r>
    </w:p>
    <w:p w:rsidR="00000000" w:rsidRDefault="00000000">
      <w:pPr>
        <w:pStyle w:val="BodyText"/>
        <w:rPr>
          <w:i/>
        </w:rPr>
      </w:pPr>
      <w:r>
        <w:t>6.</w:t>
      </w:r>
      <w:r>
        <w:tab/>
      </w:r>
      <w:r>
        <w:rPr>
          <w:i/>
        </w:rPr>
        <w:t xml:space="preserve">Экономические аспекты </w:t>
      </w:r>
    </w:p>
    <w:p w:rsidR="00000000" w:rsidRDefault="00000000">
      <w:pPr>
        <w:pStyle w:val="BodyText"/>
      </w:pPr>
      <w:r>
        <w:tab/>
        <w:t>На уровне ЕС в последние годы гендерное равенство также рассматривалось с точки зрения его экономического значения в качестве фактора продуктивности, вследствие его увязки с демографическими проблемами и рынком труда, с одной стороны, и социальной солидарностью в обществе, с другой стороны, а также в связи с трактовкой семьи как продуктивной единицы.</w:t>
      </w:r>
    </w:p>
    <w:p w:rsidR="00000000" w:rsidRDefault="00000000">
      <w:pPr>
        <w:pStyle w:val="BodyText"/>
      </w:pPr>
      <w:r>
        <w:tab/>
      </w:r>
      <w:r>
        <w:tab/>
        <w:t>Еще с начала 1997 года, когда была принята Европейская стратегия в области занятости, а затем соответствующие цели были намечены в рамках "Лиссабонского процесса" в 2000 году, равенство возможностей мужчин и женщин также расценивалось как экономическая проблема в связи с количественным ростом показателей участия женщин в общей занятости и рынке труда, что является одним из факторов конкурентоспособности европейской экономики и, следовательно, экономики стран – членов ЕС. По последним данным демографической статистики экономически активное население Европейского союза постоянно сокращается, поэтому если Европейский союз хочет сохранить свою конкурентоспособность, он должен в максимально полном объеме использовать свои ресурсы рабочей силы посредством политики содействия, в частности, тем группам населения, которые испытывают сложности в выходе на рынок труда. Постановка цели достижения к 2010 году 60-процентной занятости женщин, как ожидается, внесет решающий вклад в расширение общей занятости, что необходимо Европейскому союзу для обеспечения будущего развития и процветания, а также сохранения своих социальных систем.</w:t>
      </w:r>
    </w:p>
    <w:p w:rsidR="00000000" w:rsidRDefault="00000000">
      <w:pPr>
        <w:pStyle w:val="BodyText"/>
      </w:pPr>
      <w:r>
        <w:tab/>
      </w:r>
      <w:r>
        <w:tab/>
        <w:t>Вовлечение женщин (как правило, составляющих большинство населения) в политическую, экономическую, профессиональную и социальную деятельность наравне с мужчинами в плане прав, обязанностей и возможностей обеспечивает их более представительное участие в общественной жизни в целом, и достижение таким образом более широкой социальной сплоченности. В частности, обеспечение равенства обоих полов на рынке труда и в продвижении по службе гарантирует более справедливое распределение благ, а также более равномерное распределение людских ресурсов, что способствует сокращению масштабов нищеты и социальной изоляции. Кроме того, разработка стратегий, облегчающих интеграцию в рынок труда женщин из особых национально-культурных групп или меньшинств, а также уважение к многообразию и различным культурам сокращают социальную изоляцию, одновременно повышая социальную сплоченность, что, в свою очередь, является рычагом экономического развития. Таким образом, с этой точки зрения гендерное равенство также приобретает экономическую и политическую значимость.</w:t>
      </w:r>
    </w:p>
    <w:p w:rsidR="00000000" w:rsidRDefault="00000000">
      <w:pPr>
        <w:pStyle w:val="BodyText"/>
      </w:pPr>
      <w:r>
        <w:tab/>
      </w:r>
      <w:r>
        <w:tab/>
        <w:t>Наконец, интеграция женщин в экономическую жизнь имеет еще один позитивный эффект, а именно увеличение дохода домашних хозяйств, что стимулирует спрос на товары и услуги, а также сбережения и инвестиции. Иными словами, расширение женской занятости способствует как повышению уровня жизни домохозяйств за счет привлечения дополнительных источников дохода и усиления производственной цепочки посредством увеличения платежеспособного спроса на товары и услуги. Вследствие этого использование женского труда является основным предварительным условием экономической жизнеспособности домашних хозяйств, а также экономического роста региона или даже всей страны.</w:t>
      </w:r>
    </w:p>
    <w:p w:rsidR="00000000" w:rsidRDefault="00000000">
      <w:pPr>
        <w:pStyle w:val="BodyText"/>
      </w:pPr>
      <w:r>
        <w:tab/>
      </w:r>
      <w:r>
        <w:tab/>
        <w:t>На состоявшейся в ноябре 1997 года в Люксембурге Встрече на высшем уровне по проблемам занятости впервые на политическом уровне было признано, что равенство возможностей – это вопрос не только социальной справедливости, но и экономической значимости. Недавно в Выводах Председателя Брюссельского экономического совета (март 2004 года) было однозначно признано, что "политика гендерного равенства является инструментом как социальной сплоченности, так и развития".</w:t>
      </w:r>
    </w:p>
    <w:p w:rsidR="00000000" w:rsidRDefault="00000000">
      <w:pPr>
        <w:pStyle w:val="BodyText"/>
      </w:pPr>
      <w:r>
        <w:tab/>
      </w:r>
      <w:r>
        <w:tab/>
        <w:t>Принимая во внимание вышеупомянутые аргументы, Генеральный секретариат по вопросам гендерного равенства рассматривает проблему гендерного равенства не в качестве женского вопроса, а как проблему, представляющую важность для всего общества в целом и касающуюся всех его членов. Генеральный секретариат по вопросам гендерного равенства подчеркивает необходимость решения проблемы гендерного равенства на принципах равноправия, а не дискриминации.</w:t>
      </w:r>
    </w:p>
    <w:p w:rsidR="00000000" w:rsidRDefault="00000000">
      <w:pPr>
        <w:pStyle w:val="BodyText"/>
        <w:jc w:val="center"/>
        <w:rPr>
          <w:b/>
        </w:rPr>
      </w:pPr>
      <w:r>
        <w:rPr>
          <w:b/>
          <w:lang w:val="en-US"/>
        </w:rPr>
        <w:t>II</w:t>
      </w:r>
      <w:r>
        <w:rPr>
          <w:b/>
        </w:rPr>
        <w:t>.  Пути реализации политической стратегии</w:t>
      </w:r>
    </w:p>
    <w:p w:rsidR="00000000" w:rsidRDefault="00000000">
      <w:pPr>
        <w:pStyle w:val="BodyText"/>
      </w:pPr>
      <w:r>
        <w:t>7.</w:t>
      </w:r>
      <w:r>
        <w:tab/>
        <w:t>В контексте приведенных выше доводов Генеральный секретариат по вопросам гендерного равенства намерен положить в основу своих стратегических действий следующие направления деятельности:</w:t>
      </w:r>
    </w:p>
    <w:p w:rsidR="00000000" w:rsidRDefault="00000000">
      <w:pPr>
        <w:pStyle w:val="18-8"/>
      </w:pPr>
      <w:r>
        <w:sym w:font="Symbol" w:char="F0B7"/>
      </w:r>
      <w:r>
        <w:tab/>
        <w:t>Обеспечение включения гендерной проблематики во все документы, политические решения и мероприятия в Греции.</w:t>
      </w:r>
    </w:p>
    <w:p w:rsidR="00000000" w:rsidRDefault="00000000">
      <w:pPr>
        <w:pStyle w:val="18-8"/>
      </w:pPr>
      <w:r>
        <w:sym w:font="Symbol" w:char="F0B7"/>
      </w:r>
      <w:r>
        <w:tab/>
        <w:t>Осуществление специальных мер в областях, которые будут рассматриваться как приоритетные:</w:t>
      </w:r>
    </w:p>
    <w:p w:rsidR="00000000" w:rsidRDefault="00000000">
      <w:pPr>
        <w:pStyle w:val="26-8"/>
      </w:pPr>
      <w:r>
        <w:t>А.</w:t>
      </w:r>
      <w:r>
        <w:tab/>
        <w:t>Распространение принципа равноправия на трудовые отношения и на рынок труда в целом.</w:t>
      </w:r>
    </w:p>
    <w:p w:rsidR="00000000" w:rsidRDefault="00000000">
      <w:pPr>
        <w:pStyle w:val="26-8"/>
      </w:pPr>
      <w:r>
        <w:rPr>
          <w:lang w:val="en-US"/>
        </w:rPr>
        <w:t>B</w:t>
      </w:r>
      <w:r>
        <w:t>.</w:t>
      </w:r>
      <w:r>
        <w:tab/>
        <w:t>Предотвращение насилия в семье и торговли людьми, жертвами которых являются женщины, и борьба с этими явлениями.</w:t>
      </w:r>
    </w:p>
    <w:p w:rsidR="00000000" w:rsidRDefault="00000000">
      <w:pPr>
        <w:pStyle w:val="26-8"/>
      </w:pPr>
      <w:r>
        <w:rPr>
          <w:lang w:val="en-US"/>
        </w:rPr>
        <w:t>C</w:t>
      </w:r>
      <w:r>
        <w:t>.</w:t>
      </w:r>
      <w:r>
        <w:tab/>
        <w:t>Борьба со стереотипными концепциями, касающимися роли полов, в сфере образования, в частности начального образования.</w:t>
      </w:r>
    </w:p>
    <w:p w:rsidR="00000000" w:rsidRDefault="00000000">
      <w:pPr>
        <w:pStyle w:val="26-8"/>
      </w:pPr>
      <w:r>
        <w:rPr>
          <w:lang w:val="en-US"/>
        </w:rPr>
        <w:t>D</w:t>
      </w:r>
      <w:r>
        <w:t>.</w:t>
      </w:r>
      <w:r>
        <w:tab/>
        <w:t xml:space="preserve">Расширение участия женщин в принятии решений. </w:t>
      </w:r>
    </w:p>
    <w:p w:rsidR="00000000" w:rsidRDefault="00000000">
      <w:pPr>
        <w:pStyle w:val="BodyText"/>
      </w:pPr>
      <w:r>
        <w:tab/>
        <w:t>Принимая позитивные меры во исполнение пункта 2 статьи 116 Конституции, Генеральный секретариат по вопросам гендерного равенства во всех случаях будет действовать во имя восстановления равноправия, а не навязывая дискриминационные подходы.</w:t>
      </w:r>
    </w:p>
    <w:p w:rsidR="00000000" w:rsidRDefault="00000000">
      <w:pPr>
        <w:pStyle w:val="18-8"/>
      </w:pPr>
      <w:r>
        <w:sym w:font="Symbol" w:char="F0B7"/>
      </w:r>
      <w:r>
        <w:tab/>
        <w:t>Диалог с социальными партнерами, включая профсоюзы государственных служащих и фермеров. Генеральный секретариат по вопросам гендерного равенства рассматривает социальный диалог в качестве средства стратегического планирования и мониторинга осуществления политики в социальной и экономической областях, что соответствует документам и рекомендациям Европейской комиссии и решениям весенней сессии Совета Европы.</w:t>
      </w:r>
    </w:p>
    <w:p w:rsidR="00000000" w:rsidRDefault="00000000">
      <w:pPr>
        <w:pStyle w:val="18-8"/>
      </w:pPr>
      <w:r>
        <w:sym w:font="Symbol" w:char="F0B7"/>
      </w:r>
      <w:r>
        <w:tab/>
        <w:t>Постепенное внедрение упреждающих законодательных форм в тех областях, где они оказываются эффективнее по сравнению с законодательством реактивного характера, а именно в трудовых отношениях и на рынке труда. В настоящее время упреждающее законодательство представляет собой доминирующую тенденцию в странах ЕС. Оно накладывает на социальных партнеров и коммерческие предприятия в определенных временных рамках мягкие обязательства по сотрудничеству и развитию партнерских отношений, предлагая взамен стимулы и бонусы за позитивные результаты.</w:t>
      </w:r>
    </w:p>
    <w:p w:rsidR="00000000" w:rsidRDefault="00000000">
      <w:pPr>
        <w:pStyle w:val="18-8"/>
      </w:pPr>
      <w:r>
        <w:sym w:font="Symbol" w:char="F0B7"/>
      </w:r>
      <w:r>
        <w:tab/>
        <w:t xml:space="preserve">Диалог как с политическими партиями, так и с неправительственными организациями, ведущими активную деятельность по обеспечению гендерного равенства. Существенно повысилось значение роли НПО, так как многие из них создали соответствующую инфраструктуру и служат важным источником опыта и ноу-хау, являясь одновременно каналами распространения среди граждан информации о политических решениях и мерах на национальном и местном уровнях. </w:t>
      </w:r>
    </w:p>
    <w:p w:rsidR="00000000" w:rsidRDefault="00000000">
      <w:pPr>
        <w:pStyle w:val="18-8"/>
      </w:pPr>
      <w:r>
        <w:sym w:font="Symbol" w:char="F0B7"/>
      </w:r>
      <w:r>
        <w:tab/>
        <w:t xml:space="preserve">Механизм поддержки общин остается основным финансовым инструментом для осуществления соответствующих действий (посредством секторальных и региональных программ действий), наряду с инициативами и программами на уровне местных общин. </w:t>
      </w:r>
    </w:p>
    <w:p w:rsidR="00000000" w:rsidRDefault="00000000">
      <w:pPr>
        <w:pStyle w:val="Heading2"/>
      </w:pPr>
      <w:bookmarkStart w:id="3" w:name="_Toc116466867"/>
      <w:r>
        <w:t>Статья 1</w:t>
      </w:r>
      <w:bookmarkEnd w:id="3"/>
    </w:p>
    <w:p w:rsidR="00000000" w:rsidRDefault="00000000">
      <w:pPr>
        <w:pStyle w:val="a4"/>
        <w:rPr>
          <w:b/>
        </w:rPr>
      </w:pPr>
      <w:r>
        <w:t xml:space="preserve">Для целей настоящей Конвенции понятие "дискриминация в отношении женщин" означает любое различие, исключение или ограничение по признаку пола, которое направлено на ослабление или сводит на нет признание, пользование или осуществление женщинами, независимо от их семейного положения, на основе равноправия мужчин и женщин, прав человека и основных свобод в политической, экономической, социальной, культурной, гражданской или любой другой области. </w:t>
      </w:r>
    </w:p>
    <w:p w:rsidR="00000000" w:rsidRDefault="00000000">
      <w:pPr>
        <w:pStyle w:val="BodyText"/>
      </w:pPr>
      <w:r>
        <w:tab/>
        <w:t>В свете пункта 2 статьи 116 новой редакции Конституции и статьи 1 Конвенции Организации Объединенных Наций о ликвидации всех форм дискриминации в отношении женщин, Государственный совет (Третье подразделение) постановил, что отклонения от принципа гендерного равенства представляют собой дискриминацию в отношении женщин</w:t>
      </w:r>
      <w:r>
        <w:rPr>
          <w:rStyle w:val="FootnoteReference"/>
        </w:rPr>
        <w:footnoteReference w:id="2"/>
      </w:r>
      <w:r>
        <w:t>. Принятие позитивных мер по ликвидации дискриминации прежде всего в отношении женщин в целях эффективной реализации принципа гендерного равенства во всех областях, ни в коей мере не представляя собой дискриминацию, является обязанностью</w:t>
      </w:r>
      <w:r>
        <w:rPr>
          <w:rStyle w:val="FootnoteReference"/>
        </w:rPr>
        <w:footnoteReference w:id="3"/>
      </w:r>
      <w:r>
        <w:t>.</w:t>
      </w:r>
    </w:p>
    <w:p w:rsidR="00000000" w:rsidRDefault="00000000">
      <w:pPr>
        <w:pStyle w:val="Heading2"/>
      </w:pPr>
      <w:r>
        <w:br w:type="page"/>
      </w:r>
      <w:bookmarkStart w:id="4" w:name="_Toc116466868"/>
      <w:r>
        <w:t>Статья 2</w:t>
      </w:r>
      <w:bookmarkEnd w:id="4"/>
    </w:p>
    <w:p w:rsidR="00000000" w:rsidRDefault="00000000">
      <w:pPr>
        <w:pStyle w:val="a4"/>
      </w:pPr>
      <w:r>
        <w:t>Государства-участники осуждают дискриминацию в отношении женщин во всех ее формах, соглашаются безотлагательно всеми соответствующими способами проводить политику ликвидации дискриминации в отношении женщин и с этой целью обязуются:</w:t>
      </w:r>
    </w:p>
    <w:p w:rsidR="00000000" w:rsidRDefault="00000000">
      <w:pPr>
        <w:pStyle w:val="a4"/>
      </w:pPr>
      <w:r>
        <w:tab/>
      </w:r>
      <w:r>
        <w:rPr>
          <w:lang w:val="en-US"/>
        </w:rPr>
        <w:t>a</w:t>
      </w:r>
      <w:r>
        <w:t>)</w:t>
      </w:r>
      <w:r>
        <w:tab/>
        <w:t>включить принцип равноправия мужчин и женщин в свои национальные конституции или другое соответствующее законодательство, если это еще не было сделано, и обеспечить с помощью закона и других соответствующих средств практическое осуществление этого принципа;</w:t>
      </w:r>
    </w:p>
    <w:p w:rsidR="00000000" w:rsidRDefault="00000000">
      <w:pPr>
        <w:pStyle w:val="a4"/>
      </w:pPr>
      <w:r>
        <w:tab/>
      </w:r>
      <w:r>
        <w:rPr>
          <w:lang w:val="en-US"/>
        </w:rPr>
        <w:t>b</w:t>
      </w:r>
      <w:r>
        <w:t>)</w:t>
      </w:r>
      <w:r>
        <w:tab/>
        <w:t>принимать соответствующие законодательные и другие меры, включая санкции, там где это необходимо, запрещающие всякую дискриминацию в отношении женщин;</w:t>
      </w:r>
    </w:p>
    <w:p w:rsidR="00000000" w:rsidRDefault="00000000">
      <w:pPr>
        <w:pStyle w:val="a4"/>
      </w:pPr>
      <w:r>
        <w:tab/>
        <w:t>с)</w:t>
      </w:r>
      <w:r>
        <w:tab/>
        <w:t>установить юридическую защиту прав женщин на равной основе с мужчинами и обеспечить с помощью компетентных национальных судов и других государственных учреждений эффективную защиту женщин против любого акта дискриминации;</w:t>
      </w:r>
    </w:p>
    <w:p w:rsidR="00000000" w:rsidRDefault="00000000">
      <w:pPr>
        <w:pStyle w:val="a4"/>
      </w:pPr>
      <w:r>
        <w:tab/>
      </w:r>
      <w:r>
        <w:rPr>
          <w:lang w:val="en-US"/>
        </w:rPr>
        <w:t>d</w:t>
      </w:r>
      <w:r>
        <w:t>)</w:t>
      </w:r>
      <w:r>
        <w:tab/>
        <w:t>воздерживаться от совершения каких-либо дискриминацион</w:t>
      </w:r>
      <w:r>
        <w:softHyphen/>
        <w:t>ных актов или действий в отношении женщин и гарантировать, что государственные органы и учреждения будут действовать в соответствии с этим обязательством;</w:t>
      </w:r>
    </w:p>
    <w:p w:rsidR="00000000" w:rsidRDefault="00000000">
      <w:pPr>
        <w:pStyle w:val="a4"/>
      </w:pPr>
      <w:r>
        <w:tab/>
      </w:r>
      <w:r>
        <w:rPr>
          <w:lang w:val="en-US"/>
        </w:rPr>
        <w:t>e</w:t>
      </w:r>
      <w:r>
        <w:t>)</w:t>
      </w:r>
      <w:r>
        <w:tab/>
        <w:t>принимать все соответствующие меры для ликвидации дискриминации в отношении женщин со стороны какого-либо лица, организации или предприятия;</w:t>
      </w:r>
    </w:p>
    <w:p w:rsidR="00000000" w:rsidRDefault="00000000">
      <w:pPr>
        <w:pStyle w:val="a4"/>
      </w:pPr>
      <w:r>
        <w:tab/>
      </w:r>
      <w:r>
        <w:rPr>
          <w:lang w:val="en-US"/>
        </w:rPr>
        <w:t>f</w:t>
      </w:r>
      <w:r>
        <w:t>)</w:t>
      </w:r>
      <w:r>
        <w:tab/>
        <w:t>принимать все соответствующие меры, включая законо</w:t>
      </w:r>
      <w:r>
        <w:softHyphen/>
        <w:t>дательные, для изменения или отмены действующих законов, постановлений, обычаев и практики, которые представляют собой дискриминацию в отношении женщин;</w:t>
      </w:r>
    </w:p>
    <w:p w:rsidR="00000000" w:rsidRDefault="00000000">
      <w:pPr>
        <w:pStyle w:val="a4"/>
      </w:pPr>
      <w:r>
        <w:tab/>
      </w:r>
      <w:r>
        <w:rPr>
          <w:lang w:val="en-US"/>
        </w:rPr>
        <w:t>g</w:t>
      </w:r>
      <w:r>
        <w:t>)</w:t>
      </w:r>
      <w:r>
        <w:tab/>
        <w:t>отменить все положения своего уголовного законодательства, которые представляют собой дискриминацию в отношении женщин.</w:t>
      </w:r>
    </w:p>
    <w:p w:rsidR="00000000" w:rsidRDefault="00000000">
      <w:pPr>
        <w:pStyle w:val="Heading2"/>
      </w:pPr>
      <w:bookmarkStart w:id="5" w:name="_Toc116466869"/>
      <w:r>
        <w:t>Статья 3</w:t>
      </w:r>
      <w:bookmarkEnd w:id="5"/>
    </w:p>
    <w:p w:rsidR="00000000" w:rsidRDefault="00000000">
      <w:pPr>
        <w:pStyle w:val="a4"/>
      </w:pPr>
      <w:r>
        <w:t>Государства-участники принимают во всех областях, и в частности в политической, социальной, экономической и культурной областях, все соответствующие меры, включая законодательные, для обеспечения всестороннего развития и прогресса женщин с тем, чтобы гарантировать им осуществление и пользование правами человека и основными свободами на основе равенства с мужчинами.</w:t>
      </w:r>
    </w:p>
    <w:p w:rsidR="00000000" w:rsidRDefault="00000000">
      <w:pPr>
        <w:pStyle w:val="BodyText"/>
        <w:jc w:val="center"/>
        <w:rPr>
          <w:b/>
        </w:rPr>
      </w:pPr>
      <w:r>
        <w:rPr>
          <w:b/>
          <w:lang w:val="en-US"/>
        </w:rPr>
        <w:t>I</w:t>
      </w:r>
      <w:r>
        <w:rPr>
          <w:b/>
        </w:rPr>
        <w:t>.  Внесение изменений в Конституцию</w:t>
      </w:r>
    </w:p>
    <w:p w:rsidR="00000000" w:rsidRDefault="00000000">
      <w:pPr>
        <w:pStyle w:val="BodyText"/>
      </w:pPr>
      <w:r>
        <w:t>1.</w:t>
      </w:r>
      <w:r>
        <w:tab/>
        <w:t>В 2001 году в Конституцию Греции были внесены изменения. Два из пересмотренных положений касаются вопросов гендерного равенства мужчин и женщин:</w:t>
      </w:r>
    </w:p>
    <w:p w:rsidR="00000000" w:rsidRDefault="00000000">
      <w:pPr>
        <w:pStyle w:val="110"/>
      </w:pPr>
      <w:r>
        <w:t>а)</w:t>
      </w:r>
      <w:r>
        <w:tab/>
        <w:t>В соответствии с пунктом 2 новой редакции статьи 116 пересмотренной Конституции не допускается каких-либо отклонений от принципа равноправия мужчин и женщин. Напротив, в нем четко говорится об обязанности государства, в целях ликвидации дискриминации главным образом в отношении женщин, принимать конкретные позитивные меры, направленные на эффективную реализацию принципа гендерного равенства во всех областях</w:t>
      </w:r>
      <w:r>
        <w:rPr>
          <w:rStyle w:val="FootnoteReference"/>
        </w:rPr>
        <w:footnoteReference w:id="4"/>
      </w:r>
      <w:r>
        <w:t>.</w:t>
      </w:r>
    </w:p>
    <w:p w:rsidR="00000000" w:rsidRDefault="00000000">
      <w:pPr>
        <w:pStyle w:val="110"/>
      </w:pPr>
      <w:r>
        <w:rPr>
          <w:lang w:val="en-US"/>
        </w:rPr>
        <w:t>b</w:t>
      </w:r>
      <w:r>
        <w:t>)</w:t>
      </w:r>
      <w:r>
        <w:tab/>
        <w:t>В пункте 1 новой редакции статьи 31 Конституции предусматривается, что Президентом Республики может быть избран греческий гражданин по отцовской или материнской линии</w:t>
      </w:r>
      <w:r>
        <w:rPr>
          <w:rStyle w:val="FootnoteReference"/>
        </w:rPr>
        <w:footnoteReference w:id="5"/>
      </w:r>
      <w:r>
        <w:t>.</w:t>
      </w:r>
    </w:p>
    <w:p w:rsidR="00000000" w:rsidRDefault="00000000">
      <w:pPr>
        <w:pStyle w:val="BodyText"/>
        <w:jc w:val="center"/>
        <w:rPr>
          <w:b/>
        </w:rPr>
      </w:pPr>
      <w:r>
        <w:rPr>
          <w:b/>
          <w:lang w:val="en-US"/>
        </w:rPr>
        <w:t>II</w:t>
      </w:r>
      <w:r>
        <w:rPr>
          <w:b/>
        </w:rPr>
        <w:t>.  Занятость</w:t>
      </w:r>
    </w:p>
    <w:p w:rsidR="00000000" w:rsidRDefault="00000000">
      <w:pPr>
        <w:pStyle w:val="BodyText"/>
      </w:pPr>
      <w:r>
        <w:t>2.</w:t>
      </w:r>
      <w:r>
        <w:tab/>
        <w:t>В национальных коллективных трудовых соглашениях 2002–2004 годов были усовершенствованы законодательные нормы в отношении наемных работников в частном секторе в том, что касается равенства в сфере занятости родительских отпусков, отцовских отпусков, а также других гендерных вопросов.</w:t>
      </w:r>
    </w:p>
    <w:p w:rsidR="00000000" w:rsidRDefault="00000000">
      <w:pPr>
        <w:pStyle w:val="BodyText"/>
      </w:pPr>
      <w:r>
        <w:tab/>
        <w:t>В частности:</w:t>
      </w:r>
    </w:p>
    <w:p w:rsidR="00000000" w:rsidRDefault="00000000">
      <w:pPr>
        <w:pStyle w:val="BodyText"/>
      </w:pPr>
      <w:r>
        <w:tab/>
        <w:t>В Национальном коллективном трудовом соглашении 2002–2003 годов было установлено следующее:</w:t>
      </w:r>
    </w:p>
    <w:p w:rsidR="00000000" w:rsidRDefault="00000000">
      <w:pPr>
        <w:pStyle w:val="18-8"/>
      </w:pPr>
      <w:r>
        <w:sym w:font="Symbol" w:char="F0B7"/>
      </w:r>
      <w:r>
        <w:tab/>
        <w:t>Право приходить на работу на час позже или уходить на час раньше, предоставляемое матери или отцу в связи с уходом за ребенком в течение 30 месяцев (вместо 24 месяцев) после окончания декретного отпуска матери. В качестве альтернативы по соглашению с работодателем рабочий день может быть сокращен на два часа в день в течение первых 12 месяцев и на один час в течение еще 6 месяцев (ранее рабочий день мог быть сокращен на два часа лишь в течение 12 месяцев).</w:t>
      </w:r>
    </w:p>
    <w:p w:rsidR="00000000" w:rsidRDefault="00000000">
      <w:pPr>
        <w:pStyle w:val="18-8"/>
      </w:pPr>
      <w:r>
        <w:sym w:font="Symbol" w:char="F0B7"/>
      </w:r>
      <w:r>
        <w:tab/>
        <w:t>Впервые наемный работник получил право на двухдневный оплачиваемый отпуск в случае смерти близких родственников, в том числе родственников второй линии.</w:t>
      </w:r>
    </w:p>
    <w:p w:rsidR="00000000" w:rsidRDefault="00000000">
      <w:pPr>
        <w:pStyle w:val="18-8"/>
      </w:pPr>
      <w:r>
        <w:sym w:font="Symbol" w:char="F0B7"/>
      </w:r>
      <w:r>
        <w:tab/>
        <w:t>Дополнительный оплачиваемый ежегодный шестидневный отпуск для овдовевших родителей или семей с одним родителем. Отпуск для семей с одним родителем может не совпадать с окончанием или началом оплачиваемого ежегодного отпуска, и он распространяется на родителей с детьми в возрасте до 12 лет. В случае трех и более детей в семье отпуск родителей увеличивается до 8 дней.</w:t>
      </w:r>
    </w:p>
    <w:p w:rsidR="00000000" w:rsidRDefault="00000000">
      <w:pPr>
        <w:pStyle w:val="BodyText"/>
      </w:pPr>
      <w:r>
        <w:tab/>
        <w:t>В Национальном коллективном трудовом соглашении 2004–2005 годов определено следующее:</w:t>
      </w:r>
    </w:p>
    <w:p w:rsidR="00000000" w:rsidRDefault="00000000">
      <w:pPr>
        <w:pStyle w:val="18-8"/>
      </w:pPr>
      <w:r>
        <w:sym w:font="Symbol" w:char="F0B7"/>
      </w:r>
      <w:r>
        <w:tab/>
        <w:t>Что касается сокращения рабочего времени в связи с кормлением и уходом за ребенком, как отмечается в статье 9 Генерального национального коллективного трудового соглашения 1993 года, наемные работники могут в качестве альтернативы присоединять это время к оплачиваемому отпуску в пределах периода, в течение которого он/она имеют право на сокращенный рабочий день в связи с уходом за ребенком. Этот вариант альтернативного отпуска предполагает согласие работодателя и предоставляется одноразово или по частям; он начинается в конце декретного отпуска, то есть через 9 недель после рождения ребенка.</w:t>
      </w:r>
    </w:p>
    <w:p w:rsidR="00000000" w:rsidRDefault="00000000">
      <w:pPr>
        <w:pStyle w:val="18-8"/>
        <w:rPr>
          <w:i/>
        </w:rPr>
      </w:pPr>
      <w:r>
        <w:sym w:font="Symbol" w:char="F0B7"/>
      </w:r>
      <w:r>
        <w:tab/>
        <w:t>Родные или приемные родители ребенка в возрасте до шестнадцати (16) лет, который страдает заболеванием, требующим переливания крови и ее производных или гемодиализа, имеют право на дополнительный ежегодный десятидневный отпуск. Это оплачиваемый отпуск и право на него имеют оба родителя; он дополняет отпуск, который им предоставляется в соответствии с другими законодательными положениями.</w:t>
      </w:r>
    </w:p>
    <w:p w:rsidR="00000000" w:rsidRDefault="00000000">
      <w:pPr>
        <w:pStyle w:val="BodyText"/>
      </w:pPr>
      <w:r>
        <w:t>3.</w:t>
      </w:r>
      <w:r>
        <w:tab/>
        <w:t>Дискриминация в отношении женщин в связи с их приемом в военные академии запрещена (закон 2913/2001).</w:t>
      </w:r>
    </w:p>
    <w:p w:rsidR="00000000" w:rsidRDefault="00000000">
      <w:pPr>
        <w:pStyle w:val="BodyText"/>
      </w:pPr>
      <w:r>
        <w:t>4.</w:t>
      </w:r>
      <w:r>
        <w:tab/>
        <w:t>В соответствии с законом 3103/2003 отменена установленная квота в отношении приема женщин в Полицейскую академию. Кроме того, закон 3113/2003 отменяет соответствующее положение (законы 2622/1998 и 2838/2000), касающееся набора женщин в пограничные войска. В соответствии с ранее действовавшими законоположениями по итогам конкурса по набору в пограничные войска (2001 год), организованного Министерством общественного порядка, была установлена квота набора, составляющая 90 процентов для мужчин и 10 процентов женщин. В 2003 году третий отдел Государственного совета</w:t>
      </w:r>
      <w:r>
        <w:rPr>
          <w:rStyle w:val="FootnoteReference"/>
        </w:rPr>
        <w:footnoteReference w:id="6"/>
      </w:r>
      <w:r>
        <w:t xml:space="preserve"> постановил, что установление дискриминационных квот для женщин противоречит пункту 2 статей 4 и 116 Конституции. Вопрос должен решаться на пленарном заседании Государственного совета.</w:t>
      </w:r>
    </w:p>
    <w:p w:rsidR="00000000" w:rsidRDefault="00000000">
      <w:pPr>
        <w:pStyle w:val="BodyText"/>
      </w:pPr>
      <w:r>
        <w:t>5.</w:t>
      </w:r>
      <w:r>
        <w:tab/>
        <w:t>В законе 3227/2004 "Меры по борьбе с безработицей и другие положения", в частности, предусматривается следующее:</w:t>
      </w:r>
    </w:p>
    <w:p w:rsidR="00000000" w:rsidRDefault="00000000">
      <w:pPr>
        <w:pStyle w:val="18-8"/>
      </w:pPr>
      <w:r>
        <w:sym w:font="Symbol" w:char="F0B7"/>
      </w:r>
      <w:r>
        <w:tab/>
        <w:t>работодатели, нанимающие работников на срочные контракты с целью замещения работниц, находящихся в отпуске по беременности и родам, получают субсидии на период отпуска трудящихся женщин в размере, равном обязательствам работодателей по страховым взносам на страхование нанятых работников;</w:t>
      </w:r>
    </w:p>
    <w:p w:rsidR="00000000" w:rsidRDefault="00000000">
      <w:pPr>
        <w:pStyle w:val="18-8"/>
      </w:pPr>
      <w:r>
        <w:sym w:font="Symbol" w:char="F0B7"/>
      </w:r>
      <w:r>
        <w:tab/>
        <w:t>в качестве стимула для найма безработных матерей, имеющих по меньшей мере двух детей, работодатель получает субсидию в размере, равном его обязательствам по страховому взносу на страхование этих нанятых работниц. Продолжительность субсидирования составляет один год на каждого ребенка нанятой такой работницы;</w:t>
      </w:r>
    </w:p>
    <w:p w:rsidR="00000000" w:rsidRDefault="00000000">
      <w:pPr>
        <w:pStyle w:val="18-8"/>
      </w:pPr>
      <w:r>
        <w:sym w:font="Symbol" w:char="F0B7"/>
      </w:r>
      <w:r>
        <w:tab/>
        <w:t>с рождением каждого следующего ребенка женщины-фермеры, застрахованные в главной фермерской страховой компании (закон 2458/1997), освобождаются от обязательств по страховым взносам в Сельскохозяйственную страховую организацию (</w:t>
      </w:r>
      <w:r>
        <w:rPr>
          <w:lang w:val="en-US"/>
        </w:rPr>
        <w:t>O</w:t>
      </w:r>
      <w:r>
        <w:t>.</w:t>
      </w:r>
      <w:r>
        <w:rPr>
          <w:lang w:val="en-US"/>
        </w:rPr>
        <w:t>G</w:t>
      </w:r>
      <w:r>
        <w:t>.</w:t>
      </w:r>
      <w:r>
        <w:rPr>
          <w:lang w:val="en-US"/>
        </w:rPr>
        <w:t>A</w:t>
      </w:r>
      <w:r>
        <w:t>.), в частности по взносам на страхование пенсий по старости и болезни, а также от обязательств по взносам в Фонд союза фермеров в течение одного года после рождения каждого следующего ребенка.</w:t>
      </w:r>
    </w:p>
    <w:p w:rsidR="00000000" w:rsidRDefault="00000000">
      <w:pPr>
        <w:pStyle w:val="BodyText"/>
      </w:pPr>
      <w:r>
        <w:t>6.</w:t>
      </w:r>
      <w:r>
        <w:tab/>
        <w:t>В соответствии с законом 3174/2003 в государственном секторе, а также на предприятиях, имеющих статус юридического лица, действующих в соответствии с государственным законодательством и под эгидой местных органов власти, был расширен найм на работу с неполным рабочим днем в целях удовлетворения потребностей граждан в услугах социального характера. Под услугами социального характера подразумеваются услуги в области социальной защиты, эксплуатации школьных зданий, обеспечения транспортной безопасности учащихся, защиты окружающей среды, содействия социальной интеграции иммигрантов и т. д. Этот закон нацелен на расширение занятости уязвимых групп населения, в которые в качестве особой категории включены матери с детьми до 12 лет, в пределах 10</w:t>
      </w:r>
      <w:r>
        <w:noBreakHyphen/>
        <w:t>процетной квоты.</w:t>
      </w:r>
    </w:p>
    <w:p w:rsidR="00000000" w:rsidRDefault="00000000">
      <w:pPr>
        <w:pStyle w:val="BodyText"/>
      </w:pPr>
      <w:r>
        <w:tab/>
      </w:r>
      <w:r>
        <w:tab/>
        <w:t>В соответствии с законом 3250/2004 были вновь определены категории лиц, имеющих право на получение работы; в них были также включены члены больших семей, а также расширены категории матерей, имеющих несовершеннолетних детей (был упразднен 12</w:t>
      </w:r>
      <w:r>
        <w:noBreakHyphen/>
        <w:t>летний возрастной предел для детей), без изменения квоты в 10 процентов. В то же время в законе 3250 предусматривается, что при проявлении соответствующего интереса женщины могут занимать до 60 процентов рабочих мест, выделенных для трудоустройства различных категорий безработных.</w:t>
      </w:r>
    </w:p>
    <w:p w:rsidR="00000000" w:rsidRDefault="00000000">
      <w:pPr>
        <w:pStyle w:val="BodyText"/>
        <w:tabs>
          <w:tab w:val="clear" w:pos="567"/>
        </w:tabs>
        <w:ind w:left="0" w:firstLine="0"/>
        <w:jc w:val="center"/>
        <w:rPr>
          <w:b/>
        </w:rPr>
      </w:pPr>
      <w:r>
        <w:rPr>
          <w:b/>
          <w:lang w:val="en-US"/>
        </w:rPr>
        <w:t>III</w:t>
      </w:r>
      <w:r>
        <w:rPr>
          <w:b/>
        </w:rPr>
        <w:t>.  Социальное обеспечение</w:t>
      </w:r>
    </w:p>
    <w:p w:rsidR="00000000" w:rsidRDefault="00000000">
      <w:pPr>
        <w:pStyle w:val="BodyText"/>
      </w:pPr>
      <w:r>
        <w:rPr>
          <w:b/>
        </w:rPr>
        <w:t>7.</w:t>
      </w:r>
      <w:r>
        <w:tab/>
        <w:t>Закон 3029/2002 усовершенствовал порядок обеспечения пенсий по старости и отменил все существовавшие различия между мужчинами и женщинами в пенсионном обеспечении по старости. В частности:</w:t>
      </w:r>
    </w:p>
    <w:p w:rsidR="00000000" w:rsidRDefault="00000000">
      <w:pPr>
        <w:pStyle w:val="18-8"/>
      </w:pPr>
      <w:r>
        <w:sym w:font="Symbol" w:char="F0B7"/>
      </w:r>
      <w:r>
        <w:tab/>
        <w:t>матери – члены Фонда социального страхования – Дополнительного фонда страхования наемных работников (</w:t>
      </w:r>
      <w:r>
        <w:rPr>
          <w:lang w:val="en-US"/>
        </w:rPr>
        <w:t>IKA</w:t>
      </w:r>
      <w:r>
        <w:t>-</w:t>
      </w:r>
      <w:r>
        <w:rPr>
          <w:lang w:val="en-US"/>
        </w:rPr>
        <w:t>TEAM</w:t>
      </w:r>
      <w:r>
        <w:t>), крупнейшего пенсионного фонда Греции, дети которых родились после 1 января 2003 года, или отцы, если матери не используют это право, могут добиться признания заявленного страхового стажа, с тем чтобы выполнить требования относительно минимального страхового стажа и получить право на пенсию. В частности, заявленный страховой стаж, признаваемый за матерью или отцом детей, рожденных после вышеупомянутой даты, составляет один год за первого ребенка, полтора года – за второго и два года – за третьего (в целом 4,5 года или 1350 застрахованных дней);</w:t>
      </w:r>
    </w:p>
    <w:p w:rsidR="00000000" w:rsidRDefault="00000000">
      <w:pPr>
        <w:pStyle w:val="18-8"/>
      </w:pPr>
      <w:r>
        <w:sym w:font="Symbol" w:char="F0B7"/>
      </w:r>
      <w:r>
        <w:tab/>
        <w:t xml:space="preserve">по истечении 37 лет, или 11 100 рабочих дней, трудящиеся мужчины и женщины, являющиеся членами Фонда </w:t>
      </w:r>
      <w:r>
        <w:rPr>
          <w:lang w:val="en-US"/>
        </w:rPr>
        <w:t>IKA</w:t>
      </w:r>
      <w:r>
        <w:t>-</w:t>
      </w:r>
      <w:r>
        <w:rPr>
          <w:lang w:val="en-US"/>
        </w:rPr>
        <w:t>TEAM</w:t>
      </w:r>
      <w:r>
        <w:t xml:space="preserve"> и специальных фондов (таких, как </w:t>
      </w:r>
      <w:r>
        <w:rPr>
          <w:lang w:val="en-US"/>
        </w:rPr>
        <w:t>TAP</w:t>
      </w:r>
      <w:r>
        <w:t>-</w:t>
      </w:r>
      <w:r>
        <w:rPr>
          <w:lang w:val="en-US"/>
        </w:rPr>
        <w:t>OTE</w:t>
      </w:r>
      <w:r>
        <w:t xml:space="preserve"> – Фонд страхования персонала Греческой организации телекоммуникаций, </w:t>
      </w:r>
      <w:r>
        <w:rPr>
          <w:lang w:val="en-US"/>
        </w:rPr>
        <w:t>OAP</w:t>
      </w:r>
      <w:r>
        <w:t>-</w:t>
      </w:r>
      <w:r>
        <w:rPr>
          <w:lang w:val="en-US"/>
        </w:rPr>
        <w:t>DEI</w:t>
      </w:r>
      <w:r>
        <w:t xml:space="preserve"> – Организация страхования персонала Государственной энергетической корпорации, банковские страховые фонды и т. д.), имеют право на получение пособий по старости, независимо от возраста;</w:t>
      </w:r>
    </w:p>
    <w:p w:rsidR="00000000" w:rsidRDefault="00000000">
      <w:pPr>
        <w:pStyle w:val="18-8"/>
      </w:pPr>
      <w:r>
        <w:sym w:font="Symbol" w:char="F0B7"/>
      </w:r>
      <w:r>
        <w:tab/>
        <w:t>для мужчин, участвующих в специальных фондах, пенсионный возраст был уменьшен на два года и тем самым увязан с возрастным требованием по пенсионному обеспечению для женщин, в связи с чем застрахованные в упомянутых фондах лица (независимо от пола) – члены любого главного пенсионного фонда в период с 1 января 1983 года по 31 декабря 1992 года могут получить право на пенсию по старости по достижении 58-летнего возраста или при наличии 35 лет страхового стажа.</w:t>
      </w:r>
    </w:p>
    <w:p w:rsidR="00000000" w:rsidRDefault="00000000">
      <w:pPr>
        <w:pStyle w:val="BodyText"/>
      </w:pPr>
      <w:r>
        <w:t>8.</w:t>
      </w:r>
      <w:r>
        <w:tab/>
        <w:t>В соответствии с законом 3232/2004 вводится положение о том, что разведенные лица могут получать часть пенсии умершего бывшего мужа или жены и имеют право на пенсию по случаю потери кормильца. Основными требованиями являются:</w:t>
      </w:r>
    </w:p>
    <w:p w:rsidR="00000000" w:rsidRDefault="00000000">
      <w:pPr>
        <w:pStyle w:val="18-8"/>
      </w:pPr>
      <w:r>
        <w:sym w:font="Symbol" w:char="F0B7"/>
      </w:r>
      <w:r>
        <w:tab/>
        <w:t>разведенное лицо должно быть не младше 65 лет или иметь степень нетрудоспособности 67 процентов и более;</w:t>
      </w:r>
    </w:p>
    <w:p w:rsidR="00000000" w:rsidRDefault="00000000">
      <w:pPr>
        <w:pStyle w:val="18-8"/>
      </w:pPr>
      <w:r>
        <w:sym w:font="Symbol" w:char="F0B7"/>
      </w:r>
      <w:r>
        <w:tab/>
        <w:t>кроме того, на момент окончательного решения суда о разводе разведенное лицо должно состоять в браке не менее 15 лет;</w:t>
      </w:r>
    </w:p>
    <w:p w:rsidR="00000000" w:rsidRDefault="00000000">
      <w:pPr>
        <w:pStyle w:val="18-8"/>
      </w:pPr>
      <w:r>
        <w:sym w:font="Symbol" w:char="F0B7"/>
      </w:r>
      <w:r>
        <w:tab/>
        <w:t>бывший муж или бывшая жена до момента смерти должны выплачивать алименты, установленные либо по суду, либо по контракту между бывшими супругами;</w:t>
      </w:r>
    </w:p>
    <w:p w:rsidR="00000000" w:rsidRDefault="00000000">
      <w:pPr>
        <w:pStyle w:val="18-8"/>
      </w:pPr>
      <w:r>
        <w:sym w:font="Symbol" w:char="F0B7"/>
      </w:r>
      <w:r>
        <w:tab/>
        <w:t>развод не должен приводить к серьезному ущербу для семейной жизни, который может быть причинен лицом, претендующим на пенсию по случаю потери кормильца;</w:t>
      </w:r>
    </w:p>
    <w:p w:rsidR="00000000" w:rsidRDefault="00000000">
      <w:pPr>
        <w:pStyle w:val="18-8"/>
      </w:pPr>
      <w:r>
        <w:sym w:font="Symbol" w:char="F0B7"/>
      </w:r>
      <w:r>
        <w:tab/>
        <w:t>последующее вступление в брак (лица, претендующего на пенсию по случаю потери кормильца) не допускается;</w:t>
      </w:r>
    </w:p>
    <w:p w:rsidR="00000000" w:rsidRDefault="00000000">
      <w:pPr>
        <w:pStyle w:val="18-8"/>
      </w:pPr>
      <w:r>
        <w:sym w:font="Symbol" w:char="F0B7"/>
      </w:r>
      <w:r>
        <w:tab/>
        <w:t>общий годовой личный налогооблагаемый доход не должен превышать суммы годовой пенсии, выплачиваемой по старости лицам, не застрахованным в Сельскохозяйственной страховой организации (</w:t>
      </w:r>
      <w:r>
        <w:rPr>
          <w:lang w:val="en-US"/>
        </w:rPr>
        <w:t>O</w:t>
      </w:r>
      <w:r>
        <w:t>.</w:t>
      </w:r>
      <w:r>
        <w:rPr>
          <w:lang w:val="en-US"/>
        </w:rPr>
        <w:t>G</w:t>
      </w:r>
      <w:r>
        <w:t>.</w:t>
      </w:r>
      <w:r>
        <w:rPr>
          <w:lang w:val="en-US"/>
        </w:rPr>
        <w:t>A</w:t>
      </w:r>
      <w:r>
        <w:t>.).</w:t>
      </w:r>
    </w:p>
    <w:p w:rsidR="00000000" w:rsidRDefault="00000000">
      <w:pPr>
        <w:pStyle w:val="BodyText"/>
      </w:pPr>
      <w:r>
        <w:tab/>
        <w:t>Размер пенсии, на которую имеет право разведенное лицо, определяется следующим образом:</w:t>
      </w:r>
    </w:p>
    <w:p w:rsidR="00000000" w:rsidRDefault="00000000">
      <w:pPr>
        <w:pStyle w:val="18-8"/>
      </w:pPr>
      <w:r>
        <w:sym w:font="Symbol" w:char="F0B7"/>
      </w:r>
      <w:r>
        <w:tab/>
        <w:t>в случае смерти бывшего мужа или бывшей жены пенсия, на которую имеет право овдовевший бывший супруг/супруга, определяется для овдовевшего лица и разведенного лица в пропорции 70 и 30 процентов, соответственно. Если брак продолжался 25 лет и более, пенсия овдовевшего лица определяется для овдовевшего лица и разведенного лица, соответственно, в пропорции 60 и 40 процентов;</w:t>
      </w:r>
    </w:p>
    <w:p w:rsidR="00000000" w:rsidRDefault="00000000">
      <w:pPr>
        <w:pStyle w:val="18-8"/>
      </w:pPr>
      <w:r>
        <w:sym w:font="Symbol" w:char="F0B7"/>
      </w:r>
      <w:r>
        <w:tab/>
        <w:t>при наличии более одного бенефициара пенсия (в соответствии с вышеупомянутыми долями) распределяется между ними поровну.</w:t>
      </w:r>
    </w:p>
    <w:p w:rsidR="00000000" w:rsidRDefault="00000000">
      <w:pPr>
        <w:pStyle w:val="BodyText"/>
      </w:pPr>
      <w:r>
        <w:t>9.</w:t>
      </w:r>
      <w:r>
        <w:tab/>
        <w:t>В соответствии с тем же законом (3232/2004) за счет главных пенсионных фондов (находящихся под юрисдикцией Министерства занятости и социальной защиты) вводится пенсия по старости для застрахованных матерей, имеющих детей с 80-процентной и более потерей трудоспособности, а также для застрахованных супругов нетрудоспособных лиц с 80-процентной и более потерей трудоспособности, независимо от возраста, при наличии 7500 дней трудового стажа или 25 лет страхового стажа. На день подачи ходатайства о получении пенсии супруги, которые пользуются предоставляемым этим положением правом, также должны прожить в браке полные 10 лет.</w:t>
      </w:r>
    </w:p>
    <w:p w:rsidR="00000000" w:rsidRDefault="00000000">
      <w:pPr>
        <w:pStyle w:val="BodyText"/>
        <w:jc w:val="center"/>
        <w:rPr>
          <w:b/>
        </w:rPr>
      </w:pPr>
      <w:r>
        <w:rPr>
          <w:b/>
          <w:lang w:val="en-US"/>
        </w:rPr>
        <w:t>IV</w:t>
      </w:r>
      <w:r>
        <w:rPr>
          <w:b/>
        </w:rPr>
        <w:t>.  Здравоохранение и социальное обеспечение</w:t>
      </w:r>
    </w:p>
    <w:p w:rsidR="00000000" w:rsidRDefault="00000000">
      <w:pPr>
        <w:pStyle w:val="BodyText"/>
      </w:pPr>
      <w:r>
        <w:t>10.</w:t>
      </w:r>
      <w:r>
        <w:tab/>
        <w:t>В законе 3089/2002 "О медицинской поддержке репродуктивной функции человека" содержатся условия и требования в отношении искусственного оплодотворения и незамужним женщинам разрешено иметь детей таким образом.</w:t>
      </w:r>
    </w:p>
    <w:p w:rsidR="00000000" w:rsidRDefault="00000000">
      <w:pPr>
        <w:pStyle w:val="BodyText"/>
      </w:pPr>
      <w:r>
        <w:t>11.</w:t>
      </w:r>
      <w:r>
        <w:tab/>
        <w:t>С изданием нового Положения о страховании государственных служащих Организации медицинского страхования (</w:t>
      </w:r>
      <w:r>
        <w:rPr>
          <w:lang w:val="en-US"/>
        </w:rPr>
        <w:t>OPAD</w:t>
      </w:r>
      <w:r>
        <w:t>)</w:t>
      </w:r>
      <w:r>
        <w:rPr>
          <w:rStyle w:val="FootnoteReference"/>
        </w:rPr>
        <w:footnoteReference w:id="7"/>
      </w:r>
      <w:r>
        <w:t xml:space="preserve"> в настоящее время отсутствует дискриминация по признаку пола в отношении лиц (семьи), охваченных страхованием как члены этой Организации и имеющих право на медицинское обслуживание за ее счет.</w:t>
      </w:r>
    </w:p>
    <w:p w:rsidR="00000000" w:rsidRDefault="00000000">
      <w:pPr>
        <w:pStyle w:val="BodyText"/>
      </w:pPr>
      <w:r>
        <w:t>12.</w:t>
      </w:r>
      <w:r>
        <w:tab/>
        <w:t>Во исполнение закона 3163/2002 Национальный центр чрезвычайной социальной защиты (</w:t>
      </w:r>
      <w:r>
        <w:rPr>
          <w:lang w:val="en-US"/>
        </w:rPr>
        <w:t>E</w:t>
      </w:r>
      <w:r>
        <w:t>.</w:t>
      </w:r>
      <w:r>
        <w:rPr>
          <w:lang w:val="en-US"/>
        </w:rPr>
        <w:t>K</w:t>
      </w:r>
      <w:r>
        <w:t>.</w:t>
      </w:r>
      <w:r>
        <w:rPr>
          <w:lang w:val="en-US"/>
        </w:rPr>
        <w:t>A</w:t>
      </w:r>
      <w:r>
        <w:t>.</w:t>
      </w:r>
      <w:r>
        <w:rPr>
          <w:lang w:val="en-US"/>
        </w:rPr>
        <w:t>K</w:t>
      </w:r>
      <w:r>
        <w:t>.</w:t>
      </w:r>
      <w:r>
        <w:rPr>
          <w:lang w:val="en-US"/>
        </w:rPr>
        <w:t>V</w:t>
      </w:r>
      <w:r>
        <w:t>.) преобразован в базирующуюся в Афинах независимую организацию, функционирующую в соответствии с Государственным законом (</w:t>
      </w:r>
      <w:r>
        <w:rPr>
          <w:lang w:val="en-US"/>
        </w:rPr>
        <w:t>N</w:t>
      </w:r>
      <w:r>
        <w:t>.</w:t>
      </w:r>
      <w:r>
        <w:rPr>
          <w:lang w:val="en-US"/>
        </w:rPr>
        <w:t>P</w:t>
      </w:r>
      <w:r>
        <w:t>.</w:t>
      </w:r>
      <w:r>
        <w:rPr>
          <w:lang w:val="en-US"/>
        </w:rPr>
        <w:t>D</w:t>
      </w:r>
      <w:r>
        <w:t>.</w:t>
      </w:r>
      <w:r>
        <w:rPr>
          <w:lang w:val="en-US"/>
        </w:rPr>
        <w:t>D</w:t>
      </w:r>
      <w:r>
        <w:t>.) под наблюдением и контролем Министерства здравоохранения и социального обеспечения. Центр ставит целью распространение своих услуг повсюду в Греции путем создания сети структур и кадровых ресурсов, которые будут заниматься, в частности, решением возникающих новых проблем, таких как оказание помощи жертвам торговли людьми и жестокого обращения с женщинами</w:t>
      </w:r>
      <w:r>
        <w:rPr>
          <w:rStyle w:val="FootnoteReference"/>
        </w:rPr>
        <w:footnoteReference w:id="8"/>
      </w:r>
      <w:r>
        <w:t>.</w:t>
      </w:r>
    </w:p>
    <w:p w:rsidR="00000000" w:rsidRDefault="00000000">
      <w:pPr>
        <w:pStyle w:val="BodyText"/>
        <w:jc w:val="center"/>
        <w:rPr>
          <w:b/>
        </w:rPr>
      </w:pPr>
      <w:r>
        <w:rPr>
          <w:b/>
          <w:lang w:val="en-US"/>
        </w:rPr>
        <w:t>V</w:t>
      </w:r>
      <w:r>
        <w:rPr>
          <w:b/>
        </w:rPr>
        <w:t>.  Насилие в отношении женщин</w:t>
      </w:r>
    </w:p>
    <w:p w:rsidR="00000000" w:rsidRDefault="00000000">
      <w:pPr>
        <w:pStyle w:val="BodyText"/>
      </w:pPr>
      <w:r>
        <w:t>13.</w:t>
      </w:r>
      <w:r>
        <w:tab/>
        <w:t>Закон 3064/2002 регламентирует вопросы борьбы с торговлей людьми, преступлениями против сексуальной свободы, с детской порнографией и, в целом, с финансовой эксплуатацией сексуальных отношений</w:t>
      </w:r>
      <w:r>
        <w:rPr>
          <w:rStyle w:val="FootnoteReference"/>
        </w:rPr>
        <w:footnoteReference w:id="9"/>
      </w:r>
      <w:r>
        <w:t>. В частности, этот закон:</w:t>
      </w:r>
    </w:p>
    <w:p w:rsidR="00000000" w:rsidRDefault="00000000">
      <w:pPr>
        <w:pStyle w:val="18-8"/>
      </w:pPr>
      <w:r>
        <w:sym w:font="Symbol" w:char="F0B7"/>
      </w:r>
      <w:r>
        <w:tab/>
        <w:t xml:space="preserve">распространяется не только на торговлю людьми в целом, но и на ее современные формы в особенности с целью а) трудовой эксплуатации и </w:t>
      </w:r>
      <w:r>
        <w:rPr>
          <w:lang w:val="en-US"/>
        </w:rPr>
        <w:t>b</w:t>
      </w:r>
      <w:r>
        <w:t>)</w:t>
      </w:r>
      <w:r>
        <w:rPr>
          <w:lang w:val="en-US"/>
        </w:rPr>
        <w:t> </w:t>
      </w:r>
      <w:r>
        <w:t>сексуальной эксплуатации людей. Большинство упомянутых правонарушений квалифици</w:t>
      </w:r>
      <w:r>
        <w:softHyphen/>
        <w:t>руются как уголовные преступления;</w:t>
      </w:r>
    </w:p>
    <w:p w:rsidR="00000000" w:rsidRDefault="00000000">
      <w:pPr>
        <w:pStyle w:val="18-8"/>
      </w:pPr>
      <w:r>
        <w:sym w:font="Symbol" w:char="F0B7"/>
      </w:r>
      <w:r>
        <w:tab/>
        <w:t>устанавливает суровые наказания за указанные правонарушения, которые в некоторых случаях могут даже включать пожизненное заключение. Закон гарантирует мужчинам и женщинам равную защиту в таких вопросах;</w:t>
      </w:r>
    </w:p>
    <w:p w:rsidR="00000000" w:rsidRDefault="00000000">
      <w:pPr>
        <w:pStyle w:val="18-8"/>
      </w:pPr>
      <w:r>
        <w:sym w:font="Symbol" w:char="F0B7"/>
      </w:r>
      <w:r>
        <w:tab/>
        <w:t xml:space="preserve">предусматривает, что тяжкие уголовные преступления преследуются </w:t>
      </w:r>
      <w:r>
        <w:rPr>
          <w:lang w:val="en-US"/>
        </w:rPr>
        <w:t>ex</w:t>
      </w:r>
      <w:r>
        <w:t xml:space="preserve"> </w:t>
      </w:r>
      <w:r>
        <w:rPr>
          <w:lang w:val="en-US"/>
        </w:rPr>
        <w:t>proprio</w:t>
      </w:r>
      <w:r>
        <w:t xml:space="preserve"> </w:t>
      </w:r>
      <w:r>
        <w:rPr>
          <w:lang w:val="en-US"/>
        </w:rPr>
        <w:t>motu</w:t>
      </w:r>
      <w:r>
        <w:t>;</w:t>
      </w:r>
    </w:p>
    <w:p w:rsidR="00000000" w:rsidRDefault="00000000">
      <w:pPr>
        <w:pStyle w:val="18-8"/>
      </w:pPr>
      <w:r>
        <w:sym w:font="Symbol" w:char="F0B7"/>
      </w:r>
      <w:r>
        <w:tab/>
        <w:t>впервые определяет детскую порнографию как правонарушение;</w:t>
      </w:r>
    </w:p>
    <w:p w:rsidR="00000000" w:rsidRDefault="00000000">
      <w:pPr>
        <w:pStyle w:val="18-8"/>
      </w:pPr>
      <w:r>
        <w:sym w:font="Symbol" w:char="F0B7"/>
      </w:r>
      <w:r>
        <w:tab/>
        <w:t>определяет, что сексуальное насилие со стороны взрослого в отношении ребенка за вознаграждение не может рассматриваться как ординарный случай совращения;</w:t>
      </w:r>
    </w:p>
    <w:p w:rsidR="00000000" w:rsidRDefault="00000000">
      <w:pPr>
        <w:pStyle w:val="18-8"/>
      </w:pPr>
      <w:r>
        <w:br w:type="page"/>
      </w:r>
      <w:r>
        <w:sym w:font="Symbol" w:char="F0B7"/>
      </w:r>
      <w:r>
        <w:tab/>
        <w:t>включает в статью 8 Уголовного кодекса (положения о всеобщем правосудии) положения о таких преступлениях, как торговля людьми и сексуальное насилие, в связи с чем эти преступления являются уголовно наказуемыми, даже если они совершены за пределами Греции;</w:t>
      </w:r>
    </w:p>
    <w:p w:rsidR="00000000" w:rsidRDefault="00000000">
      <w:pPr>
        <w:pStyle w:val="18-8"/>
      </w:pPr>
      <w:r>
        <w:sym w:font="Symbol" w:char="F0B7"/>
      </w:r>
      <w:r>
        <w:tab/>
        <w:t>определяет как правонарушение намеренное пользование услугами, оказываемыми жертвами торговли людьми;</w:t>
      </w:r>
    </w:p>
    <w:p w:rsidR="00000000" w:rsidRDefault="00000000">
      <w:pPr>
        <w:pStyle w:val="18-8"/>
      </w:pPr>
      <w:r>
        <w:sym w:font="Symbol" w:char="F0B7"/>
      </w:r>
      <w:r>
        <w:tab/>
        <w:t>обеспечивает защиту жертвам подобных преступлений. В этих целях издан президентский указ 233/2003</w:t>
      </w:r>
      <w:r>
        <w:rPr>
          <w:rStyle w:val="FootnoteReference"/>
        </w:rPr>
        <w:footnoteReference w:id="10"/>
      </w:r>
      <w:r>
        <w:t>.</w:t>
      </w:r>
    </w:p>
    <w:p w:rsidR="00000000" w:rsidRDefault="00000000">
      <w:pPr>
        <w:pStyle w:val="BodyText"/>
        <w:rPr>
          <w:b/>
        </w:rPr>
      </w:pPr>
      <w:r>
        <w:t>14.</w:t>
      </w:r>
      <w:r>
        <w:tab/>
        <w:t>В соответствии с недавно принятым законодательным положением (пункт 7 статьи 34 закона 3274/2004) жертвы торговли людьми имеют право на получение вида на жительство и разрешение на работу на срок 6 месяцев, после чего их документы могут быть продлены на такой же срок до принятия окончательного решения суда.</w:t>
      </w:r>
    </w:p>
    <w:p w:rsidR="00000000" w:rsidRDefault="00000000">
      <w:pPr>
        <w:pStyle w:val="BodyText"/>
        <w:jc w:val="center"/>
        <w:rPr>
          <w:b/>
        </w:rPr>
      </w:pPr>
      <w:r>
        <w:rPr>
          <w:b/>
          <w:lang w:val="en-US"/>
        </w:rPr>
        <w:t>VI</w:t>
      </w:r>
      <w:r>
        <w:rPr>
          <w:b/>
        </w:rPr>
        <w:t>.  Участие женщин в работе административных органов</w:t>
      </w:r>
    </w:p>
    <w:p w:rsidR="00000000" w:rsidRDefault="00000000">
      <w:pPr>
        <w:pStyle w:val="BodyText"/>
      </w:pPr>
      <w:r>
        <w:t>15.</w:t>
      </w:r>
      <w:r>
        <w:tab/>
        <w:t>В законе 2839/2000 предусматривается, что мужчины и женщины при квоте как минимум в одну треть для каждого пола участвуют в работе комиссий при департаментах государственных служб и коллективных органов управления государственных организаций и организаций местного самоуправления</w:t>
      </w:r>
      <w:r>
        <w:rPr>
          <w:rStyle w:val="FootnoteReference"/>
        </w:rPr>
        <w:footnoteReference w:id="11"/>
      </w:r>
      <w:r>
        <w:t>.</w:t>
      </w:r>
    </w:p>
    <w:p w:rsidR="00000000" w:rsidRDefault="00000000">
      <w:pPr>
        <w:pStyle w:val="BodyText"/>
        <w:rPr>
          <w:b/>
        </w:rPr>
      </w:pPr>
      <w:r>
        <w:t>16.</w:t>
      </w:r>
      <w:r>
        <w:tab/>
        <w:t>В последующем законе 2910/2001 предусматривается участие одной трети представителей обоих полов в качестве кандидатов на выборах депутатов префектур и муниципалитетов. В ряде решений Государственный совет (Верховный административный суд) постановил, что вышеупомянутое положение соответствует Конституции (пункт 2 пересмотренной статьи 116 Конституции)</w:t>
      </w:r>
      <w:r>
        <w:rPr>
          <w:rStyle w:val="FootnoteReference"/>
        </w:rPr>
        <w:footnoteReference w:id="12"/>
      </w:r>
      <w:r>
        <w:t>.</w:t>
      </w:r>
    </w:p>
    <w:p w:rsidR="00000000" w:rsidRDefault="00000000">
      <w:pPr>
        <w:pStyle w:val="BodyText"/>
        <w:jc w:val="center"/>
        <w:rPr>
          <w:b/>
        </w:rPr>
      </w:pPr>
      <w:r>
        <w:rPr>
          <w:b/>
          <w:lang w:val="en-US"/>
        </w:rPr>
        <w:t>VII</w:t>
      </w:r>
      <w:r>
        <w:rPr>
          <w:b/>
        </w:rPr>
        <w:t>.  Подданство и гражданство</w:t>
      </w:r>
    </w:p>
    <w:p w:rsidR="00000000" w:rsidRDefault="00000000">
      <w:pPr>
        <w:pStyle w:val="BodyText"/>
      </w:pPr>
      <w:r>
        <w:t>17.</w:t>
      </w:r>
      <w:r>
        <w:tab/>
        <w:t>В соответствии с недавно принятым законом 3284/2004, касающимся Кодекса по вопросам греческого гражданства, отменены все прежние положения, которые приводили к дискриминации в отношении женщин</w:t>
      </w:r>
      <w:r>
        <w:rPr>
          <w:rStyle w:val="FootnoteReference"/>
        </w:rPr>
        <w:footnoteReference w:id="13"/>
      </w:r>
      <w:r>
        <w:t>.</w:t>
      </w:r>
    </w:p>
    <w:p w:rsidR="00000000" w:rsidRDefault="00000000">
      <w:pPr>
        <w:pStyle w:val="BodyText"/>
        <w:jc w:val="center"/>
        <w:rPr>
          <w:b/>
        </w:rPr>
      </w:pPr>
      <w:r>
        <w:rPr>
          <w:b/>
          <w:lang w:val="en-US"/>
        </w:rPr>
        <w:t>VIII</w:t>
      </w:r>
      <w:r>
        <w:rPr>
          <w:b/>
        </w:rPr>
        <w:t>.  Международные конвенции</w:t>
      </w:r>
    </w:p>
    <w:p w:rsidR="00000000" w:rsidRDefault="00000000">
      <w:pPr>
        <w:pStyle w:val="BodyText"/>
      </w:pPr>
      <w:r>
        <w:t>18.</w:t>
      </w:r>
      <w:r>
        <w:tab/>
        <w:t>Греция является одним из первых среди 22 государств, подписавших 10 декабря 1999 года Факультативный протокол к Конвенции о ликвидации всех форм дискриминации в отношении женщин. Греция ратифицировала указанный протокол посредством закона 2952/2001.</w:t>
      </w:r>
    </w:p>
    <w:p w:rsidR="00000000" w:rsidRDefault="00000000">
      <w:pPr>
        <w:pStyle w:val="BodyText"/>
        <w:jc w:val="center"/>
        <w:rPr>
          <w:b/>
        </w:rPr>
      </w:pPr>
      <w:r>
        <w:rPr>
          <w:b/>
        </w:rPr>
        <w:br w:type="page"/>
      </w:r>
      <w:r>
        <w:rPr>
          <w:b/>
          <w:lang w:val="en-US"/>
        </w:rPr>
        <w:t>IX</w:t>
      </w:r>
      <w:r>
        <w:rPr>
          <w:b/>
        </w:rPr>
        <w:t>.  Приведение в соответствие национального и местного законодательств</w:t>
      </w:r>
    </w:p>
    <w:p w:rsidR="00000000" w:rsidRDefault="00000000">
      <w:pPr>
        <w:pStyle w:val="BodyText"/>
      </w:pPr>
      <w:r>
        <w:t>19.</w:t>
      </w:r>
      <w:r>
        <w:tab/>
        <w:t>Президентским указом 105/2003 греческое законодательство было скорректировано в целях приведения его в соответствие с положениями директивы Европейского союза 97/80/ЕЕС о важности доказательств в случаях дифференцированного обращения, основанного на половой принадлежности.</w:t>
      </w:r>
    </w:p>
    <w:p w:rsidR="00000000" w:rsidRDefault="00000000">
      <w:pPr>
        <w:pStyle w:val="BodyText"/>
      </w:pPr>
      <w:r>
        <w:t>20.</w:t>
      </w:r>
      <w:r>
        <w:tab/>
        <w:t>Президентским указом 41/2003 были дополнены положения президентского указа 176/97 с целью приведения законодательства Греции в соответствие с положениями директивы Европейского союза 92/85/ЕЕС "о принятии мер, способствующих улучшению охраны здоровья и обеспечению производственной безопасности беременных женщин и недавно родивших или кормящих грудью работниц":</w:t>
      </w:r>
    </w:p>
    <w:p w:rsidR="00000000" w:rsidRDefault="00000000">
      <w:pPr>
        <w:pStyle w:val="18-8"/>
      </w:pPr>
      <w:r>
        <w:sym w:font="Symbol" w:char="F0B7"/>
      </w:r>
      <w:r>
        <w:tab/>
        <w:t>положения Указа распространяются на военнослужащих вооруженных сил и домашнюю прислугу;</w:t>
      </w:r>
    </w:p>
    <w:p w:rsidR="00000000" w:rsidRDefault="00000000">
      <w:pPr>
        <w:pStyle w:val="18-8"/>
      </w:pPr>
      <w:r>
        <w:sym w:font="Symbol" w:char="F0B7"/>
      </w:r>
      <w:r>
        <w:tab/>
        <w:t>дополнены положения статьи 2 президентского указа 176/97 относительно осуществления Указа в том, что касается принятия работодателем позитивных мер в интересах беременных работающих женщин, недавно родивших или кормящих грудью работниц;</w:t>
      </w:r>
    </w:p>
    <w:p w:rsidR="00000000" w:rsidRDefault="00000000">
      <w:pPr>
        <w:pStyle w:val="18-8"/>
      </w:pPr>
      <w:r>
        <w:sym w:font="Symbol" w:char="F0B7"/>
      </w:r>
      <w:r>
        <w:tab/>
        <w:t>заменены статьи 8 (декретный отпуск) и 11 (права, относящиеся к соглашению о трудовом найме).</w:t>
      </w:r>
    </w:p>
    <w:p w:rsidR="00000000" w:rsidRDefault="00000000">
      <w:pPr>
        <w:pStyle w:val="BodyText"/>
      </w:pPr>
      <w:r>
        <w:t>21.</w:t>
      </w:r>
      <w:r>
        <w:tab/>
        <w:t>Президентским указом 87/2002 в законодательство Греции были включены дирек</w:t>
      </w:r>
      <w:r>
        <w:softHyphen/>
        <w:t>тивы 86/378/ЕЕС и 96/97/ЕС Европейского союза об осуществлении принципа равного обращения в отношении мужчин и женщин в системе профессиональной социальной защиты. Этот принцип будет включаться в уставные документы всех будущих профессиональных страховых фондов.</w:t>
      </w:r>
    </w:p>
    <w:p w:rsidR="00000000" w:rsidRDefault="00000000">
      <w:pPr>
        <w:pStyle w:val="BodyText"/>
        <w:jc w:val="center"/>
        <w:rPr>
          <w:b/>
        </w:rPr>
      </w:pPr>
      <w:r>
        <w:rPr>
          <w:b/>
          <w:lang w:val="en-US"/>
        </w:rPr>
        <w:t>X</w:t>
      </w:r>
      <w:r>
        <w:rPr>
          <w:b/>
        </w:rPr>
        <w:t>.  Национальные механизмы по содействию гендерному равенству</w:t>
      </w:r>
    </w:p>
    <w:p w:rsidR="00000000" w:rsidRDefault="00000000">
      <w:pPr>
        <w:pStyle w:val="BodyText"/>
      </w:pPr>
      <w:r>
        <w:t>22.</w:t>
      </w:r>
      <w:r>
        <w:tab/>
        <w:t>Указом премьер-министра</w:t>
      </w:r>
      <w:r>
        <w:rPr>
          <w:rStyle w:val="FootnoteReference"/>
        </w:rPr>
        <w:footnoteReference w:id="14"/>
      </w:r>
      <w:r>
        <w:t xml:space="preserve"> был создан Межминистерский комитет по вопросам гендерного равенства. В задачи Комитета, в частности, входит:</w:t>
      </w:r>
    </w:p>
    <w:p w:rsidR="00000000" w:rsidRDefault="00000000">
      <w:pPr>
        <w:pStyle w:val="18-8"/>
      </w:pPr>
      <w:r>
        <w:sym w:font="Symbol" w:char="F0B7"/>
      </w:r>
      <w:r>
        <w:tab/>
        <w:t>принятие решений относительно укрепления национальной стратегии обеспечения гендерного равенства в контексте руководящих принципов Европейского союза и международных организаций с целью включения гендерной проблематики во все направления политики;</w:t>
      </w:r>
    </w:p>
    <w:p w:rsidR="00000000" w:rsidRDefault="00000000">
      <w:pPr>
        <w:pStyle w:val="18-8"/>
      </w:pPr>
      <w:r>
        <w:sym w:font="Symbol" w:char="F0B7"/>
      </w:r>
      <w:r>
        <w:tab/>
        <w:t>координация деятельности министерств и учреждений государственного сектора в связи с разработкой стратегий и мероприятий в интересах женщин на центральном, региональном и местном уровнях;</w:t>
      </w:r>
    </w:p>
    <w:p w:rsidR="00000000" w:rsidRDefault="00000000">
      <w:pPr>
        <w:pStyle w:val="18-8"/>
      </w:pPr>
      <w:r>
        <w:sym w:font="Symbol" w:char="F0B7"/>
      </w:r>
      <w:r>
        <w:tab/>
      </w:r>
      <w:r>
        <w:rPr>
          <w:caps/>
        </w:rPr>
        <w:t>м</w:t>
      </w:r>
      <w:r>
        <w:t>ежминистерский комитет подготовил Национальную программу действий по обеспечению гендерного равенства на 2001–2006 годы.</w:t>
      </w:r>
    </w:p>
    <w:p w:rsidR="00000000" w:rsidRDefault="00000000">
      <w:pPr>
        <w:pStyle w:val="BodyText"/>
      </w:pPr>
      <w:r>
        <w:t>23.</w:t>
      </w:r>
      <w:r>
        <w:tab/>
        <w:t>В рамках парламента Греции с 2002 года функционирует Постоянный парламентский комитет по обеспечению равноправия и прав человека</w:t>
      </w:r>
      <w:r>
        <w:rPr>
          <w:rStyle w:val="FootnoteReference"/>
        </w:rPr>
        <w:footnoteReference w:id="15"/>
      </w:r>
      <w:r>
        <w:t>. Деятельность Комитета направлена на изучение, исследование и подготовку предложений по содействию соблюдению принципа гендерного равенства в системе образования, семье и прочих социальных институтах, а также его гарантирование и осуществление органами государственного управления, особенно в области занятости и вопросах уважения и защиты прав человека, в соответствии с пунктом 2 статьи 4 и пунктом 2 статьи 116 Конституции.</w:t>
      </w:r>
    </w:p>
    <w:p w:rsidR="00000000" w:rsidRDefault="00000000">
      <w:pPr>
        <w:pStyle w:val="BodyText"/>
      </w:pPr>
      <w:r>
        <w:t>24.</w:t>
      </w:r>
      <w:r>
        <w:tab/>
        <w:t>В соответствии с президентским указом 39/2004 при секретариате министра национальной обороны был создан Отдел гендерного равенства</w:t>
      </w:r>
      <w:r>
        <w:rPr>
          <w:rStyle w:val="FootnoteReference"/>
        </w:rPr>
        <w:footnoteReference w:id="16"/>
      </w:r>
      <w:r>
        <w:t xml:space="preserve">. В задачи </w:t>
      </w:r>
      <w:r>
        <w:rPr>
          <w:caps/>
        </w:rPr>
        <w:t>о</w:t>
      </w:r>
      <w:r>
        <w:t xml:space="preserve">тдела входит: </w:t>
      </w:r>
      <w:r>
        <w:rPr>
          <w:lang w:val="en-US"/>
        </w:rPr>
        <w:t>a</w:t>
      </w:r>
      <w:r>
        <w:t xml:space="preserve">) сбор и обработка данных и информации о законодательных нормах по вопросам гендерного равенства среди военного персонала вооруженных сил Греции, а также вооруженных сил других государств – членов Европейского союза, Организации Североатлантического договора и других международных организаций; </w:t>
      </w:r>
      <w:r>
        <w:rPr>
          <w:lang w:val="en-US"/>
        </w:rPr>
        <w:t>b</w:t>
      </w:r>
      <w:r>
        <w:t>)</w:t>
      </w:r>
      <w:r>
        <w:rPr>
          <w:lang w:val="en-US"/>
        </w:rPr>
        <w:t> </w:t>
      </w:r>
      <w:r>
        <w:t>разработка административных предложений и содействие принятию необходимых мер по осуществлению принципа гендерного равенства в вопросах, касающихся военного персонала национальных вооруженных сил; с) сотрудничество с Генеральным секретариатом по гендерному равенству, генеральной штаб-квартирой и всеми другими департаментами Министерства национальной обороны по вопросам гендерного равенства.</w:t>
      </w:r>
    </w:p>
    <w:p w:rsidR="00000000" w:rsidRDefault="00000000">
      <w:pPr>
        <w:pStyle w:val="18-8"/>
      </w:pPr>
      <w:r>
        <w:sym w:font="Symbol" w:char="F0B7"/>
      </w:r>
      <w:r>
        <w:tab/>
        <w:t>С учетом функций вышеупомянутого отдела военный персонал вооруженных сил может обращаться по инстанции в Отдел гендерного равенства со всеми проблемами гендерного характера, которые могут возникнуть в повседневной жизни в вооруженных силах.</w:t>
      </w:r>
    </w:p>
    <w:p w:rsidR="00000000" w:rsidRDefault="00000000">
      <w:pPr>
        <w:pStyle w:val="BodyText"/>
        <w:jc w:val="center"/>
        <w:rPr>
          <w:b/>
        </w:rPr>
      </w:pPr>
      <w:r>
        <w:rPr>
          <w:b/>
          <w:lang w:val="en-US"/>
        </w:rPr>
        <w:t>XI</w:t>
      </w:r>
      <w:r>
        <w:rPr>
          <w:b/>
        </w:rPr>
        <w:t>.  Правовая помощь</w:t>
      </w:r>
    </w:p>
    <w:p w:rsidR="00000000" w:rsidRDefault="00000000">
      <w:pPr>
        <w:pStyle w:val="BodyText"/>
      </w:pPr>
      <w:r>
        <w:t>25.</w:t>
      </w:r>
      <w:r>
        <w:tab/>
        <w:t>В законе 3226/2004 "О предоставлении правовой помощи малообеспеченным гражданам" предусматривается, в частности:</w:t>
      </w:r>
    </w:p>
    <w:p w:rsidR="00000000" w:rsidRDefault="00000000">
      <w:pPr>
        <w:pStyle w:val="18-8"/>
      </w:pPr>
      <w:r>
        <w:sym w:font="Symbol" w:char="F0B7"/>
      </w:r>
      <w:r>
        <w:tab/>
        <w:t>малообеспеченным гражданам любого государства – члена Европейского союза предоставляется правовая помощь. Таким гражданам третьих стран и иностранным гражданам также предоставляется правовая помощь, если они имеют законный вид на жительство или постоянно проживают в странах Европейского союза;</w:t>
      </w:r>
    </w:p>
    <w:p w:rsidR="00000000" w:rsidRDefault="00000000">
      <w:pPr>
        <w:pStyle w:val="18-8"/>
      </w:pPr>
      <w:r>
        <w:sym w:font="Symbol" w:char="F0B7"/>
      </w:r>
      <w:r>
        <w:tab/>
        <w:t>в число малообеспеченных граждан, которым предоставляется юридическая помощь, входят граждане, годовой доход которых не превышает две трети наиболее низкого уровня годового индивидуального дохода, определенного в Генеральном национальном коллективном трудовом соглашении. В случае семейных разногласий или споров доход лица, с которым возникают разногласия или ведется спор, в расчет не принимается.</w:t>
      </w:r>
    </w:p>
    <w:p w:rsidR="00000000" w:rsidRDefault="00000000">
      <w:pPr>
        <w:pStyle w:val="BodyText"/>
      </w:pPr>
      <w:r>
        <w:t>26.</w:t>
      </w:r>
      <w:r>
        <w:tab/>
        <w:t xml:space="preserve">Что касается правовой информации и консультаций для женщин, этот вид услуг предоставляется бесплатно Исследовательским центром по вопросам равноправия мужчин и женщин – </w:t>
      </w:r>
      <w:r>
        <w:rPr>
          <w:lang w:val="en-US"/>
        </w:rPr>
        <w:t>K</w:t>
      </w:r>
      <w:r>
        <w:t>.</w:t>
      </w:r>
      <w:r>
        <w:rPr>
          <w:lang w:val="en-US"/>
        </w:rPr>
        <w:t>E</w:t>
      </w:r>
      <w:r>
        <w:t>.</w:t>
      </w:r>
      <w:r>
        <w:rPr>
          <w:lang w:val="en-US"/>
        </w:rPr>
        <w:t>TH</w:t>
      </w:r>
      <w:r>
        <w:t>.</w:t>
      </w:r>
      <w:r>
        <w:rPr>
          <w:lang w:val="en-US"/>
        </w:rPr>
        <w:t>I</w:t>
      </w:r>
      <w:r>
        <w:t xml:space="preserve">. (учреждением, функционирующим в рамках государственного законодательства под контролем Генерального секретариата по гендерному равенству) в целях расширения возможностей женщин по осуществлению их прав. С января 2000 года по август 2004 года в консультационные центры </w:t>
      </w:r>
      <w:r>
        <w:rPr>
          <w:lang w:val="en-US"/>
        </w:rPr>
        <w:t>K</w:t>
      </w:r>
      <w:r>
        <w:t>.</w:t>
      </w:r>
      <w:r>
        <w:rPr>
          <w:lang w:val="en-US"/>
        </w:rPr>
        <w:t>E</w:t>
      </w:r>
      <w:r>
        <w:t>.</w:t>
      </w:r>
      <w:r>
        <w:rPr>
          <w:lang w:val="en-US"/>
        </w:rPr>
        <w:t>TH</w:t>
      </w:r>
      <w:r>
        <w:t>.</w:t>
      </w:r>
      <w:r>
        <w:rPr>
          <w:lang w:val="en-US"/>
        </w:rPr>
        <w:t>I</w:t>
      </w:r>
      <w:r>
        <w:t>. (в Афинах, Салониках, Патрасе, Гераклионе и Волосе) поступило 6715 ходатайств от женщин, желающих получить юридическую консультацию; было проведено 11 868 личных встреч и телефонных бесед с женщинами.</w:t>
      </w:r>
    </w:p>
    <w:p w:rsidR="00000000" w:rsidRDefault="00000000">
      <w:pPr>
        <w:pStyle w:val="BodyText"/>
      </w:pPr>
      <w:r>
        <w:t>27.</w:t>
      </w:r>
      <w:r>
        <w:tab/>
        <w:t xml:space="preserve">В рамках местных программ Центр </w:t>
      </w:r>
      <w:r>
        <w:rPr>
          <w:lang w:val="en-US"/>
        </w:rPr>
        <w:t>K</w:t>
      </w:r>
      <w:r>
        <w:t>.</w:t>
      </w:r>
      <w:r>
        <w:rPr>
          <w:lang w:val="en-US"/>
        </w:rPr>
        <w:t>E</w:t>
      </w:r>
      <w:r>
        <w:t>.</w:t>
      </w:r>
      <w:r>
        <w:rPr>
          <w:lang w:val="en-US"/>
        </w:rPr>
        <w:t>TH</w:t>
      </w:r>
      <w:r>
        <w:t>.</w:t>
      </w:r>
      <w:r>
        <w:rPr>
          <w:lang w:val="en-US"/>
        </w:rPr>
        <w:t>I</w:t>
      </w:r>
      <w:r>
        <w:t xml:space="preserve">. в сотрудничестве с ассоциациями адвокатов осуществил (с июля 2000 года по март 2003 года) в Афинах, Салониках, Патрасе, Гераклионе и Волосе программу под названием "Равные права: от законодательства к повседневной практике". В рамках этой программы были организованы учебные семинары для начинающих юристов по следующей тематике: </w:t>
      </w:r>
    </w:p>
    <w:p w:rsidR="00000000" w:rsidRDefault="00000000">
      <w:pPr>
        <w:pStyle w:val="110"/>
      </w:pPr>
      <w:r>
        <w:t>–</w:t>
      </w:r>
      <w:r>
        <w:tab/>
        <w:t>Конституционное гендерное равенство – стратегия Европейского союза;</w:t>
      </w:r>
    </w:p>
    <w:p w:rsidR="00000000" w:rsidRDefault="00000000">
      <w:pPr>
        <w:pStyle w:val="110"/>
      </w:pPr>
      <w:r>
        <w:t>–</w:t>
      </w:r>
      <w:r>
        <w:tab/>
        <w:t>Равная оплата – равное обращение;</w:t>
      </w:r>
    </w:p>
    <w:p w:rsidR="00000000" w:rsidRDefault="00000000">
      <w:pPr>
        <w:pStyle w:val="110"/>
      </w:pPr>
      <w:r>
        <w:t>–</w:t>
      </w:r>
      <w:r>
        <w:tab/>
        <w:t>Насилие в семье, изнасилование, сексуальные домогательства на рабочем месте;</w:t>
      </w:r>
    </w:p>
    <w:p w:rsidR="00000000" w:rsidRDefault="00000000">
      <w:pPr>
        <w:pStyle w:val="110"/>
      </w:pPr>
      <w:r>
        <w:t>–</w:t>
      </w:r>
      <w:r>
        <w:tab/>
        <w:t>Правовая помощь – административные рамки и практика.</w:t>
      </w:r>
    </w:p>
    <w:p w:rsidR="00000000" w:rsidRDefault="00000000">
      <w:pPr>
        <w:pStyle w:val="18-8"/>
      </w:pPr>
      <w:r>
        <w:sym w:font="Symbol" w:char="F0B7"/>
      </w:r>
      <w:r>
        <w:tab/>
        <w:t>Кроме того, в рамках вышеуказанной программы Исследовательский центр по вопросам гендерного равенства в сотрудничестве с Министерством занятости и социальной защиты, Генеральным секретариатом по гендерному равенству и Инспекцией по вопросам занятости организовал семинары для инспекторов по вопросам занятости в Афинах и Салониках по следующей тематике:</w:t>
      </w:r>
    </w:p>
    <w:p w:rsidR="00000000" w:rsidRDefault="00000000">
      <w:pPr>
        <w:pStyle w:val="110"/>
      </w:pPr>
      <w:r>
        <w:t>–</w:t>
      </w:r>
      <w:r>
        <w:tab/>
        <w:t>Европейская стратегия гендерного равенства;</w:t>
      </w:r>
    </w:p>
    <w:p w:rsidR="00000000" w:rsidRDefault="00000000">
      <w:pPr>
        <w:pStyle w:val="110"/>
      </w:pPr>
      <w:r>
        <w:t>–</w:t>
      </w:r>
      <w:r>
        <w:tab/>
        <w:t>Равное обращение – равная оплата на рабочем месте (положения национального и местного законодательства – судебная система);</w:t>
      </w:r>
    </w:p>
    <w:p w:rsidR="00000000" w:rsidRDefault="00000000">
      <w:pPr>
        <w:pStyle w:val="110"/>
      </w:pPr>
      <w:r>
        <w:t>–</w:t>
      </w:r>
      <w:r>
        <w:tab/>
        <w:t>Контроль со стороны Инспекции по вопросам занятости за соблюдением соответствующих положений;</w:t>
      </w:r>
    </w:p>
    <w:p w:rsidR="00000000" w:rsidRDefault="00000000">
      <w:pPr>
        <w:pStyle w:val="110"/>
      </w:pPr>
      <w:r>
        <w:t>–</w:t>
      </w:r>
      <w:r>
        <w:tab/>
        <w:t>Охрана материнства и помощь трудящимся, имеющим семейные обязанности;</w:t>
      </w:r>
    </w:p>
    <w:p w:rsidR="00000000" w:rsidRDefault="00000000">
      <w:pPr>
        <w:pStyle w:val="110"/>
      </w:pPr>
      <w:r>
        <w:t>–</w:t>
      </w:r>
      <w:r>
        <w:tab/>
        <w:t>Охрана здоровья и безопасность трудящихся женщин;</w:t>
      </w:r>
    </w:p>
    <w:p w:rsidR="00000000" w:rsidRDefault="00000000">
      <w:pPr>
        <w:pStyle w:val="110"/>
      </w:pPr>
      <w:r>
        <w:t>–</w:t>
      </w:r>
      <w:r>
        <w:tab/>
        <w:t>Сексуальные домогательства на рабочем месте.</w:t>
      </w:r>
    </w:p>
    <w:p w:rsidR="00000000" w:rsidRDefault="00000000">
      <w:pPr>
        <w:pStyle w:val="18-8"/>
      </w:pPr>
      <w:r>
        <w:sym w:font="Symbol" w:char="F0B7"/>
      </w:r>
      <w:r>
        <w:tab/>
        <w:t>Эта программа была на 60 процентов профинансирована Европейским союзом и на 40 процентов – Генеральным секретариатом по гендерному равенству.</w:t>
      </w:r>
    </w:p>
    <w:p w:rsidR="00000000" w:rsidRDefault="00000000">
      <w:pPr>
        <w:pStyle w:val="18-8"/>
      </w:pPr>
      <w:r>
        <w:sym w:font="Symbol" w:char="F0B7"/>
      </w:r>
      <w:r>
        <w:tab/>
        <w:t xml:space="preserve">По завершении указанных программ и до принятия закона 3226/2004 "О предоставлении правовой помощи малообеспеченным гражданам" (февраль 2004 года) Центр </w:t>
      </w:r>
      <w:r>
        <w:rPr>
          <w:lang w:val="en-US"/>
        </w:rPr>
        <w:t>K</w:t>
      </w:r>
      <w:r>
        <w:t>.</w:t>
      </w:r>
      <w:r>
        <w:rPr>
          <w:lang w:val="en-US"/>
        </w:rPr>
        <w:t>E</w:t>
      </w:r>
      <w:r>
        <w:t>.</w:t>
      </w:r>
      <w:r>
        <w:rPr>
          <w:lang w:val="en-US"/>
        </w:rPr>
        <w:t>TH</w:t>
      </w:r>
      <w:r>
        <w:t>.</w:t>
      </w:r>
      <w:r>
        <w:rPr>
          <w:lang w:val="en-US"/>
        </w:rPr>
        <w:t>I</w:t>
      </w:r>
      <w:r>
        <w:t xml:space="preserve">. за счет своего регулярного бюджета продлил финансирование и поддержку практики бесплатного предоставления юридической информации и консультационных услуг, поскольку она отвечала неотложным социальным нуждам малообеспеченных женщин. В сотрудничестве с ассоциациями адвокатов таких городов, как Афины, Салоники, Патрас, Ираклион и Волос, и при содействии Центра </w:t>
      </w:r>
      <w:r>
        <w:rPr>
          <w:lang w:val="en-US"/>
        </w:rPr>
        <w:t>K</w:t>
      </w:r>
      <w:r>
        <w:t>.</w:t>
      </w:r>
      <w:r>
        <w:rPr>
          <w:lang w:val="en-US"/>
        </w:rPr>
        <w:t>E</w:t>
      </w:r>
      <w:r>
        <w:t>.</w:t>
      </w:r>
      <w:r>
        <w:rPr>
          <w:lang w:val="en-US"/>
        </w:rPr>
        <w:t>TH</w:t>
      </w:r>
      <w:r>
        <w:t>.</w:t>
      </w:r>
      <w:r>
        <w:rPr>
          <w:lang w:val="en-US"/>
        </w:rPr>
        <w:t>I</w:t>
      </w:r>
      <w:r>
        <w:t xml:space="preserve">. женщинам, сталкивающимся с острыми социальными и финансовыми проблемами, удалось довести свои иски до суда. </w:t>
      </w:r>
      <w:r>
        <w:br/>
        <w:t>В целом судом была оказана поддержка 237 искам.</w:t>
      </w:r>
    </w:p>
    <w:p w:rsidR="00000000" w:rsidRDefault="00000000">
      <w:pPr>
        <w:pStyle w:val="BodyText"/>
        <w:jc w:val="center"/>
        <w:rPr>
          <w:b/>
        </w:rPr>
      </w:pPr>
      <w:r>
        <w:rPr>
          <w:b/>
          <w:lang w:val="en-US"/>
        </w:rPr>
        <w:t>XII</w:t>
      </w:r>
      <w:r>
        <w:rPr>
          <w:b/>
        </w:rPr>
        <w:t>.  Сельскохозяйственный сектор</w:t>
      </w:r>
    </w:p>
    <w:p w:rsidR="00000000" w:rsidRDefault="00000000">
      <w:pPr>
        <w:pStyle w:val="BodyText"/>
      </w:pPr>
      <w:r>
        <w:t>28.</w:t>
      </w:r>
      <w:r>
        <w:tab/>
        <w:t>В соответствии с законом 2810/2003 "О сельскохозяйственных кооперативных организациях" внесены изменения в условия создания сельскохозяйственных кооперативов, что содействует участию женщин в кооперативах</w:t>
      </w:r>
      <w:r>
        <w:rPr>
          <w:rStyle w:val="FootnoteReference"/>
        </w:rPr>
        <w:footnoteReference w:id="17"/>
      </w:r>
      <w:r>
        <w:t>.</w:t>
      </w:r>
    </w:p>
    <w:p w:rsidR="00000000" w:rsidRDefault="00000000">
      <w:pPr>
        <w:pStyle w:val="BodyText"/>
      </w:pPr>
      <w:r>
        <w:t>29.</w:t>
      </w:r>
      <w:r>
        <w:tab/>
        <w:t>В соответствии с законом 3147/2003 "Регулирование вопросов о сельскохозяйственных землях, восстановленных и восстанавливаемых в правах фермерских животноводческих хозяйств и другие законоположения" еще более улучшаются условия участия женщин в сельскохозяйственном производстве</w:t>
      </w:r>
      <w:r>
        <w:rPr>
          <w:rStyle w:val="FootnoteReference"/>
        </w:rPr>
        <w:footnoteReference w:id="18"/>
      </w:r>
      <w:r>
        <w:t>.</w:t>
      </w:r>
    </w:p>
    <w:p w:rsidR="00000000" w:rsidRDefault="00000000">
      <w:pPr>
        <w:pStyle w:val="Heading2"/>
      </w:pPr>
      <w:bookmarkStart w:id="6" w:name="_Toc116466870"/>
      <w:r>
        <w:t>Статья 4</w:t>
      </w:r>
      <w:bookmarkEnd w:id="6"/>
    </w:p>
    <w:p w:rsidR="00000000" w:rsidRDefault="00000000">
      <w:pPr>
        <w:pStyle w:val="a4"/>
      </w:pPr>
      <w:r>
        <w:t>1.  Принятие государствами-участниками временных специальных мер, направленных на ускорение установления фактического равенства между мужчинами и женщинами, не считается, как это определяется настоящей Конвенцией, дискриминационным, однако оно ни в коей мере не должно влечь за собой сохранение неравноправных или дифференцированных стандартов; эти меры должны быть отменены, когда будут достигнуты цели равенства возможностей и равноправного отношения.</w:t>
      </w:r>
    </w:p>
    <w:p w:rsidR="00000000" w:rsidRDefault="00000000">
      <w:pPr>
        <w:pStyle w:val="a4"/>
      </w:pPr>
      <w:r>
        <w:t>2.  Принятие государствами-участниками специальных мер</w:t>
      </w:r>
      <w:r>
        <w:rPr>
          <w:spacing w:val="-2"/>
        </w:rPr>
        <w:t>, направленных</w:t>
      </w:r>
      <w:r>
        <w:t xml:space="preserve"> на охрану материнства, включая меры, содержащиеся в настоящей Конвенции, не считается дискриминационным.</w:t>
      </w:r>
    </w:p>
    <w:p w:rsidR="00000000" w:rsidRDefault="00000000">
      <w:pPr>
        <w:pStyle w:val="BodyText"/>
        <w:jc w:val="center"/>
        <w:rPr>
          <w:b/>
        </w:rPr>
      </w:pPr>
      <w:r>
        <w:rPr>
          <w:b/>
        </w:rPr>
        <w:t xml:space="preserve">Позитивные меры в интересах женщин в законодательстве </w:t>
      </w:r>
      <w:r>
        <w:rPr>
          <w:b/>
          <w:caps/>
        </w:rPr>
        <w:t>г</w:t>
      </w:r>
      <w:r>
        <w:rPr>
          <w:b/>
        </w:rPr>
        <w:t>реции</w:t>
      </w:r>
    </w:p>
    <w:p w:rsidR="00000000" w:rsidRDefault="00000000">
      <w:pPr>
        <w:pStyle w:val="BodyText"/>
      </w:pPr>
      <w:r>
        <w:t>1.</w:t>
      </w:r>
      <w:r>
        <w:tab/>
        <w:t>В результате последней редакции Конституции Греции был изменен пункт 2 статьи 116 и, как следствие, были устранены отступления от принципа гендерного равенства; в настоящее время четко предусматривается необходимость принятия государством специальных позитивных мер в целях ликвидации дискриминации, главным образом, в отношении женщин</w:t>
      </w:r>
      <w:r>
        <w:rPr>
          <w:rStyle w:val="FootnoteReference"/>
        </w:rPr>
        <w:footnoteReference w:id="19"/>
      </w:r>
      <w:r>
        <w:t>.</w:t>
      </w:r>
    </w:p>
    <w:p w:rsidR="00000000" w:rsidRDefault="00000000">
      <w:pPr>
        <w:pStyle w:val="BodyText"/>
      </w:pPr>
      <w:r>
        <w:t>2.</w:t>
      </w:r>
      <w:r>
        <w:tab/>
        <w:t>Способность выполнения вышеуказанного требования подверглась испытанию на недавних выборах в муниципалитеты и префектуры Греции. Следует напомнить, что закон 2910/2001 предусматривает в качестве обязательного соотношение 1:3 для мужчин и женщин – кандидатов на выборах в муниципалитеты и префектуры.</w:t>
      </w:r>
    </w:p>
    <w:p w:rsidR="00000000" w:rsidRDefault="00000000">
      <w:pPr>
        <w:pStyle w:val="BodyText"/>
      </w:pPr>
      <w:r>
        <w:t>3.</w:t>
      </w:r>
      <w:r>
        <w:tab/>
        <w:t>Третьим отделом Государственного совета был принят ряд решений относительно соответствия положений закона 2910/2001</w:t>
      </w:r>
      <w:r>
        <w:rPr>
          <w:rStyle w:val="FootnoteReference"/>
        </w:rPr>
        <w:footnoteReference w:id="20"/>
      </w:r>
      <w:r>
        <w:t xml:space="preserve"> Конституции. Верховный административный суд страны конкретно постановил:</w:t>
      </w:r>
    </w:p>
    <w:p w:rsidR="00000000" w:rsidRDefault="00000000">
      <w:pPr>
        <w:pStyle w:val="-1"/>
      </w:pPr>
      <w:r>
        <w:t>В пункте 2 статьи 4 и пункте 1 статьи 5 Конституции устанавливается принцип гендерного равенства в отношении доступа к государственной службе, включая выборные должности в местных администрациях. Вместе с тем в целях обеспечения беспрепятственного и эффективного осуществления вышеупомянутого принципа пункт 2 статьи 116 Конституции совместно с положениями пункта 1 статьи 25 Конституции предписывают законодательному органу как представительному, так и регламентирующему, а также другим государственным учреждениям в случаях, когда точно установлено наличие практической дискриминации в отношении женщин в виде нарушений в осуществлении принципа гендерного равенства в отношении доступа к государственной службе, что приводит к равноправию только на словах, а на деле лишь закрепляет и увековечивает существующее неравноправное положение, принять (путем принудительного выполнения соответствующих законодательных или административных норм) эффективные и необходимые позитивные меры в интересах женщин на конкретный период времени, с тем чтобы уменьшить существующее неравенство, пока не будет установлено подлинное гендерное равенство в отношении доступа к государственной службе.</w:t>
      </w:r>
    </w:p>
    <w:p w:rsidR="00000000" w:rsidRDefault="00000000">
      <w:pPr>
        <w:pStyle w:val="BodyText"/>
      </w:pPr>
      <w:r>
        <w:t>4.</w:t>
      </w:r>
      <w:r>
        <w:tab/>
        <w:t>Государственный совет также отметил, что ни в соответствии с буквой положения пункта</w:t>
      </w:r>
      <w:r>
        <w:rPr>
          <w:lang w:val="en-US"/>
        </w:rPr>
        <w:t> </w:t>
      </w:r>
      <w:r>
        <w:t>2 статьи</w:t>
      </w:r>
      <w:r>
        <w:rPr>
          <w:lang w:val="en-US"/>
        </w:rPr>
        <w:t> </w:t>
      </w:r>
      <w:r>
        <w:t>116 Конституции, ни с учетом подготовительной работы, до того, как ее итоги будут поставлены на голосование, нельзя предопределять ни специфические формы, в которые могли бы вылиться упомянутые позитивные меры, ни непосредственные области, такие как права человека, социальные и политические права, на которые будут распространяться эти меры. Поэтому при толковании данной конституционной нормы необходимо принять во внимание следующее:</w:t>
      </w:r>
    </w:p>
    <w:p w:rsidR="00000000" w:rsidRDefault="00000000">
      <w:pPr>
        <w:pStyle w:val="110"/>
      </w:pPr>
      <w:r>
        <w:t>а)</w:t>
      </w:r>
      <w:r>
        <w:tab/>
        <w:t>упомянутое выше отсутствие определения областей, в которых представляется необходимым принятие позитивных мер;</w:t>
      </w:r>
    </w:p>
    <w:p w:rsidR="00000000" w:rsidRDefault="00000000">
      <w:pPr>
        <w:pStyle w:val="110"/>
      </w:pPr>
      <w:r>
        <w:rPr>
          <w:lang w:val="en-US"/>
        </w:rPr>
        <w:t>b</w:t>
      </w:r>
      <w:r>
        <w:t>)</w:t>
      </w:r>
      <w:r>
        <w:tab/>
        <w:t>указанная норма направлена на принятие позитивных мер в целях достижения наибольшего возможного положительного результата в плане обеспечения равного доступа женщин и мужчин к государственной службе, например в выборных органах местных администраций;</w:t>
      </w:r>
    </w:p>
    <w:p w:rsidR="00000000" w:rsidRDefault="00000000">
      <w:pPr>
        <w:pStyle w:val="110"/>
      </w:pPr>
      <w:r>
        <w:t>с)</w:t>
      </w:r>
      <w:r>
        <w:tab/>
        <w:t xml:space="preserve">международные обязательства Греции по обеспечению женщинам, в том числе посредством принятия позитивных мер, возможностей осуществлять и пользоваться на равной основе с мужчинами всеми правами человека, социальными и политическими правами (см. статьи 1, 3, 4, 7 и 24 Международной конвенции Организации Объединенных Наций о ликвидации всех форм дискриминации в отношении женщин 1979 года, ратифицированной парламентом Греции законом 1342/1983), а также </w:t>
      </w:r>
    </w:p>
    <w:p w:rsidR="00000000" w:rsidRDefault="00000000">
      <w:pPr>
        <w:pStyle w:val="110"/>
      </w:pPr>
      <w:r>
        <w:rPr>
          <w:lang w:val="en-US"/>
        </w:rPr>
        <w:t>d</w:t>
      </w:r>
      <w:r>
        <w:t>)</w:t>
      </w:r>
      <w:r>
        <w:tab/>
        <w:t>хорошо известный факт недостаточной представленности женщин в политической жизни, что связано с осуществлением их политических прав.</w:t>
      </w:r>
    </w:p>
    <w:p w:rsidR="00000000" w:rsidRDefault="00000000">
      <w:pPr>
        <w:pStyle w:val="BodyText"/>
      </w:pPr>
      <w:r>
        <w:t>5.</w:t>
      </w:r>
      <w:r>
        <w:tab/>
        <w:t>Таким образом, с учетом положений пункта 2 статьи 116 Конституции Государственный совет приходит к заключению:</w:t>
      </w:r>
    </w:p>
    <w:p w:rsidR="00000000" w:rsidRDefault="00000000">
      <w:pPr>
        <w:pStyle w:val="-1"/>
        <w:rPr>
          <w:i w:val="0"/>
        </w:rPr>
      </w:pPr>
      <w:r>
        <w:t>"Конституционный законодательный орган имел намерение допустить принятие позитивных мер в любой форме во всех областях деятельности мужчин и женщин, а именно в области прав человека и социальных прав, а также в области политических прав, при очевидном предварительном условии, что осуществляемые позитивные меры не влекут за собой чрезмерных ограничений, затрагивающих основу прав человека и политических прав, на обеспечение которых эти меры направлены".</w:t>
      </w:r>
    </w:p>
    <w:p w:rsidR="00000000" w:rsidRDefault="00000000">
      <w:pPr>
        <w:pStyle w:val="Heading2"/>
        <w:rPr>
          <w:i/>
        </w:rPr>
      </w:pPr>
      <w:bookmarkStart w:id="7" w:name="_Toc116466871"/>
      <w:r>
        <w:t>Статья 5</w:t>
      </w:r>
      <w:bookmarkEnd w:id="7"/>
    </w:p>
    <w:p w:rsidR="00000000" w:rsidRDefault="00000000">
      <w:pPr>
        <w:pStyle w:val="a4"/>
      </w:pPr>
      <w:r>
        <w:t>Государства-участники принимают все соответствующие меры с целью:</w:t>
      </w:r>
    </w:p>
    <w:p w:rsidR="00000000" w:rsidRDefault="00000000">
      <w:pPr>
        <w:pStyle w:val="a4"/>
      </w:pPr>
      <w:r>
        <w:tab/>
        <w:t>а)</w:t>
      </w:r>
      <w:r>
        <w:tab/>
        <w:t xml:space="preserve">изменить социальные и культурные модели поведения мужчин и женщин с целью достижения искоренения предрассудков и упразднения обычаев и всякой прочей практики, которые основаны на идее неполноценности или превосходства одного из полов или стереотипности роли мужчин и женщин; </w:t>
      </w:r>
    </w:p>
    <w:p w:rsidR="00000000" w:rsidRDefault="00000000">
      <w:pPr>
        <w:pStyle w:val="a4"/>
      </w:pPr>
      <w:r>
        <w:tab/>
      </w:r>
      <w:r>
        <w:rPr>
          <w:lang w:val="en-US"/>
        </w:rPr>
        <w:t>b</w:t>
      </w:r>
      <w:r>
        <w:t>)</w:t>
      </w:r>
      <w:r>
        <w:tab/>
        <w:t>обеспечить, чтобы семейное воспитание включало в себя правильное понимание материнства как социальной функции и признание общей ответственности мужчин и женщин за воспитание и развитие своих детей при условии, что во всех случаях интересы детей являются преобладающими.</w:t>
      </w:r>
    </w:p>
    <w:p w:rsidR="00000000" w:rsidRDefault="00000000">
      <w:pPr>
        <w:pStyle w:val="BodyText"/>
        <w:jc w:val="center"/>
        <w:rPr>
          <w:b/>
        </w:rPr>
      </w:pPr>
    </w:p>
    <w:p w:rsidR="00000000" w:rsidRDefault="00000000">
      <w:pPr>
        <w:pStyle w:val="BodyText"/>
        <w:jc w:val="center"/>
        <w:rPr>
          <w:b/>
        </w:rPr>
      </w:pPr>
      <w:r>
        <w:rPr>
          <w:b/>
        </w:rPr>
        <w:t>А.  Роль средств массовой информации в искоренении стереотипов</w:t>
      </w:r>
    </w:p>
    <w:p w:rsidR="00000000" w:rsidRDefault="00000000">
      <w:pPr>
        <w:pStyle w:val="BodyText"/>
        <w:jc w:val="center"/>
        <w:rPr>
          <w:b/>
        </w:rPr>
      </w:pPr>
      <w:r>
        <w:rPr>
          <w:b/>
          <w:lang w:val="en-US"/>
        </w:rPr>
        <w:t>I</w:t>
      </w:r>
      <w:r>
        <w:rPr>
          <w:b/>
        </w:rPr>
        <w:t>.  Общие принципы</w:t>
      </w:r>
    </w:p>
    <w:p w:rsidR="00000000" w:rsidRDefault="00000000">
      <w:pPr>
        <w:pStyle w:val="BodyText"/>
      </w:pPr>
      <w:r>
        <w:t>1.</w:t>
      </w:r>
      <w:r>
        <w:tab/>
        <w:t>Средства массовой информации являются важным каналом распространения социальных установок, а также воздействия на общественное сознание в том, что касается положения и роли полов в греческом обществе. Национальный план действий по установлению гендерного равенства (2001–2006 годы), осуществляемый под эгидой Генерального секретариата по гендерному равенству при Министерстве внутренних дел, государственной администрации и децентрализации, включает мероприятия и действия, направленные на изменение стереотипов в отношении роли мужчин и женщин. В частности, что касается стереотипов, распространяемых в СМИ, план включает конкретные меры вмешательства, а также повышение осведомленности населения в сфере образования, культуры и во всех областях жизни.</w:t>
      </w:r>
    </w:p>
    <w:p w:rsidR="00000000" w:rsidRDefault="00000000">
      <w:pPr>
        <w:pStyle w:val="BodyText"/>
        <w:jc w:val="center"/>
        <w:rPr>
          <w:b/>
        </w:rPr>
      </w:pPr>
      <w:r>
        <w:rPr>
          <w:b/>
          <w:lang w:val="en-US"/>
        </w:rPr>
        <w:t>II</w:t>
      </w:r>
      <w:r>
        <w:rPr>
          <w:b/>
        </w:rPr>
        <w:t>.  Научные исследования: изучение роли СМИ</w:t>
      </w:r>
    </w:p>
    <w:p w:rsidR="00000000" w:rsidRDefault="00000000">
      <w:pPr>
        <w:pStyle w:val="BodyText"/>
      </w:pPr>
      <w:r>
        <w:t>2.</w:t>
      </w:r>
      <w:r>
        <w:tab/>
        <w:t>В 2001–2002 годах Исследовательский центр по проблемам гендерного равенства (К.Е.ТН.</w:t>
      </w:r>
      <w:r>
        <w:rPr>
          <w:lang w:val="en-US"/>
        </w:rPr>
        <w:t>I</w:t>
      </w:r>
      <w:r>
        <w:t>.), находящийся в ведении Генерального секретариата по гендерному равенству при Министерстве внутренних дел, государственной администрации и децентрализации, осуществил соответствующие обследования и исследования, в частности:</w:t>
      </w:r>
    </w:p>
    <w:p w:rsidR="00000000" w:rsidRDefault="00000000">
      <w:pPr>
        <w:pStyle w:val="18-8"/>
      </w:pPr>
      <w:r>
        <w:sym w:font="Symbol" w:char="F0B7"/>
      </w:r>
      <w:r>
        <w:tab/>
        <w:t>"Гендер и СМИ: целевое обследование на местах". Это обследование проведено в 2001 году по инициативе Исследовательского центра по проблемам гендерного равенства, который также финансировал этот проект. Результаты обследования были направлены в Департамент коммуникаций и СМИ, Сектор коммуникаций (Лаборатория риторики и речи) Афинского политехнического университета и в Центр по исследованию проблем женщин (некоммерческое общество). Конечным адресатом этого обследования был Исследовательский центр по проблемам гендерного равенства. Выводы из обследования показали, что СМИ Греции по</w:t>
      </w:r>
      <w:r>
        <w:noBreakHyphen/>
        <w:t>прежнему подвержены стереотипному мышлению, основанному на гендерном неравенстве. В частности, доминирующие в СМИ социальные стереотипы имеют в своей основе традиционные модели и роли мужчины и женщины.</w:t>
      </w:r>
    </w:p>
    <w:p w:rsidR="00000000" w:rsidRDefault="00000000">
      <w:pPr>
        <w:pStyle w:val="18-8"/>
      </w:pPr>
      <w:r>
        <w:sym w:font="Symbol" w:char="F0B7"/>
      </w:r>
      <w:r>
        <w:tab/>
        <w:t>"Гендер и СМИ. Обзорное исследование" было проведено в 2001 году по инициативе Исследовательского центра по проблемам гендерного равенства, который также финансировал данный проект. Конечным адресатом исследования был Исследовательский центр по проблемам гендерного равенства. Путем обзора материалов публикаций в СМИ было установлено, что исследование, касающееся гендерной проблематики в СМИ, в настоящее время базируется на новых представлениях и предположениях относительно гендерной проблемы, на отношении читателя и зрителя к СМИ, роли СМИ в повседневной жизни. В Греции изучение проблемы "гендер и СМИ" не является систематическим. Предложения по исследованию этой тематики в будущем направлены на увязку соответствующих греческих проектов с международной информацией и исследованием вопросов, непосредственно касающихся греческих реалий. Основное внимание в указанных предложениях уделяется изучению гендерной проблематики и новых технологий, а также другим вопросам, которые пока еще недостаточно изучены. В них также ставится цель идентификации и исследования опыта женщин Греции (особенно женщин из числа национальных меньшинств в зависимости от возраста, расовой принадлежности, социального положения, религии, национальности или сексуальной ориентации), а также лиц с иной, негетеросексуальной ориентацией. Это же исследование показывает, что по</w:t>
      </w:r>
      <w:r>
        <w:noBreakHyphen/>
        <w:t>прежнему распространяются стереотипные и предвзятые представления. Господство мужчин в СМИ и, соответственно, ограниченная представленность в них женщин в качестве сотрудников способствуют противодействию изменениям социальных норм.</w:t>
      </w:r>
    </w:p>
    <w:p w:rsidR="00000000" w:rsidRDefault="00000000">
      <w:pPr>
        <w:pStyle w:val="BodyText"/>
      </w:pPr>
      <w:r>
        <w:t>3.</w:t>
      </w:r>
      <w:r>
        <w:tab/>
        <w:t>Исследовательский центр по проблемам гендерного равенства также оказал содействие в проведении различных исследований и обзоров, касающихся роли средств массовой информации в искоренении стереотипов</w:t>
      </w:r>
      <w:r>
        <w:rPr>
          <w:rStyle w:val="FootnoteReference"/>
        </w:rPr>
        <w:footnoteReference w:id="21"/>
      </w:r>
      <w:r>
        <w:t>.</w:t>
      </w:r>
    </w:p>
    <w:p w:rsidR="00000000" w:rsidRDefault="00000000">
      <w:pPr>
        <w:pStyle w:val="BodyText"/>
        <w:jc w:val="center"/>
        <w:rPr>
          <w:b/>
        </w:rPr>
      </w:pPr>
      <w:r>
        <w:rPr>
          <w:b/>
          <w:lang w:val="en-US"/>
        </w:rPr>
        <w:t>III</w:t>
      </w:r>
      <w:r>
        <w:rPr>
          <w:b/>
        </w:rPr>
        <w:t>.  Этический кодекс СМИ</w:t>
      </w:r>
    </w:p>
    <w:p w:rsidR="00000000" w:rsidRDefault="00000000">
      <w:pPr>
        <w:pStyle w:val="BodyText"/>
      </w:pPr>
      <w:r>
        <w:t>4.</w:t>
      </w:r>
      <w:r>
        <w:tab/>
        <w:t>В Греции основные правовые рамки деятельности радиовещательных СМИ определяются базовыми законодательными документами (пункт 3 статьи 3 закона 2328/95, а также Президентским указом 100/2000), в соответствии с которыми в рекламных вставках запрещается дискриминация по признаку расовой принадлежности, пола, религии или национальности.</w:t>
      </w:r>
    </w:p>
    <w:p w:rsidR="00000000" w:rsidRDefault="00000000">
      <w:pPr>
        <w:pStyle w:val="BodyText"/>
      </w:pPr>
      <w:r>
        <w:br w:type="page"/>
        <w:t>5.</w:t>
      </w:r>
      <w:r>
        <w:tab/>
        <w:t>В частности, в Этическом кодексе журналистов, работающих в информационном и политическом поле</w:t>
      </w:r>
      <w:r>
        <w:rPr>
          <w:rStyle w:val="FootnoteReference"/>
        </w:rPr>
        <w:footnoteReference w:id="22"/>
      </w:r>
      <w:r>
        <w:t>, содержатся следующие положения:</w:t>
      </w:r>
    </w:p>
    <w:p w:rsidR="00000000" w:rsidRDefault="00000000">
      <w:pPr>
        <w:pStyle w:val="BodyText"/>
        <w:rPr>
          <w:b/>
          <w:i/>
        </w:rPr>
      </w:pPr>
      <w:r>
        <w:rPr>
          <w:b/>
          <w:i/>
        </w:rPr>
        <w:tab/>
        <w:t>Статья 4.  Дискриминация, представляющая то или иное лицо в невыгодном свете</w:t>
      </w:r>
    </w:p>
    <w:p w:rsidR="00000000" w:rsidRDefault="00000000">
      <w:pPr>
        <w:pStyle w:val="110"/>
        <w:ind w:left="567" w:firstLine="0"/>
        <w:rPr>
          <w:i/>
        </w:rPr>
      </w:pPr>
      <w:r>
        <w:rPr>
          <w:i/>
        </w:rPr>
        <w:t>1.</w:t>
      </w:r>
      <w:r>
        <w:rPr>
          <w:i/>
        </w:rPr>
        <w:tab/>
        <w:t>Не допускается представлять и изображать людей таким образом, что в соответствующих обстоятельствах это может способствовать их унижению, социальной отчужденности или дискриминации со стороны общества по признаку, главным образом, пола, расы, национальности, языка, религии, идеологии, возраста, заболевания или инвалидности, сексуальной ориентации или рода занятий.</w:t>
      </w:r>
    </w:p>
    <w:p w:rsidR="00000000" w:rsidRDefault="00000000">
      <w:pPr>
        <w:pStyle w:val="BodyText"/>
      </w:pPr>
      <w:r>
        <w:t>6.</w:t>
      </w:r>
      <w:r>
        <w:tab/>
        <w:t>Кроме того, в Кодекс, касающийся рекламы, программ телепродаж и спонсорства радио- и телепередач, который разрабатывается Греческим национальным советом по радио и телевидению, включены следующие положения:</w:t>
      </w:r>
    </w:p>
    <w:p w:rsidR="00000000" w:rsidRDefault="00000000">
      <w:pPr>
        <w:pStyle w:val="BodyText"/>
        <w:rPr>
          <w:b/>
          <w:i/>
        </w:rPr>
      </w:pPr>
      <w:r>
        <w:rPr>
          <w:b/>
          <w:i/>
        </w:rPr>
        <w:tab/>
        <w:t xml:space="preserve">Статья 3.  Общие принципы </w:t>
      </w:r>
    </w:p>
    <w:p w:rsidR="00000000" w:rsidRDefault="00000000">
      <w:pPr>
        <w:pStyle w:val="110"/>
        <w:ind w:left="567" w:firstLine="0"/>
        <w:rPr>
          <w:i/>
          <w:u w:val="single"/>
        </w:rPr>
      </w:pPr>
      <w:r>
        <w:rPr>
          <w:i/>
        </w:rPr>
        <w:t>В телерадиорекламе недопустимы:</w:t>
      </w:r>
    </w:p>
    <w:p w:rsidR="00000000" w:rsidRDefault="00000000">
      <w:pPr>
        <w:pStyle w:val="110"/>
        <w:ind w:left="567" w:firstLine="0"/>
        <w:rPr>
          <w:i/>
        </w:rPr>
      </w:pPr>
      <w:r>
        <w:rPr>
          <w:i/>
        </w:rPr>
        <w:t>а)</w:t>
      </w:r>
      <w:r>
        <w:rPr>
          <w:i/>
        </w:rPr>
        <w:tab/>
        <w:t>проявления неуважения к человеческому достоинству либо изображение человеческого тела в унизительном виде в качестве средства стимулирования сбыта товаров и услуг;</w:t>
      </w:r>
    </w:p>
    <w:p w:rsidR="00000000" w:rsidRDefault="00000000">
      <w:pPr>
        <w:pStyle w:val="110"/>
        <w:ind w:left="567" w:firstLine="0"/>
        <w:rPr>
          <w:i/>
        </w:rPr>
      </w:pPr>
      <w:r>
        <w:rPr>
          <w:i/>
          <w:lang w:val="en-US"/>
        </w:rPr>
        <w:t>b</w:t>
      </w:r>
      <w:r>
        <w:rPr>
          <w:i/>
        </w:rPr>
        <w:t>)</w:t>
      </w:r>
      <w:r>
        <w:rPr>
          <w:i/>
        </w:rPr>
        <w:tab/>
        <w:t>дискриминация по признаку расы, пола, религии или национальности или поощрение гендерных предрассудков и расистских норм.</w:t>
      </w:r>
    </w:p>
    <w:p w:rsidR="00000000" w:rsidRDefault="00000000">
      <w:pPr>
        <w:pStyle w:val="BodyText"/>
      </w:pPr>
      <w:r>
        <w:t>7.</w:t>
      </w:r>
      <w:r>
        <w:tab/>
        <w:t>В Этическом кодексе журналиста, включающем принципы профессиональной этики и социальной ответственности журналистов – членов Союза журналистов афинских ежедневных газет (Е.</w:t>
      </w:r>
      <w:r>
        <w:rPr>
          <w:lang w:val="en-US"/>
        </w:rPr>
        <w:t>S</w:t>
      </w:r>
      <w:r>
        <w:t>.</w:t>
      </w:r>
      <w:r>
        <w:rPr>
          <w:lang w:val="en-US"/>
        </w:rPr>
        <w:t>I</w:t>
      </w:r>
      <w:r>
        <w:t>.</w:t>
      </w:r>
      <w:r>
        <w:rPr>
          <w:lang w:val="en-US"/>
        </w:rPr>
        <w:t>E</w:t>
      </w:r>
      <w:r>
        <w:t>.</w:t>
      </w:r>
      <w:r>
        <w:rPr>
          <w:lang w:val="en-US"/>
        </w:rPr>
        <w:t>A</w:t>
      </w:r>
      <w:r>
        <w:t>.), в частности, предусматривается следующее:</w:t>
      </w:r>
    </w:p>
    <w:p w:rsidR="00000000" w:rsidRDefault="00000000">
      <w:pPr>
        <w:pStyle w:val="BodyText"/>
        <w:rPr>
          <w:b/>
          <w:i/>
        </w:rPr>
      </w:pPr>
      <w:r>
        <w:rPr>
          <w:b/>
          <w:i/>
        </w:rPr>
        <w:tab/>
        <w:t>Статья 2</w:t>
      </w:r>
    </w:p>
    <w:p w:rsidR="00000000" w:rsidRDefault="00000000">
      <w:pPr>
        <w:pStyle w:val="110"/>
        <w:ind w:left="567" w:firstLine="0"/>
        <w:rPr>
          <w:i/>
        </w:rPr>
      </w:pPr>
      <w:r>
        <w:rPr>
          <w:i/>
        </w:rPr>
        <w:t xml:space="preserve">Журналистская деятельность как профессия и форма общественной активности предполагает соответственно, права и обязанности. </w:t>
      </w:r>
    </w:p>
    <w:p w:rsidR="00000000" w:rsidRDefault="00000000">
      <w:pPr>
        <w:pStyle w:val="110"/>
        <w:ind w:left="567" w:firstLine="0"/>
        <w:rPr>
          <w:i/>
        </w:rPr>
      </w:pPr>
      <w:r>
        <w:rPr>
          <w:i/>
        </w:rPr>
        <w:t>Права и обязанности журналиста:</w:t>
      </w:r>
    </w:p>
    <w:p w:rsidR="00000000" w:rsidRDefault="00000000">
      <w:pPr>
        <w:pStyle w:val="110"/>
        <w:ind w:left="567" w:firstLine="0"/>
        <w:rPr>
          <w:i/>
        </w:rPr>
      </w:pPr>
      <w:r>
        <w:rPr>
          <w:i/>
        </w:rPr>
        <w:t>а)</w:t>
      </w:r>
      <w:r>
        <w:rPr>
          <w:i/>
        </w:rPr>
        <w:tab/>
        <w:t>относиться к гражданам на равных условиях, без дискриминации по признаку национального происхождения, пола, расы, религии, политической принадлежности, финансового положения и социального статуса.</w:t>
      </w:r>
    </w:p>
    <w:p w:rsidR="00000000" w:rsidRDefault="00000000">
      <w:pPr>
        <w:pStyle w:val="BodyText"/>
        <w:rPr>
          <w:b/>
          <w:i/>
        </w:rPr>
      </w:pPr>
      <w:r>
        <w:rPr>
          <w:b/>
          <w:i/>
        </w:rPr>
        <w:tab/>
        <w:t>Статья 4</w:t>
      </w:r>
    </w:p>
    <w:p w:rsidR="00000000" w:rsidRDefault="00000000">
      <w:pPr>
        <w:pStyle w:val="110"/>
        <w:ind w:left="567" w:firstLine="0"/>
        <w:rPr>
          <w:i/>
        </w:rPr>
      </w:pPr>
      <w:r>
        <w:rPr>
          <w:i/>
        </w:rPr>
        <w:t>(…) с.  не практиковать или не принимать дискриминацию в любой форме по признаку пола или профессионального статуса его/ее коллег.</w:t>
      </w:r>
    </w:p>
    <w:p w:rsidR="00000000" w:rsidRDefault="00000000">
      <w:pPr>
        <w:pStyle w:val="BodyText"/>
      </w:pPr>
      <w:r>
        <w:br w:type="page"/>
        <w:t>8.</w:t>
      </w:r>
      <w:r>
        <w:tab/>
        <w:t xml:space="preserve">В статье 7 проекта Кодекса чести (основанного на Кодексе Всемирной газетной ассоциации, </w:t>
      </w:r>
      <w:r>
        <w:rPr>
          <w:lang w:val="en-US"/>
        </w:rPr>
        <w:t>W</w:t>
      </w:r>
      <w:r>
        <w:t>.</w:t>
      </w:r>
      <w:r>
        <w:rPr>
          <w:lang w:val="en-US"/>
        </w:rPr>
        <w:t>A</w:t>
      </w:r>
      <w:r>
        <w:t>.</w:t>
      </w:r>
      <w:r>
        <w:rPr>
          <w:lang w:val="en-US"/>
        </w:rPr>
        <w:t>N</w:t>
      </w:r>
      <w:r>
        <w:t>.) Ассоциация издателей афинских ежедневных газет (Е.</w:t>
      </w:r>
      <w:r>
        <w:rPr>
          <w:lang w:val="en-US"/>
        </w:rPr>
        <w:t>I</w:t>
      </w:r>
      <w:r>
        <w:t>.</w:t>
      </w:r>
      <w:r>
        <w:rPr>
          <w:lang w:val="en-US"/>
        </w:rPr>
        <w:t>I</w:t>
      </w:r>
      <w:r>
        <w:t>.</w:t>
      </w:r>
      <w:r>
        <w:rPr>
          <w:lang w:val="en-US"/>
        </w:rPr>
        <w:t>E</w:t>
      </w:r>
      <w:r>
        <w:t>.</w:t>
      </w:r>
      <w:r>
        <w:rPr>
          <w:lang w:val="en-US"/>
        </w:rPr>
        <w:t>A</w:t>
      </w:r>
      <w:r>
        <w:t>.) предлагает придерживаться принципа равного обращения независимо от пола. В частности:</w:t>
      </w:r>
    </w:p>
    <w:p w:rsidR="00000000" w:rsidRDefault="00000000">
      <w:pPr>
        <w:pStyle w:val="110"/>
        <w:ind w:left="567" w:firstLine="0"/>
        <w:rPr>
          <w:i/>
        </w:rPr>
      </w:pPr>
      <w:r>
        <w:rPr>
          <w:i/>
        </w:rPr>
        <w:t>1.</w:t>
      </w:r>
      <w:r>
        <w:rPr>
          <w:i/>
        </w:rPr>
        <w:tab/>
        <w:t>Работники СМИ должны нетерпимо относиться к позиции, которая является прямым и грубым нарушением основных прав или представляет неприкрытую дискриминацию в отношении групп населения по признаку пола, национальности, расы, религиозной практики и идеологических убеждений, а также сексуальных предпочтений лиц, входящих в эти группы.</w:t>
      </w:r>
    </w:p>
    <w:p w:rsidR="00000000" w:rsidRDefault="00000000">
      <w:pPr>
        <w:pStyle w:val="BodyText"/>
        <w:jc w:val="center"/>
        <w:rPr>
          <w:b/>
        </w:rPr>
      </w:pPr>
      <w:r>
        <w:rPr>
          <w:b/>
          <w:lang w:val="en-US"/>
        </w:rPr>
        <w:t>IV</w:t>
      </w:r>
      <w:r>
        <w:rPr>
          <w:b/>
        </w:rPr>
        <w:t>.  Деятельность неправительственных организаций в отношении СМИ</w:t>
      </w:r>
    </w:p>
    <w:p w:rsidR="00000000" w:rsidRDefault="00000000">
      <w:pPr>
        <w:pStyle w:val="BodyText"/>
      </w:pPr>
      <w:r>
        <w:t>9.</w:t>
      </w:r>
      <w:r>
        <w:tab/>
        <w:t>Неправительственные женские организации, заинтересованные в содействии установлению гендерного равенства, вносят посредством различных действий и инициатив (организация семинаров, мероприятий, конференций, периодических публикаций) существенный вклад в изменение представлений, искоренение предрассудков и стереотипов в греческом обществе, а также в защиту человеческого достоинства и образа современной греческой женщины в СМИ. Генеральный секретариат по гендерному равенству поддерживает постоянное сотрудничество с женскими НПО в вышеупомянутых акциях, а также в том, что касается улучшения образа женщины в СМИ. К числу других мероприятий НПО относятся:</w:t>
      </w:r>
    </w:p>
    <w:p w:rsidR="00000000" w:rsidRDefault="00000000">
      <w:pPr>
        <w:pStyle w:val="18-8"/>
      </w:pPr>
      <w:r>
        <w:sym w:font="Symbol" w:char="F0B7"/>
      </w:r>
      <w:r>
        <w:tab/>
        <w:t>В 2000–2004 годах неправительственная организация "Европейская сеть женщин-журналисток Греции" (Е</w:t>
      </w:r>
      <w:r>
        <w:rPr>
          <w:lang w:val="en-US"/>
        </w:rPr>
        <w:t>DED</w:t>
      </w:r>
      <w:r>
        <w:rPr>
          <w:i/>
        </w:rPr>
        <w:t xml:space="preserve">), </w:t>
      </w:r>
      <w:r>
        <w:t>цель которой, в частности, – содействие обеспечению равных возможностей для журналистов-женщин, приняла участие в значительном числе программ ЕС с организацией соответствующих мероприятий, направленных на информирование женщин о новых возможностях. В частности, инициатива "Сейчас" была посвящена подготовке безработных журналистов-женщин в области новых технологий и интернета. Вместе с партнерами из Италии, Испании, Греции, Муниципальным предприятием по культурному и социальному развитию (</w:t>
      </w:r>
      <w:r>
        <w:rPr>
          <w:lang w:val="en-US"/>
        </w:rPr>
        <w:t>DEPKA</w:t>
      </w:r>
      <w:r>
        <w:t xml:space="preserve">) и Союзом журналистов провинциальных ежедневных газет </w:t>
      </w:r>
      <w:r>
        <w:rPr>
          <w:lang w:val="en-US"/>
        </w:rPr>
        <w:t>EDED</w:t>
      </w:r>
      <w:r>
        <w:t xml:space="preserve"> в качестве организатора приняла участие в программе "Теперь вы знаете…", в ходе которой был проведен ряд конференций. В рамках указанной программы Е</w:t>
      </w:r>
      <w:r>
        <w:rPr>
          <w:lang w:val="en-US"/>
        </w:rPr>
        <w:t>D</w:t>
      </w:r>
      <w:r>
        <w:t>Е</w:t>
      </w:r>
      <w:r>
        <w:rPr>
          <w:lang w:val="en-US"/>
        </w:rPr>
        <w:t>D</w:t>
      </w:r>
      <w:r>
        <w:t xml:space="preserve"> заявила о необходимости соответствующего обследования, проведение которого было поручено компании </w:t>
      </w:r>
      <w:r>
        <w:rPr>
          <w:lang w:val="en-US"/>
        </w:rPr>
        <w:t>V</w:t>
      </w:r>
      <w:r>
        <w:t>Р</w:t>
      </w:r>
      <w:r>
        <w:rPr>
          <w:lang w:val="en-US"/>
        </w:rPr>
        <w:t>RC</w:t>
      </w:r>
      <w:r>
        <w:t>. Обследование было осуществлено в 2002 году с целью выявления мнений греческих журналистов, мужчин и женщин, об их профессии и качестве информации, распространяемой в Греции.</w:t>
      </w:r>
    </w:p>
    <w:p w:rsidR="00000000" w:rsidRDefault="00000000">
      <w:pPr>
        <w:pStyle w:val="26-8"/>
        <w:ind w:left="1474" w:firstLine="454"/>
      </w:pPr>
      <w:r>
        <w:t>В этом обследовании, в частности, сообщается (стр. 2): "В журналистике доминируют мужчины (58,7 процента), в то время как число женщин значительно меньше (41,3 процента). Большинство журналистов в настоящее время не являются членами каких-либо журналистских союзов и организаций (52,1 процента)".</w:t>
      </w:r>
    </w:p>
    <w:p w:rsidR="00000000" w:rsidRDefault="00000000">
      <w:pPr>
        <w:pStyle w:val="26-8"/>
        <w:ind w:left="1474" w:firstLine="454"/>
      </w:pPr>
      <w:r>
        <w:t>Наиболее насущными проблемами, с которыми приходится сталкиваться журналистам, являются плохая организация труда (стр. 6), господствующая в журналистской среде (изматывающая продолжительность рабочего дня, произвол работодателей, отсутствие страхования труда и т. д.), и низкий заработок. Для журналистов-женщин наиболее серьезную проблему представляют низкая оплата труда (30,7 процента) и плохая организация труда (27,4 процента).</w:t>
      </w:r>
    </w:p>
    <w:p w:rsidR="00000000" w:rsidRDefault="00000000">
      <w:pPr>
        <w:pStyle w:val="26-8"/>
        <w:ind w:left="1474" w:firstLine="454"/>
      </w:pPr>
      <w:r>
        <w:t xml:space="preserve">Что касается равноправия в журналистской профессии, обследование, в частности, свидетельствует (пункт 1 стр. 8), что, по мнению многих журналистов-женщин, принадлежность к женскому полу является или являлась препятствием </w:t>
      </w:r>
      <w:r>
        <w:rPr>
          <w:spacing w:val="-2"/>
        </w:rPr>
        <w:t>для их профессионального роста (32,7 процента). 36,2 процента женщин утверждают,</w:t>
      </w:r>
      <w:r>
        <w:t xml:space="preserve"> что они подвергаются финансовой и профессиональной дискриминации по признаку пола. Как мужчины, так и женщины-журналисты в равной пропорции (соответственно, 42,2 процента и 42,9 процента) считают, что в этой профессии не предоставляются равные возможности для продвижения по службе.</w:t>
      </w:r>
    </w:p>
    <w:p w:rsidR="00000000" w:rsidRDefault="00000000">
      <w:pPr>
        <w:pStyle w:val="26-8"/>
        <w:ind w:left="1474" w:firstLine="454"/>
      </w:pPr>
      <w:r>
        <w:t>Отмечаются значительные различия во мнениях мужчин и женщин-журналистов об их профессии (пункт 7 стр. 9).</w:t>
      </w:r>
    </w:p>
    <w:p w:rsidR="00000000" w:rsidRDefault="00000000">
      <w:pPr>
        <w:pStyle w:val="26-8"/>
        <w:ind w:left="1474" w:firstLine="454"/>
      </w:pPr>
      <w:r>
        <w:t>Существенные расхождения во мнениях наблюдаются в отношении способности руководящего звена к координации работы трудового коллектива, прогнозированию, наличию коммуникативных способностей, интеллекта, аналитических способностей, решимости к внедрению инноваций, практичности, конкурентоспособности.</w:t>
      </w:r>
    </w:p>
    <w:p w:rsidR="00000000" w:rsidRDefault="00000000">
      <w:pPr>
        <w:pStyle w:val="26-8"/>
        <w:ind w:left="1474" w:firstLine="454"/>
      </w:pPr>
      <w:r>
        <w:t>Из этого можно заключить, что в настоящее время в журналистской профессии наблюдаются острые служебные разногласия между мужчинами и женщинами. Разница мнений в отношении профессии, а также иной импульсивный подход к ряду идеологических вопросов позволяют сделать вывод, что женский журналистский контингент является обособленным или, точнее говоря, потенциально обособленным.</w:t>
      </w:r>
    </w:p>
    <w:p w:rsidR="00000000" w:rsidRDefault="00000000">
      <w:pPr>
        <w:pStyle w:val="18-8"/>
      </w:pPr>
      <w:r>
        <w:sym w:font="Symbol" w:char="F0B7"/>
      </w:r>
      <w:r>
        <w:tab/>
        <w:t>Неправительственная организация "Ассоциация по правам женщин" также ежегодно награждает премиями тех журналистов печатных и электронных СМИ, которые систематически пропагандируют гендерное равенство.</w:t>
      </w:r>
    </w:p>
    <w:p w:rsidR="00000000" w:rsidRDefault="00000000">
      <w:pPr>
        <w:pStyle w:val="18-8"/>
      </w:pPr>
      <w:r>
        <w:sym w:font="Symbol" w:char="F0B7"/>
      </w:r>
      <w:r>
        <w:tab/>
        <w:t>Помимо этого Ассоциация по правам женщин совместно с другими женскими организациями выступает с протестами против унизительного изображения женщин в рекламе.</w:t>
      </w:r>
    </w:p>
    <w:p w:rsidR="00000000" w:rsidRDefault="00000000">
      <w:pPr>
        <w:pStyle w:val="18-8"/>
      </w:pPr>
      <w:r>
        <w:sym w:font="Symbol" w:char="F0B7"/>
      </w:r>
      <w:r>
        <w:tab/>
        <w:t>Союз сороптимистов Греции в издаваемом им журнале отмечает важность и роль СМИ в формировании и сохранении стереотипов в отношении женщин и посредством организации различных мероприятий стремится к искоренению таких стереотипов.</w:t>
      </w:r>
    </w:p>
    <w:p w:rsidR="00000000" w:rsidRDefault="00000000">
      <w:pPr>
        <w:pStyle w:val="18-8"/>
      </w:pPr>
      <w:r>
        <w:sym w:font="Symbol" w:char="F0B7"/>
      </w:r>
      <w:r>
        <w:tab/>
        <w:t>В 2002 году, по инициативе Генерального секретариата по вопросам гендерного равенства в сотрудничестве с Институтом Атан. В. Ботси по содействию журналистике, была учреждена ежегодная премия за статью, отчет или журналистское расследование, освещающее вопросы равноправия мужчин и женщин и призывающее к их решению. Спонсором премии выступил Генеральный секретариат по вопросам гендерного равенства. Учреждение вышеупомянутой премии имеет следующие цели:</w:t>
      </w:r>
    </w:p>
    <w:p w:rsidR="00000000" w:rsidRDefault="00000000">
      <w:pPr>
        <w:pStyle w:val="26-8"/>
      </w:pPr>
      <w:r>
        <w:t>–</w:t>
      </w:r>
      <w:r>
        <w:tab/>
        <w:t>повышение качества публикаций и привлечение внимания к проблематике женщин;</w:t>
      </w:r>
    </w:p>
    <w:p w:rsidR="00000000" w:rsidRDefault="00000000">
      <w:pPr>
        <w:pStyle w:val="26-8"/>
      </w:pPr>
      <w:r>
        <w:t>–</w:t>
      </w:r>
      <w:r>
        <w:tab/>
        <w:t xml:space="preserve">распространение более объективной и достоверной информации и систематическое освещение вопросов гендерного равенства; </w:t>
      </w:r>
    </w:p>
    <w:p w:rsidR="00000000" w:rsidRDefault="00000000">
      <w:pPr>
        <w:pStyle w:val="26-8"/>
      </w:pPr>
      <w:r>
        <w:t>–</w:t>
      </w:r>
      <w:r>
        <w:tab/>
        <w:t>привлечение особого внимания к новой социальной роли мужчин и женщин и их социальному равенству.</w:t>
      </w:r>
    </w:p>
    <w:p w:rsidR="00000000" w:rsidRDefault="00000000">
      <w:pPr>
        <w:pStyle w:val="BodyText"/>
        <w:ind w:left="0" w:firstLine="0"/>
        <w:jc w:val="center"/>
        <w:rPr>
          <w:b/>
        </w:rPr>
      </w:pPr>
      <w:r>
        <w:rPr>
          <w:b/>
        </w:rPr>
        <w:t xml:space="preserve">В.  Мероприятия по содействию совмещению производственных </w:t>
      </w:r>
      <w:r>
        <w:rPr>
          <w:b/>
        </w:rPr>
        <w:br/>
        <w:t>и семейных обязанностей</w:t>
      </w:r>
    </w:p>
    <w:p w:rsidR="00000000" w:rsidRDefault="00000000">
      <w:pPr>
        <w:pStyle w:val="BodyText"/>
        <w:ind w:left="0" w:firstLine="0"/>
        <w:jc w:val="center"/>
        <w:rPr>
          <w:b/>
        </w:rPr>
      </w:pPr>
      <w:r>
        <w:rPr>
          <w:b/>
          <w:lang w:val="en-US"/>
        </w:rPr>
        <w:t>I</w:t>
      </w:r>
      <w:r>
        <w:rPr>
          <w:b/>
        </w:rPr>
        <w:t>.  Семья</w:t>
      </w:r>
    </w:p>
    <w:p w:rsidR="00000000" w:rsidRDefault="00000000">
      <w:pPr>
        <w:pStyle w:val="BodyText"/>
        <w:ind w:left="0" w:firstLine="0"/>
        <w:jc w:val="left"/>
        <w:rPr>
          <w:i/>
        </w:rPr>
      </w:pPr>
      <w:r>
        <w:rPr>
          <w:i/>
        </w:rPr>
        <w:t>Демографическая ситуация в Греции</w:t>
      </w:r>
    </w:p>
    <w:p w:rsidR="00000000" w:rsidRDefault="00000000">
      <w:pPr>
        <w:pStyle w:val="BodyText"/>
      </w:pPr>
      <w:r>
        <w:t>10.</w:t>
      </w:r>
      <w:r>
        <w:tab/>
        <w:t>Динамика демографической ситуации в Греции характеризуется сокращением рождаемости, фертильности и смертности, а в последнее десятилетие – репатриацией иностранцев греческого происхождения и притоком иммигрантов. В частности, в соответствии с данными Евростата за 2003 год, общая численность населения в Греции увеличилась с 11 006 400 до 11 041 100 жителей (рост на 34 700 человек), главным образом благодаря притоку иммигрантов. Показатель рождаемости в Греции в 2003 году составил 1,27 ребенка на одну женщину, как и в 2002 году, в то время как в 1980 году он составлял 2,21 ребенка на одну женщину. В Греции самые низкие показатели рождаемости в ЕС в составе 15 государств-членов и пятый из самых низких показателей в ЕС в составе 25 государств-членов; она опережает Словению (1,22), Чешскую Республику (1,18), Словакию (1,17) и Кипр (1,16). Средний показатель рождаемости в Европейском союзе в составе 25 государств-членов в 2003 году равнялся 1,48 ребенка на одну женщину, по сравнению с 1,88 ребенка в 1980 году. Показатель рождаемости в Греции составил в 2003 году 9,4 на 1000 жителей (в ЕС в составе 25 государств – 10,4), против 15,4 в 1980 году. Уровень смертности составил 9,5 на 1000 жителей (в ЕС в составе 25 государств – 9,9), в то время как в 1980 году он был 9,1. В связи с этим в прошлом году в Греции не наблюдался естественный прирост населения (разница между числом рождений и смертей на 1000 жителей), также как и в 2002 году. В 1980 году прирост населения составил 6,3 процента. Средний прирост по Европейскому сообществу составил 0,4 за 2003 год и 3,2 за 1980 год. В заключение можно отметить, что с 1950 года рождаемость в Греции имеет стабильную понижательную тенденцию; в настоящее время она приближается к показателю 1,3 ребенка на одну женщину – уровень значительно ниже фертильности, необходимой для обеспечения смены поколений (2,1 ребенка на одну женщину). В 2003 году иммиграционный поток (приток–отток) составил в Греции +3,2 на 1000 жителей, против +1,7 в 2002 году и +5,2 в 1980 году. В Европейском союзе в составе 25 государств-членов он был равен +3,7 на 1000 жителей. Ожидаемая продолжительность жизни в Греции в 2003 году выросла до 75,4 года для мужчин (в 1980 году – 72,2) и 80,7 года для женщин (в 1980 году – 76,8). Ожидаемая продолжительность жизни в Европейском союзе в составе 25 государств-членов равняется 74,8 года для мужчин и 81,1 года для женщин.</w:t>
      </w:r>
    </w:p>
    <w:p w:rsidR="00000000" w:rsidRDefault="00000000">
      <w:pPr>
        <w:pStyle w:val="BodyText"/>
      </w:pPr>
      <w:r>
        <w:t>11.</w:t>
      </w:r>
      <w:r>
        <w:tab/>
        <w:t>Число браков постоянно сокращается, в то время как число разводов растет. В 2003 году этот показатель составил 56,6 брака на 1000 жителей, в то время как в 1980 году он был 62,4. С другой стороны, что касается разводов, можно отметить их значительный рост: в 2003 году показатель разводов составил 11,1 на 1000 жителей, против 6,7 в 1980 году. Доля детей, рожденных вне брака, возросла с 2,9 процента в 1994 году до 4,4 в 2002 году:</w:t>
      </w:r>
    </w:p>
    <w:p w:rsidR="00000000" w:rsidRDefault="00000000">
      <w:pPr>
        <w:pStyle w:val="a5"/>
      </w:pPr>
      <w:r>
        <w:t>Таблица 1</w:t>
      </w:r>
    </w:p>
    <w:tbl>
      <w:tblPr>
        <w:tblW w:w="0" w:type="auto"/>
        <w:tblInd w:w="2" w:type="dxa"/>
        <w:tblBorders>
          <w:top w:val="single" w:sz="4" w:space="0" w:color="auto"/>
          <w:bottom w:val="single" w:sz="4" w:space="0" w:color="auto"/>
          <w:insideH w:val="single" w:sz="4" w:space="0" w:color="auto"/>
        </w:tblBorders>
        <w:tblLayout w:type="fixed"/>
        <w:tblCellMar>
          <w:left w:w="56" w:type="dxa"/>
          <w:right w:w="56" w:type="dxa"/>
        </w:tblCellMar>
        <w:tblLook w:val="01E0" w:firstRow="1" w:lastRow="1" w:firstColumn="1" w:lastColumn="1" w:noHBand="0" w:noVBand="0"/>
      </w:tblPr>
      <w:tblGrid>
        <w:gridCol w:w="4423"/>
        <w:gridCol w:w="1247"/>
        <w:gridCol w:w="1247"/>
        <w:gridCol w:w="1247"/>
        <w:gridCol w:w="1247"/>
      </w:tblGrid>
      <w:tr w:rsidR="00000000">
        <w:tblPrEx>
          <w:tblCellMar>
            <w:top w:w="0" w:type="dxa"/>
            <w:bottom w:w="0" w:type="dxa"/>
          </w:tblCellMar>
        </w:tblPrEx>
        <w:tc>
          <w:tcPr>
            <w:tcW w:w="4423" w:type="dxa"/>
          </w:tcPr>
          <w:p w:rsidR="00000000" w:rsidRDefault="00000000">
            <w:pPr>
              <w:pStyle w:val="BodyText"/>
              <w:spacing w:before="40" w:after="40"/>
              <w:rPr>
                <w:b/>
                <w:sz w:val="20"/>
              </w:rPr>
            </w:pPr>
          </w:p>
        </w:tc>
        <w:tc>
          <w:tcPr>
            <w:tcW w:w="1247" w:type="dxa"/>
          </w:tcPr>
          <w:p w:rsidR="00000000" w:rsidRDefault="00000000">
            <w:pPr>
              <w:pStyle w:val="BodyText"/>
              <w:spacing w:before="40" w:after="40"/>
              <w:jc w:val="center"/>
              <w:rPr>
                <w:b/>
                <w:sz w:val="20"/>
              </w:rPr>
            </w:pPr>
            <w:r>
              <w:rPr>
                <w:b/>
                <w:sz w:val="20"/>
              </w:rPr>
              <w:t>1999 год</w:t>
            </w:r>
          </w:p>
        </w:tc>
        <w:tc>
          <w:tcPr>
            <w:tcW w:w="1247" w:type="dxa"/>
          </w:tcPr>
          <w:p w:rsidR="00000000" w:rsidRDefault="00000000">
            <w:pPr>
              <w:pStyle w:val="BodyText"/>
              <w:spacing w:before="40" w:after="40"/>
              <w:jc w:val="center"/>
              <w:rPr>
                <w:b/>
                <w:sz w:val="20"/>
              </w:rPr>
            </w:pPr>
            <w:r>
              <w:rPr>
                <w:b/>
                <w:sz w:val="20"/>
              </w:rPr>
              <w:t>2000 год</w:t>
            </w:r>
          </w:p>
        </w:tc>
        <w:tc>
          <w:tcPr>
            <w:tcW w:w="1247" w:type="dxa"/>
          </w:tcPr>
          <w:p w:rsidR="00000000" w:rsidRDefault="00000000">
            <w:pPr>
              <w:pStyle w:val="BodyText"/>
              <w:spacing w:before="40" w:after="40"/>
              <w:jc w:val="center"/>
              <w:rPr>
                <w:b/>
                <w:sz w:val="20"/>
              </w:rPr>
            </w:pPr>
            <w:r>
              <w:rPr>
                <w:b/>
                <w:sz w:val="20"/>
              </w:rPr>
              <w:t>2001 год</w:t>
            </w:r>
          </w:p>
        </w:tc>
        <w:tc>
          <w:tcPr>
            <w:tcW w:w="1247" w:type="dxa"/>
          </w:tcPr>
          <w:p w:rsidR="00000000" w:rsidRDefault="00000000">
            <w:pPr>
              <w:pStyle w:val="BodyText"/>
              <w:spacing w:before="40" w:after="40"/>
              <w:jc w:val="center"/>
              <w:rPr>
                <w:b/>
                <w:sz w:val="20"/>
              </w:rPr>
            </w:pPr>
            <w:r>
              <w:rPr>
                <w:b/>
                <w:sz w:val="20"/>
              </w:rPr>
              <w:t>2002 год</w:t>
            </w:r>
          </w:p>
        </w:tc>
      </w:tr>
      <w:tr w:rsidR="00000000">
        <w:tblPrEx>
          <w:tblCellMar>
            <w:top w:w="0" w:type="dxa"/>
            <w:bottom w:w="0" w:type="dxa"/>
          </w:tblCellMar>
        </w:tblPrEx>
        <w:tc>
          <w:tcPr>
            <w:tcW w:w="4423" w:type="dxa"/>
          </w:tcPr>
          <w:p w:rsidR="00000000" w:rsidRDefault="00000000">
            <w:pPr>
              <w:pStyle w:val="a7"/>
            </w:pPr>
            <w:r>
              <w:t>Доля детей, рожденных вне брака (в процентах)</w:t>
            </w:r>
          </w:p>
        </w:tc>
        <w:tc>
          <w:tcPr>
            <w:tcW w:w="1247" w:type="dxa"/>
          </w:tcPr>
          <w:p w:rsidR="00000000" w:rsidRDefault="00000000">
            <w:pPr>
              <w:pStyle w:val="a6"/>
            </w:pPr>
            <w:r>
              <w:t>3,87</w:t>
            </w:r>
          </w:p>
        </w:tc>
        <w:tc>
          <w:tcPr>
            <w:tcW w:w="1247" w:type="dxa"/>
          </w:tcPr>
          <w:p w:rsidR="00000000" w:rsidRDefault="00000000">
            <w:pPr>
              <w:pStyle w:val="a6"/>
            </w:pPr>
            <w:r>
              <w:t>3,95</w:t>
            </w:r>
          </w:p>
        </w:tc>
        <w:tc>
          <w:tcPr>
            <w:tcW w:w="1247" w:type="dxa"/>
          </w:tcPr>
          <w:p w:rsidR="00000000" w:rsidRDefault="00000000">
            <w:pPr>
              <w:pStyle w:val="a6"/>
            </w:pPr>
            <w:r>
              <w:t>4,25</w:t>
            </w:r>
          </w:p>
        </w:tc>
        <w:tc>
          <w:tcPr>
            <w:tcW w:w="1247" w:type="dxa"/>
          </w:tcPr>
          <w:p w:rsidR="00000000" w:rsidRDefault="00000000">
            <w:pPr>
              <w:pStyle w:val="a6"/>
            </w:pPr>
            <w:r>
              <w:t>4,44</w:t>
            </w:r>
          </w:p>
        </w:tc>
      </w:tr>
    </w:tbl>
    <w:p w:rsidR="00000000" w:rsidRDefault="00000000">
      <w:pPr>
        <w:pStyle w:val="BodyText"/>
      </w:pPr>
    </w:p>
    <w:p w:rsidR="00000000" w:rsidRDefault="00000000">
      <w:pPr>
        <w:pStyle w:val="BodyText"/>
        <w:rPr>
          <w:i/>
        </w:rPr>
      </w:pPr>
      <w:r>
        <w:rPr>
          <w:i/>
        </w:rPr>
        <w:t>Данные переписи населения 2001 года</w:t>
      </w:r>
    </w:p>
    <w:p w:rsidR="00000000" w:rsidRDefault="00000000">
      <w:pPr>
        <w:pStyle w:val="BodyText"/>
        <w:ind w:left="0" w:firstLine="0"/>
      </w:pPr>
      <w:r>
        <w:t>Обработка данных переписи населения 2001 года показала следующие результаты (Источник: Национальное статистическое управление)</w:t>
      </w:r>
    </w:p>
    <w:tbl>
      <w:tblPr>
        <w:tblW w:w="0" w:type="auto"/>
        <w:tblInd w:w="3" w:type="dxa"/>
        <w:tblLayout w:type="fixed"/>
        <w:tblCellMar>
          <w:left w:w="56" w:type="dxa"/>
          <w:right w:w="56" w:type="dxa"/>
        </w:tblCellMar>
        <w:tblLook w:val="01E0" w:firstRow="1" w:lastRow="1" w:firstColumn="1" w:lastColumn="1" w:noHBand="0" w:noVBand="0"/>
      </w:tblPr>
      <w:tblGrid>
        <w:gridCol w:w="8045"/>
        <w:gridCol w:w="1361"/>
      </w:tblGrid>
      <w:tr w:rsidR="00000000">
        <w:tblPrEx>
          <w:tblCellMar>
            <w:top w:w="0" w:type="dxa"/>
            <w:bottom w:w="0" w:type="dxa"/>
          </w:tblCellMar>
        </w:tblPrEx>
        <w:trPr>
          <w:tblHeader/>
        </w:trPr>
        <w:tc>
          <w:tcPr>
            <w:tcW w:w="8045" w:type="dxa"/>
            <w:tcBorders>
              <w:top w:val="single" w:sz="4" w:space="0" w:color="auto"/>
              <w:bottom w:val="single" w:sz="4" w:space="0" w:color="auto"/>
            </w:tcBorders>
          </w:tcPr>
          <w:p w:rsidR="00000000" w:rsidRDefault="00000000">
            <w:pPr>
              <w:pStyle w:val="a7"/>
              <w:rPr>
                <w:b/>
              </w:rPr>
            </w:pPr>
            <w:r>
              <w:rPr>
                <w:b/>
              </w:rPr>
              <w:t>Описание</w:t>
            </w:r>
          </w:p>
        </w:tc>
        <w:tc>
          <w:tcPr>
            <w:tcW w:w="1361" w:type="dxa"/>
            <w:tcBorders>
              <w:top w:val="single" w:sz="4" w:space="0" w:color="auto"/>
              <w:bottom w:val="single" w:sz="4" w:space="0" w:color="auto"/>
            </w:tcBorders>
          </w:tcPr>
          <w:p w:rsidR="00000000" w:rsidRDefault="00000000">
            <w:pPr>
              <w:pStyle w:val="a6"/>
              <w:rPr>
                <w:b/>
              </w:rPr>
            </w:pPr>
            <w:r>
              <w:rPr>
                <w:b/>
              </w:rPr>
              <w:t>Численность</w:t>
            </w:r>
          </w:p>
        </w:tc>
      </w:tr>
      <w:tr w:rsidR="00000000">
        <w:tblPrEx>
          <w:tblCellMar>
            <w:top w:w="0" w:type="dxa"/>
            <w:bottom w:w="0" w:type="dxa"/>
          </w:tblCellMar>
        </w:tblPrEx>
        <w:tc>
          <w:tcPr>
            <w:tcW w:w="8045" w:type="dxa"/>
            <w:tcBorders>
              <w:top w:val="single" w:sz="4" w:space="0" w:color="auto"/>
            </w:tcBorders>
          </w:tcPr>
          <w:p w:rsidR="00000000" w:rsidRDefault="00000000">
            <w:pPr>
              <w:pStyle w:val="a7"/>
            </w:pPr>
            <w:r>
              <w:t>Семьи с одним родителем</w:t>
            </w:r>
          </w:p>
        </w:tc>
        <w:tc>
          <w:tcPr>
            <w:tcW w:w="1361" w:type="dxa"/>
            <w:tcBorders>
              <w:top w:val="single" w:sz="4" w:space="0" w:color="auto"/>
            </w:tcBorders>
          </w:tcPr>
          <w:p w:rsidR="00000000" w:rsidRDefault="00000000">
            <w:pPr>
              <w:pStyle w:val="a6"/>
              <w:ind w:right="227"/>
              <w:jc w:val="right"/>
            </w:pPr>
            <w:r>
              <w:t>351 177</w:t>
            </w:r>
          </w:p>
        </w:tc>
      </w:tr>
      <w:tr w:rsidR="00000000">
        <w:tblPrEx>
          <w:tblCellMar>
            <w:top w:w="0" w:type="dxa"/>
            <w:bottom w:w="0" w:type="dxa"/>
          </w:tblCellMar>
        </w:tblPrEx>
        <w:tc>
          <w:tcPr>
            <w:tcW w:w="8045" w:type="dxa"/>
          </w:tcPr>
          <w:p w:rsidR="00000000" w:rsidRDefault="00000000">
            <w:pPr>
              <w:pStyle w:val="a7"/>
            </w:pPr>
            <w:r>
              <w:t>Семьи с одним родителем, имеющие по меньшей мере одного ребенка в возрасте до 14 лет</w:t>
            </w:r>
          </w:p>
        </w:tc>
        <w:tc>
          <w:tcPr>
            <w:tcW w:w="1361" w:type="dxa"/>
          </w:tcPr>
          <w:p w:rsidR="00000000" w:rsidRDefault="00000000">
            <w:pPr>
              <w:pStyle w:val="a6"/>
              <w:ind w:right="227"/>
              <w:jc w:val="right"/>
            </w:pPr>
            <w:r>
              <w:t>79 738</w:t>
            </w:r>
          </w:p>
        </w:tc>
      </w:tr>
      <w:tr w:rsidR="00000000">
        <w:tblPrEx>
          <w:tblCellMar>
            <w:top w:w="0" w:type="dxa"/>
            <w:bottom w:w="0" w:type="dxa"/>
          </w:tblCellMar>
        </w:tblPrEx>
        <w:tc>
          <w:tcPr>
            <w:tcW w:w="8045" w:type="dxa"/>
            <w:tcBorders>
              <w:bottom w:val="single" w:sz="4" w:space="0" w:color="auto"/>
            </w:tcBorders>
          </w:tcPr>
          <w:p w:rsidR="00000000" w:rsidRDefault="00000000">
            <w:pPr>
              <w:pStyle w:val="a7"/>
            </w:pPr>
            <w:r>
              <w:t>Семьи с одним родителем, имеющие детей старше 14 лет</w:t>
            </w:r>
          </w:p>
        </w:tc>
        <w:tc>
          <w:tcPr>
            <w:tcW w:w="1361" w:type="dxa"/>
            <w:tcBorders>
              <w:bottom w:val="single" w:sz="4" w:space="0" w:color="auto"/>
            </w:tcBorders>
          </w:tcPr>
          <w:p w:rsidR="00000000" w:rsidRDefault="00000000">
            <w:pPr>
              <w:pStyle w:val="a6"/>
              <w:ind w:right="227"/>
              <w:jc w:val="right"/>
            </w:pPr>
            <w:r>
              <w:t>271 439</w:t>
            </w:r>
          </w:p>
        </w:tc>
      </w:tr>
      <w:tr w:rsidR="00000000">
        <w:tblPrEx>
          <w:tblCellMar>
            <w:top w:w="0" w:type="dxa"/>
            <w:bottom w:w="0" w:type="dxa"/>
          </w:tblCellMar>
        </w:tblPrEx>
        <w:tc>
          <w:tcPr>
            <w:tcW w:w="8045" w:type="dxa"/>
            <w:tcBorders>
              <w:top w:val="single" w:sz="4" w:space="0" w:color="auto"/>
              <w:bottom w:val="single" w:sz="4" w:space="0" w:color="auto"/>
            </w:tcBorders>
          </w:tcPr>
          <w:p w:rsidR="00000000" w:rsidRDefault="00000000">
            <w:pPr>
              <w:pStyle w:val="a6"/>
              <w:ind w:right="227"/>
              <w:jc w:val="right"/>
            </w:pPr>
          </w:p>
        </w:tc>
        <w:tc>
          <w:tcPr>
            <w:tcW w:w="1361" w:type="dxa"/>
            <w:tcBorders>
              <w:top w:val="single" w:sz="4" w:space="0" w:color="auto"/>
              <w:bottom w:val="single" w:sz="4" w:space="0" w:color="auto"/>
            </w:tcBorders>
          </w:tcPr>
          <w:p w:rsidR="00000000" w:rsidRDefault="00000000">
            <w:pPr>
              <w:pStyle w:val="a6"/>
              <w:ind w:right="227"/>
              <w:jc w:val="right"/>
            </w:pPr>
          </w:p>
        </w:tc>
      </w:tr>
      <w:tr w:rsidR="00000000">
        <w:tblPrEx>
          <w:tblCellMar>
            <w:top w:w="0" w:type="dxa"/>
            <w:bottom w:w="0" w:type="dxa"/>
          </w:tblCellMar>
        </w:tblPrEx>
        <w:tc>
          <w:tcPr>
            <w:tcW w:w="8045" w:type="dxa"/>
            <w:tcBorders>
              <w:top w:val="single" w:sz="4" w:space="0" w:color="auto"/>
            </w:tcBorders>
          </w:tcPr>
          <w:p w:rsidR="00000000" w:rsidRDefault="00000000">
            <w:pPr>
              <w:pStyle w:val="a7"/>
            </w:pPr>
            <w:r>
              <w:t xml:space="preserve">Семьи с одним родителем, глава семьи – мужчина </w:t>
            </w:r>
          </w:p>
        </w:tc>
        <w:tc>
          <w:tcPr>
            <w:tcW w:w="1361" w:type="dxa"/>
            <w:tcBorders>
              <w:top w:val="single" w:sz="4" w:space="0" w:color="auto"/>
            </w:tcBorders>
          </w:tcPr>
          <w:p w:rsidR="00000000" w:rsidRDefault="00000000">
            <w:pPr>
              <w:pStyle w:val="a6"/>
              <w:ind w:right="227"/>
              <w:jc w:val="right"/>
            </w:pPr>
            <w:r>
              <w:t>58 692</w:t>
            </w:r>
          </w:p>
        </w:tc>
      </w:tr>
      <w:tr w:rsidR="00000000">
        <w:tblPrEx>
          <w:tblCellMar>
            <w:top w:w="0" w:type="dxa"/>
            <w:bottom w:w="0" w:type="dxa"/>
          </w:tblCellMar>
        </w:tblPrEx>
        <w:tc>
          <w:tcPr>
            <w:tcW w:w="8045" w:type="dxa"/>
          </w:tcPr>
          <w:p w:rsidR="00000000" w:rsidRDefault="00000000">
            <w:pPr>
              <w:pStyle w:val="a7"/>
            </w:pPr>
            <w:r>
              <w:t>Семьи с одним родителем, имеющие по меньшей мере одного ребенка в возрасте до 14 лет, глава семьи – мужчина</w:t>
            </w:r>
          </w:p>
        </w:tc>
        <w:tc>
          <w:tcPr>
            <w:tcW w:w="1361" w:type="dxa"/>
          </w:tcPr>
          <w:p w:rsidR="00000000" w:rsidRDefault="00000000">
            <w:pPr>
              <w:pStyle w:val="a6"/>
              <w:ind w:right="227"/>
              <w:jc w:val="right"/>
            </w:pPr>
            <w:r>
              <w:t>14 766</w:t>
            </w:r>
          </w:p>
        </w:tc>
      </w:tr>
      <w:tr w:rsidR="00000000">
        <w:tblPrEx>
          <w:tblCellMar>
            <w:top w:w="0" w:type="dxa"/>
            <w:bottom w:w="0" w:type="dxa"/>
          </w:tblCellMar>
        </w:tblPrEx>
        <w:tc>
          <w:tcPr>
            <w:tcW w:w="8045" w:type="dxa"/>
            <w:tcBorders>
              <w:bottom w:val="single" w:sz="4" w:space="0" w:color="auto"/>
            </w:tcBorders>
          </w:tcPr>
          <w:p w:rsidR="00000000" w:rsidRDefault="00000000">
            <w:pPr>
              <w:pStyle w:val="a7"/>
            </w:pPr>
            <w:r>
              <w:t>Семьи с одним родителем, имеющие детей старше 14 лет, глава семьи – мужчина</w:t>
            </w:r>
          </w:p>
        </w:tc>
        <w:tc>
          <w:tcPr>
            <w:tcW w:w="1361" w:type="dxa"/>
            <w:tcBorders>
              <w:bottom w:val="single" w:sz="4" w:space="0" w:color="auto"/>
            </w:tcBorders>
          </w:tcPr>
          <w:p w:rsidR="00000000" w:rsidRDefault="00000000">
            <w:pPr>
              <w:pStyle w:val="a6"/>
              <w:ind w:right="227"/>
              <w:jc w:val="right"/>
            </w:pPr>
            <w:r>
              <w:t>43 926</w:t>
            </w:r>
          </w:p>
        </w:tc>
      </w:tr>
      <w:tr w:rsidR="00000000">
        <w:tblPrEx>
          <w:tblCellMar>
            <w:top w:w="0" w:type="dxa"/>
            <w:bottom w:w="0" w:type="dxa"/>
          </w:tblCellMar>
        </w:tblPrEx>
        <w:tc>
          <w:tcPr>
            <w:tcW w:w="8045" w:type="dxa"/>
            <w:tcBorders>
              <w:top w:val="single" w:sz="4" w:space="0" w:color="auto"/>
              <w:bottom w:val="single" w:sz="4" w:space="0" w:color="auto"/>
            </w:tcBorders>
          </w:tcPr>
          <w:p w:rsidR="00000000" w:rsidRDefault="00000000">
            <w:pPr>
              <w:pStyle w:val="a6"/>
              <w:ind w:right="227"/>
              <w:jc w:val="right"/>
            </w:pPr>
          </w:p>
        </w:tc>
        <w:tc>
          <w:tcPr>
            <w:tcW w:w="1361" w:type="dxa"/>
            <w:tcBorders>
              <w:top w:val="single" w:sz="4" w:space="0" w:color="auto"/>
              <w:bottom w:val="single" w:sz="4" w:space="0" w:color="auto"/>
            </w:tcBorders>
          </w:tcPr>
          <w:p w:rsidR="00000000" w:rsidRDefault="00000000">
            <w:pPr>
              <w:pStyle w:val="a6"/>
              <w:ind w:right="227"/>
              <w:jc w:val="right"/>
            </w:pPr>
          </w:p>
        </w:tc>
      </w:tr>
      <w:tr w:rsidR="00000000">
        <w:tblPrEx>
          <w:tblCellMar>
            <w:top w:w="0" w:type="dxa"/>
            <w:bottom w:w="0" w:type="dxa"/>
          </w:tblCellMar>
        </w:tblPrEx>
        <w:tc>
          <w:tcPr>
            <w:tcW w:w="8045" w:type="dxa"/>
            <w:tcBorders>
              <w:top w:val="single" w:sz="4" w:space="0" w:color="auto"/>
            </w:tcBorders>
          </w:tcPr>
          <w:p w:rsidR="00000000" w:rsidRDefault="00000000">
            <w:pPr>
              <w:pStyle w:val="a7"/>
            </w:pPr>
            <w:r>
              <w:t>Семьи с одним родителем, глава семьи – женщина</w:t>
            </w:r>
          </w:p>
        </w:tc>
        <w:tc>
          <w:tcPr>
            <w:tcW w:w="1361" w:type="dxa"/>
            <w:tcBorders>
              <w:top w:val="single" w:sz="4" w:space="0" w:color="auto"/>
            </w:tcBorders>
          </w:tcPr>
          <w:p w:rsidR="00000000" w:rsidRDefault="00000000">
            <w:pPr>
              <w:pStyle w:val="a6"/>
              <w:ind w:right="227"/>
              <w:jc w:val="right"/>
            </w:pPr>
            <w:r>
              <w:t>292 485</w:t>
            </w:r>
          </w:p>
        </w:tc>
      </w:tr>
      <w:tr w:rsidR="00000000">
        <w:tblPrEx>
          <w:tblCellMar>
            <w:top w:w="0" w:type="dxa"/>
            <w:bottom w:w="0" w:type="dxa"/>
          </w:tblCellMar>
        </w:tblPrEx>
        <w:tc>
          <w:tcPr>
            <w:tcW w:w="8045" w:type="dxa"/>
          </w:tcPr>
          <w:p w:rsidR="00000000" w:rsidRDefault="00000000">
            <w:pPr>
              <w:pStyle w:val="a7"/>
            </w:pPr>
            <w:r>
              <w:t>Семьи с одним родителем, имеющие по меньшей мере одного ребенка в возрасте до 14 лет, глава семьи – женщина</w:t>
            </w:r>
          </w:p>
        </w:tc>
        <w:tc>
          <w:tcPr>
            <w:tcW w:w="1361" w:type="dxa"/>
          </w:tcPr>
          <w:p w:rsidR="00000000" w:rsidRDefault="00000000">
            <w:pPr>
              <w:pStyle w:val="a6"/>
              <w:ind w:right="227"/>
              <w:jc w:val="right"/>
            </w:pPr>
            <w:r>
              <w:t>64 972</w:t>
            </w:r>
          </w:p>
        </w:tc>
      </w:tr>
      <w:tr w:rsidR="00000000">
        <w:tblPrEx>
          <w:tblCellMar>
            <w:top w:w="0" w:type="dxa"/>
            <w:bottom w:w="0" w:type="dxa"/>
          </w:tblCellMar>
        </w:tblPrEx>
        <w:tc>
          <w:tcPr>
            <w:tcW w:w="8045" w:type="dxa"/>
            <w:tcBorders>
              <w:bottom w:val="single" w:sz="4" w:space="0" w:color="auto"/>
            </w:tcBorders>
          </w:tcPr>
          <w:p w:rsidR="00000000" w:rsidRDefault="00000000">
            <w:pPr>
              <w:pStyle w:val="a7"/>
            </w:pPr>
            <w:r>
              <w:t>Семьи с одним родителем, имеющие детей старше 14 лет, глава семьи – женщина</w:t>
            </w:r>
          </w:p>
        </w:tc>
        <w:tc>
          <w:tcPr>
            <w:tcW w:w="1361" w:type="dxa"/>
            <w:tcBorders>
              <w:bottom w:val="single" w:sz="4" w:space="0" w:color="auto"/>
            </w:tcBorders>
          </w:tcPr>
          <w:p w:rsidR="00000000" w:rsidRDefault="00000000">
            <w:pPr>
              <w:pStyle w:val="a6"/>
              <w:ind w:right="227"/>
              <w:jc w:val="right"/>
            </w:pPr>
            <w:r>
              <w:t>227 513</w:t>
            </w:r>
          </w:p>
        </w:tc>
      </w:tr>
      <w:tr w:rsidR="00000000">
        <w:tblPrEx>
          <w:tblCellMar>
            <w:top w:w="0" w:type="dxa"/>
            <w:bottom w:w="0" w:type="dxa"/>
          </w:tblCellMar>
        </w:tblPrEx>
        <w:tc>
          <w:tcPr>
            <w:tcW w:w="8045" w:type="dxa"/>
            <w:tcBorders>
              <w:top w:val="single" w:sz="4" w:space="0" w:color="auto"/>
              <w:bottom w:val="single" w:sz="4" w:space="0" w:color="auto"/>
            </w:tcBorders>
          </w:tcPr>
          <w:p w:rsidR="00000000" w:rsidRDefault="00000000">
            <w:pPr>
              <w:pStyle w:val="a6"/>
              <w:ind w:right="227"/>
              <w:jc w:val="right"/>
            </w:pPr>
          </w:p>
        </w:tc>
        <w:tc>
          <w:tcPr>
            <w:tcW w:w="1361" w:type="dxa"/>
            <w:tcBorders>
              <w:top w:val="single" w:sz="4" w:space="0" w:color="auto"/>
              <w:bottom w:val="single" w:sz="4" w:space="0" w:color="auto"/>
            </w:tcBorders>
          </w:tcPr>
          <w:p w:rsidR="00000000" w:rsidRDefault="00000000">
            <w:pPr>
              <w:pStyle w:val="a6"/>
              <w:ind w:right="227"/>
              <w:jc w:val="right"/>
            </w:pPr>
          </w:p>
        </w:tc>
      </w:tr>
      <w:tr w:rsidR="00000000">
        <w:tblPrEx>
          <w:tblCellMar>
            <w:top w:w="0" w:type="dxa"/>
            <w:bottom w:w="0" w:type="dxa"/>
          </w:tblCellMar>
        </w:tblPrEx>
        <w:tc>
          <w:tcPr>
            <w:tcW w:w="8045" w:type="dxa"/>
            <w:tcBorders>
              <w:top w:val="single" w:sz="4" w:space="0" w:color="auto"/>
            </w:tcBorders>
          </w:tcPr>
          <w:p w:rsidR="00000000" w:rsidRDefault="00000000">
            <w:pPr>
              <w:pStyle w:val="a7"/>
            </w:pPr>
            <w:r>
              <w:t>Незамужние матери, имеющие по меньшей мере одного ребенка в возрасте до 14 лет (семьи)</w:t>
            </w:r>
          </w:p>
        </w:tc>
        <w:tc>
          <w:tcPr>
            <w:tcW w:w="1361" w:type="dxa"/>
            <w:tcBorders>
              <w:top w:val="single" w:sz="4" w:space="0" w:color="auto"/>
            </w:tcBorders>
          </w:tcPr>
          <w:p w:rsidR="00000000" w:rsidRDefault="00000000">
            <w:pPr>
              <w:pStyle w:val="a6"/>
              <w:ind w:right="227"/>
              <w:jc w:val="right"/>
            </w:pPr>
            <w:r>
              <w:t>8 161</w:t>
            </w:r>
          </w:p>
        </w:tc>
      </w:tr>
      <w:tr w:rsidR="00000000">
        <w:tblPrEx>
          <w:tblCellMar>
            <w:top w:w="0" w:type="dxa"/>
            <w:bottom w:w="0" w:type="dxa"/>
          </w:tblCellMar>
        </w:tblPrEx>
        <w:tc>
          <w:tcPr>
            <w:tcW w:w="8045" w:type="dxa"/>
            <w:tcBorders>
              <w:bottom w:val="single" w:sz="4" w:space="0" w:color="auto"/>
            </w:tcBorders>
          </w:tcPr>
          <w:p w:rsidR="00000000" w:rsidRDefault="00000000">
            <w:pPr>
              <w:pStyle w:val="a7"/>
            </w:pPr>
            <w:r>
              <w:t>Общее число незамужних матерей (семьи)</w:t>
            </w:r>
          </w:p>
        </w:tc>
        <w:tc>
          <w:tcPr>
            <w:tcW w:w="1361" w:type="dxa"/>
            <w:tcBorders>
              <w:bottom w:val="single" w:sz="4" w:space="0" w:color="auto"/>
            </w:tcBorders>
          </w:tcPr>
          <w:p w:rsidR="00000000" w:rsidRDefault="00000000">
            <w:pPr>
              <w:pStyle w:val="a6"/>
              <w:ind w:right="227"/>
              <w:jc w:val="right"/>
            </w:pPr>
            <w:r>
              <w:t>11 885</w:t>
            </w:r>
          </w:p>
        </w:tc>
      </w:tr>
      <w:tr w:rsidR="00000000">
        <w:tblPrEx>
          <w:tblCellMar>
            <w:top w:w="0" w:type="dxa"/>
            <w:bottom w:w="0" w:type="dxa"/>
          </w:tblCellMar>
        </w:tblPrEx>
        <w:tc>
          <w:tcPr>
            <w:tcW w:w="8045" w:type="dxa"/>
            <w:tcBorders>
              <w:top w:val="single" w:sz="4" w:space="0" w:color="auto"/>
              <w:bottom w:val="single" w:sz="4" w:space="0" w:color="auto"/>
            </w:tcBorders>
          </w:tcPr>
          <w:p w:rsidR="00000000" w:rsidRDefault="00000000">
            <w:pPr>
              <w:pStyle w:val="a7"/>
            </w:pPr>
          </w:p>
        </w:tc>
        <w:tc>
          <w:tcPr>
            <w:tcW w:w="1361" w:type="dxa"/>
            <w:tcBorders>
              <w:top w:val="single" w:sz="4" w:space="0" w:color="auto"/>
              <w:bottom w:val="single" w:sz="4" w:space="0" w:color="auto"/>
            </w:tcBorders>
          </w:tcPr>
          <w:p w:rsidR="00000000" w:rsidRDefault="00000000">
            <w:pPr>
              <w:pStyle w:val="a6"/>
              <w:ind w:right="227"/>
              <w:jc w:val="right"/>
            </w:pPr>
          </w:p>
        </w:tc>
      </w:tr>
      <w:tr w:rsidR="00000000">
        <w:tblPrEx>
          <w:tblCellMar>
            <w:top w:w="0" w:type="dxa"/>
            <w:bottom w:w="0" w:type="dxa"/>
          </w:tblCellMar>
        </w:tblPrEx>
        <w:tc>
          <w:tcPr>
            <w:tcW w:w="8045" w:type="dxa"/>
            <w:tcBorders>
              <w:top w:val="single" w:sz="4" w:space="0" w:color="auto"/>
            </w:tcBorders>
          </w:tcPr>
          <w:p w:rsidR="00000000" w:rsidRDefault="00000000">
            <w:pPr>
              <w:pStyle w:val="a7"/>
            </w:pPr>
            <w:r>
              <w:t>Разведенные/овдовевшие женщины, имеющие по меньшей мере одного ребенка в возрасте до 14 лет (семьи)</w:t>
            </w:r>
          </w:p>
        </w:tc>
        <w:tc>
          <w:tcPr>
            <w:tcW w:w="1361" w:type="dxa"/>
            <w:tcBorders>
              <w:top w:val="single" w:sz="4" w:space="0" w:color="auto"/>
            </w:tcBorders>
          </w:tcPr>
          <w:p w:rsidR="00000000" w:rsidRDefault="00000000">
            <w:pPr>
              <w:pStyle w:val="a6"/>
              <w:ind w:right="227"/>
              <w:jc w:val="right"/>
            </w:pPr>
            <w:r>
              <w:t>34 502</w:t>
            </w:r>
          </w:p>
        </w:tc>
      </w:tr>
      <w:tr w:rsidR="00000000">
        <w:tblPrEx>
          <w:tblCellMar>
            <w:top w:w="0" w:type="dxa"/>
            <w:bottom w:w="0" w:type="dxa"/>
          </w:tblCellMar>
        </w:tblPrEx>
        <w:tc>
          <w:tcPr>
            <w:tcW w:w="8045" w:type="dxa"/>
            <w:tcBorders>
              <w:bottom w:val="single" w:sz="4" w:space="0" w:color="auto"/>
            </w:tcBorders>
          </w:tcPr>
          <w:p w:rsidR="00000000" w:rsidRDefault="00000000">
            <w:pPr>
              <w:pStyle w:val="a7"/>
            </w:pPr>
            <w:r>
              <w:t>Общее число разведенных/овдовевших женщин (семьи)</w:t>
            </w:r>
          </w:p>
        </w:tc>
        <w:tc>
          <w:tcPr>
            <w:tcW w:w="1361" w:type="dxa"/>
            <w:tcBorders>
              <w:bottom w:val="single" w:sz="4" w:space="0" w:color="auto"/>
            </w:tcBorders>
          </w:tcPr>
          <w:p w:rsidR="00000000" w:rsidRDefault="00000000">
            <w:pPr>
              <w:pStyle w:val="a6"/>
              <w:ind w:right="227"/>
              <w:jc w:val="right"/>
            </w:pPr>
            <w:r>
              <w:t>224 952</w:t>
            </w:r>
          </w:p>
        </w:tc>
      </w:tr>
      <w:tr w:rsidR="00000000">
        <w:tblPrEx>
          <w:tblCellMar>
            <w:top w:w="0" w:type="dxa"/>
            <w:bottom w:w="0" w:type="dxa"/>
          </w:tblCellMar>
        </w:tblPrEx>
        <w:tc>
          <w:tcPr>
            <w:tcW w:w="8045" w:type="dxa"/>
            <w:tcBorders>
              <w:top w:val="single" w:sz="4" w:space="0" w:color="auto"/>
              <w:bottom w:val="single" w:sz="4" w:space="0" w:color="auto"/>
            </w:tcBorders>
          </w:tcPr>
          <w:p w:rsidR="00000000" w:rsidRDefault="00000000">
            <w:pPr>
              <w:pStyle w:val="a6"/>
              <w:ind w:right="227"/>
              <w:jc w:val="right"/>
            </w:pPr>
          </w:p>
        </w:tc>
        <w:tc>
          <w:tcPr>
            <w:tcW w:w="1361" w:type="dxa"/>
            <w:tcBorders>
              <w:top w:val="single" w:sz="4" w:space="0" w:color="auto"/>
              <w:bottom w:val="single" w:sz="4" w:space="0" w:color="auto"/>
            </w:tcBorders>
          </w:tcPr>
          <w:p w:rsidR="00000000" w:rsidRDefault="00000000">
            <w:pPr>
              <w:pStyle w:val="a6"/>
              <w:ind w:right="227"/>
              <w:jc w:val="right"/>
            </w:pPr>
          </w:p>
        </w:tc>
      </w:tr>
      <w:tr w:rsidR="00000000">
        <w:tblPrEx>
          <w:tblCellMar>
            <w:top w:w="0" w:type="dxa"/>
            <w:bottom w:w="0" w:type="dxa"/>
          </w:tblCellMar>
        </w:tblPrEx>
        <w:tc>
          <w:tcPr>
            <w:tcW w:w="8045" w:type="dxa"/>
            <w:tcBorders>
              <w:top w:val="single" w:sz="4" w:space="0" w:color="auto"/>
            </w:tcBorders>
          </w:tcPr>
          <w:p w:rsidR="00000000" w:rsidRDefault="00000000">
            <w:pPr>
              <w:pStyle w:val="a7"/>
            </w:pPr>
            <w:r>
              <w:t>Работающие матери, имеющие по меньшей мере одного ребенка в возрасте до 14 лет (семьи)</w:t>
            </w:r>
          </w:p>
        </w:tc>
        <w:tc>
          <w:tcPr>
            <w:tcW w:w="1361" w:type="dxa"/>
            <w:tcBorders>
              <w:top w:val="single" w:sz="4" w:space="0" w:color="auto"/>
            </w:tcBorders>
          </w:tcPr>
          <w:p w:rsidR="00000000" w:rsidRDefault="00000000">
            <w:pPr>
              <w:pStyle w:val="a6"/>
              <w:ind w:right="227"/>
              <w:jc w:val="right"/>
            </w:pPr>
            <w:r>
              <w:t>445 594</w:t>
            </w:r>
          </w:p>
        </w:tc>
      </w:tr>
      <w:tr w:rsidR="00000000">
        <w:tblPrEx>
          <w:tblCellMar>
            <w:top w:w="0" w:type="dxa"/>
            <w:bottom w:w="0" w:type="dxa"/>
          </w:tblCellMar>
        </w:tblPrEx>
        <w:tc>
          <w:tcPr>
            <w:tcW w:w="8045" w:type="dxa"/>
          </w:tcPr>
          <w:p w:rsidR="00000000" w:rsidRDefault="00000000">
            <w:pPr>
              <w:pStyle w:val="a7"/>
            </w:pPr>
            <w:r>
              <w:t>Работающие матери-одиночки (разведенные/овдовевшие), имеющие по меньшей мере одного ребенка в возрасте до 14 лет (семьи)</w:t>
            </w:r>
          </w:p>
        </w:tc>
        <w:tc>
          <w:tcPr>
            <w:tcW w:w="1361" w:type="dxa"/>
          </w:tcPr>
          <w:p w:rsidR="00000000" w:rsidRDefault="00000000">
            <w:pPr>
              <w:pStyle w:val="a6"/>
              <w:ind w:right="227"/>
              <w:jc w:val="right"/>
            </w:pPr>
            <w:r>
              <w:t>22 407</w:t>
            </w:r>
          </w:p>
        </w:tc>
      </w:tr>
      <w:tr w:rsidR="00000000">
        <w:tblPrEx>
          <w:tblCellMar>
            <w:top w:w="0" w:type="dxa"/>
            <w:bottom w:w="0" w:type="dxa"/>
          </w:tblCellMar>
        </w:tblPrEx>
        <w:tc>
          <w:tcPr>
            <w:tcW w:w="8045" w:type="dxa"/>
            <w:tcBorders>
              <w:bottom w:val="single" w:sz="4" w:space="0" w:color="auto"/>
            </w:tcBorders>
          </w:tcPr>
          <w:p w:rsidR="00000000" w:rsidRDefault="00000000">
            <w:pPr>
              <w:pStyle w:val="a7"/>
            </w:pPr>
            <w:r>
              <w:t>Работающие матери-одиночки (незамужние), имеющие по меньшей мере одного ребенка в возрасте до 14 лет (семьи)</w:t>
            </w:r>
          </w:p>
        </w:tc>
        <w:tc>
          <w:tcPr>
            <w:tcW w:w="1361" w:type="dxa"/>
            <w:tcBorders>
              <w:bottom w:val="single" w:sz="4" w:space="0" w:color="auto"/>
            </w:tcBorders>
          </w:tcPr>
          <w:p w:rsidR="00000000" w:rsidRDefault="00000000">
            <w:pPr>
              <w:pStyle w:val="a6"/>
              <w:ind w:right="227"/>
              <w:jc w:val="right"/>
            </w:pPr>
            <w:r>
              <w:t>3 336</w:t>
            </w:r>
          </w:p>
        </w:tc>
      </w:tr>
      <w:tr w:rsidR="00000000">
        <w:tblPrEx>
          <w:tblCellMar>
            <w:top w:w="0" w:type="dxa"/>
            <w:bottom w:w="0" w:type="dxa"/>
          </w:tblCellMar>
        </w:tblPrEx>
        <w:tc>
          <w:tcPr>
            <w:tcW w:w="8045" w:type="dxa"/>
            <w:tcBorders>
              <w:top w:val="single" w:sz="4" w:space="0" w:color="auto"/>
            </w:tcBorders>
          </w:tcPr>
          <w:p w:rsidR="00000000" w:rsidRDefault="00000000">
            <w:pPr>
              <w:pStyle w:val="a6"/>
              <w:ind w:right="227"/>
              <w:jc w:val="right"/>
            </w:pPr>
          </w:p>
        </w:tc>
        <w:tc>
          <w:tcPr>
            <w:tcW w:w="1361" w:type="dxa"/>
            <w:tcBorders>
              <w:top w:val="single" w:sz="4" w:space="0" w:color="auto"/>
            </w:tcBorders>
          </w:tcPr>
          <w:p w:rsidR="00000000" w:rsidRDefault="00000000">
            <w:pPr>
              <w:pStyle w:val="a6"/>
              <w:ind w:right="227"/>
              <w:jc w:val="right"/>
            </w:pPr>
          </w:p>
        </w:tc>
      </w:tr>
      <w:tr w:rsidR="00000000">
        <w:tblPrEx>
          <w:tblCellMar>
            <w:top w:w="0" w:type="dxa"/>
            <w:bottom w:w="0" w:type="dxa"/>
          </w:tblCellMar>
        </w:tblPrEx>
        <w:tc>
          <w:tcPr>
            <w:tcW w:w="8045" w:type="dxa"/>
          </w:tcPr>
          <w:p w:rsidR="00000000" w:rsidRDefault="00000000">
            <w:pPr>
              <w:pStyle w:val="a7"/>
              <w:pageBreakBefore/>
            </w:pPr>
            <w:r>
              <w:t>Безработные матери, имеющие по меньшей мере одного ребенка в возрасте до 14 лет (семьи)</w:t>
            </w:r>
          </w:p>
        </w:tc>
        <w:tc>
          <w:tcPr>
            <w:tcW w:w="1361" w:type="dxa"/>
          </w:tcPr>
          <w:p w:rsidR="00000000" w:rsidRDefault="00000000">
            <w:pPr>
              <w:pStyle w:val="a6"/>
              <w:pageBreakBefore/>
              <w:ind w:right="227"/>
              <w:jc w:val="right"/>
            </w:pPr>
            <w:r>
              <w:t>45 288</w:t>
            </w:r>
          </w:p>
        </w:tc>
      </w:tr>
      <w:tr w:rsidR="00000000">
        <w:tblPrEx>
          <w:tblCellMar>
            <w:top w:w="0" w:type="dxa"/>
            <w:bottom w:w="0" w:type="dxa"/>
          </w:tblCellMar>
        </w:tblPrEx>
        <w:tc>
          <w:tcPr>
            <w:tcW w:w="8045" w:type="dxa"/>
          </w:tcPr>
          <w:p w:rsidR="00000000" w:rsidRDefault="00000000">
            <w:pPr>
              <w:pStyle w:val="a7"/>
            </w:pPr>
            <w:r>
              <w:t>Безработные замужние матери, имеющие по меньшей мере одного ребенка в возрасте до 14 лет (семьи)</w:t>
            </w:r>
          </w:p>
        </w:tc>
        <w:tc>
          <w:tcPr>
            <w:tcW w:w="1361" w:type="dxa"/>
          </w:tcPr>
          <w:p w:rsidR="00000000" w:rsidRDefault="00000000">
            <w:pPr>
              <w:pStyle w:val="a6"/>
              <w:ind w:right="227"/>
              <w:jc w:val="right"/>
            </w:pPr>
            <w:r>
              <w:t>41 603</w:t>
            </w:r>
          </w:p>
        </w:tc>
      </w:tr>
      <w:tr w:rsidR="00000000">
        <w:tblPrEx>
          <w:tblCellMar>
            <w:top w:w="0" w:type="dxa"/>
            <w:bottom w:w="0" w:type="dxa"/>
          </w:tblCellMar>
        </w:tblPrEx>
        <w:tc>
          <w:tcPr>
            <w:tcW w:w="8045" w:type="dxa"/>
          </w:tcPr>
          <w:p w:rsidR="00000000" w:rsidRDefault="00000000">
            <w:pPr>
              <w:pStyle w:val="a7"/>
            </w:pPr>
            <w:r>
              <w:t>Безработные матери-одиночки (разведенные/овдовевшие), имеющие по меньшей мере одного ребенка в возрасте до 14 лет (семьи)</w:t>
            </w:r>
          </w:p>
        </w:tc>
        <w:tc>
          <w:tcPr>
            <w:tcW w:w="1361" w:type="dxa"/>
          </w:tcPr>
          <w:p w:rsidR="00000000" w:rsidRDefault="00000000">
            <w:pPr>
              <w:pStyle w:val="a6"/>
              <w:ind w:right="227"/>
              <w:jc w:val="right"/>
            </w:pPr>
            <w:r>
              <w:t>2 940</w:t>
            </w:r>
          </w:p>
        </w:tc>
      </w:tr>
      <w:tr w:rsidR="00000000">
        <w:tblPrEx>
          <w:tblCellMar>
            <w:top w:w="0" w:type="dxa"/>
            <w:bottom w:w="0" w:type="dxa"/>
          </w:tblCellMar>
        </w:tblPrEx>
        <w:tc>
          <w:tcPr>
            <w:tcW w:w="8045" w:type="dxa"/>
            <w:tcBorders>
              <w:bottom w:val="single" w:sz="4" w:space="0" w:color="auto"/>
            </w:tcBorders>
          </w:tcPr>
          <w:p w:rsidR="00000000" w:rsidRDefault="00000000">
            <w:pPr>
              <w:pStyle w:val="a7"/>
            </w:pPr>
            <w:r>
              <w:t>Безработные матери-одиночки (незамужние), имеющие по меньшей мере одного ребенка в возрасте до 14 лет (семьи)</w:t>
            </w:r>
          </w:p>
        </w:tc>
        <w:tc>
          <w:tcPr>
            <w:tcW w:w="1361" w:type="dxa"/>
            <w:tcBorders>
              <w:bottom w:val="single" w:sz="4" w:space="0" w:color="auto"/>
            </w:tcBorders>
          </w:tcPr>
          <w:p w:rsidR="00000000" w:rsidRDefault="00000000">
            <w:pPr>
              <w:pStyle w:val="a6"/>
              <w:ind w:right="227"/>
              <w:jc w:val="right"/>
            </w:pPr>
            <w:r>
              <w:t>745</w:t>
            </w:r>
          </w:p>
        </w:tc>
      </w:tr>
      <w:tr w:rsidR="00000000">
        <w:tblPrEx>
          <w:tblCellMar>
            <w:top w:w="0" w:type="dxa"/>
            <w:bottom w:w="0" w:type="dxa"/>
          </w:tblCellMar>
        </w:tblPrEx>
        <w:tc>
          <w:tcPr>
            <w:tcW w:w="8045" w:type="dxa"/>
            <w:tcBorders>
              <w:top w:val="single" w:sz="4" w:space="0" w:color="auto"/>
              <w:bottom w:val="single" w:sz="4" w:space="0" w:color="auto"/>
            </w:tcBorders>
          </w:tcPr>
          <w:p w:rsidR="00000000" w:rsidRDefault="00000000">
            <w:pPr>
              <w:pStyle w:val="a6"/>
              <w:ind w:right="227"/>
              <w:jc w:val="right"/>
            </w:pPr>
          </w:p>
        </w:tc>
        <w:tc>
          <w:tcPr>
            <w:tcW w:w="1361" w:type="dxa"/>
            <w:tcBorders>
              <w:top w:val="single" w:sz="4" w:space="0" w:color="auto"/>
              <w:bottom w:val="single" w:sz="4" w:space="0" w:color="auto"/>
            </w:tcBorders>
          </w:tcPr>
          <w:p w:rsidR="00000000" w:rsidRDefault="00000000">
            <w:pPr>
              <w:pStyle w:val="a6"/>
              <w:ind w:right="227"/>
              <w:jc w:val="right"/>
            </w:pPr>
          </w:p>
        </w:tc>
      </w:tr>
      <w:tr w:rsidR="00000000">
        <w:tblPrEx>
          <w:tblCellMar>
            <w:top w:w="0" w:type="dxa"/>
            <w:bottom w:w="0" w:type="dxa"/>
          </w:tblCellMar>
        </w:tblPrEx>
        <w:tc>
          <w:tcPr>
            <w:tcW w:w="8045" w:type="dxa"/>
            <w:tcBorders>
              <w:top w:val="single" w:sz="4" w:space="0" w:color="auto"/>
            </w:tcBorders>
          </w:tcPr>
          <w:p w:rsidR="00000000" w:rsidRDefault="00000000">
            <w:pPr>
              <w:pStyle w:val="a7"/>
            </w:pPr>
            <w:r>
              <w:t>Экономически неактивные матери, имеющие по меньшей мере одного ребенка в возрасте до 14 лет (семьи)</w:t>
            </w:r>
          </w:p>
        </w:tc>
        <w:tc>
          <w:tcPr>
            <w:tcW w:w="1361" w:type="dxa"/>
            <w:tcBorders>
              <w:top w:val="single" w:sz="4" w:space="0" w:color="auto"/>
            </w:tcBorders>
          </w:tcPr>
          <w:p w:rsidR="00000000" w:rsidRDefault="00000000">
            <w:pPr>
              <w:pStyle w:val="a6"/>
              <w:ind w:right="227"/>
              <w:jc w:val="right"/>
            </w:pPr>
            <w:r>
              <w:t>388 768</w:t>
            </w:r>
          </w:p>
        </w:tc>
      </w:tr>
      <w:tr w:rsidR="00000000">
        <w:tblPrEx>
          <w:tblCellMar>
            <w:top w:w="0" w:type="dxa"/>
            <w:bottom w:w="0" w:type="dxa"/>
          </w:tblCellMar>
        </w:tblPrEx>
        <w:tc>
          <w:tcPr>
            <w:tcW w:w="8045" w:type="dxa"/>
          </w:tcPr>
          <w:p w:rsidR="00000000" w:rsidRDefault="00000000">
            <w:pPr>
              <w:pStyle w:val="a7"/>
            </w:pPr>
            <w:r>
              <w:t>Экономически неактивные замужние матери, имеющие по меньшей мере одного ребенка в возрасте до 14 лет (семьи)</w:t>
            </w:r>
          </w:p>
        </w:tc>
        <w:tc>
          <w:tcPr>
            <w:tcW w:w="1361" w:type="dxa"/>
          </w:tcPr>
          <w:p w:rsidR="00000000" w:rsidRDefault="00000000">
            <w:pPr>
              <w:pStyle w:val="a6"/>
              <w:ind w:right="227"/>
              <w:jc w:val="right"/>
            </w:pPr>
            <w:r>
              <w:t>75 533</w:t>
            </w:r>
          </w:p>
        </w:tc>
      </w:tr>
      <w:tr w:rsidR="00000000">
        <w:tblPrEx>
          <w:tblCellMar>
            <w:top w:w="0" w:type="dxa"/>
            <w:bottom w:w="0" w:type="dxa"/>
          </w:tblCellMar>
        </w:tblPrEx>
        <w:tc>
          <w:tcPr>
            <w:tcW w:w="8045" w:type="dxa"/>
            <w:tcBorders>
              <w:bottom w:val="single" w:sz="4" w:space="0" w:color="auto"/>
            </w:tcBorders>
          </w:tcPr>
          <w:p w:rsidR="00000000" w:rsidRDefault="00000000">
            <w:pPr>
              <w:pStyle w:val="a7"/>
            </w:pPr>
            <w:r>
              <w:t>Экономически неактивные женщины – главы семей с одним родителем, имеющие по меньшей мере одного ребенка в возрасте до 14 лет (семьи)*</w:t>
            </w:r>
          </w:p>
        </w:tc>
        <w:tc>
          <w:tcPr>
            <w:tcW w:w="1361" w:type="dxa"/>
            <w:tcBorders>
              <w:bottom w:val="single" w:sz="4" w:space="0" w:color="auto"/>
            </w:tcBorders>
          </w:tcPr>
          <w:p w:rsidR="00000000" w:rsidRDefault="00000000">
            <w:pPr>
              <w:pStyle w:val="a6"/>
              <w:ind w:right="227"/>
              <w:jc w:val="right"/>
            </w:pPr>
            <w:r>
              <w:t>20 747</w:t>
            </w:r>
          </w:p>
        </w:tc>
      </w:tr>
      <w:tr w:rsidR="00000000">
        <w:tblPrEx>
          <w:tblCellMar>
            <w:top w:w="0" w:type="dxa"/>
            <w:bottom w:w="0" w:type="dxa"/>
          </w:tblCellMar>
        </w:tblPrEx>
        <w:tc>
          <w:tcPr>
            <w:tcW w:w="8045" w:type="dxa"/>
            <w:tcBorders>
              <w:top w:val="single" w:sz="4" w:space="0" w:color="auto"/>
              <w:bottom w:val="single" w:sz="4" w:space="0" w:color="auto"/>
            </w:tcBorders>
          </w:tcPr>
          <w:p w:rsidR="00000000" w:rsidRDefault="00000000">
            <w:pPr>
              <w:pStyle w:val="a6"/>
              <w:ind w:right="227"/>
              <w:jc w:val="right"/>
            </w:pPr>
          </w:p>
        </w:tc>
        <w:tc>
          <w:tcPr>
            <w:tcW w:w="1361" w:type="dxa"/>
            <w:tcBorders>
              <w:top w:val="single" w:sz="4" w:space="0" w:color="auto"/>
              <w:bottom w:val="single" w:sz="4" w:space="0" w:color="auto"/>
            </w:tcBorders>
          </w:tcPr>
          <w:p w:rsidR="00000000" w:rsidRDefault="00000000">
            <w:pPr>
              <w:pStyle w:val="a6"/>
              <w:ind w:right="227"/>
              <w:jc w:val="right"/>
            </w:pPr>
          </w:p>
        </w:tc>
      </w:tr>
      <w:tr w:rsidR="00000000">
        <w:tblPrEx>
          <w:tblCellMar>
            <w:top w:w="0" w:type="dxa"/>
            <w:bottom w:w="0" w:type="dxa"/>
          </w:tblCellMar>
        </w:tblPrEx>
        <w:tc>
          <w:tcPr>
            <w:tcW w:w="8045" w:type="dxa"/>
            <w:tcBorders>
              <w:top w:val="single" w:sz="4" w:space="0" w:color="auto"/>
            </w:tcBorders>
          </w:tcPr>
          <w:p w:rsidR="00000000" w:rsidRDefault="00000000">
            <w:pPr>
              <w:pStyle w:val="a7"/>
            </w:pPr>
            <w:r>
              <w:t xml:space="preserve">Многодетные матери </w:t>
            </w:r>
          </w:p>
        </w:tc>
        <w:tc>
          <w:tcPr>
            <w:tcW w:w="1361" w:type="dxa"/>
            <w:tcBorders>
              <w:top w:val="single" w:sz="4" w:space="0" w:color="auto"/>
            </w:tcBorders>
          </w:tcPr>
          <w:p w:rsidR="00000000" w:rsidRDefault="00000000">
            <w:pPr>
              <w:pStyle w:val="a6"/>
              <w:ind w:right="227"/>
              <w:jc w:val="right"/>
            </w:pPr>
            <w:r>
              <w:t>300 427</w:t>
            </w:r>
          </w:p>
        </w:tc>
      </w:tr>
      <w:tr w:rsidR="00000000">
        <w:tblPrEx>
          <w:tblCellMar>
            <w:top w:w="0" w:type="dxa"/>
            <w:bottom w:w="0" w:type="dxa"/>
          </w:tblCellMar>
        </w:tblPrEx>
        <w:tc>
          <w:tcPr>
            <w:tcW w:w="8045" w:type="dxa"/>
            <w:tcBorders>
              <w:bottom w:val="single" w:sz="4" w:space="0" w:color="auto"/>
            </w:tcBorders>
          </w:tcPr>
          <w:p w:rsidR="00000000" w:rsidRDefault="00000000">
            <w:pPr>
              <w:pStyle w:val="a7"/>
            </w:pPr>
            <w:r>
              <w:t xml:space="preserve">Число матерей </w:t>
            </w:r>
          </w:p>
        </w:tc>
        <w:tc>
          <w:tcPr>
            <w:tcW w:w="1361" w:type="dxa"/>
            <w:tcBorders>
              <w:bottom w:val="single" w:sz="4" w:space="0" w:color="auto"/>
            </w:tcBorders>
          </w:tcPr>
          <w:p w:rsidR="00000000" w:rsidRDefault="00000000">
            <w:pPr>
              <w:pStyle w:val="a6"/>
              <w:ind w:right="227"/>
              <w:jc w:val="right"/>
            </w:pPr>
            <w:r>
              <w:t>3 201 909</w:t>
            </w:r>
          </w:p>
        </w:tc>
      </w:tr>
      <w:tr w:rsidR="00000000">
        <w:tblPrEx>
          <w:tblCellMar>
            <w:top w:w="0" w:type="dxa"/>
            <w:bottom w:w="0" w:type="dxa"/>
          </w:tblCellMar>
        </w:tblPrEx>
        <w:tc>
          <w:tcPr>
            <w:tcW w:w="8045" w:type="dxa"/>
            <w:tcBorders>
              <w:top w:val="single" w:sz="4" w:space="0" w:color="auto"/>
            </w:tcBorders>
          </w:tcPr>
          <w:p w:rsidR="00000000" w:rsidRDefault="00000000">
            <w:pPr>
              <w:pStyle w:val="a6"/>
            </w:pPr>
          </w:p>
        </w:tc>
        <w:tc>
          <w:tcPr>
            <w:tcW w:w="1361" w:type="dxa"/>
            <w:tcBorders>
              <w:top w:val="single" w:sz="4" w:space="0" w:color="auto"/>
            </w:tcBorders>
          </w:tcPr>
          <w:p w:rsidR="00000000" w:rsidRDefault="00000000">
            <w:pPr>
              <w:pStyle w:val="a6"/>
            </w:pPr>
          </w:p>
        </w:tc>
      </w:tr>
      <w:tr w:rsidR="00000000">
        <w:tblPrEx>
          <w:tblCellMar>
            <w:top w:w="0" w:type="dxa"/>
            <w:bottom w:w="0" w:type="dxa"/>
          </w:tblCellMar>
        </w:tblPrEx>
        <w:tc>
          <w:tcPr>
            <w:tcW w:w="8045" w:type="dxa"/>
          </w:tcPr>
          <w:p w:rsidR="00000000" w:rsidRDefault="00000000">
            <w:pPr>
              <w:pStyle w:val="a7"/>
            </w:pPr>
            <w:r>
              <w:t xml:space="preserve">*Подраздел, включающий две предыдущие категории </w:t>
            </w:r>
          </w:p>
        </w:tc>
        <w:tc>
          <w:tcPr>
            <w:tcW w:w="1361" w:type="dxa"/>
          </w:tcPr>
          <w:p w:rsidR="00000000" w:rsidRDefault="00000000">
            <w:pPr>
              <w:pStyle w:val="a6"/>
            </w:pPr>
          </w:p>
        </w:tc>
      </w:tr>
    </w:tbl>
    <w:p w:rsidR="00000000" w:rsidRDefault="00000000">
      <w:pPr>
        <w:pStyle w:val="BodyText"/>
        <w:spacing w:after="120"/>
        <w:rPr>
          <w:i/>
        </w:rPr>
      </w:pPr>
    </w:p>
    <w:p w:rsidR="00000000" w:rsidRDefault="00000000">
      <w:pPr>
        <w:pStyle w:val="BodyText"/>
        <w:rPr>
          <w:i/>
        </w:rPr>
      </w:pPr>
      <w:r>
        <w:rPr>
          <w:i/>
        </w:rPr>
        <w:t>Школы с продленным днем, центры дневного ухода для детей и младенцев</w:t>
      </w:r>
    </w:p>
    <w:p w:rsidR="00000000" w:rsidRDefault="00000000">
      <w:pPr>
        <w:pStyle w:val="BodyText"/>
      </w:pPr>
      <w:r>
        <w:t>12.</w:t>
      </w:r>
      <w:r>
        <w:tab/>
        <w:t>С целью создания комплексной системы для совмещения производственных и семейных обязанностей были организованы начальные школы продленного дня, детские сады и ясли. В настоящее время существует 3964 начальные школы и 2169 детских садов с продленным днем. Кроме того, имеется 1306 государственных дневных детских центров, рассчитанных на 78 000 детей (в возрасте от 2,5 лет до зачисления в начальную школу), и 132 центра дневного ухода для младенцев и дошкольников, рассчитанных на 10 000 детей в возрасте от 8 месяцев до зачисления в начальную школу. Задачей этих центров является предоставление услуг работающим родителям, а также малообеспеченным семьям; при приеме в дневные детские центры дети, которые в силу тех или иных причин (дети, один или оба родителя которых умерли, дети незамужних матерей, разведенных или живущих врозь родителей, дети из многодетных семей, дети, родители которых имеют физические или психические недостатки, и т. д.), нуждаются в особой социальной защите, имеют преимущество перед другими детьми. За улучшение условий проживания детей и оказываемых услуг родители платят пропорционально их семейному доходу.</w:t>
      </w:r>
    </w:p>
    <w:p w:rsidR="00000000" w:rsidRDefault="00000000">
      <w:pPr>
        <w:pStyle w:val="BodyText"/>
        <w:spacing w:after="200"/>
      </w:pPr>
      <w:r>
        <w:tab/>
        <w:t>Следует отметить, что, в соответствии с положениями статьи 12 закона 2880/01, все государственные дневные детские центры были отнесены к юрисдикции местных органов власти; с тех пор в соответствии со статьей 203 президентского указа 410/95 (Муниципальный и общинный кодекс) они функционируют в качестве государственных учреждений на уровне муниципалитетов и общин (</w:t>
      </w:r>
      <w:r>
        <w:rPr>
          <w:lang w:val="en-US"/>
        </w:rPr>
        <w:t>N</w:t>
      </w:r>
      <w:r>
        <w:t>.</w:t>
      </w:r>
      <w:r>
        <w:rPr>
          <w:lang w:val="en-US"/>
        </w:rPr>
        <w:t>P</w:t>
      </w:r>
      <w:r>
        <w:t>.</w:t>
      </w:r>
      <w:r>
        <w:rPr>
          <w:lang w:val="en-US"/>
        </w:rPr>
        <w:t>D</w:t>
      </w:r>
      <w:r>
        <w:t>.</w:t>
      </w:r>
      <w:r>
        <w:rPr>
          <w:lang w:val="en-US"/>
        </w:rPr>
        <w:t>D</w:t>
      </w:r>
      <w:r>
        <w:t>.). В соответствии с законом 2920/2001 при Министерстве здравоохранения и социального обеспечения создана группа инспекторов, наблюдающих за предоставлением медицинских и социальных услуг (</w:t>
      </w:r>
      <w:r>
        <w:rPr>
          <w:lang w:val="en-US"/>
        </w:rPr>
        <w:t>S</w:t>
      </w:r>
      <w:r>
        <w:t>.</w:t>
      </w:r>
      <w:r>
        <w:rPr>
          <w:lang w:val="en-US"/>
        </w:rPr>
        <w:t>E</w:t>
      </w:r>
      <w:r>
        <w:t>.</w:t>
      </w:r>
      <w:r>
        <w:rPr>
          <w:lang w:val="en-US"/>
        </w:rPr>
        <w:t>Y</w:t>
      </w:r>
      <w:r>
        <w:t>.</w:t>
      </w:r>
      <w:r>
        <w:rPr>
          <w:lang w:val="en-US"/>
        </w:rPr>
        <w:t>Y</w:t>
      </w:r>
      <w:r>
        <w:t>.</w:t>
      </w:r>
      <w:r>
        <w:rPr>
          <w:lang w:val="en-US"/>
        </w:rPr>
        <w:t>P</w:t>
      </w:r>
      <w:r>
        <w:t>.), которая среди прочего может инспектировать муниципальные и общинные социальные службы в целях контроля состояния помещений и эффективности оборудования, а также принимать должные меры по защите санитарно-жилищных условий детей и персонала.</w:t>
      </w:r>
    </w:p>
    <w:p w:rsidR="00000000" w:rsidRDefault="00000000">
      <w:pPr>
        <w:pStyle w:val="BodyText"/>
        <w:spacing w:after="200"/>
      </w:pPr>
      <w:r>
        <w:t>13.</w:t>
      </w:r>
      <w:r>
        <w:tab/>
        <w:t>В соответствии со статьей 8 закона 3106/2003 "Реорганизация национальной системы социальной защиты", 164 дневных центра для детей и младенцев, руководство которых работало под контролем Министерства здравоохранения и социального обеспечения (</w:t>
      </w:r>
      <w:r>
        <w:rPr>
          <w:lang w:val="en-US"/>
        </w:rPr>
        <w:t>PIKPA</w:t>
      </w:r>
      <w:r>
        <w:t xml:space="preserve">, </w:t>
      </w:r>
      <w:r>
        <w:rPr>
          <w:lang w:val="en-US"/>
        </w:rPr>
        <w:t>EO</w:t>
      </w:r>
      <w:r>
        <w:t>Р, К.</w:t>
      </w:r>
      <w:r>
        <w:rPr>
          <w:lang w:val="en-US"/>
        </w:rPr>
        <w:t>V</w:t>
      </w:r>
      <w:r>
        <w:t>. "</w:t>
      </w:r>
      <w:r>
        <w:rPr>
          <w:lang w:val="en-US"/>
        </w:rPr>
        <w:t>I</w:t>
      </w:r>
      <w:r>
        <w:t xml:space="preserve"> </w:t>
      </w:r>
      <w:r>
        <w:rPr>
          <w:lang w:val="en-US"/>
        </w:rPr>
        <w:t>Mitera</w:t>
      </w:r>
      <w:r>
        <w:t xml:space="preserve">", </w:t>
      </w:r>
      <w:r>
        <w:rPr>
          <w:lang w:val="en-US"/>
        </w:rPr>
        <w:t>I</w:t>
      </w:r>
      <w:r>
        <w:t>.</w:t>
      </w:r>
      <w:r>
        <w:rPr>
          <w:lang w:val="en-US"/>
        </w:rPr>
        <w:t>V</w:t>
      </w:r>
      <w:r>
        <w:t>.</w:t>
      </w:r>
      <w:r>
        <w:rPr>
          <w:lang w:val="en-US"/>
        </w:rPr>
        <w:t>S</w:t>
      </w:r>
      <w:r>
        <w:t xml:space="preserve">. в Афинах, </w:t>
      </w:r>
      <w:r>
        <w:rPr>
          <w:lang w:val="en-US"/>
        </w:rPr>
        <w:t>I</w:t>
      </w:r>
      <w:r>
        <w:t>.</w:t>
      </w:r>
      <w:r>
        <w:rPr>
          <w:lang w:val="en-US"/>
        </w:rPr>
        <w:t>V</w:t>
      </w:r>
      <w:r>
        <w:t>.</w:t>
      </w:r>
      <w:r>
        <w:rPr>
          <w:lang w:val="en-US"/>
        </w:rPr>
        <w:t>S</w:t>
      </w:r>
      <w:r>
        <w:t xml:space="preserve">. в Салониках и </w:t>
      </w:r>
      <w:r>
        <w:rPr>
          <w:lang w:val="en-US"/>
        </w:rPr>
        <w:t>I</w:t>
      </w:r>
      <w:r>
        <w:t>.</w:t>
      </w:r>
      <w:r>
        <w:rPr>
          <w:lang w:val="en-US"/>
        </w:rPr>
        <w:t>V</w:t>
      </w:r>
      <w:r>
        <w:t>.</w:t>
      </w:r>
      <w:r>
        <w:rPr>
          <w:lang w:val="en-US"/>
        </w:rPr>
        <w:t>S</w:t>
      </w:r>
      <w:r>
        <w:t>. в Ларисе), были переданы муниципалитетам и общинам районов, в которых они функционируют.</w:t>
      </w:r>
    </w:p>
    <w:p w:rsidR="00000000" w:rsidRDefault="00000000">
      <w:pPr>
        <w:pStyle w:val="BodyText"/>
        <w:spacing w:after="200"/>
      </w:pPr>
      <w:r>
        <w:t>14.</w:t>
      </w:r>
      <w:r>
        <w:tab/>
        <w:t>Благотворительные организации создали и обеспечивают деятельность 39 центров (некоммерческого характера), ряд из которых, что знаменательно, субсидируются за счет государственного бюджета. Работает также около 1090 частных дневных центров для детей и младенцев (частные предприятия).</w:t>
      </w:r>
    </w:p>
    <w:p w:rsidR="00000000" w:rsidRDefault="00000000">
      <w:pPr>
        <w:pStyle w:val="BodyText"/>
        <w:spacing w:after="200"/>
      </w:pPr>
      <w:r>
        <w:t>15.</w:t>
      </w:r>
      <w:r>
        <w:tab/>
        <w:t>Наконец, в соответствии с общим министерским указом министров внутренних дел, государственной администрации и децентрализации, занятости и социальной защиты и здравоохранения и социального обеспечения, региональные программы действий (Р.Е.Р.), являющиеся частью третьей Рамочной программы поддержки общин, осуществляют мероприятия по развертыванию новых подразделений и структур в уже существующих дневных центрах для детей и младенцев, дневных центров по комплексному уходу за детьми и младенцами (с отделениями для младенцев с недостатками развития) (</w:t>
      </w:r>
      <w:r>
        <w:rPr>
          <w:lang w:val="en-US"/>
        </w:rPr>
        <w:t>VSOF</w:t>
      </w:r>
      <w:r>
        <w:t>), центров дневного ухода за детьми, центров творческого развития детей (</w:t>
      </w:r>
      <w:r>
        <w:rPr>
          <w:lang w:val="en-US"/>
        </w:rPr>
        <w:t>KDAP</w:t>
      </w:r>
      <w:r>
        <w:t>) и центров творческого развития детей с недостатками развития (</w:t>
      </w:r>
      <w:r>
        <w:rPr>
          <w:lang w:val="en-US"/>
        </w:rPr>
        <w:t>KDAP</w:t>
      </w:r>
      <w:r>
        <w:t xml:space="preserve"> </w:t>
      </w:r>
      <w:r>
        <w:rPr>
          <w:lang w:val="en-US"/>
        </w:rPr>
        <w:t>AMEA</w:t>
      </w:r>
      <w:r>
        <w:t>); в рамках программы действий "Занятость и профессиональное обучение", также являющейся частью третьей Рамочной программы поддержки общин, принимаются меры по дальнейшему продолжению и даже расширению деятельности существующих структур, которые финансировались совместно с Европейским социальным фондом (Е.</w:t>
      </w:r>
      <w:r>
        <w:rPr>
          <w:lang w:val="en-US"/>
        </w:rPr>
        <w:t>S</w:t>
      </w:r>
      <w:r>
        <w:t>.</w:t>
      </w:r>
      <w:r>
        <w:rPr>
          <w:lang w:val="en-US"/>
        </w:rPr>
        <w:t>F</w:t>
      </w:r>
      <w:r>
        <w:t>.) в ходе второй Рамочной программы поддержки общин.</w:t>
      </w:r>
    </w:p>
    <w:p w:rsidR="00000000" w:rsidRDefault="00000000">
      <w:pPr>
        <w:pStyle w:val="BodyText"/>
        <w:spacing w:after="200"/>
        <w:rPr>
          <w:i/>
        </w:rPr>
      </w:pPr>
      <w:r>
        <w:rPr>
          <w:i/>
        </w:rPr>
        <w:t>Поддержка и защита детей</w:t>
      </w:r>
    </w:p>
    <w:p w:rsidR="00000000" w:rsidRDefault="00000000">
      <w:pPr>
        <w:pStyle w:val="BodyText"/>
        <w:spacing w:after="200"/>
      </w:pPr>
      <w:r>
        <w:t>16.</w:t>
      </w:r>
      <w:r>
        <w:tab/>
        <w:t>Укрепляя социальную политику в национальном масштабе, Министерство здравоохранения и социального обеспечения внесло в парламент закон 3106/2003 относительно региональной децентрализации национальной системы социальной защиты с целью децентрализации услуг по социальной защите и их административного и оперативного подчинения службам здравоохранения, а также обеспечения сотрудничества и координации всех учреждений, занимающихся преодолением социального отчуждения. Новая административная структура направлена на предоставление более эффективных и своевременных услуг гражданам.</w:t>
      </w:r>
    </w:p>
    <w:p w:rsidR="00000000" w:rsidRDefault="00000000">
      <w:pPr>
        <w:pStyle w:val="BodyText"/>
        <w:spacing w:after="200"/>
      </w:pPr>
      <w:r>
        <w:tab/>
        <w:t>С появлением новой административной структуры, созданной после принятия вышеупомянутого закона (статья 8), центры поддержки семьи упраздненной Национальной организации социальной защиты (ЕОК</w:t>
      </w:r>
      <w:r>
        <w:rPr>
          <w:lang w:val="en-US"/>
        </w:rPr>
        <w:t>F</w:t>
      </w:r>
      <w:r>
        <w:t>), созданные в соответствии с положениями президентского указа 575/70, которые предоставляют, среди прочего, консультационные услуги семьям, детям, подросткам и другим уязвимым группам населения, перешли под юрисдикцию муниципалитетов и общин районов, в которых они функционируют. Следует отметить, что в порядке исполнения закона 3106 был выпущен ряд общих министерских указов, которые предусматривают, что программы социального вспомоществования упраздненной организации ЕОК</w:t>
      </w:r>
      <w:r>
        <w:rPr>
          <w:lang w:val="en-US"/>
        </w:rPr>
        <w:t>F</w:t>
      </w:r>
      <w:r>
        <w:t xml:space="preserve"> будут в дальнейшем осуществляться учреждениями социальной защиты, относящимися к Региональной национальной системе здравоохранения и вспомоществования (РЕ</w:t>
      </w:r>
      <w:r>
        <w:rPr>
          <w:lang w:val="en-US"/>
        </w:rPr>
        <w:t>SYP</w:t>
      </w:r>
      <w:r>
        <w:t>), такими как "Пентели", сиротский приют "Агиос Андреас Каламакиу" и центр для малолетних детей "МИТЕРА". Национальный совет по социальной защите (</w:t>
      </w:r>
      <w:r>
        <w:rPr>
          <w:lang w:val="en-US"/>
        </w:rPr>
        <w:t>E</w:t>
      </w:r>
      <w:r>
        <w:t>.</w:t>
      </w:r>
      <w:r>
        <w:rPr>
          <w:lang w:val="en-US"/>
        </w:rPr>
        <w:t>SY</w:t>
      </w:r>
      <w:r>
        <w:t>.</w:t>
      </w:r>
      <w:r>
        <w:rPr>
          <w:lang w:val="en-US"/>
        </w:rPr>
        <w:t>K</w:t>
      </w:r>
      <w:r>
        <w:t>.</w:t>
      </w:r>
      <w:r>
        <w:rPr>
          <w:lang w:val="en-US"/>
        </w:rPr>
        <w:t>F</w:t>
      </w:r>
      <w:r>
        <w:t>.) со штаб-квартирой в Афинах является государственным учреждением, созданным в соответствии с положениями статьи 7 закона 3106/2003. Совет имеет целью оказание содействия Министерству здравоохранения и социального обеспечения в разработке стратегии в области вспомоществования. Кроме того, в соответствии с положениями пункта 15 статьи 21 закона 3172/03 Совет осуществляет контроль за ведением Национального реестра усыновления детей и Национального реестра приемных родителей и обеспечивает их конфиденциальность. В административном правлении Совета принимает участие представитель Национальной конфедерации лиц с инвалидностью, которого административное правление Конфедерации рекомендует в качестве представителя интересов лиц с инвалидностью и их семей.</w:t>
      </w:r>
    </w:p>
    <w:p w:rsidR="00000000" w:rsidRDefault="00000000">
      <w:pPr>
        <w:pStyle w:val="BodyText"/>
        <w:spacing w:after="200"/>
      </w:pPr>
      <w:r>
        <w:t>17.</w:t>
      </w:r>
      <w:r>
        <w:tab/>
        <w:t xml:space="preserve">В рамках усилий по борьбе с детским попрошайничеством на улицах осуществляется программа некоммерческого общества "Филоксения" в Салониках, финансируемая Министерством здравоохранения и социального обеспечения. Кроме того, Министерство здравоохранения и социального обеспечения, Национальная организация социальной защиты и общество "Детская улыбка" подписали программное соглашение, которое включает разработку программ по разрешению чрезвычайных ситуаций с оказавшимися в опасности детьми посредством размещения их в специально подготовленные учреждения, а также использования на круглосуточной основе мобильных подразделений с участием социальных работников, воспитателей для проведения специальных игр (например, инсценировок), медсестер и т. д. и путем использования транспортных средств, оснащенных связью со специальной радиосетью. Кроме того, в Кареасе открыто общежитие для девочек, укомплектованное профессиональным персоналом, который обеспечивает питание и обучение детей. </w:t>
      </w:r>
    </w:p>
    <w:p w:rsidR="00000000" w:rsidRDefault="00000000">
      <w:pPr>
        <w:pStyle w:val="BodyText"/>
        <w:spacing w:after="200"/>
      </w:pPr>
      <w:r>
        <w:t>18.</w:t>
      </w:r>
      <w:r>
        <w:tab/>
        <w:t>Неправительственная организация "Центр защиты ребенка" (КМОР) в сотрудничестве с организацией "ЛИММАТ СТИФТУНГ" осуществляет в муниципальных районах Перама и Коридаллос "программу по предупреждению ухода детей из школ". Программа рассчитана на учащихся (гимназий первой и второй ступеней средней школы) с низкой успеваемостью, в отношении которых имеется высокая вероятность того, что они могут бросить школу. Центр КМОР также содержит дневной детский центр в Пераме, Аттика, для учащихся начальных школ, сталкивающихся с психологическими проблемами, имеющих нарушения речи и трудности с адаптацией в школьной среде. Вдобавок к различным предоставляемым услугам для этих детей осуществляется программа дополнительного обучения и занятий творчеством.</w:t>
      </w:r>
    </w:p>
    <w:p w:rsidR="00000000" w:rsidRDefault="00000000">
      <w:pPr>
        <w:pStyle w:val="BodyText"/>
        <w:spacing w:after="200"/>
      </w:pPr>
      <w:r>
        <w:t>19.</w:t>
      </w:r>
      <w:r>
        <w:tab/>
        <w:t>Без какой-либо дискриминации по признаку расы, религии или происхождения греческое государство предоставляет всем лицам, которые отвечают требованиям указанного закона, пособия, предусмотренные Программой финансовой поддержки незащищенных детей (закон 4051/60), при условии их законного проживания в Греции. К настоящему времени изучается законодательное положение с целью улучшения условий, регулирующих деятельность этой программы на более справедливой основе.</w:t>
      </w:r>
    </w:p>
    <w:p w:rsidR="00000000" w:rsidRDefault="00000000">
      <w:pPr>
        <w:pStyle w:val="BodyText"/>
        <w:spacing w:after="200"/>
      </w:pPr>
      <w:r>
        <w:t>20.</w:t>
      </w:r>
      <w:r>
        <w:tab/>
        <w:t>Денежные пособия по беременности и родам также выплачиваются всем работающим матерям, которые не имеют права на получение пособий по беременности и родам от страховых фондов или не охвачены страхованием. Эта программа осуществляется в</w:t>
      </w:r>
      <w:r>
        <w:rPr>
          <w:spacing w:val="-4"/>
        </w:rPr>
        <w:t xml:space="preserve"> соответствии с пунктом 5 статьи 4 закона 1302/82, посредством которого была ратифицирована</w:t>
      </w:r>
      <w:r>
        <w:t xml:space="preserve"> Конвенция 103 Международной организации труда "О защите материнства" (1952 года). Пособие по беременности и родам предоставляется также всем иностранным гражданам, если они удовлетворяют вышеупомянутым условиям и законно проживают в Греции.</w:t>
      </w:r>
    </w:p>
    <w:p w:rsidR="00000000" w:rsidRDefault="00000000">
      <w:pPr>
        <w:pStyle w:val="BodyText"/>
        <w:spacing w:after="200"/>
      </w:pPr>
      <w:r>
        <w:t>21.</w:t>
      </w:r>
      <w:r>
        <w:tab/>
        <w:t>Все иностранные граждане и их дети также имеют доступ к социальным услугам (дневные детские центры, отделения социальной защиты, центры защиты детей, государственная программа детских лагерей отдыха), если они соответствуют требованиям законодательства и при условии, что их проживание в Греции является законным и может быть документально подтверждено.</w:t>
      </w:r>
    </w:p>
    <w:p w:rsidR="00000000" w:rsidRDefault="00000000">
      <w:pPr>
        <w:pStyle w:val="BodyText"/>
        <w:spacing w:after="200"/>
      </w:pPr>
      <w:r>
        <w:t>22.</w:t>
      </w:r>
      <w:r>
        <w:tab/>
        <w:t>В законе 3094/2003 определены сфера компетенции и функции греческого омбудсмена и расширены его функции, которые теперь распространяются и на область защиты и содействия соблюдению прав ребенка.</w:t>
      </w:r>
    </w:p>
    <w:p w:rsidR="00000000" w:rsidRDefault="00000000">
      <w:pPr>
        <w:pStyle w:val="BodyText"/>
        <w:spacing w:after="200"/>
      </w:pPr>
      <w:r>
        <w:t>23.</w:t>
      </w:r>
      <w:r>
        <w:tab/>
        <w:t>Что касается поддержки многодетных семей, Сельскохозяйственная страховая организация (</w:t>
      </w:r>
      <w:r>
        <w:rPr>
          <w:lang w:val="en-US"/>
        </w:rPr>
        <w:t>OGA</w:t>
      </w:r>
      <w:r>
        <w:t>), действующая в качестве уполномоченного представителя Министерства здравоохранения и социального обеспечения, предоставляет пособия в связи с рождением третьего ребенка, пособия матерям многодетных семей и пожизненную пенсию. Вышеупомянутые пособия предоставляются также гражданам государств – членов Европейского союза, а также гражданам стран Европейской экономической зоны (статья 11 закона 2819/2000), которые проживают в Греции.</w:t>
      </w:r>
    </w:p>
    <w:p w:rsidR="00000000" w:rsidRDefault="00000000">
      <w:pPr>
        <w:pStyle w:val="BodyText"/>
        <w:spacing w:after="200"/>
        <w:rPr>
          <w:i/>
        </w:rPr>
      </w:pPr>
      <w:r>
        <w:rPr>
          <w:i/>
        </w:rPr>
        <w:t>Пособия учащимся школ и высших учебных заведений</w:t>
      </w:r>
    </w:p>
    <w:p w:rsidR="00000000" w:rsidRDefault="00000000">
      <w:pPr>
        <w:pStyle w:val="BodyText"/>
        <w:spacing w:after="200"/>
      </w:pPr>
      <w:r>
        <w:t>24.</w:t>
      </w:r>
      <w:r>
        <w:tab/>
        <w:t>В соответствии с министерским указом</w:t>
      </w:r>
      <w:r>
        <w:rPr>
          <w:rStyle w:val="FootnoteReference"/>
        </w:rPr>
        <w:footnoteReference w:id="23"/>
      </w:r>
      <w:r>
        <w:t xml:space="preserve"> семьям, имеющим детей до 16 лет, которые учатся в государственных школах обязательного обучения, предоставляется пособие на учащихся. Оно распространяется на семьи, в том числе на семьи с одним родителем, имеющие годовой доход не выше 3000 евро, и составляет до 300 евро в год на каждого ученика государственной школы. Пособие предоставляется в виде единовременной суммы в начале каждого учебного года. Деньги выплачиваются компетентным государственным финансовым отделением (</w:t>
      </w:r>
      <w:r>
        <w:rPr>
          <w:lang w:val="en-US"/>
        </w:rPr>
        <w:t>D</w:t>
      </w:r>
      <w:r>
        <w:t>.</w:t>
      </w:r>
      <w:r>
        <w:rPr>
          <w:lang w:val="en-US"/>
        </w:rPr>
        <w:t>O</w:t>
      </w:r>
      <w:r>
        <w:t>.</w:t>
      </w:r>
      <w:r>
        <w:rPr>
          <w:lang w:val="en-US"/>
        </w:rPr>
        <w:t>Y</w:t>
      </w:r>
      <w:r>
        <w:t>.) по месту проживания получателя пособия.</w:t>
      </w:r>
    </w:p>
    <w:p w:rsidR="00000000" w:rsidRDefault="00000000">
      <w:pPr>
        <w:pStyle w:val="BodyText"/>
        <w:spacing w:after="200"/>
      </w:pPr>
      <w:r>
        <w:t>25.</w:t>
      </w:r>
      <w:r>
        <w:tab/>
        <w:t>В соответствии со статьей 10 закона 3220</w:t>
      </w:r>
      <w:r>
        <w:rPr>
          <w:rStyle w:val="FootnoteReference"/>
        </w:rPr>
        <w:footnoteReference w:id="24"/>
      </w:r>
      <w:r>
        <w:t xml:space="preserve"> семьи, имеющие детей, которые обучаются не в городе проживания семьи, а в других городах, имеют право на получение годового учебного пособия на жилье в размере 1000 евро. Необходимым условием для этого является то, что годовой семейный доход за предыдущий год не должен превышать 30 000 евро, с дополнительной надбавкой 3000 евро на каждого ребенка, защищаемого данным законом, не считая первого ребенка.</w:t>
      </w:r>
    </w:p>
    <w:p w:rsidR="00000000" w:rsidRDefault="00000000">
      <w:pPr>
        <w:pStyle w:val="BodyText"/>
        <w:spacing w:after="200"/>
        <w:ind w:left="0" w:firstLine="0"/>
        <w:rPr>
          <w:i/>
        </w:rPr>
      </w:pPr>
      <w:r>
        <w:rPr>
          <w:i/>
        </w:rPr>
        <w:t>Сокращенный срок государственной военной службы для родителей многодетных семей, детей незамужних матерей и т. д.</w:t>
      </w:r>
    </w:p>
    <w:p w:rsidR="00000000" w:rsidRDefault="00000000">
      <w:pPr>
        <w:pStyle w:val="BodyText"/>
      </w:pPr>
      <w:r>
        <w:t>26.</w:t>
      </w:r>
      <w:r>
        <w:tab/>
        <w:t>В соответствии с законом 3257/04, посредством которого были внесены поправки в положения президентского указа 292/2003, самый старший ребенок в семье, имеющей по меньшей мере троих детей, служит на три месяца меньше, по сравнению со сроком, предписанным законом. В дополнение к этому срок службы для самого старшего ребенка у родителя, который потерял трудоспособность или достиг 70</w:t>
      </w:r>
      <w:r>
        <w:noBreakHyphen/>
        <w:t>летнего возраста, или овдовел, или умер, срок службы сокращен на 9 месяцев. То же распространяется на самого старшего ребенка незамужней матери.</w:t>
      </w:r>
    </w:p>
    <w:p w:rsidR="00000000" w:rsidRDefault="00000000">
      <w:pPr>
        <w:pStyle w:val="BodyText"/>
        <w:jc w:val="center"/>
        <w:rPr>
          <w:b/>
        </w:rPr>
      </w:pPr>
      <w:r>
        <w:rPr>
          <w:sz w:val="24"/>
        </w:rPr>
        <w:br w:type="page"/>
      </w:r>
      <w:r>
        <w:rPr>
          <w:b/>
          <w:caps/>
          <w:lang w:val="en-US"/>
        </w:rPr>
        <w:t>Ii</w:t>
      </w:r>
      <w:r>
        <w:rPr>
          <w:b/>
          <w:caps/>
        </w:rPr>
        <w:t>.</w:t>
      </w:r>
      <w:r>
        <w:rPr>
          <w:b/>
        </w:rPr>
        <w:t>  Программы – Примеры наилучшей практики – Информация</w:t>
      </w:r>
    </w:p>
    <w:p w:rsidR="00000000" w:rsidRDefault="00000000">
      <w:pPr>
        <w:pStyle w:val="BodyText"/>
      </w:pPr>
      <w:r>
        <w:t>27.</w:t>
      </w:r>
      <w:r>
        <w:tab/>
        <w:t>В контексте четвертой Среднесрочной программы общинных действий по обеспечению гендерного равенства Генеральный секретариат по вопросам гендерного равенства принял участие в финансировании публикации справочника под названием "Примеры наилучшей практики в области совмещения семейных обязанностей и производственной деятельности в Европейском союзе", а также в организации Европейской конференции с той же повесткой дня, которая прошла в Афинах 22–23 июня 2001 года при участии 12 стран – участниц программы. За проведение вышеперечисленных мероприятий отвечала неправительственная организация "Центр поддержки семьи и детей".</w:t>
      </w:r>
    </w:p>
    <w:p w:rsidR="00000000" w:rsidRDefault="00000000">
      <w:pPr>
        <w:pStyle w:val="BodyText"/>
      </w:pPr>
      <w:r>
        <w:t>28.</w:t>
      </w:r>
      <w:r>
        <w:tab/>
        <w:t>В период 2000–2002 годов осуществлялась программа "Женщины – главы семей с одним родителем", являющаяся частью общей стратегии Европейского союза в области гендерного равенства (2001–2005 годы). Финансирование этой программы осуществлялось совместно Генеральным директоратом занятости и социальных вопросов Европейской комиссии (80 процентов) и Генеральным секретариатом по вопросам гендерного равенства (20 процентов).</w:t>
      </w:r>
    </w:p>
    <w:p w:rsidR="00000000" w:rsidRDefault="00000000">
      <w:pPr>
        <w:pStyle w:val="BodyText"/>
      </w:pPr>
      <w:r>
        <w:t>29.</w:t>
      </w:r>
      <w:r>
        <w:tab/>
        <w:t>В июле 2003 года Генеральный секретариат по вопросам гендерного равенства опубликовал информационную брошюру "Женщины – главы семей с одним родителем", в которой содержатся сведения относительно социальных выгод, денежных пособий, услуг по поддержке, предоставляемых женщинам – главам семей с одним родителем.</w:t>
      </w:r>
    </w:p>
    <w:p w:rsidR="00000000" w:rsidRDefault="00000000">
      <w:pPr>
        <w:pStyle w:val="BodyText"/>
      </w:pPr>
      <w:r>
        <w:t>30.</w:t>
      </w:r>
      <w:r>
        <w:tab/>
        <w:t>В декабре 2003 года Генеральный секретариат по вопросам гендерного равенства опубликовал информационную брошюру "Мы поддерживаем семью – Мы обеспечиваем равные возможности и права для всех – Мы защищаем материнство – Мы поддерживаем женщин на рынке труда". В этой брошюре содержится информация о действующих с 1 января 2004 года правовых основах защиты семьи, денежных пособиях, структурах поддержки семьи и новых мерах оперативной поддержки семей, менее устойчивых в социальном и финансовом плане.</w:t>
      </w:r>
    </w:p>
    <w:p w:rsidR="00000000" w:rsidRDefault="00000000">
      <w:pPr>
        <w:pStyle w:val="Heading2"/>
      </w:pPr>
      <w:bookmarkStart w:id="8" w:name="_Toc116466872"/>
      <w:r>
        <w:t>Статья 6</w:t>
      </w:r>
      <w:bookmarkEnd w:id="8"/>
    </w:p>
    <w:p w:rsidR="00000000" w:rsidRDefault="00000000">
      <w:pPr>
        <w:pStyle w:val="a4"/>
      </w:pPr>
      <w:r>
        <w:t>Государства-участники принимают все соответствующие меры, включая законодательные, для пресечения всех видов торговли женщинами и эксплуатации проституции женщин.</w:t>
      </w:r>
    </w:p>
    <w:p w:rsidR="00000000" w:rsidRDefault="00000000">
      <w:pPr>
        <w:pStyle w:val="BodyText"/>
        <w:jc w:val="center"/>
        <w:rPr>
          <w:b/>
        </w:rPr>
      </w:pPr>
      <w:r>
        <w:rPr>
          <w:b/>
        </w:rPr>
        <w:t>А.  </w:t>
      </w:r>
      <w:r>
        <w:rPr>
          <w:b/>
          <w:caps/>
        </w:rPr>
        <w:t>Торговля людьми</w:t>
      </w:r>
    </w:p>
    <w:p w:rsidR="00000000" w:rsidRDefault="00000000">
      <w:pPr>
        <w:pStyle w:val="BodyText"/>
      </w:pPr>
      <w:r>
        <w:t>1.</w:t>
      </w:r>
      <w:r>
        <w:tab/>
        <w:t>Государство и гражданское общество в Греции общими усилиями содействовали принятию мер против торговли людьми на национальном уровне и затем использовали этот опыт и наработки в контексте международного сотрудничества в области развития, внося тем самым вклад в борьбу с этим явлением на европейском региональном уровне.</w:t>
      </w:r>
    </w:p>
    <w:p w:rsidR="00000000" w:rsidRDefault="00000000">
      <w:pPr>
        <w:pStyle w:val="BodyText"/>
        <w:jc w:val="center"/>
        <w:rPr>
          <w:b/>
        </w:rPr>
      </w:pPr>
      <w:r>
        <w:rPr>
          <w:b/>
        </w:rPr>
        <w:t>I.  Законодательная основа</w:t>
      </w:r>
    </w:p>
    <w:p w:rsidR="00000000" w:rsidRDefault="00000000">
      <w:pPr>
        <w:pStyle w:val="BodyText"/>
      </w:pPr>
      <w:r>
        <w:t>2.</w:t>
      </w:r>
      <w:r>
        <w:tab/>
        <w:t xml:space="preserve">Начиная с 2001 года Греция предпринимает серьезные усилия по борьбе с незаконной торговлей людьми. Первым важным шагом явилось учреждение Группы по борьбе с торговлей людьми (ОКЕА) в Министерстве общественного порядка с целью изменения законодательной базы и распространения информации относительно данной проблемы. </w:t>
      </w:r>
    </w:p>
    <w:p w:rsidR="00000000" w:rsidRDefault="00000000">
      <w:pPr>
        <w:pStyle w:val="BodyText"/>
      </w:pPr>
      <w:r>
        <w:t>3.</w:t>
      </w:r>
      <w:r>
        <w:tab/>
        <w:t>В это же время была создана надлежащая законодательная база для борьбы с незаконной торговлей людьми посредством пересмотра соответствующих статей Уголовного кодекса и с помощью специального закона 3064/2002 и президентского указа 233/2003, в частности:</w:t>
      </w:r>
    </w:p>
    <w:p w:rsidR="00000000" w:rsidRDefault="00000000">
      <w:pPr>
        <w:pStyle w:val="18-8"/>
      </w:pPr>
      <w:r>
        <w:sym w:font="Symbol" w:char="F0B7"/>
      </w:r>
      <w:r>
        <w:tab/>
        <w:t xml:space="preserve">Закон 3064/2002 "Пресечение торговли людьми, преступлений против сексуальной свободы, детской порнографии и, в целом, сексуальной эксплуатации в коммерческих целях и оказание помощи жертвам таких преступлений", который был единогласно принят парламентом Греции, представляет собой попытку внести существенные изменения в Уголовный кодекс, предусматривающие суровые наказания для лиц, совершающих подобные преступления. Согласно положениям указанного закона, предусматриваются более суровые наказания (в некоторых случаях как за фелонию) в отношении всех современных форм торговли людьми, таких как изъятие внутренних органов, эксплуатация труда человека посредством принуждения и обмана, сексуальная эксплуатация в коммерческих целях, вербовка детей с целью их использования в вооруженных конфликтах, причем особое внимание уделяется защите детей и социально уязвимых групп населения (женщин-иностранок). Одно из положений непосредственно затрагивает проблему детской порнографии, которая, с расширением использования интернета, приобрела тревожные масштабы. </w:t>
      </w:r>
    </w:p>
    <w:p w:rsidR="00000000" w:rsidRDefault="00000000">
      <w:pPr>
        <w:pStyle w:val="18-8"/>
      </w:pPr>
      <w:r>
        <w:sym w:font="Symbol" w:char="F0B7"/>
      </w:r>
      <w:r>
        <w:tab/>
        <w:t>Президентским указом 233/2003 о предоставлении помощи жертвам торговли людьми вводятся необходимые законодательные нормы для оказания помощи, обеспечения защиты и ухода жертвам правонарушений, связанных со сводничеством, торговлей людьми, сексуальной эксплуатацией детей в коммерческих целях и торговли людьми. Предусмотрены, в частности, положения относительно охраны жизни, физической неприкосновенности, личной и сексуальной свободы. Оказывается также помощь в обеспечении жильем, питанием, медицинским обслуживанием, психологической поддержкой, правовой консультацией и услугами переводчика. Предусматриваются специальные программы обучения и профессиональной подготовки для несовершеннолетних.</w:t>
      </w:r>
    </w:p>
    <w:p w:rsidR="00000000" w:rsidRDefault="00000000">
      <w:pPr>
        <w:pStyle w:val="18-8"/>
      </w:pPr>
      <w:r>
        <w:sym w:font="Symbol" w:char="F0B7"/>
      </w:r>
      <w:r>
        <w:tab/>
        <w:t xml:space="preserve">Пункт 7 статьи 34 закона 3274/2004 заменяет пункт 7 статьи 44 закона 2910/2001 и предусматривает, что: </w:t>
      </w:r>
    </w:p>
    <w:p w:rsidR="00000000" w:rsidRDefault="00000000">
      <w:pPr>
        <w:pStyle w:val="26-8"/>
      </w:pPr>
      <w:r>
        <w:tab/>
        <w:t>"Депортация незаконных иммигрантов, выдвигающих обвинения в сводничестве, может, согласно постановлению прокурора первой инстанции и при одобрении прокурора вышестоящей инстанции, быть приостановлена вплоть до вынесения окончательного судебного решения относительно правонарушений, явившихся предметом судебного разбирательства. Если иск признается не обоснованным, депортация приводится в исполнение. На срок приостановления депортации, по постановлению генерального секретаря региона, в порядке исключения из положений закона 2910/2001, предоставляется вид на жительство. Вышеуказанный вид на жительство используется также вместо разрешения на занятие трудовой деятельностью и выдается на шесть месяцев с продлением на такие же сроки впредь до вынесения окончательного судебного решения, причем его предоставление не требует оплаты какого-либо налогового сбора. Данное положение также применяется в пропорциональных случаях, предусмотренных статьей 12 закона 3064/2002".</w:t>
      </w:r>
    </w:p>
    <w:p w:rsidR="00000000" w:rsidRDefault="00000000">
      <w:pPr>
        <w:pStyle w:val="BodyText"/>
        <w:jc w:val="center"/>
        <w:rPr>
          <w:b/>
        </w:rPr>
      </w:pPr>
      <w:r>
        <w:rPr>
          <w:b/>
        </w:rPr>
        <w:t>II.  Cтатистические данные</w:t>
      </w:r>
    </w:p>
    <w:p w:rsidR="00000000" w:rsidRDefault="00000000">
      <w:pPr>
        <w:pStyle w:val="BodyText"/>
      </w:pPr>
      <w:r>
        <w:t>4.</w:t>
      </w:r>
      <w:r>
        <w:tab/>
        <w:t>Согласно статистическим данным Министерства общественного порядка</w:t>
      </w:r>
      <w:r>
        <w:br/>
        <w:t xml:space="preserve">(2000–2004 года), за прошедшие годы были достигнуты существенные результаты благодаря активизации деятельности служб по борьбе с данным явлением (в 2001 году рассмотрено 440 дел по сравнению с 272 в 2000 году). В 2001 году были ликвидированы 54 криминальные сети по сравнению с 41 в 2000 году. В рамках этих сетей были выявлены 104 жертвы торговли людьми. В 2002 году греческая полиция раскрыла 64 криминальные сети, занимавшихся сводничеством и торговлей людьми, в которые были вовлечены 184 жертвы торговли людьми. В период с 15 октября 2002 года, когда вступил в действие закон 3064/2002, до 30 октября 2003 года полицейские службы Греции применили его в 475 случаях, при этом 195 женщин были признаны жертвами торговли людьми. В течение 2004 года греческая полиция расследовала 65 дел по обвинению в незаконном провозе людей и торговле людьми, в 29 из которых участвовали преступные организации. В результате расследований и проверки обстоятельств по этим делам были выдвинуты обвинения в отношении 352 правонарушителей, как граждан Греции, так и иностранцев, причем число жертв экономической и сексуальной эксплуатации составило 181 человек (мужчин, женщин и детей). Со стороны соответствующих государственных органов и неправительственных организаций (НПО) 46 пострадавшим были предоставлены помощь и защита. В отношении 25 пострадавших было вынесено постановление государственного обвинителя, в соответствии с которым их депортация была приостановлена согласно статье 12 закона 3064/02. </w:t>
      </w:r>
    </w:p>
    <w:p w:rsidR="00000000" w:rsidRDefault="00000000">
      <w:pPr>
        <w:pStyle w:val="BodyText"/>
      </w:pPr>
      <w:r>
        <w:tab/>
      </w:r>
      <w:r>
        <w:tab/>
        <w:t>Подразделения греческой полиции сотрудничали:</w:t>
      </w:r>
    </w:p>
    <w:p w:rsidR="00000000" w:rsidRDefault="00000000">
      <w:pPr>
        <w:pStyle w:val="26-8"/>
      </w:pPr>
      <w:r>
        <w:sym w:font="Symbol" w:char="F0B7"/>
      </w:r>
      <w:r>
        <w:tab/>
        <w:t>с иностранными дипломатическими представительствами (посольствами, консульствами) в стране – в 12 случаях, в связи с предоставлением помощи и защиты пострадавшим – гражданам соответствующих стран. Пострадавшие были доставлены в вышеупомянутые учреждения после консультаций и затем в сотрудничестве с отделением МOM в Греции благополучно репатриированы;</w:t>
      </w:r>
    </w:p>
    <w:p w:rsidR="00000000" w:rsidRDefault="00000000">
      <w:pPr>
        <w:pStyle w:val="26-8"/>
      </w:pPr>
      <w:r>
        <w:sym w:font="Symbol" w:char="F0B7"/>
      </w:r>
      <w:r>
        <w:tab/>
        <w:t>с МОМ в 12 вышеупомянутых случаях, а также еще в 5 случаях в связи с безопасной репатриацией;</w:t>
      </w:r>
    </w:p>
    <w:p w:rsidR="00000000" w:rsidRDefault="00000000">
      <w:pPr>
        <w:pStyle w:val="26-8"/>
      </w:pPr>
      <w:r>
        <w:sym w:font="Symbol" w:char="F0B7"/>
      </w:r>
      <w:r>
        <w:tab/>
        <w:t>с Генеральным секретариатом по вопросам гендерного равенства, а также с Генеральным секретариатом по вопросам здравоохранения и социального обеспечения относительно предоставления помощи и защиты со стороны правительственных и неправительственных организаций 31 пострадавшему.</w:t>
      </w:r>
    </w:p>
    <w:p w:rsidR="00000000" w:rsidRDefault="00000000">
      <w:pPr>
        <w:pStyle w:val="BodyText"/>
      </w:pPr>
      <w:r>
        <w:tab/>
      </w:r>
      <w:r>
        <w:tab/>
        <w:t xml:space="preserve">Следует отметить, что большинство пострадавших являются законными резидентами Греции, поэтому они заявили соответствующим органам, что не желают быть поставленными под защиту государства. Большинство из них уже отправились на родину, хотя небольшое число их все еще находится в стране. </w:t>
      </w:r>
    </w:p>
    <w:p w:rsidR="00000000" w:rsidRDefault="00000000">
      <w:pPr>
        <w:pStyle w:val="BodyText"/>
      </w:pPr>
      <w:r>
        <w:t>5.</w:t>
      </w:r>
      <w:r>
        <w:tab/>
        <w:t>Согласно обследованию, проведенному K.E.D.E (STOPNOW 2002), численность женщин, подвергшихся принуждению к занятию проституцией в Греции, составила в 2002 году 17 200 человек. По некоторым оценкам, эти показатели постоянно снижаются. Достигнув пиковых значений в 1997 году (приблизительная численность женщин и детей составила 22 500 человек), показатели принуждения к проституции с 1998 по 2000 год несколько снизились. С конца 2001 года по настоящее время для этого явления характерна устойчивая тенденция к понижению. В 2002 году фактическое число случаев сократилось до немногим более 17 000. В течение 2004 года, если нынешняя тенденция сохранится, что представляется вероятным, число лиц, принуждаемых к занятию проституцией в рамках определения "торговля людьми" в соответствии с европейскими конвенциями и приложением к Палермской конвенции, – уменьшится до 13 000.</w:t>
      </w:r>
    </w:p>
    <w:p w:rsidR="00000000" w:rsidRDefault="00000000">
      <w:pPr>
        <w:pStyle w:val="BodyText"/>
        <w:ind w:left="0" w:firstLine="0"/>
        <w:jc w:val="center"/>
        <w:rPr>
          <w:b/>
        </w:rPr>
      </w:pPr>
      <w:r>
        <w:rPr>
          <w:b/>
        </w:rPr>
        <w:t>III.  Действия правительства</w:t>
      </w:r>
    </w:p>
    <w:p w:rsidR="00000000" w:rsidRDefault="00000000">
      <w:pPr>
        <w:pStyle w:val="BodyText"/>
      </w:pPr>
      <w:r>
        <w:t>6.</w:t>
      </w:r>
      <w:r>
        <w:tab/>
        <w:t>В Греции разработана комплексная программа мер по борьбе с незаконным ввозом людей и с торговлей ими, основанная на координации действий смежных министерств, которая охватывает весь диапазон действий, касающихся торговли людьми, а именно:</w:t>
      </w:r>
    </w:p>
    <w:p w:rsidR="00000000" w:rsidRDefault="00000000">
      <w:pPr>
        <w:pStyle w:val="110"/>
      </w:pPr>
      <w:r>
        <w:t>–</w:t>
      </w:r>
      <w:r>
        <w:tab/>
        <w:t>отслеживание данного явления – выявление пострадавшего</w:t>
      </w:r>
    </w:p>
    <w:p w:rsidR="00000000" w:rsidRDefault="00000000">
      <w:pPr>
        <w:pStyle w:val="110"/>
      </w:pPr>
      <w:r>
        <w:t>–</w:t>
      </w:r>
      <w:r>
        <w:tab/>
        <w:t>опознание и защита пострадавшего</w:t>
      </w:r>
    </w:p>
    <w:p w:rsidR="00000000" w:rsidRDefault="00000000">
      <w:pPr>
        <w:pStyle w:val="110"/>
      </w:pPr>
      <w:r>
        <w:t>–</w:t>
      </w:r>
      <w:r>
        <w:tab/>
        <w:t>создание общежитий для беженцев</w:t>
      </w:r>
    </w:p>
    <w:p w:rsidR="00000000" w:rsidRDefault="00000000">
      <w:pPr>
        <w:pStyle w:val="110"/>
      </w:pPr>
      <w:r>
        <w:t>–</w:t>
      </w:r>
      <w:r>
        <w:tab/>
        <w:t>медицинская и психологическая поддержка пострадавших</w:t>
      </w:r>
    </w:p>
    <w:p w:rsidR="00000000" w:rsidRDefault="00000000">
      <w:pPr>
        <w:pStyle w:val="110"/>
      </w:pPr>
      <w:r>
        <w:t>–</w:t>
      </w:r>
      <w:r>
        <w:tab/>
        <w:t>правовая защита и помощь пострадавшим</w:t>
      </w:r>
    </w:p>
    <w:p w:rsidR="00000000" w:rsidRDefault="00000000">
      <w:pPr>
        <w:pStyle w:val="110"/>
      </w:pPr>
      <w:r>
        <w:t>–</w:t>
      </w:r>
      <w:r>
        <w:tab/>
        <w:t>административная поддержка – предоставление вида на жительство</w:t>
      </w:r>
    </w:p>
    <w:p w:rsidR="00000000" w:rsidRDefault="00000000">
      <w:pPr>
        <w:pStyle w:val="110"/>
      </w:pPr>
      <w:r>
        <w:t>–</w:t>
      </w:r>
      <w:r>
        <w:tab/>
        <w:t>репатриация</w:t>
      </w:r>
    </w:p>
    <w:p w:rsidR="00000000" w:rsidRDefault="00000000">
      <w:pPr>
        <w:pStyle w:val="110"/>
      </w:pPr>
      <w:r>
        <w:t>–</w:t>
      </w:r>
      <w:r>
        <w:tab/>
        <w:t>поддержка в странах происхождения посредством программ реинтеграции</w:t>
      </w:r>
    </w:p>
    <w:p w:rsidR="00000000" w:rsidRDefault="00000000">
      <w:pPr>
        <w:pStyle w:val="110"/>
      </w:pPr>
      <w:r>
        <w:t>–</w:t>
      </w:r>
      <w:r>
        <w:tab/>
        <w:t>образование и трудоустройство пострадавших, остающихся в Греции</w:t>
      </w:r>
    </w:p>
    <w:p w:rsidR="00000000" w:rsidRDefault="00000000">
      <w:pPr>
        <w:pStyle w:val="110"/>
      </w:pPr>
      <w:r>
        <w:t>–</w:t>
      </w:r>
      <w:r>
        <w:tab/>
        <w:t>профессиональная подготовка полицейских</w:t>
      </w:r>
    </w:p>
    <w:p w:rsidR="00000000" w:rsidRDefault="00000000">
      <w:pPr>
        <w:pStyle w:val="110"/>
      </w:pPr>
      <w:r>
        <w:t>–</w:t>
      </w:r>
      <w:r>
        <w:tab/>
        <w:t>профессиональная подготовка судей и адвокатов</w:t>
      </w:r>
    </w:p>
    <w:p w:rsidR="00000000" w:rsidRDefault="00000000">
      <w:pPr>
        <w:pStyle w:val="110"/>
      </w:pPr>
      <w:r>
        <w:t>–</w:t>
      </w:r>
      <w:r>
        <w:tab/>
        <w:t>информирование населения</w:t>
      </w:r>
    </w:p>
    <w:p w:rsidR="00000000" w:rsidRDefault="00000000">
      <w:pPr>
        <w:pStyle w:val="BodyText"/>
      </w:pPr>
      <w:r>
        <w:tab/>
        <w:t>Были приняты или запланированы следующие меры:</w:t>
      </w:r>
    </w:p>
    <w:p w:rsidR="00000000" w:rsidRDefault="00000000">
      <w:pPr>
        <w:pStyle w:val="BodyText"/>
      </w:pPr>
      <w:r>
        <w:t>7.</w:t>
      </w:r>
      <w:r>
        <w:tab/>
      </w:r>
      <w:r>
        <w:rPr>
          <w:b/>
          <w:i/>
        </w:rPr>
        <w:t>Межведомственный уровень</w:t>
      </w:r>
      <w:r>
        <w:rPr>
          <w:i/>
        </w:rPr>
        <w:t>:</w:t>
      </w:r>
    </w:p>
    <w:p w:rsidR="00000000" w:rsidRDefault="00000000">
      <w:pPr>
        <w:pStyle w:val="18-8"/>
        <w:rPr>
          <w:u w:val="single"/>
        </w:rPr>
      </w:pPr>
      <w:r>
        <w:sym w:font="Symbol" w:char="F0B7"/>
      </w:r>
      <w:r>
        <w:tab/>
        <w:t>Учреждение Специального руководящего комитета по инициативе Министерства юстиции с целью координации на уровне принятия политических решений и деятельности по осуществлению положений закона 3064/2002 "О пресечении торговли людьми".</w:t>
      </w:r>
    </w:p>
    <w:p w:rsidR="00000000" w:rsidRDefault="00000000">
      <w:pPr>
        <w:pStyle w:val="18-8"/>
        <w:rPr>
          <w:u w:val="single"/>
        </w:rPr>
      </w:pPr>
      <w:r>
        <w:sym w:font="Symbol" w:char="F0B7"/>
      </w:r>
      <w:r>
        <w:tab/>
        <w:t>Создание национальной базы данных для мониторинга данного явления с помощью сведений, предоставляемых всеми министерствами.</w:t>
      </w:r>
    </w:p>
    <w:p w:rsidR="00000000" w:rsidRDefault="00000000">
      <w:pPr>
        <w:pStyle w:val="18-8"/>
        <w:rPr>
          <w:i/>
          <w:u w:val="single"/>
        </w:rPr>
      </w:pPr>
      <w:r>
        <w:sym w:font="Symbol" w:char="F0B7"/>
      </w:r>
      <w:r>
        <w:tab/>
        <w:t>Сотрудничество и учреждение постоянного форума для обмена мнениями и информацией между министерствами и НПО.</w:t>
      </w:r>
    </w:p>
    <w:p w:rsidR="00000000" w:rsidRDefault="00000000">
      <w:pPr>
        <w:pStyle w:val="18-8"/>
      </w:pPr>
      <w:r>
        <w:sym w:font="Symbol" w:char="F0B7"/>
      </w:r>
      <w:r>
        <w:tab/>
        <w:t>Участие Греции в специальном комитете Совета Европы по мерам борьбы с торговлей людьми (CAHTEH) c целью подписания европейской конвенции о пресечении торговли людьми.</w:t>
      </w:r>
    </w:p>
    <w:p w:rsidR="00000000" w:rsidRDefault="00000000">
      <w:pPr>
        <w:pStyle w:val="BodyText"/>
      </w:pPr>
      <w:r>
        <w:t>8.</w:t>
      </w:r>
      <w:r>
        <w:tab/>
      </w:r>
      <w:r>
        <w:rPr>
          <w:b/>
          <w:i/>
        </w:rPr>
        <w:t>Министерство внутренних дел, государственной администрации и децентрализации</w:t>
      </w:r>
    </w:p>
    <w:p w:rsidR="00000000" w:rsidRDefault="00000000">
      <w:pPr>
        <w:pStyle w:val="18-8"/>
      </w:pPr>
      <w:r>
        <w:sym w:font="Symbol" w:char="F0B7"/>
      </w:r>
      <w:r>
        <w:tab/>
        <w:t>Информирование с помощью разъяснительных инструктивных циркуляров, осуществляемое региональными управлениями по вопросам иммиграции и иностранцев, которые выдают соответствующие разрешения.</w:t>
      </w:r>
    </w:p>
    <w:p w:rsidR="00000000" w:rsidRDefault="00000000">
      <w:pPr>
        <w:pStyle w:val="18-8"/>
      </w:pPr>
      <w:r>
        <w:sym w:font="Symbol" w:char="F0B7"/>
      </w:r>
      <w:r>
        <w:tab/>
        <w:t>Расширение просветительской работы и информирование населения посредством рекламной кампании Института иммиграционной политики.</w:t>
      </w:r>
    </w:p>
    <w:p w:rsidR="00000000" w:rsidRDefault="00000000">
      <w:pPr>
        <w:pStyle w:val="BodyText"/>
        <w:rPr>
          <w:u w:val="single"/>
        </w:rPr>
      </w:pPr>
      <w:r>
        <w:t>9.</w:t>
      </w:r>
      <w:r>
        <w:tab/>
      </w:r>
      <w:r>
        <w:rPr>
          <w:b/>
          <w:i/>
        </w:rPr>
        <w:t>Генеральный секретариат по вопросам гендерного равенства</w:t>
      </w:r>
    </w:p>
    <w:p w:rsidR="00000000" w:rsidRDefault="00000000">
      <w:pPr>
        <w:pStyle w:val="18-8"/>
      </w:pPr>
      <w:r>
        <w:sym w:font="Symbol" w:char="F0B7"/>
      </w:r>
      <w:r>
        <w:tab/>
        <w:t>Консультирование и социальная поддержка: немедленное предоставление специализированных информационных услуг, консультационной и социальной поддержки женщинам – жертвам торговли людьми с целью их социальной интеграции и, прежде всего, трудоустройства. Данная программа должна осуществляться в контексте 17 планов действий, которые включены в программу "Комплексные меры в интересах женщин" программы действий "Занятость и профессиональная подготовка".</w:t>
      </w:r>
    </w:p>
    <w:p w:rsidR="00000000" w:rsidRDefault="00000000">
      <w:pPr>
        <w:pStyle w:val="18-8"/>
      </w:pPr>
      <w:r>
        <w:sym w:font="Symbol" w:char="F0B7"/>
      </w:r>
      <w:r>
        <w:tab/>
      </w:r>
      <w:r>
        <w:rPr>
          <w:i/>
        </w:rPr>
        <w:t>Кампания</w:t>
      </w:r>
      <w:r>
        <w:t>, направленная на информирование населения по вопросам торговли людьми и повышение осведомленности общества:</w:t>
      </w:r>
    </w:p>
    <w:p w:rsidR="00000000" w:rsidRDefault="00000000">
      <w:pPr>
        <w:pStyle w:val="26-8"/>
      </w:pPr>
      <w:r>
        <w:t>–</w:t>
      </w:r>
      <w:r>
        <w:tab/>
        <w:t>посредством издания печатных информационных материалов на нескольких языках</w:t>
      </w:r>
    </w:p>
    <w:p w:rsidR="00000000" w:rsidRDefault="00000000">
      <w:pPr>
        <w:pStyle w:val="26-8"/>
      </w:pPr>
      <w:r>
        <w:t>–</w:t>
      </w:r>
      <w:r>
        <w:tab/>
        <w:t>посредством кампаний на телевидении и радио</w:t>
      </w:r>
    </w:p>
    <w:p w:rsidR="00000000" w:rsidRDefault="00000000">
      <w:pPr>
        <w:pStyle w:val="18-8"/>
      </w:pPr>
      <w:r>
        <w:sym w:font="Symbol" w:char="F0B7"/>
      </w:r>
      <w:r>
        <w:tab/>
        <w:t>Работа – интеграция – занятость пострадавших в сотрудничестве с Министерством труда и социальной защиты в рамках общинной инициативы EQUAL, предусматривающей профессиональную подготовку, интеграцию и занятость жертв торговли людьми в новых секторах экономики посредством новаторских действий.</w:t>
      </w:r>
    </w:p>
    <w:p w:rsidR="00000000" w:rsidRDefault="00000000">
      <w:pPr>
        <w:pStyle w:val="18-8"/>
      </w:pPr>
      <w:r>
        <w:sym w:font="Symbol" w:char="F0B7"/>
      </w:r>
      <w:r>
        <w:tab/>
        <w:t>Консультационные центры по вопросам насилия в отношении женщин: имеется два консультационных центра по вопросам насилия в отношении женщин в Афинах и Пирее, которые обеспечивают психологическую и социальную поддержку пострадавшим.</w:t>
      </w:r>
    </w:p>
    <w:p w:rsidR="00000000" w:rsidRDefault="00000000">
      <w:pPr>
        <w:pStyle w:val="18-8"/>
      </w:pPr>
      <w:r>
        <w:sym w:font="Symbol" w:char="F0B7"/>
      </w:r>
      <w:r>
        <w:tab/>
        <w:t>Сотрудничество с женскими НПО: Генеральный секретариат по вопросам гендерного равенства сотрудничает с женскими организациями в проведении просветительской работы и в борьбе с проявлениями насилия, а также финансирует в определенных случаях их мероприятия.</w:t>
      </w:r>
    </w:p>
    <w:p w:rsidR="00000000" w:rsidRDefault="00000000">
      <w:pPr>
        <w:pStyle w:val="BodyText"/>
        <w:keepNext/>
        <w:rPr>
          <w:i/>
        </w:rPr>
      </w:pPr>
      <w:r>
        <w:t>10.</w:t>
      </w:r>
      <w:r>
        <w:tab/>
      </w:r>
      <w:r>
        <w:rPr>
          <w:b/>
          <w:i/>
        </w:rPr>
        <w:t>Министерство иностранных дел</w:t>
      </w:r>
      <w:r>
        <w:rPr>
          <w:i/>
        </w:rPr>
        <w:t xml:space="preserve"> </w:t>
      </w:r>
    </w:p>
    <w:p w:rsidR="00000000" w:rsidRDefault="00000000">
      <w:pPr>
        <w:pStyle w:val="18-8"/>
      </w:pPr>
      <w:r>
        <w:sym w:font="Symbol" w:char="F0B7"/>
      </w:r>
      <w:r>
        <w:tab/>
      </w:r>
      <w:r>
        <w:rPr>
          <w:i/>
        </w:rPr>
        <w:t>Финансирование деятельности, направленной на борьбу с торговлей людьми</w:t>
      </w:r>
      <w:r>
        <w:t>. В 2004 году на эти нужды выделено около 3,1 млн. евро.</w:t>
      </w:r>
    </w:p>
    <w:p w:rsidR="00000000" w:rsidRDefault="00000000">
      <w:pPr>
        <w:pStyle w:val="18-8"/>
      </w:pPr>
      <w:r>
        <w:sym w:font="Symbol" w:char="F0B7"/>
      </w:r>
      <w:r>
        <w:tab/>
      </w:r>
      <w:r>
        <w:rPr>
          <w:i/>
        </w:rPr>
        <w:t>Двустороннее соглашение с Албанией по борьбе с торговлей детьми:</w:t>
      </w:r>
      <w:r>
        <w:t xml:space="preserve"> Процесс подготовки двустороннего соглашения с Албанией относительно торговли детьми находится в стадии завершения. Его целью является достижение окончательной договоренности, в рамках которой удастся рассмотреть данную проблему во всех ее аспектах и выработать международные стандарты для подобных соглашений.</w:t>
      </w:r>
    </w:p>
    <w:p w:rsidR="00000000" w:rsidRDefault="00000000">
      <w:pPr>
        <w:pStyle w:val="18-8"/>
      </w:pPr>
      <w:r>
        <w:sym w:font="Symbol" w:char="F0B7"/>
      </w:r>
      <w:r>
        <w:tab/>
      </w:r>
      <w:r>
        <w:rPr>
          <w:i/>
        </w:rPr>
        <w:t xml:space="preserve">Подписание таких же соглашений с соседними странами: </w:t>
      </w:r>
      <w:r>
        <w:t>С помощью подписания и претворения в жизнь вышеупомянутого соглашения с Албанией Министерство стремится заключить схожие соглашения по вопросу борьбы с торговлей детьми с другими балканскими и восточноевропейскими странами, откуда происходят пострадавшие дети.</w:t>
      </w:r>
    </w:p>
    <w:p w:rsidR="00000000" w:rsidRDefault="00000000">
      <w:pPr>
        <w:pStyle w:val="18-8"/>
      </w:pPr>
      <w:r>
        <w:sym w:font="Symbol" w:char="F0B7"/>
      </w:r>
      <w:r>
        <w:tab/>
      </w:r>
      <w:r>
        <w:rPr>
          <w:i/>
        </w:rPr>
        <w:t>Центр международных контактов по борьбе с торговлей людьми в Салониках:</w:t>
      </w:r>
      <w:r>
        <w:t xml:space="preserve"> </w:t>
      </w:r>
      <w:r>
        <w:br/>
        <w:t>в сотрудничестве с ОБСЕ (Организацией по безопасности и сотрудничеству в Европе) и Пактом стабильности было принято решение создать и обеспечить функционирование Центра международных контактов для координации деятельности международных организаций и государств в рамках альтернативной штаб-квартиры Пакта стабильности в Салониках.</w:t>
      </w:r>
    </w:p>
    <w:p w:rsidR="00000000" w:rsidRDefault="00000000">
      <w:pPr>
        <w:pStyle w:val="18-8"/>
      </w:pPr>
      <w:r>
        <w:sym w:font="Symbol" w:char="F0B7"/>
      </w:r>
      <w:r>
        <w:tab/>
      </w:r>
      <w:r>
        <w:rPr>
          <w:i/>
        </w:rPr>
        <w:t>Общежития-убежища:</w:t>
      </w:r>
      <w:r>
        <w:t xml:space="preserve"> финансирование деятельности четырех убежищ: ("Allilegii" – Солидарность, "Giatri tou Kosmou" – Врачи мира, "Klimaka" в Афинах и "E.K.Y.TH.K.K.A." в Янине), с целью защиты пострадавших. В этих общежитиях пострадавшим обеспечивается психологическая и социальная поддержка и проводится подготовка к репатриации. Два общежития, управляемые Министерством здравоохранения и социального обеспечения и находящиеся в Афинах и Салониках, финансируются совместно с Министерством иностранных дел, так же как и EKAKV (Национальный центр неотложной социальной помощи) – центр защиты и помощи пострадавшему в течение первых часов после его выявления.</w:t>
      </w:r>
    </w:p>
    <w:p w:rsidR="00000000" w:rsidRDefault="00000000">
      <w:pPr>
        <w:pStyle w:val="18-8"/>
      </w:pPr>
      <w:r>
        <w:sym w:font="Symbol" w:char="F0B7"/>
      </w:r>
      <w:r>
        <w:tab/>
      </w:r>
      <w:r>
        <w:rPr>
          <w:i/>
        </w:rPr>
        <w:t>Создание международных сетей по пресечению торговли людьми:</w:t>
      </w:r>
      <w:r>
        <w:t xml:space="preserve"> финансирование двух программ по созданию сетей с целью пресечения торговли людьми и обмена информацией со странами происхождения жертв (Балканы – Восточная Европа).</w:t>
      </w:r>
    </w:p>
    <w:p w:rsidR="00000000" w:rsidRDefault="00000000">
      <w:pPr>
        <w:pStyle w:val="18-8"/>
      </w:pPr>
      <w:r>
        <w:sym w:font="Symbol" w:char="F0B7"/>
      </w:r>
      <w:r>
        <w:tab/>
      </w:r>
      <w:r>
        <w:rPr>
          <w:i/>
        </w:rPr>
        <w:t xml:space="preserve">Программы репатриации: </w:t>
      </w:r>
      <w:r>
        <w:t>финансируются совместно с Международной организацией по миграции.</w:t>
      </w:r>
    </w:p>
    <w:p w:rsidR="00000000" w:rsidRDefault="00000000">
      <w:pPr>
        <w:pStyle w:val="18-8"/>
      </w:pPr>
      <w:r>
        <w:sym w:font="Symbol" w:char="F0B7"/>
      </w:r>
      <w:r>
        <w:tab/>
      </w:r>
      <w:r>
        <w:rPr>
          <w:i/>
        </w:rPr>
        <w:t>Оказание поддержки в странах происхождения:</w:t>
      </w:r>
      <w:r>
        <w:t xml:space="preserve"> финансирование двух программ поддержки пострадавших после их репатриации в страны происхождения (Грузия, Беларусь, Молдавия и Армения) посредством а) помощи действующим центрам приема, b) программ реинтеграции, с) медицинской и фармацевтической помощи, d) проведения семинаров по вопросам профессиональной подготовки и т. д.</w:t>
      </w:r>
    </w:p>
    <w:p w:rsidR="00000000" w:rsidRDefault="00000000">
      <w:pPr>
        <w:pStyle w:val="18-8"/>
      </w:pPr>
      <w:r>
        <w:sym w:font="Symbol" w:char="F0B7"/>
      </w:r>
      <w:r>
        <w:tab/>
      </w:r>
      <w:r>
        <w:rPr>
          <w:i/>
        </w:rPr>
        <w:t>Защита в странах происхождения:</w:t>
      </w:r>
      <w:r>
        <w:t xml:space="preserve"> финансирование программы создания центра защиты несопровождаемых взрослыми или безнадзорных детей в Албании после их репатриации. </w:t>
      </w:r>
    </w:p>
    <w:p w:rsidR="00000000" w:rsidRDefault="00000000">
      <w:pPr>
        <w:pStyle w:val="18-8"/>
      </w:pPr>
      <w:r>
        <w:sym w:font="Symbol" w:char="F0B7"/>
      </w:r>
      <w:r>
        <w:tab/>
      </w:r>
      <w:r>
        <w:rPr>
          <w:i/>
        </w:rPr>
        <w:t>Финансирование семинаров:</w:t>
      </w:r>
    </w:p>
    <w:p w:rsidR="00000000" w:rsidRDefault="00000000">
      <w:pPr>
        <w:pStyle w:val="26-8"/>
      </w:pPr>
      <w:r>
        <w:t>–</w:t>
      </w:r>
      <w:r>
        <w:tab/>
        <w:t>для полиции</w:t>
      </w:r>
    </w:p>
    <w:p w:rsidR="00000000" w:rsidRDefault="00000000">
      <w:pPr>
        <w:pStyle w:val="26-8"/>
      </w:pPr>
      <w:r>
        <w:t>–</w:t>
      </w:r>
      <w:r>
        <w:tab/>
        <w:t>для судейских и прокурорских работников.</w:t>
      </w:r>
    </w:p>
    <w:p w:rsidR="00000000" w:rsidRDefault="00000000">
      <w:pPr>
        <w:pStyle w:val="BodyText"/>
      </w:pPr>
      <w:r>
        <w:t>11.</w:t>
      </w:r>
      <w:r>
        <w:tab/>
      </w:r>
      <w:r>
        <w:rPr>
          <w:b/>
          <w:i/>
        </w:rPr>
        <w:t>Министерство образования и культов</w:t>
      </w:r>
    </w:p>
    <w:p w:rsidR="00000000" w:rsidRDefault="00000000">
      <w:pPr>
        <w:pStyle w:val="18-8"/>
        <w:rPr>
          <w:u w:val="single"/>
        </w:rPr>
      </w:pPr>
      <w:r>
        <w:sym w:font="Symbol" w:char="F0B7"/>
      </w:r>
      <w:r>
        <w:tab/>
        <w:t xml:space="preserve">Министерство образования и культов изучает пути информирования учащихся старших классов лицеев (необязательное среднее образование после трех лет обязательного среднего образования в гимназиях) о проблеме торговли людьми с целью их сексуальной и экономической эксплуатации. </w:t>
      </w:r>
    </w:p>
    <w:p w:rsidR="00000000" w:rsidRDefault="00000000">
      <w:pPr>
        <w:pStyle w:val="BodyText"/>
      </w:pPr>
      <w:r>
        <w:t>12.</w:t>
      </w:r>
      <w:r>
        <w:tab/>
      </w:r>
      <w:r>
        <w:rPr>
          <w:b/>
          <w:i/>
        </w:rPr>
        <w:t>Министерство труда и социальной защиты</w:t>
      </w:r>
    </w:p>
    <w:p w:rsidR="00000000" w:rsidRDefault="00000000">
      <w:pPr>
        <w:pStyle w:val="18-8"/>
      </w:pPr>
      <w:r>
        <w:sym w:font="Symbol" w:char="F0B7"/>
      </w:r>
      <w:r>
        <w:tab/>
      </w:r>
      <w:r>
        <w:rPr>
          <w:i/>
        </w:rPr>
        <w:t>Участие в программе STAGE</w:t>
      </w:r>
      <w:r>
        <w:t xml:space="preserve"> </w:t>
      </w:r>
      <w:r>
        <w:rPr>
          <w:i/>
        </w:rPr>
        <w:t>греческой Организации по вопросам занятости</w:t>
      </w:r>
      <w:r>
        <w:t xml:space="preserve"> (OAED)</w:t>
      </w:r>
    </w:p>
    <w:p w:rsidR="00000000" w:rsidRDefault="00000000">
      <w:pPr>
        <w:pStyle w:val="18-8"/>
      </w:pPr>
      <w:r>
        <w:sym w:font="Symbol" w:char="F0B7"/>
      </w:r>
      <w:r>
        <w:tab/>
      </w:r>
      <w:r>
        <w:rPr>
          <w:i/>
        </w:rPr>
        <w:t>Участие пострадавших, признанных таковыми, в программе интеграции на рынке труда.</w:t>
      </w:r>
      <w:r>
        <w:t xml:space="preserve"> Пострадавшие могут принимать участие в программе комплексных мер, разработанной в рамках программы действий "Занятость и профессиональная подготовка", целью которой является их полная интеграция на рынке труда. Программа основывается на слиянии структур, занимающихся психологическими, социальными вопросами, а также занятостью, в частности:</w:t>
      </w:r>
    </w:p>
    <w:p w:rsidR="00000000" w:rsidRDefault="00000000">
      <w:pPr>
        <w:pStyle w:val="18-8"/>
      </w:pPr>
      <w:r>
        <w:sym w:font="Symbol" w:char="F0B7"/>
      </w:r>
      <w:r>
        <w:tab/>
      </w:r>
      <w:r>
        <w:rPr>
          <w:i/>
        </w:rPr>
        <w:t>Предоставление женщинам, подвергшимся насилию, поддержки и дополнительных услуг,</w:t>
      </w:r>
      <w:r>
        <w:t xml:space="preserve"> направленных на улучшение положения, расширение прав, поощрение и повышение самооценки. Такие поддержка и дополнительные услуги предоставляются в рамках индивидуальной работы с пострадавшей.</w:t>
      </w:r>
    </w:p>
    <w:p w:rsidR="00000000" w:rsidRDefault="00000000">
      <w:pPr>
        <w:pStyle w:val="18-8"/>
        <w:rPr>
          <w:i/>
        </w:rPr>
      </w:pPr>
      <w:r>
        <w:sym w:font="Symbol" w:char="F0B7"/>
      </w:r>
      <w:r>
        <w:tab/>
      </w:r>
      <w:r>
        <w:rPr>
          <w:i/>
        </w:rPr>
        <w:t>Изучение греческого языка,</w:t>
      </w:r>
      <w:r>
        <w:t xml:space="preserve"> с тем чтобы пострадавшие могли свободно использовать его в повседневной жизни и без проблем интегрироваться на рынке труда. Организация "Профессиональная подготовка, Plc." предоставляет возможность обучения на курсах, длительностью 200–500 учебных часов, по итогам которых выдается свидетельство о практическом владении греческим языком.</w:t>
      </w:r>
    </w:p>
    <w:p w:rsidR="00000000" w:rsidRDefault="00000000">
      <w:pPr>
        <w:pStyle w:val="18-8"/>
        <w:rPr>
          <w:i/>
        </w:rPr>
      </w:pPr>
      <w:r>
        <w:sym w:font="Symbol" w:char="F0B7"/>
      </w:r>
      <w:r>
        <w:tab/>
      </w:r>
      <w:r>
        <w:rPr>
          <w:i/>
        </w:rPr>
        <w:t>Профессиональная подготовка:</w:t>
      </w:r>
      <w:r>
        <w:t xml:space="preserve"> теоретическое и практическое обучение различным профессиям, направленное на приобретение профессиональных навыков и опыта, предоставляется пострадавшим организацией "Профессиональная подготовка для безработных". Длительность курса составляет приблизительно 600–1000 часов.</w:t>
      </w:r>
    </w:p>
    <w:p w:rsidR="00000000" w:rsidRDefault="00000000">
      <w:pPr>
        <w:pStyle w:val="18-8"/>
        <w:rPr>
          <w:i/>
        </w:rPr>
      </w:pPr>
      <w:r>
        <w:sym w:font="Symbol" w:char="F0B7"/>
      </w:r>
      <w:r>
        <w:tab/>
      </w:r>
      <w:r>
        <w:rPr>
          <w:i/>
        </w:rPr>
        <w:t>Направление на работу:</w:t>
      </w:r>
      <w:r>
        <w:t xml:space="preserve"> по завершении осуществления вышеуказанных мер прошедшие профессиональную подготовку женщины включаются в программы OAED, предусматривающие помощь в трудоустройстве.</w:t>
      </w:r>
    </w:p>
    <w:p w:rsidR="00000000" w:rsidRDefault="00000000">
      <w:pPr>
        <w:pStyle w:val="BodyText"/>
        <w:spacing w:after="220"/>
      </w:pPr>
      <w:r>
        <w:t>13.</w:t>
      </w:r>
      <w:r>
        <w:tab/>
      </w:r>
      <w:r>
        <w:rPr>
          <w:b/>
          <w:i/>
        </w:rPr>
        <w:t>Министерство здравоохранения и социального обеспечения</w:t>
      </w:r>
    </w:p>
    <w:p w:rsidR="00000000" w:rsidRDefault="00000000">
      <w:pPr>
        <w:pStyle w:val="BodyText"/>
        <w:spacing w:after="220"/>
      </w:pPr>
      <w:r>
        <w:tab/>
        <w:t>Через посредство EKAKV данное Министерство обеспечивает функционирование в Афинах и Салониках четырех приютов для жертв торговли людьми, рассчитанных в общей сложности на 140 человек, помимо трех подобных приютов с государственным финансированием, которыми управляют НПО в Афинах, Янине и Салониках. В вышеуказанных приютах до настоящего времени размещались 76 человек. Приюты полностью укомплектованы профессиональными кадрами (социальными работниками, психологами, медицинскими сестрами, охранниками).</w:t>
      </w:r>
    </w:p>
    <w:p w:rsidR="00000000" w:rsidRDefault="00000000">
      <w:pPr>
        <w:pStyle w:val="18-8"/>
        <w:spacing w:after="220"/>
      </w:pPr>
      <w:r>
        <w:sym w:font="Symbol" w:char="F0B7"/>
      </w:r>
      <w:r>
        <w:tab/>
      </w:r>
      <w:r>
        <w:rPr>
          <w:i/>
        </w:rPr>
        <w:t>Деятельность EKAKV – "горячая линия – 197"</w:t>
      </w:r>
      <w:r>
        <w:t>. Национальный центр неотложной социальной помощи (EKAKV) является основой комплексной программы действий. Он является юридическим лицом в соответствии с публичным правом, контролируемым (на 100 процентов) Министерством здравоохранения и социального обеспечения и отвечающим за работу общежитий, предоставляемых пострадавшим, управление ими и контроль за их деятельностью. В частности, с помощью "горячей линии–197":</w:t>
      </w:r>
    </w:p>
    <w:p w:rsidR="00000000" w:rsidRDefault="00000000">
      <w:pPr>
        <w:pStyle w:val="26-8"/>
        <w:spacing w:after="220"/>
      </w:pPr>
      <w:r>
        <w:t xml:space="preserve">– </w:t>
      </w:r>
      <w:r>
        <w:tab/>
        <w:t>принимаются жалобы в связи с задержанием отдельных лиц,</w:t>
      </w:r>
    </w:p>
    <w:p w:rsidR="00000000" w:rsidRDefault="00000000">
      <w:pPr>
        <w:pStyle w:val="26-8"/>
        <w:spacing w:after="220"/>
      </w:pPr>
      <w:r>
        <w:t xml:space="preserve">– </w:t>
      </w:r>
      <w:r>
        <w:tab/>
        <w:t>осуществляется общение на различных языках,</w:t>
      </w:r>
    </w:p>
    <w:p w:rsidR="00000000" w:rsidRDefault="00000000">
      <w:pPr>
        <w:pStyle w:val="26-8"/>
        <w:spacing w:after="220"/>
      </w:pPr>
      <w:r>
        <w:t xml:space="preserve">– </w:t>
      </w:r>
      <w:r>
        <w:tab/>
        <w:t>выявляются пострадавшие,</w:t>
      </w:r>
    </w:p>
    <w:p w:rsidR="00000000" w:rsidRDefault="00000000">
      <w:pPr>
        <w:pStyle w:val="26-8"/>
        <w:spacing w:after="220"/>
      </w:pPr>
      <w:r>
        <w:t xml:space="preserve">– </w:t>
      </w:r>
      <w:r>
        <w:tab/>
        <w:t>предоставляются услуги по психологической поддержке,</w:t>
      </w:r>
    </w:p>
    <w:p w:rsidR="00000000" w:rsidRDefault="00000000">
      <w:pPr>
        <w:pStyle w:val="26-8"/>
        <w:spacing w:after="220"/>
      </w:pPr>
      <w:r>
        <w:t xml:space="preserve">– </w:t>
      </w:r>
      <w:r>
        <w:tab/>
        <w:t>оказывается медицинская помощь,</w:t>
      </w:r>
    </w:p>
    <w:p w:rsidR="00000000" w:rsidRDefault="00000000">
      <w:pPr>
        <w:pStyle w:val="26-8"/>
        <w:spacing w:after="220"/>
      </w:pPr>
      <w:r>
        <w:t xml:space="preserve">– </w:t>
      </w:r>
      <w:r>
        <w:tab/>
        <w:t>обратившиеся направляются в пункты медицинской помощи для получения медицинской помощи и лекарств,</w:t>
      </w:r>
    </w:p>
    <w:p w:rsidR="00000000" w:rsidRDefault="00000000">
      <w:pPr>
        <w:pStyle w:val="26-8"/>
        <w:spacing w:after="220"/>
      </w:pPr>
      <w:r>
        <w:t xml:space="preserve">– </w:t>
      </w:r>
      <w:r>
        <w:tab/>
        <w:t>обратившиеся направляются в сотрудничающие с центром учреждения для удовлетворения их потребностей в правовой защите.</w:t>
      </w:r>
    </w:p>
    <w:p w:rsidR="00000000" w:rsidRDefault="00000000">
      <w:pPr>
        <w:pStyle w:val="26-8"/>
        <w:spacing w:after="220"/>
        <w:ind w:left="1474" w:firstLine="0"/>
      </w:pPr>
      <w:r>
        <w:t>Наряду с деятельностью в области борьбы с торговлей людьми EKAKV оказывает другие услуги по социальной поддержке:</w:t>
      </w:r>
    </w:p>
    <w:p w:rsidR="00000000" w:rsidRDefault="00000000">
      <w:pPr>
        <w:pStyle w:val="18-8"/>
        <w:spacing w:after="220"/>
      </w:pPr>
      <w:r>
        <w:sym w:font="Symbol" w:char="F0B7"/>
      </w:r>
      <w:r>
        <w:tab/>
      </w:r>
      <w:r>
        <w:rPr>
          <w:i/>
        </w:rPr>
        <w:t>Программа добровольной репатриации:</w:t>
      </w:r>
      <w:r>
        <w:t xml:space="preserve"> Министерство здравоохранения и социального обеспечения финансирует деятельность по добровольной репатриации пострадавших, осуществляемой Международной организацией по миграции.</w:t>
      </w:r>
    </w:p>
    <w:p w:rsidR="00000000" w:rsidRDefault="00000000">
      <w:pPr>
        <w:pStyle w:val="18-8"/>
        <w:spacing w:after="220"/>
      </w:pPr>
      <w:r>
        <w:sym w:font="Symbol" w:char="F0B7"/>
      </w:r>
      <w:r>
        <w:tab/>
      </w:r>
      <w:r>
        <w:rPr>
          <w:i/>
        </w:rPr>
        <w:t>Бесплатная медицинская и медикаментозная помощь.</w:t>
      </w:r>
    </w:p>
    <w:p w:rsidR="00000000" w:rsidRDefault="00000000">
      <w:pPr>
        <w:pStyle w:val="18-8"/>
        <w:spacing w:after="220"/>
      </w:pPr>
      <w:r>
        <w:sym w:font="Symbol" w:char="F0B7"/>
      </w:r>
      <w:r>
        <w:tab/>
      </w:r>
      <w:r>
        <w:rPr>
          <w:i/>
        </w:rPr>
        <w:t>Информация.</w:t>
      </w:r>
    </w:p>
    <w:p w:rsidR="00000000" w:rsidRDefault="00000000">
      <w:pPr>
        <w:pStyle w:val="18-8"/>
        <w:spacing w:after="220"/>
      </w:pPr>
      <w:r>
        <w:sym w:font="Symbol" w:char="F0B7"/>
      </w:r>
      <w:r>
        <w:tab/>
      </w:r>
      <w:r>
        <w:rPr>
          <w:i/>
        </w:rPr>
        <w:t>Информирование населения о функционировании "горячей линии – 197".</w:t>
      </w:r>
    </w:p>
    <w:p w:rsidR="00000000" w:rsidRDefault="00000000">
      <w:pPr>
        <w:pStyle w:val="18-8"/>
      </w:pPr>
      <w:r>
        <w:sym w:font="Symbol" w:char="F0B7"/>
      </w:r>
      <w:r>
        <w:tab/>
      </w:r>
      <w:r>
        <w:rPr>
          <w:i/>
        </w:rPr>
        <w:t>Распространение проспектов Министерства в целях информирования и ориентирования:</w:t>
      </w:r>
      <w:r>
        <w:t xml:space="preserve"> а) работников служб здравоохранения и социального обеспечения и b) управлений социального обеспечения префектур страны относительно правонарушений в сфере торговли людьми.</w:t>
      </w:r>
    </w:p>
    <w:p w:rsidR="00000000" w:rsidRDefault="00000000">
      <w:pPr>
        <w:pStyle w:val="18-8"/>
        <w:spacing w:after="200"/>
      </w:pPr>
      <w:r>
        <w:sym w:font="Symbol" w:char="F0B7"/>
      </w:r>
      <w:r>
        <w:tab/>
      </w:r>
      <w:r>
        <w:rPr>
          <w:i/>
        </w:rPr>
        <w:t>Функционирование Постоянного комитета по защите жертв торговли людьми и оказанию им помощи:</w:t>
      </w:r>
      <w:r>
        <w:t xml:space="preserve"> Согласно статье 9 президентского указа 233/2003 Постоянный комитет по защите жертв торговли людьми и оказанию им помощи будет выполнять новую существенную роль.</w:t>
      </w:r>
    </w:p>
    <w:p w:rsidR="00000000" w:rsidRDefault="00000000">
      <w:pPr>
        <w:pStyle w:val="18-8"/>
      </w:pPr>
      <w:r>
        <w:sym w:font="Symbol" w:char="F0B7"/>
      </w:r>
      <w:r>
        <w:tab/>
      </w:r>
      <w:r>
        <w:rPr>
          <w:i/>
        </w:rPr>
        <w:t>Сотрудничество с НПО.</w:t>
      </w:r>
    </w:p>
    <w:p w:rsidR="00000000" w:rsidRDefault="00000000">
      <w:pPr>
        <w:pStyle w:val="BodyText"/>
        <w:spacing w:after="200"/>
        <w:rPr>
          <w:i/>
        </w:rPr>
      </w:pPr>
      <w:r>
        <w:t>14.</w:t>
      </w:r>
      <w:r>
        <w:tab/>
      </w:r>
      <w:r>
        <w:rPr>
          <w:b/>
          <w:i/>
        </w:rPr>
        <w:t>Министерство юстиции</w:t>
      </w:r>
    </w:p>
    <w:p w:rsidR="00000000" w:rsidRDefault="00000000">
      <w:pPr>
        <w:pStyle w:val="18-8"/>
      </w:pPr>
      <w:r>
        <w:tab/>
      </w:r>
      <w:r>
        <w:sym w:font="Symbol" w:char="F0B7"/>
      </w:r>
      <w:r>
        <w:tab/>
      </w:r>
      <w:r>
        <w:rPr>
          <w:i/>
        </w:rPr>
        <w:t>Внесение поправок в законодательство посредством изменений в президентском указе 233/03</w:t>
      </w:r>
      <w:r>
        <w:t>: Министерство юстиции намерено приступить к внесению поправок в положения президентского указа 233/2003 "Защита и оказание помощи жертвам преступлений, предусмотренных статьями 323, 323(А), 349, 351 и 351(А)</w:t>
      </w:r>
      <w:r>
        <w:rPr>
          <w:vertAlign w:val="superscript"/>
        </w:rPr>
        <w:t xml:space="preserve"> </w:t>
      </w:r>
      <w:r>
        <w:t>Уголовного кодекса, и статьей 12 закона 3064/2002". Поправки к президентскому указу предусматривают:</w:t>
      </w:r>
    </w:p>
    <w:p w:rsidR="00000000" w:rsidRDefault="00000000">
      <w:pPr>
        <w:pStyle w:val="18-8"/>
        <w:tabs>
          <w:tab w:val="left" w:pos="1701"/>
        </w:tabs>
      </w:pPr>
      <w:r>
        <w:tab/>
        <w:t>–</w:t>
      </w:r>
      <w:r>
        <w:tab/>
        <w:t>немедленное освидетельствование потерпевшей государственным прокурором суда первой инстанции (акт освидетельствования), с тем чтобы к ней как можно скорее могли быть применены положения о поддержке, защите и помощи;</w:t>
      </w:r>
    </w:p>
    <w:p w:rsidR="00000000" w:rsidRDefault="00000000">
      <w:pPr>
        <w:pStyle w:val="18-8"/>
        <w:tabs>
          <w:tab w:val="left" w:pos="1701"/>
        </w:tabs>
      </w:pPr>
      <w:r>
        <w:tab/>
        <w:t>–</w:t>
      </w:r>
      <w:r>
        <w:tab/>
        <w:t>участие НПО, занимающихся вопросами предоставления поддержки и помощи жертвам торговли людьми (после соответствующей оценки), в оказании такой помощи;</w:t>
      </w:r>
    </w:p>
    <w:p w:rsidR="00000000" w:rsidRDefault="00000000">
      <w:pPr>
        <w:pStyle w:val="18-8"/>
        <w:tabs>
          <w:tab w:val="left" w:pos="1701"/>
        </w:tabs>
      </w:pPr>
      <w:r>
        <w:tab/>
        <w:t>–</w:t>
      </w:r>
      <w:r>
        <w:tab/>
        <w:t>осуществление необходимых мер посредством расширения и укрепления компетенции Постоянного комитета, учрежденного в соответствии со статьей 9 президентского указа.</w:t>
      </w:r>
    </w:p>
    <w:p w:rsidR="00000000" w:rsidRDefault="00000000">
      <w:pPr>
        <w:pStyle w:val="18-8"/>
        <w:rPr>
          <w:i/>
        </w:rPr>
      </w:pPr>
      <w:r>
        <w:tab/>
      </w:r>
      <w:r>
        <w:sym w:font="Symbol" w:char="F0B7"/>
      </w:r>
      <w:r>
        <w:tab/>
      </w:r>
      <w:r>
        <w:rPr>
          <w:i/>
        </w:rPr>
        <w:t>Профессиональная подготовка судей и прокурорских работников:</w:t>
      </w:r>
    </w:p>
    <w:p w:rsidR="00000000" w:rsidRDefault="00000000">
      <w:pPr>
        <w:pStyle w:val="18-8"/>
        <w:tabs>
          <w:tab w:val="left" w:pos="1701"/>
        </w:tabs>
      </w:pPr>
      <w:r>
        <w:tab/>
        <w:t>–</w:t>
      </w:r>
      <w:r>
        <w:tab/>
        <w:t>включение соответствующих предметов в учебную программу Национальной школы подготовки судей, а также</w:t>
      </w:r>
    </w:p>
    <w:p w:rsidR="00000000" w:rsidRDefault="00000000">
      <w:pPr>
        <w:pStyle w:val="18-8"/>
      </w:pPr>
      <w:r>
        <w:tab/>
        <w:t>–</w:t>
      </w:r>
      <w:r>
        <w:tab/>
        <w:t>организация семинаров по вопросам повышения квалификации действующих судей в рамках работы Департамента повышения квалификации Национальной школы подготовки судей в Комотини.</w:t>
      </w:r>
    </w:p>
    <w:p w:rsidR="00000000" w:rsidRDefault="00000000">
      <w:pPr>
        <w:pStyle w:val="BodyText"/>
        <w:spacing w:after="200"/>
        <w:rPr>
          <w:i/>
        </w:rPr>
      </w:pPr>
      <w:r>
        <w:t>15.</w:t>
      </w:r>
      <w:r>
        <w:rPr>
          <w:i/>
        </w:rPr>
        <w:tab/>
      </w:r>
      <w:r>
        <w:rPr>
          <w:b/>
          <w:i/>
        </w:rPr>
        <w:t>Министерство общественного порядка</w:t>
      </w:r>
    </w:p>
    <w:p w:rsidR="00000000" w:rsidRDefault="00000000">
      <w:pPr>
        <w:pStyle w:val="BodyText"/>
        <w:spacing w:after="200"/>
      </w:pPr>
      <w:r>
        <w:tab/>
        <w:t>Министерство общественного порядка осуществляет конкретную долгосрочную стратегию и планы действия, цель которых – анализ данной проблемы на уровне полицейских подразделений, делегирование конкретных обязанностей руководству, тесное сотрудничество с местными органами власти, постоянные и настойчивые усилия по повышению осведомленности сотрудников, активное использование и совершенствование работы информационной сети, строгое соблюдение законодательных положений, глубокая проработка дел, более интенсивное привлечение органов пограничной службы и т. д. Деятельность осуществляется по следующим направлениям:</w:t>
      </w:r>
    </w:p>
    <w:p w:rsidR="00000000" w:rsidRDefault="00000000">
      <w:pPr>
        <w:pStyle w:val="18-8"/>
      </w:pPr>
      <w:r>
        <w:sym w:font="Symbol" w:char="F0B7"/>
      </w:r>
      <w:r>
        <w:tab/>
      </w:r>
      <w:r>
        <w:rPr>
          <w:i/>
        </w:rPr>
        <w:t>Группа по борьбе с торговлей людьми:</w:t>
      </w:r>
      <w:r>
        <w:t xml:space="preserve"> деятельность OKEA (Группы по борьбе с торговлей людьми) продолжалась в 2004 году, причем ее целью было принятие энергичных мер более практического характера, например, изучение и укрепление сотрудничества со всеми заинтересованными организациями для выявления и освобождения как можно большего числа пострадавших. В рамках деятельности OKEA были выработаны предложения для Министерства юстиции относительно внесения конкретных поправок в президентский указ 233/2003.</w:t>
      </w:r>
    </w:p>
    <w:p w:rsidR="00000000" w:rsidRDefault="00000000">
      <w:pPr>
        <w:pStyle w:val="18-8"/>
      </w:pPr>
      <w:r>
        <w:sym w:font="Symbol" w:char="F0B7"/>
      </w:r>
      <w:r>
        <w:tab/>
      </w:r>
      <w:r>
        <w:rPr>
          <w:i/>
        </w:rPr>
        <w:t>Экспериментальные операции специальных служб по борьбе с торговлей людьми:</w:t>
      </w:r>
      <w:r>
        <w:t xml:space="preserve"> с целью эффективной борьбы с данным явлением на экспериментальной основе действуют надлежащим образом укомплектованные и оснащенные соответствующие службы. С 1 ноября 2003 в управлениях безопасности Аттики и Салоник в составе специализированных подразделений полиции нравов работают особые группы по борьбе с торговлей людьми.</w:t>
      </w:r>
    </w:p>
    <w:p w:rsidR="00000000" w:rsidRDefault="00000000">
      <w:pPr>
        <w:pStyle w:val="18-8"/>
        <w:rPr>
          <w:i/>
        </w:rPr>
      </w:pPr>
      <w:r>
        <w:sym w:font="Symbol" w:char="F0B7"/>
      </w:r>
      <w:r>
        <w:tab/>
      </w:r>
      <w:r>
        <w:rPr>
          <w:i/>
        </w:rPr>
        <w:t>Сотрудничество с иностранными посольствами –</w:t>
      </w:r>
      <w:r>
        <w:t xml:space="preserve"> </w:t>
      </w:r>
      <w:r>
        <w:rPr>
          <w:i/>
        </w:rPr>
        <w:t xml:space="preserve">компетентными учреждениями – НПО: </w:t>
      </w:r>
      <w:r>
        <w:t>с начала 2004 года подразделения греческой полиции осуществляют более эффективное сотрудничество с посольствами иностранных государств в Греции по вопросам помощи пострадавшим – гражданам соответствующих стран. Такое сотрудничество начинается с информирования иностранного органа власти относительно участия в правонарушении граждан данной страны. После предъявления обвинений правонарушителям и признания потерпевших в качестве таковых наделенным соответствующими полномочиями государственным прокурором, полицейские органы, в случае, если пострадавшие желают вернуться на родину, обращаются в соответствующие посольства, которые занимаются их репатриацией. В вопросах оказания помощи пострадавшим подразделения греческой полиции также сотрудничают с НПО (Врачи мира, KESO, E.K.Y.TH.K.K.A.) через Генеральный секретариат по вопросам гендерного равенства, а по вопросам репатриации – с Международной организацией по миграции.</w:t>
      </w:r>
    </w:p>
    <w:p w:rsidR="00000000" w:rsidRDefault="00000000">
      <w:pPr>
        <w:pStyle w:val="18-8"/>
      </w:pPr>
      <w:r>
        <w:sym w:font="Symbol" w:char="F0B7"/>
      </w:r>
      <w:r>
        <w:tab/>
      </w:r>
      <w:r>
        <w:rPr>
          <w:i/>
        </w:rPr>
        <w:t>Вопросы образования и профессиональной подготовки персонала:</w:t>
      </w:r>
      <w:r>
        <w:t xml:space="preserve"> в 2003/04 и 2004/05 учебных годах в Полицейской академии на всех уровнях обучения (подготовка полицейских и офицерского состава), а также на отделениях повышения квалификации и подготовки сотрудников полиции в учебные программы были включены темы, касающиеся торговли людьми (борьба с данным явлением, выявление пострадавших, оказание им помощи и обеспечение их защиты). </w:t>
      </w:r>
    </w:p>
    <w:p w:rsidR="00000000" w:rsidRDefault="00000000">
      <w:pPr>
        <w:pStyle w:val="18-8"/>
      </w:pPr>
      <w:r>
        <w:sym w:font="Symbol" w:char="F0B7"/>
      </w:r>
      <w:r>
        <w:tab/>
      </w:r>
      <w:r>
        <w:rPr>
          <w:i/>
        </w:rPr>
        <w:t>Международная полицейская операция "Мираж 2004":</w:t>
      </w:r>
      <w:r>
        <w:t xml:space="preserve"> в мае 2004 года состоялась полицейская операция "Мираж 2004". Она была организована Центром SECI (членом которого является Греция), а в число участников входили государства-члены, международные организации и НПО. Цель операции заключалась в том, чтобы в рамках совместных полицейских расследований выявить преступные группировки, занимающиеся незаконным ввозом и торговлей женщинами. </w:t>
      </w:r>
    </w:p>
    <w:p w:rsidR="00000000" w:rsidRDefault="00000000">
      <w:pPr>
        <w:pStyle w:val="18-8"/>
      </w:pPr>
      <w:r>
        <w:sym w:font="Symbol" w:char="F0B7"/>
      </w:r>
      <w:r>
        <w:tab/>
        <w:t>Одновременно продолжается работа по следующим направлениям:</w:t>
      </w:r>
    </w:p>
    <w:p w:rsidR="00000000" w:rsidRDefault="00000000">
      <w:pPr>
        <w:pStyle w:val="26-8"/>
      </w:pPr>
      <w:r>
        <w:t xml:space="preserve">– </w:t>
      </w:r>
      <w:r>
        <w:tab/>
        <w:t xml:space="preserve">развитие сотрудничества и проведение встреч с полицейскими подразделениями соседних стран (Албании, бывшей югославской Республики Македонии, Болгарии). </w:t>
      </w:r>
    </w:p>
    <w:p w:rsidR="00000000" w:rsidRDefault="00000000">
      <w:pPr>
        <w:pStyle w:val="26-8"/>
      </w:pPr>
      <w:r>
        <w:t xml:space="preserve">– </w:t>
      </w:r>
      <w:r>
        <w:tab/>
        <w:t>обмен информацией (ИНТЕРПОЛ, ЕВРОПОЛ, SECI и т. д.).</w:t>
      </w:r>
    </w:p>
    <w:p w:rsidR="00000000" w:rsidRDefault="00000000">
      <w:pPr>
        <w:pStyle w:val="BodyText"/>
        <w:jc w:val="center"/>
        <w:rPr>
          <w:b/>
        </w:rPr>
      </w:pPr>
      <w:r>
        <w:rPr>
          <w:b/>
        </w:rPr>
        <w:t>IV.  Деятельность НПО</w:t>
      </w:r>
    </w:p>
    <w:p w:rsidR="00000000" w:rsidRDefault="00000000">
      <w:pPr>
        <w:pStyle w:val="BodyText"/>
      </w:pPr>
      <w:r>
        <w:t>16.</w:t>
      </w:r>
      <w:r>
        <w:rPr>
          <w:i/>
        </w:rPr>
        <w:tab/>
      </w:r>
      <w:r>
        <w:rPr>
          <w:b/>
          <w:i/>
        </w:rPr>
        <w:t>Международная организация по миграции (МОМ)</w:t>
      </w:r>
    </w:p>
    <w:p w:rsidR="00000000" w:rsidRDefault="00000000">
      <w:pPr>
        <w:pStyle w:val="18-8"/>
        <w:rPr>
          <w:i/>
          <w:u w:val="single"/>
        </w:rPr>
      </w:pPr>
      <w:r>
        <w:sym w:font="Symbol" w:char="F0B7"/>
      </w:r>
      <w:r>
        <w:tab/>
        <w:t xml:space="preserve">Эта организация осуществляет программы добровольной репатриации и социальной реинтеграции. При поддержке министерств здравоохранения и социального обеспечения и иностранных дел и в сотрудничестве с соответствующими бюро МОМ в странах происхождения пострадавших, она оплачивает им расходы на приобретение авиабилетов до пункта конечного назначения. Организация сотрудничает с государственными учреждениями и неправительственными организациями по вопросам предоставления жилья, а также социально-психологической, правовой, медицинской и медикаментозной поддержки жертвам торговли людьми. </w:t>
      </w:r>
    </w:p>
    <w:p w:rsidR="00000000" w:rsidRDefault="00000000">
      <w:pPr>
        <w:pStyle w:val="18-8"/>
        <w:rPr>
          <w:i/>
          <w:u w:val="single"/>
        </w:rPr>
      </w:pPr>
      <w:r>
        <w:sym w:font="Symbol" w:char="F0B7"/>
      </w:r>
      <w:r>
        <w:tab/>
        <w:t>Организация проводит информационные и пропагандистские семинары по данной проблематике с участием руководящих сотрудников общественных организаций и служб Н.А.Т.О. Совместно с Министерством общественного порядка она провела семинар под названием "Европа". Организация информирует население с помощью фестивалей и других видов деятельности, распространяет информационные брошюры среди НПО, консульств, больниц и, в более широком плане, в местах, где могут находиться целевые группы. Организация проводит подготовку руководящих кадров для учреждений, занимающихся помощью в трудоустройстве, по вопросам расовой дискриминации.</w:t>
      </w:r>
    </w:p>
    <w:p w:rsidR="00000000" w:rsidRDefault="00000000">
      <w:pPr>
        <w:pStyle w:val="18-8"/>
        <w:rPr>
          <w:i/>
          <w:u w:val="single"/>
        </w:rPr>
      </w:pPr>
      <w:r>
        <w:sym w:font="Symbol" w:char="F0B7"/>
      </w:r>
      <w:r>
        <w:tab/>
        <w:t xml:space="preserve">В 2004 году совместно с Управлением Верховного комиссара Организации </w:t>
      </w:r>
      <w:r>
        <w:rPr>
          <w:spacing w:val="-2"/>
        </w:rPr>
        <w:t xml:space="preserve">Объединенных Наций по делам беженцев МОМ создала совет экспертов из наиболее </w:t>
      </w:r>
      <w:r>
        <w:t xml:space="preserve">важных учреждений, занимающихся данной проблемой, с тем чтобы проработать вопросы взаимосвязи "торговля людьми – убежище" и учредить рабочую группу. </w:t>
      </w:r>
    </w:p>
    <w:p w:rsidR="00000000" w:rsidRDefault="00000000">
      <w:pPr>
        <w:pStyle w:val="18-8"/>
      </w:pPr>
      <w:r>
        <w:sym w:font="Symbol" w:char="F0B7"/>
      </w:r>
      <w:r>
        <w:tab/>
        <w:t>Организация сотрудничает с посольствами и консульствами стран происхождения женщин, находящихся в Греции, а также с Управлением греческой полиции в вопросах выявления и освобождения пострадавших. Она участвует в деятельности ОКЕА Министерства общественного порядка и целевой группы Министерства иностранных дел, а также межведомственных комитетов Министерства здравоохранения и социального обеспечения.</w:t>
      </w:r>
    </w:p>
    <w:p w:rsidR="00000000" w:rsidRDefault="00000000">
      <w:pPr>
        <w:pStyle w:val="BodyText"/>
        <w:rPr>
          <w:i/>
        </w:rPr>
      </w:pPr>
      <w:r>
        <w:t>17.</w:t>
      </w:r>
      <w:r>
        <w:tab/>
      </w:r>
      <w:r>
        <w:rPr>
          <w:b/>
          <w:i/>
        </w:rPr>
        <w:t>Программа по борьбе с международной торговлей людьми (STOPNOW-KEDE)</w:t>
      </w:r>
    </w:p>
    <w:p w:rsidR="00000000" w:rsidRDefault="00000000">
      <w:pPr>
        <w:pStyle w:val="18-8"/>
        <w:rPr>
          <w:i/>
          <w:u w:val="single"/>
        </w:rPr>
      </w:pPr>
      <w:r>
        <w:sym w:font="Symbol" w:char="F0B7"/>
      </w:r>
      <w:r>
        <w:tab/>
        <w:t>Данная программа осуществляется Центром по исследованию и осуществлению действий в защиту мира (KEDE) и финансируется YDAS (Службой развития международного сотрудничества Министерства иностранных дел).</w:t>
      </w:r>
    </w:p>
    <w:p w:rsidR="00000000" w:rsidRDefault="00000000">
      <w:pPr>
        <w:pStyle w:val="18-8"/>
        <w:rPr>
          <w:i/>
          <w:u w:val="single"/>
        </w:rPr>
      </w:pPr>
      <w:r>
        <w:sym w:font="Symbol" w:char="F0B7"/>
      </w:r>
      <w:r>
        <w:tab/>
        <w:t xml:space="preserve">Целью данной программы (которая осуществляется с 2001 года) является борьба с международной торговлей женщинами и детьми как в Греции, так и в странах происхождения пострадавших (Албании, Украине). Мероприятия в рамках этой программы нацелены на проведение информационно-разъяснительных кампаний (радиотрансляция, телепрограммы и т. д.), установление связей и сотрудничества между греческими и балканскими неправительственным организациями, а также соответствующими государственными учреждениями и международными организациями, на проведение качественных и количественных исследований и обзоров и оказание давления с целью выполнения соответствующих законодательных положений. Оказание такого давления также было целью создания группы "Galatsi", в которую вошли неправительственные организации по вопросам борьбы с торговлей людьми. В рамках данной программы особое внимание уделяется оказанию помощи и предоставлению защиты пострадавшим, а также их добровольной репатриации. Она также участвует в Программе ТОХО. Адрес соответствующего веб-сайта: </w:t>
      </w:r>
      <w:hyperlink r:id="rId15" w:history="1">
        <w:r>
          <w:rPr>
            <w:rStyle w:val="Hyperlink"/>
          </w:rPr>
          <w:t>www.stop-trafficking.org</w:t>
        </w:r>
      </w:hyperlink>
      <w:r>
        <w:t>.</w:t>
      </w:r>
    </w:p>
    <w:p w:rsidR="00000000" w:rsidRDefault="00000000">
      <w:pPr>
        <w:pStyle w:val="BodyText"/>
        <w:rPr>
          <w:i/>
        </w:rPr>
      </w:pPr>
      <w:r>
        <w:t>18.</w:t>
      </w:r>
      <w:r>
        <w:tab/>
      </w:r>
      <w:r>
        <w:rPr>
          <w:b/>
          <w:i/>
        </w:rPr>
        <w:t>Программа ТОХО</w:t>
      </w:r>
    </w:p>
    <w:p w:rsidR="00000000" w:rsidRDefault="00000000">
      <w:pPr>
        <w:pStyle w:val="18-8"/>
      </w:pPr>
      <w:r>
        <w:sym w:font="Symbol" w:char="F0B7"/>
      </w:r>
      <w:r>
        <w:tab/>
        <w:t>ТОХО является группой из пяти неправительственных организаций (K.A.TH.V., E.K.K.Y.TH.K.A., KEDE, Arsis и албанской организации UAW), которая создает в Салониках, Афинах, Янине и в Албании центры для приема и защиты (убежища) жертв международной торговли людьми. Первое такое убежище, финансируемое YDAS, уже функционирует в Янине.</w:t>
      </w:r>
    </w:p>
    <w:p w:rsidR="00000000" w:rsidRDefault="00000000">
      <w:pPr>
        <w:pStyle w:val="BodyText"/>
      </w:pPr>
      <w:r>
        <w:t>19</w:t>
      </w:r>
      <w:r>
        <w:rPr>
          <w:i/>
        </w:rPr>
        <w:t>.</w:t>
      </w:r>
      <w:r>
        <w:rPr>
          <w:i/>
        </w:rPr>
        <w:tab/>
      </w:r>
      <w:r>
        <w:rPr>
          <w:b/>
          <w:i/>
        </w:rPr>
        <w:t>Центр реабилитации для жертв пыток и других форм жестокого обращения (K.A.TH.V.)</w:t>
      </w:r>
    </w:p>
    <w:p w:rsidR="00000000" w:rsidRDefault="00000000">
      <w:pPr>
        <w:pStyle w:val="18-8"/>
        <w:rPr>
          <w:i/>
          <w:u w:val="single"/>
        </w:rPr>
      </w:pPr>
      <w:r>
        <w:sym w:font="Symbol" w:char="F0B7"/>
      </w:r>
      <w:r>
        <w:tab/>
        <w:t>С 2001 года K.A.TH.V. оказывает свои услуги на добровольной основе женщинам – жертвам торговли людьми в Северной Греции. Центр предоставляет следующие услуги: 1) правовая помощь, 2) психологическая и социальная реабилитация, 3) оказание медицинских услуг, 4) помощь в получении жилья, 5) содействие безопасной репатриации пострадавшей, 6) доставка пострадавших в организации, находящиеся в стране происхождения, которые должны обеспечить их успешную социальную интеграцию после репатриации. Центр участвует в программе ТОХО. В Салониках в рамках этой программы работает центр приема и краткосрочного размещения пострадавших – этот проект должен осуществляться K.A.TH.V. Данная организация является членом группы "Galatsi".</w:t>
      </w:r>
    </w:p>
    <w:p w:rsidR="00000000" w:rsidRDefault="00000000">
      <w:pPr>
        <w:pStyle w:val="BodyText"/>
      </w:pPr>
      <w:r>
        <w:t>20.</w:t>
      </w:r>
      <w:r>
        <w:tab/>
      </w:r>
      <w:r>
        <w:rPr>
          <w:b/>
          <w:i/>
        </w:rPr>
        <w:t>Центр исследований и оказания поддержки жертвам жестокого обращения и социальной изоляции (E.K.Y.TH.K.K.A.)</w:t>
      </w:r>
    </w:p>
    <w:p w:rsidR="00000000" w:rsidRDefault="00000000">
      <w:pPr>
        <w:pStyle w:val="18-8"/>
        <w:rPr>
          <w:i/>
        </w:rPr>
      </w:pPr>
      <w:r>
        <w:sym w:font="Symbol" w:char="F0B7"/>
      </w:r>
      <w:r>
        <w:tab/>
        <w:t xml:space="preserve">Это неправительственная организация, деятельность которой в целом направлена на защиту прав человека и оказание поддержки жертвам жестокого обращения и социальной изоляции; ее центральный офис находится в Янине. Организация располагает горячей линией </w:t>
      </w:r>
      <w:r>
        <w:rPr>
          <w:lang w:val="en-US"/>
        </w:rPr>
        <w:t>SOS</w:t>
      </w:r>
      <w:r>
        <w:t>, в 2000–2001 году она участвовала в осуществлении трех программ STOP. Центр оказывает социально-психологическую поддержку женщинам – жертвам торговли людьми. E.K.Y.TH.K.K.A. участвует в группе "Galatsi".</w:t>
      </w:r>
    </w:p>
    <w:p w:rsidR="00000000" w:rsidRDefault="00000000">
      <w:pPr>
        <w:pStyle w:val="18-8"/>
        <w:rPr>
          <w:i/>
        </w:rPr>
      </w:pPr>
      <w:r>
        <w:sym w:font="Symbol" w:char="F0B7"/>
      </w:r>
      <w:r>
        <w:tab/>
        <w:t xml:space="preserve">В 2000 году организация создала группу экспертов по вопросу "Торговля женщинами с целью их сексуальной эксплуатации". В издаваемом ею журнале "На улице…" публиковались статьи на эту тему. В том же году E.K.Y.TH.K.K.A. организовала посещения управления полиции Янины, где содержались женщины – жертвы торговли людьми, и обеспечила им психологическую поддержку, предоставила одежду, правовые консультации и медицинскую помощь. </w:t>
      </w:r>
    </w:p>
    <w:p w:rsidR="00000000" w:rsidRDefault="00000000">
      <w:pPr>
        <w:pStyle w:val="18-8"/>
        <w:rPr>
          <w:i/>
        </w:rPr>
      </w:pPr>
      <w:r>
        <w:sym w:font="Symbol" w:char="F0B7"/>
      </w:r>
      <w:r>
        <w:tab/>
        <w:t xml:space="preserve">В 2002 году эта организация провела конференцию для женщин – сотрудниц пограничной службы региона Ипирос с целью расширения их осведомленности в отношении данной проблематики и обеспечения соответствующей подготовки. </w:t>
      </w:r>
      <w:r>
        <w:br/>
        <w:t xml:space="preserve">С одобрения управления полиции Янины она издала информационную брошюру для женщин – жертв торговли людьми на греческом и албанском языках. </w:t>
      </w:r>
    </w:p>
    <w:p w:rsidR="00000000" w:rsidRDefault="00000000">
      <w:pPr>
        <w:pStyle w:val="18-8"/>
      </w:pPr>
      <w:r>
        <w:sym w:font="Symbol" w:char="F0B7"/>
      </w:r>
      <w:r>
        <w:tab/>
        <w:t xml:space="preserve">С 2003 года E.K.Y.TH.K.K.A. участвует в программе ТОХО и обеспечивает работу общежития для жертв торговли людьми в Янине. Кроме того, она осуществляет две программы, финансируемые Министерством иностранных дел. Одна из них называется "Поддержка активных граждан Грузии" и связана с содействием осуществлению прав человека и укреплению социальной роли женщин и молодежи. Другая программа именуется "Борьба с торговлей женщинами, осуществляемой с целью их сексуальной эксплуатации" и проводится в Шкодере (Албания) и в Янине. </w:t>
      </w:r>
    </w:p>
    <w:p w:rsidR="00000000" w:rsidRDefault="00000000">
      <w:pPr>
        <w:pStyle w:val="BodyText"/>
      </w:pPr>
      <w:r>
        <w:t>21.</w:t>
      </w:r>
      <w:r>
        <w:tab/>
      </w:r>
      <w:r>
        <w:rPr>
          <w:b/>
          <w:i/>
        </w:rPr>
        <w:t xml:space="preserve">ARSIS </w:t>
      </w:r>
    </w:p>
    <w:p w:rsidR="00000000" w:rsidRDefault="00000000">
      <w:pPr>
        <w:pStyle w:val="18-8"/>
        <w:rPr>
          <w:i/>
          <w:u w:val="single"/>
        </w:rPr>
      </w:pPr>
      <w:r>
        <w:sym w:font="Symbol" w:char="F0B7"/>
      </w:r>
      <w:r>
        <w:tab/>
        <w:t>ARSIS осуществляет мероприятия по борьбе с торговлей детьми. Эта организация участвует в программе ТОХО, а также в группе "Galatsi". Она является партнером в Программе ТАСТ "Транснациональные мероприятия по борьбе с торговлей детьми" (2003–2006 годы), имеющей целью транснациональное, двустороннее (Албания-Греция) сотрудничество в борьбе с торговлей детьми албанского происхождения. Организация управляет реализацией Программы STOP-II (2002–2004 годы), направленной на взаимодействие на местном (Салоники), национальном (Греция) и международном уровнях, подготовку персонала греческой администрации и НПО по вопросам профилактики и ликвидации данного явления (организация семинаров в Албании и Италии), проведение исследований для сбора сведений по данной проблеме и способов ее решения, а также на обмен опытом среди греческих, бельгийских, итальянских и албанских организаций. ARSIS также отвечает за осуществление Программы Natali – Меры по борьбе с торговлей детьми албанского происхождения (2003–2004 года), которая проводится в Албании в поддержку местных программ предупреждения и реинтеграции. ARSIS отвечала за осуществление Программы ERACT – Безотлагательные меры по борьбе с торговлей детьми (2004 год) с целью создания механизма немедленного реагирования в связи с возможным обострением данной проблемы в период подготовки и проведения Олимпийских игр в Греции. Этот механизм представляет собой проект инфраструктуры, которая в будущем станет Национальным наблюдательным органом по вопросам исследований, предотвращения и пресечения торговли детьми в Греции.</w:t>
      </w:r>
    </w:p>
    <w:p w:rsidR="00000000" w:rsidRDefault="00000000">
      <w:pPr>
        <w:pStyle w:val="BodyText"/>
      </w:pPr>
      <w:r>
        <w:t>22.</w:t>
      </w:r>
      <w:r>
        <w:tab/>
      </w:r>
      <w:r>
        <w:rPr>
          <w:b/>
          <w:i/>
        </w:rPr>
        <w:t>"Врачи мира"</w:t>
      </w:r>
    </w:p>
    <w:p w:rsidR="00000000" w:rsidRDefault="00000000">
      <w:pPr>
        <w:pStyle w:val="18-8"/>
        <w:rPr>
          <w:i/>
          <w:u w:val="single"/>
        </w:rPr>
      </w:pPr>
      <w:r>
        <w:sym w:font="Symbol" w:char="F0B7"/>
      </w:r>
      <w:r>
        <w:tab/>
        <w:t>Данная организация с октября 2003 года осуществляет программы по борьбе с торговлей людьми, направленные на обеспечение защиты и психологической поддержки жертвам торговли людьми. Она является членом группы "Galatsi".</w:t>
      </w:r>
    </w:p>
    <w:p w:rsidR="00000000" w:rsidRDefault="00000000">
      <w:pPr>
        <w:pStyle w:val="18-8"/>
        <w:rPr>
          <w:i/>
          <w:u w:val="single"/>
        </w:rPr>
      </w:pPr>
      <w:r>
        <w:sym w:font="Symbol" w:char="F0B7"/>
      </w:r>
      <w:r>
        <w:tab/>
        <w:t>Организация обеспечивает функционирование общежития для женщин, ввезенных незаконным образом в Грецию для эксплуатации их в целях проституции. В рамках этой программы оказывается психологическая, медицинская и медикаментозная помощь проживающим в общежитии женщинам, а также даются уроки греческого языка. В случае заинтересованности женщины также могут брать уроки английского, музыки и боевых искусств. Эти уроки ведутся преподавателями-добровольцами в помещениях общежития. Во время пребывания в общежитии женщины могут принять решение о своей немедленной репатриации либо продлении пребывания в Греции с целью получения работы. В любом случае Программа оказывает им всемерное содействие либо в репатриации, приобретая для них билеты, связываясь с соответствующими посольствами или родственниками, либо в их пребывании в Греции, помогая им получить надлежащие законные документы, подыскивая им рабочие места и осуществляя наблюдение за тем, как они осваиваются на работе.</w:t>
      </w:r>
    </w:p>
    <w:p w:rsidR="00000000" w:rsidRDefault="00000000">
      <w:pPr>
        <w:pStyle w:val="BodyText"/>
      </w:pPr>
      <w:r>
        <w:t>23.</w:t>
      </w:r>
      <w:r>
        <w:tab/>
      </w:r>
      <w:r>
        <w:rPr>
          <w:b/>
          <w:i/>
        </w:rPr>
        <w:t>Центр семейной поддержки (KESO)</w:t>
      </w:r>
    </w:p>
    <w:p w:rsidR="00000000" w:rsidRDefault="00000000">
      <w:pPr>
        <w:pStyle w:val="18-8"/>
        <w:rPr>
          <w:i/>
          <w:u w:val="single"/>
        </w:rPr>
      </w:pPr>
      <w:r>
        <w:sym w:font="Symbol" w:char="F0B7"/>
      </w:r>
      <w:r>
        <w:tab/>
        <w:t xml:space="preserve">Центр семейной поддержки предоставляет в Приюте для матерей (Stegi Miteras) убежище женщинам – жертвам торговли. Этим женщинам обеспечивается не только жилье, но и медицинская, а также и медикаментозная, правовая и социально-психологическая помощь. Если они пожелают репатриироваться, расходы по репатриации обычно оплачивают организация Солидарность (Alliligii ), различные НПО и Греческая Церковь; сопроводительные документы оформляются при участии посольств соответствующих стран (поскольку обычно паспорта отсутствуют). Международная организация по миграции (МОМ) берет на себя выполнение всех необходимых процедур и сопровождение репатриантов в аэропорт; по прибытии в страну происхождения их встречают сотрудники соответствующего представительства МОМ. </w:t>
      </w:r>
    </w:p>
    <w:p w:rsidR="00000000" w:rsidRDefault="00000000">
      <w:pPr>
        <w:pStyle w:val="18-8"/>
        <w:rPr>
          <w:i/>
          <w:u w:val="single"/>
        </w:rPr>
      </w:pPr>
      <w:r>
        <w:sym w:font="Symbol" w:char="F0B7"/>
      </w:r>
      <w:r>
        <w:tab/>
        <w:t>В 2002 году на организованной KESO конференции на тему "Семья в третьем тысячелетии" работала секция по вопросу "Сексуальная эксплуатация и торговля женщинами и детьми", выводы которой были представлены правительству и распространены в СМИ.</w:t>
      </w:r>
    </w:p>
    <w:p w:rsidR="00000000" w:rsidRDefault="00000000">
      <w:pPr>
        <w:pStyle w:val="18-8"/>
        <w:rPr>
          <w:i/>
          <w:u w:val="single"/>
        </w:rPr>
      </w:pPr>
      <w:r>
        <w:sym w:font="Symbol" w:char="F0B7"/>
      </w:r>
      <w:r>
        <w:tab/>
        <w:t>В 2003 году KESO провела мероприятие на тему "Торговля женщинами и детьми и участие гражданского общества в оказании помощи пострадавшим". С тех пор Церковь и, в частности, архиепископ возглавили кампанию, нацеленную на формирование общественного мнения и в особенности на информирование лиц, "совершающих правонарушение, вступая в сексуальные отношения с женщинами – жертвами торговли людьми".</w:t>
      </w:r>
    </w:p>
    <w:p w:rsidR="00000000" w:rsidRDefault="00000000">
      <w:pPr>
        <w:pStyle w:val="18-8"/>
        <w:rPr>
          <w:i/>
          <w:u w:val="single"/>
        </w:rPr>
      </w:pPr>
      <w:r>
        <w:sym w:font="Symbol" w:char="F0B7"/>
      </w:r>
      <w:r>
        <w:tab/>
        <w:t>В феврале 2004 года на пресс-конференции на тему "Проституция и Олимпийские игры 2004 года" была показана связь между проституцией, торговлей людьми и попытками коммерциализации Олимпийских игр, сопровождающимися эксплуатацией сексуальных услуг женщин – жертв проституции и торговли людьми.</w:t>
      </w:r>
    </w:p>
    <w:p w:rsidR="00000000" w:rsidRDefault="00000000">
      <w:pPr>
        <w:pStyle w:val="18-8"/>
        <w:rPr>
          <w:i/>
          <w:u w:val="single"/>
        </w:rPr>
      </w:pPr>
      <w:r>
        <w:sym w:font="Symbol" w:char="F0B7"/>
      </w:r>
      <w:r>
        <w:tab/>
        <w:t>В 2004 году на организованной KESO конференции по вопросам насилия в отношении детей и женщин, а также низкой рождаемости, один из семинаров был посвящен теме торговли людьми. Протоколы конференции уже изданы и распространяются.</w:t>
      </w:r>
    </w:p>
    <w:p w:rsidR="00000000" w:rsidRDefault="00000000">
      <w:pPr>
        <w:pStyle w:val="18-8"/>
      </w:pPr>
      <w:r>
        <w:sym w:font="Symbol" w:char="F0B7"/>
      </w:r>
      <w:r>
        <w:tab/>
        <w:t>Данная организация является членом группы "Galatsi".</w:t>
      </w:r>
    </w:p>
    <w:p w:rsidR="00000000" w:rsidRDefault="00000000">
      <w:pPr>
        <w:pStyle w:val="BodyText"/>
        <w:keepNext/>
        <w:rPr>
          <w:i/>
          <w:u w:val="single"/>
        </w:rPr>
      </w:pPr>
      <w:r>
        <w:t>24.</w:t>
      </w:r>
      <w:r>
        <w:tab/>
      </w:r>
      <w:r>
        <w:rPr>
          <w:b/>
          <w:i/>
        </w:rPr>
        <w:t>Европейская женская сеть</w:t>
      </w:r>
    </w:p>
    <w:p w:rsidR="00000000" w:rsidRDefault="00000000">
      <w:pPr>
        <w:pStyle w:val="18-8"/>
        <w:rPr>
          <w:i/>
          <w:u w:val="single"/>
        </w:rPr>
      </w:pPr>
      <w:r>
        <w:sym w:font="Symbol" w:char="F0B7"/>
      </w:r>
      <w:r>
        <w:tab/>
        <w:t xml:space="preserve">Европейская женская сеть осуществила Европейскую программу DAFNE под названием "Прорыв", касающуюся насилия в отношении женщин из числа меньшинств и иммигрантов. Организация участвует в системе совместных услуг программы ТОХО, нацеленной на оказание неотложной помощи жертвам торговли людьми, а также на информирование и предотвращение подобных преступлений посредством "горячих линий" </w:t>
      </w:r>
      <w:r>
        <w:rPr>
          <w:lang w:val="en-US"/>
        </w:rPr>
        <w:t>SOS</w:t>
      </w:r>
      <w:r>
        <w:t xml:space="preserve"> в Греции и Албании. Осуществляемые ею мероприятия включают "горячую линию" </w:t>
      </w:r>
      <w:r>
        <w:rPr>
          <w:lang w:val="en-US"/>
        </w:rPr>
        <w:t>SOS</w:t>
      </w:r>
      <w:r>
        <w:t xml:space="preserve"> в рамках борьбы с торговлей людьми и оказания поддержки пострадавшим путем предоставления жилья, правовой и социально-психологической помощи. На эти мероприятия организация получает ограниченное финансирование от Министерства иностранных дел. Она проводит также мероприятия, касающиеся обучения и профессиональной подготовки сотрудников полиции и добровольцев. Эта организация является членом группы "Galatsi".</w:t>
      </w:r>
    </w:p>
    <w:p w:rsidR="00000000" w:rsidRDefault="00000000">
      <w:pPr>
        <w:pStyle w:val="BodyText"/>
        <w:rPr>
          <w:i/>
          <w:u w:val="single"/>
        </w:rPr>
      </w:pPr>
      <w:r>
        <w:t>25.</w:t>
      </w:r>
      <w:r>
        <w:tab/>
      </w:r>
      <w:r>
        <w:rPr>
          <w:b/>
          <w:i/>
        </w:rPr>
        <w:t>KLIMAKA</w:t>
      </w:r>
    </w:p>
    <w:p w:rsidR="00000000" w:rsidRDefault="00000000">
      <w:pPr>
        <w:pStyle w:val="18-8"/>
      </w:pPr>
      <w:r>
        <w:sym w:font="Symbol" w:char="F0B7"/>
      </w:r>
      <w:r>
        <w:tab/>
        <w:t xml:space="preserve">Совместно с другими организациями KLIMAKA активно участвует в деятельности группы "Galatsi", направляя усилия на координацию мероприятий по борьбе с торговлей людьми. Она также сотрудничает с украинской НПО "La Strada" в целях обмена информацией и опытом в области борьбы с торговлей людьми. В сотрудничестве с организацией YDAS Министерства иностранных дел KLIMAKA создает приют-общежитие для оказания поддержки женщинам – жертвам торговли людьми, в котором также будут обеспечиваться правовая помощь и социально-психологическая реабилитация. Это потребует также участия целой группы специалистов, которые будут рассматривать каждый конкретный случай, руководствуясь принципами действий "многофункциональной группы помощи". Такая группа ученых сможет также оказывать услуги пострадавшим женщинам, размещенным в других общежитиях-приютах. Предусматриваются также мероприятия по социальной реинтеграции или добровольной репатриации этих женщин. </w:t>
      </w:r>
    </w:p>
    <w:p w:rsidR="00000000" w:rsidRDefault="00000000">
      <w:pPr>
        <w:pStyle w:val="BodyText"/>
        <w:rPr>
          <w:i/>
        </w:rPr>
      </w:pPr>
      <w:r>
        <w:t>26.</w:t>
      </w:r>
      <w:r>
        <w:tab/>
      </w:r>
      <w:r>
        <w:rPr>
          <w:b/>
          <w:i/>
        </w:rPr>
        <w:t>Центр исследований по проблемам женщин Средиземноморья (KEGME)</w:t>
      </w:r>
    </w:p>
    <w:p w:rsidR="00000000" w:rsidRDefault="00000000">
      <w:pPr>
        <w:pStyle w:val="18-8"/>
      </w:pPr>
      <w:r>
        <w:sym w:font="Symbol" w:char="F0B7"/>
      </w:r>
      <w:r>
        <w:tab/>
        <w:t>KEGME, в сотрудничестве с албанской НПО "Центр по проблемам народонаселения и развития Албании", осуществляет в Албании программу "Женщины – жертвы торговли в целях сексуальной эксплуатации", которая финансируется Министерством иностранных дел Греции (YDAS-Helleniс Aid). Данная организация является членом группы "Galatsi".</w:t>
      </w:r>
    </w:p>
    <w:p w:rsidR="00000000" w:rsidRDefault="00000000">
      <w:pPr>
        <w:pStyle w:val="BodyText"/>
      </w:pPr>
      <w:r>
        <w:t>27.</w:t>
      </w:r>
      <w:r>
        <w:tab/>
      </w:r>
      <w:r>
        <w:rPr>
          <w:b/>
          <w:i/>
        </w:rPr>
        <w:t>Nea Zoi</w:t>
      </w:r>
    </w:p>
    <w:p w:rsidR="00000000" w:rsidRDefault="00000000">
      <w:pPr>
        <w:pStyle w:val="18-8"/>
      </w:pPr>
      <w:r>
        <w:sym w:font="Symbol" w:char="F0B7"/>
      </w:r>
      <w:r>
        <w:tab/>
        <w:t>Данная организация сотрудничает с Церковью и различными правительственными учреждениями, занимающимися проблемами реабилитации жертв торговли людьми. Она оказывает услуги по социально-психологической поддержке. Эта организация является членом группы "Galatsi".</w:t>
      </w:r>
    </w:p>
    <w:p w:rsidR="00000000" w:rsidRDefault="00000000">
      <w:pPr>
        <w:pStyle w:val="BodyText"/>
        <w:spacing w:after="220"/>
        <w:rPr>
          <w:i/>
        </w:rPr>
      </w:pPr>
      <w:r>
        <w:br w:type="page"/>
        <w:t>28.</w:t>
      </w:r>
      <w:r>
        <w:tab/>
      </w:r>
      <w:r>
        <w:rPr>
          <w:b/>
          <w:i/>
        </w:rPr>
        <w:t>Греческая группа по наблюдению за выполнением Хельсинкских соглашений (EPSE)</w:t>
      </w:r>
    </w:p>
    <w:p w:rsidR="00000000" w:rsidRDefault="00000000">
      <w:pPr>
        <w:pStyle w:val="18-8"/>
        <w:spacing w:after="220"/>
      </w:pPr>
      <w:r>
        <w:sym w:font="Symbol" w:char="F0B7"/>
      </w:r>
      <w:r>
        <w:tab/>
        <w:t>C 2003 года EPSE оказывает правовую и иную поддержку жертвам торговли людьми. В число проводимых ею мероприятий входят определение местонахождения пострадавших, обеспечение их видом на жительство, документом, дающим им право на бесплатное медицинское обслуживание и медикаментозную помощь, и, в случае необходимости, разрешением на работу. Данная организация является членом группы "Galatsi".</w:t>
      </w:r>
    </w:p>
    <w:p w:rsidR="00000000" w:rsidRDefault="00000000">
      <w:pPr>
        <w:pStyle w:val="BodyText"/>
        <w:spacing w:after="220"/>
        <w:rPr>
          <w:i/>
        </w:rPr>
      </w:pPr>
      <w:r>
        <w:t>29.</w:t>
      </w:r>
      <w:r>
        <w:tab/>
      </w:r>
      <w:r>
        <w:rPr>
          <w:b/>
          <w:i/>
        </w:rPr>
        <w:t>Kinoniki Arogi Ellados (Социальная помощь в Греции)</w:t>
      </w:r>
    </w:p>
    <w:p w:rsidR="00000000" w:rsidRDefault="00000000">
      <w:pPr>
        <w:pStyle w:val="18-8"/>
        <w:spacing w:after="220"/>
      </w:pPr>
      <w:r>
        <w:sym w:font="Symbol" w:char="F0B7"/>
      </w:r>
      <w:r>
        <w:tab/>
        <w:t>Данная организация принимает меры для воссоединения пострадавших с их семьями. Она сотрудничает с KESO и американской организацией VITAL VOICES, а также является членом Совета Столичной женской сети префектуры Аттики. Она осуществляет программу "Сократ" для жертв насилия и эксплуатации. Организация является членом группы "Galatsi".</w:t>
      </w:r>
    </w:p>
    <w:p w:rsidR="00000000" w:rsidRDefault="00000000">
      <w:pPr>
        <w:pStyle w:val="BodyText"/>
        <w:spacing w:after="220"/>
        <w:rPr>
          <w:i/>
        </w:rPr>
      </w:pPr>
      <w:r>
        <w:t>30.</w:t>
      </w:r>
      <w:r>
        <w:tab/>
      </w:r>
      <w:r>
        <w:rPr>
          <w:b/>
          <w:i/>
        </w:rPr>
        <w:t>Сеть женщин, избираемых в местные органы власти</w:t>
      </w:r>
    </w:p>
    <w:p w:rsidR="00000000" w:rsidRDefault="00000000">
      <w:pPr>
        <w:pStyle w:val="18-8"/>
        <w:spacing w:after="220"/>
      </w:pPr>
      <w:r>
        <w:sym w:font="Symbol" w:char="F0B7"/>
      </w:r>
      <w:r>
        <w:tab/>
        <w:t>В 2003 году эта организация сотрудничала с T.E.D.K.N.A. (Союз органов местного самоуправления и общин префектуры Аттики) в проведении международной конференции по теме "Новая, расширенная Европа и роль Средиземноморья", где она представила доклад о торговле людьми в Восточной Европе и в балканских странах.</w:t>
      </w:r>
    </w:p>
    <w:p w:rsidR="00000000" w:rsidRDefault="00000000">
      <w:pPr>
        <w:pStyle w:val="BodyText"/>
        <w:spacing w:after="220"/>
        <w:rPr>
          <w:i/>
        </w:rPr>
      </w:pPr>
      <w:r>
        <w:t>31.</w:t>
      </w:r>
      <w:r>
        <w:tab/>
      </w:r>
      <w:r>
        <w:rPr>
          <w:b/>
          <w:i/>
        </w:rPr>
        <w:t>Союз сороптимистов Греции</w:t>
      </w:r>
    </w:p>
    <w:p w:rsidR="00000000" w:rsidRDefault="00000000">
      <w:pPr>
        <w:pStyle w:val="18-8"/>
        <w:spacing w:after="220"/>
        <w:rPr>
          <w:i/>
        </w:rPr>
      </w:pPr>
      <w:r>
        <w:sym w:font="Symbol" w:char="F0B7"/>
      </w:r>
      <w:r>
        <w:tab/>
        <w:t xml:space="preserve">Субсидируемая Генеральным секретариатом по вопросам гендерного равенства, эта организация издала информационную брошюру для иностранных граждан на 5 языках. Брошюра распространялась Союзом и другими организациями по всей стране и в особенности в приграничных районах, а также в странах Балканского полуострова, Восточной Европы, Африки и в других местах. Ей была присуждена премия Европейской федерации сороптимистов. </w:t>
      </w:r>
    </w:p>
    <w:p w:rsidR="00000000" w:rsidRDefault="00000000">
      <w:pPr>
        <w:pStyle w:val="18-8"/>
        <w:spacing w:after="220"/>
        <w:rPr>
          <w:i/>
        </w:rPr>
      </w:pPr>
      <w:r>
        <w:sym w:font="Symbol" w:char="F0B7"/>
      </w:r>
      <w:r>
        <w:tab/>
        <w:t xml:space="preserve">Организация провела две конференции по проблемам торговли женщинами, и тема торговли женщинами была центральной в работе одного из трех "круглых столов", состоявшихся на Европейской конференции сороптимистов "Наше общее будущее". </w:t>
      </w:r>
    </w:p>
    <w:p w:rsidR="00000000" w:rsidRDefault="00000000">
      <w:pPr>
        <w:pStyle w:val="18-8"/>
      </w:pPr>
      <w:r>
        <w:sym w:font="Symbol" w:char="F0B7"/>
      </w:r>
      <w:r>
        <w:tab/>
        <w:t>Эта организация оказывала материальную помощь E.K.Y.TH.K.K.A.</w:t>
      </w:r>
    </w:p>
    <w:p w:rsidR="00000000" w:rsidRDefault="00000000">
      <w:pPr>
        <w:pStyle w:val="BodyText"/>
        <w:jc w:val="center"/>
        <w:rPr>
          <w:b/>
          <w:i/>
        </w:rPr>
      </w:pPr>
      <w:r>
        <w:rPr>
          <w:b/>
        </w:rPr>
        <w:t>B.  </w:t>
      </w:r>
      <w:r>
        <w:rPr>
          <w:b/>
          <w:caps/>
        </w:rPr>
        <w:t>Meры против насилия в семье</w:t>
      </w:r>
    </w:p>
    <w:p w:rsidR="00000000" w:rsidRDefault="00000000">
      <w:pPr>
        <w:pStyle w:val="BodyText"/>
      </w:pPr>
      <w:r>
        <w:t>32.</w:t>
      </w:r>
      <w:r>
        <w:tab/>
        <w:t xml:space="preserve">Генеральный секретариат по вопросам гендерного равенства является правительственным органом, ответственным за решение вопросов насилия в отношении женщин, одной из форм которого является бытовое насилие (насилие в семье). В рамках "Приоритетов национальной политики и основных направлений деятельности по обеспечению гендерного равенства на 2004–2008 годы", принятых Правительственным комитетом (2 ноября 2004 года), предотвращение насилия в отношении женщин и борьба с ним увязываются с целевой установкой на достижение социального единства и определяются как приоритетное направление. </w:t>
      </w:r>
    </w:p>
    <w:p w:rsidR="00000000" w:rsidRDefault="00000000">
      <w:pPr>
        <w:pStyle w:val="BodyText"/>
        <w:spacing w:after="200"/>
        <w:jc w:val="center"/>
        <w:rPr>
          <w:b/>
        </w:rPr>
      </w:pPr>
      <w:r>
        <w:rPr>
          <w:b/>
        </w:rPr>
        <w:t>I.  Законодательная база</w:t>
      </w:r>
    </w:p>
    <w:p w:rsidR="00000000" w:rsidRDefault="00000000">
      <w:pPr>
        <w:pStyle w:val="BodyText"/>
        <w:spacing w:after="200"/>
      </w:pPr>
      <w:r>
        <w:t>33.</w:t>
      </w:r>
      <w:r>
        <w:tab/>
        <w:t>Согласно постановлению министра внутренних дел, государственной администрации и децентрализации (февраль 2005 года) в Генеральном секретариате по вопросам гендерного равенства был учрежден Рабочий комитет, перед которым поставлена задача разработать единую законодательную базу с целью предупреждения насилия в семье и его сокращения. Комитет уже приступил к работе и намерен рассмотреть, в частности, условия и предпосылки установления системы выплаты финансовой помощи жертвам насилия в семье, которые не могут покинуть свой дом из-за отсутствия финансовых средств. Уже при предыдущем правительстве была предпринята попытка в направлении принятия законодательных мер по борьбе с данным явлением, когда в 2002 году Рабочим комитетом был разработан проект закона, который не был, однако, представлен на рассмотрение в парламенте для проведения по нему голосования.</w:t>
      </w:r>
    </w:p>
    <w:p w:rsidR="00000000" w:rsidRDefault="00000000">
      <w:pPr>
        <w:pStyle w:val="BodyText"/>
        <w:spacing w:after="200"/>
        <w:jc w:val="center"/>
        <w:rPr>
          <w:b/>
        </w:rPr>
      </w:pPr>
      <w:r>
        <w:rPr>
          <w:b/>
        </w:rPr>
        <w:t>II.  Инфраструктура</w:t>
      </w:r>
    </w:p>
    <w:p w:rsidR="00000000" w:rsidRDefault="00000000">
      <w:pPr>
        <w:pStyle w:val="BodyText"/>
        <w:spacing w:after="200"/>
      </w:pPr>
      <w:r>
        <w:t>34.</w:t>
      </w:r>
      <w:r>
        <w:tab/>
        <w:t>Помимо двух консультационных центров по вопросам насилия в отношении женщин Генерального секретариата по вопросам гендерного равенства, расположенных в Афинах и Пирее, и отделений K.E.TH.I. (их деятельностью также руководит Генеральный секретариат по вопросам гендерного равенства) в пяти крупных городах страны (Афинах, Салониках, Патрах, Ираклионе и Волосе), аналогичные структуры действуют:</w:t>
      </w:r>
    </w:p>
    <w:p w:rsidR="00000000" w:rsidRDefault="00000000">
      <w:pPr>
        <w:pStyle w:val="18-8"/>
        <w:spacing w:after="180"/>
        <w:rPr>
          <w:i/>
        </w:rPr>
      </w:pPr>
      <w:r>
        <w:sym w:font="Symbol" w:char="F0B7"/>
      </w:r>
      <w:r>
        <w:tab/>
        <w:t>в префектуре Салоники: Центр поддержки женщин при Македонском институте;</w:t>
      </w:r>
    </w:p>
    <w:p w:rsidR="00000000" w:rsidRDefault="00000000">
      <w:pPr>
        <w:pStyle w:val="18-8"/>
        <w:spacing w:after="180"/>
        <w:rPr>
          <w:i/>
        </w:rPr>
      </w:pPr>
      <w:r>
        <w:sym w:font="Symbol" w:char="F0B7"/>
      </w:r>
      <w:r>
        <w:tab/>
        <w:t>в префектуре Этолия и Акарнания: Центр образования и ухода для семьи и ребенка (KESYY-KEMOR "PLATO")</w:t>
      </w:r>
    </w:p>
    <w:p w:rsidR="00000000" w:rsidRDefault="00000000">
      <w:pPr>
        <w:pStyle w:val="18-8"/>
        <w:spacing w:after="180"/>
        <w:rPr>
          <w:i/>
        </w:rPr>
      </w:pPr>
      <w:r>
        <w:sym w:font="Symbol" w:char="F0B7"/>
      </w:r>
      <w:r>
        <w:tab/>
        <w:t>в префектуре Янина: Центр исследований и поддержки жертв жестокого обращения и социальной изоляции;</w:t>
      </w:r>
    </w:p>
    <w:p w:rsidR="00000000" w:rsidRDefault="00000000">
      <w:pPr>
        <w:pStyle w:val="18-8"/>
        <w:spacing w:after="180"/>
        <w:rPr>
          <w:i/>
        </w:rPr>
      </w:pPr>
      <w:r>
        <w:sym w:font="Symbol" w:char="F0B7"/>
      </w:r>
      <w:r>
        <w:tab/>
        <w:t>в префектуре Превеза: Центр исследований и поддержки жертв жестокого обращения, лиц из уязвимых групп населения, а также защиты семей с одним родителем (KESTHYKEKO);</w:t>
      </w:r>
    </w:p>
    <w:p w:rsidR="00000000" w:rsidRDefault="00000000">
      <w:pPr>
        <w:pStyle w:val="18-8"/>
        <w:spacing w:after="180"/>
        <w:rPr>
          <w:i/>
        </w:rPr>
      </w:pPr>
      <w:r>
        <w:sym w:font="Symbol" w:char="F0B7"/>
      </w:r>
      <w:r>
        <w:tab/>
        <w:t>в префектуре Серрес: Убежище для женщин – социальная помощь;</w:t>
      </w:r>
    </w:p>
    <w:p w:rsidR="00000000" w:rsidRDefault="00000000">
      <w:pPr>
        <w:pStyle w:val="18-8"/>
        <w:spacing w:after="180"/>
        <w:rPr>
          <w:i/>
        </w:rPr>
      </w:pPr>
      <w:r>
        <w:sym w:font="Symbol" w:char="F0B7"/>
      </w:r>
      <w:r>
        <w:tab/>
        <w:t>в префектуре Комотини: Социальная служба муниципалитета Комотини;</w:t>
      </w:r>
    </w:p>
    <w:p w:rsidR="00000000" w:rsidRDefault="00000000">
      <w:pPr>
        <w:pStyle w:val="18-8"/>
        <w:spacing w:after="180"/>
        <w:rPr>
          <w:i/>
        </w:rPr>
      </w:pPr>
      <w:r>
        <w:sym w:font="Symbol" w:char="F0B7"/>
      </w:r>
      <w:r>
        <w:tab/>
        <w:t>в префектуре Кардица: Центр поддержки женщин муниципалитета Кардица;</w:t>
      </w:r>
    </w:p>
    <w:p w:rsidR="00000000" w:rsidRDefault="00000000">
      <w:pPr>
        <w:pStyle w:val="18-8"/>
        <w:spacing w:after="180"/>
      </w:pPr>
      <w:r>
        <w:sym w:font="Symbol" w:char="F0B7"/>
      </w:r>
      <w:r>
        <w:tab/>
        <w:t>в префектуре Хиос: Бюро по проблемам женщин муниципалитета Хиос.</w:t>
      </w:r>
    </w:p>
    <w:p w:rsidR="00000000" w:rsidRDefault="00000000">
      <w:pPr>
        <w:pStyle w:val="18-8"/>
        <w:spacing w:after="200"/>
        <w:ind w:left="1021" w:firstLine="0"/>
        <w:rPr>
          <w:i/>
        </w:rPr>
      </w:pPr>
      <w:r>
        <w:t>Эти структуры оказывают психологическую, социальную и правовую помощь женщинам – жертвам насилия и другим уязвимым группам женщин, а также действуют через инициативы местных социальных органов, которые частично финансируются Европейской программой по борьбе с социальной изоляцией.</w:t>
      </w:r>
    </w:p>
    <w:p w:rsidR="00000000" w:rsidRDefault="00000000">
      <w:pPr>
        <w:pStyle w:val="BodyText"/>
      </w:pPr>
      <w:r>
        <w:t>35.</w:t>
      </w:r>
      <w:r>
        <w:tab/>
        <w:t xml:space="preserve">В 2002 году Греческая секция Европейской женской сети открыла 12-часовую бесплатную "горячую" телефонную линию помощи, для обеспечения психологической, социальной и правовой помощи на национальном уровне. Одновременно была создана консультационная служба, действующая повсюду в столице. В сферу ее деятельности входит также обучение добровольцев из числа ученых, занимающихся социальными вопросами, для работы на вышеупомянутой телефонной линии помощи. </w:t>
      </w:r>
    </w:p>
    <w:p w:rsidR="00000000" w:rsidRDefault="00000000">
      <w:pPr>
        <w:pStyle w:val="BodyText"/>
      </w:pPr>
      <w:r>
        <w:t>36.</w:t>
      </w:r>
      <w:r>
        <w:tab/>
        <w:t xml:space="preserve">Национальный центр неотложной социальной помощи (EKAKV), действующий в качестве официального государственного органа Министерства здравоохранения, предназначен для решения проблем, связанных с насилием в семье. Данные по общему числу воспользовавшихся круглосуточной "горячей линией" (линией </w:t>
      </w:r>
      <w:r>
        <w:rPr>
          <w:lang w:val="en-US"/>
        </w:rPr>
        <w:t>SOS</w:t>
      </w:r>
      <w:r>
        <w:t xml:space="preserve">) EKAKY (197) в период с июня 2003 года по июнь 2004 года, показывают, что значительная доля обращений касалась насилия в семье. </w:t>
      </w:r>
    </w:p>
    <w:p w:rsidR="00000000" w:rsidRDefault="00000000">
      <w:pPr>
        <w:pStyle w:val="BodyText"/>
      </w:pPr>
      <w:r>
        <w:t>37.</w:t>
      </w:r>
      <w:r>
        <w:tab/>
        <w:t xml:space="preserve">Генеральный секретариат по вопросам гендерного равенства в сотрудничестве с муниципалитетом Афин обеспечивает работу приюта, который предоставляет кров женщинам – жертвам насилия и их несовершеннолетним детям. </w:t>
      </w:r>
    </w:p>
    <w:p w:rsidR="00000000" w:rsidRDefault="00000000">
      <w:pPr>
        <w:pStyle w:val="18-8"/>
      </w:pPr>
      <w:r>
        <w:sym w:font="Symbol" w:char="F0B7"/>
      </w:r>
      <w:r>
        <w:tab/>
        <w:t>На территории столицы в целом значительная часть потребностей в крове обеспечивается Афинской архиепископской епархией (KESO) и государственными социальными приютами Министерства здравоохранения и социального обеспечения, которые занимаются проблемами уязвимых групп населения в целом.</w:t>
      </w:r>
    </w:p>
    <w:p w:rsidR="00000000" w:rsidRDefault="00000000">
      <w:pPr>
        <w:pStyle w:val="18-8"/>
      </w:pPr>
      <w:r>
        <w:sym w:font="Symbol" w:char="F0B7"/>
      </w:r>
      <w:r>
        <w:tab/>
        <w:t xml:space="preserve">На региональном уровне с 2000 года по настоящее время Центром по вопросам исследований и помощи жертвам жестокого обращения и социальной изоляции (префектура Янина) и Приютом для женщин (префектура Серрес) убежище предоставляется исключительно женщинам, подвергшимся жестокому обращению, и их детям. Приют для женщин располагает передвижной бригадой, позволяющей оказывать помощь женщинам – жертвам жестокого обращения, испытывающим проблемы с передвижением, организуя их посещение на дому, наряду с этим имеется группа женщин-добровольцев, занимающихся оказанием услуг. Кроме того, в Ираклионе КЕТHI обеспечивает работу приюта для жертв насилия. </w:t>
      </w:r>
    </w:p>
    <w:p w:rsidR="00000000" w:rsidRDefault="00000000">
      <w:pPr>
        <w:pStyle w:val="18-8"/>
      </w:pPr>
      <w:r>
        <w:sym w:font="Symbol" w:char="F0B7"/>
      </w:r>
      <w:r>
        <w:tab/>
        <w:t>Генеральный секретариат по вопросам гендерного равенства сотрудничает с муниципалитетом Афин с целью возобновления программы обеспечения функционирования приютов для женщин – жертв жестокого обращения и с муниципалитетами Салоники, Серрес, Кавала и Комотини с целью создания и работы аналогичных консультационных центров и приютов.</w:t>
      </w:r>
    </w:p>
    <w:p w:rsidR="00000000" w:rsidRDefault="00000000">
      <w:pPr>
        <w:pStyle w:val="BodyText"/>
        <w:jc w:val="center"/>
        <w:rPr>
          <w:b/>
        </w:rPr>
      </w:pPr>
      <w:r>
        <w:rPr>
          <w:b/>
        </w:rPr>
        <w:t>III.  Реабилитация и включение в жизнь общества</w:t>
      </w:r>
    </w:p>
    <w:p w:rsidR="00000000" w:rsidRDefault="00000000">
      <w:pPr>
        <w:pStyle w:val="BodyText"/>
      </w:pPr>
      <w:r>
        <w:t>38.</w:t>
      </w:r>
      <w:r>
        <w:tab/>
        <w:t>В контексте реабилитации важно отметить, что Программа дополнительных услуг и помощи, осуществляемая всеми отделениями KETHI, включает также консультации по вопросам занятости. Ежегодные отчеты о предоставленной KETHI помощи женщинам – жертвам жестокого обращения (наряду с другими уязвимыми группами женщин) показывают, что значительное число таких женщин получили консультации по вопросам занятости, поскольку среди них преобладали безработные (KETHI, Афины, 2000 год – сентябрь 2004 года).</w:t>
      </w:r>
    </w:p>
    <w:p w:rsidR="00000000" w:rsidRDefault="00000000">
      <w:pPr>
        <w:pStyle w:val="BodyText"/>
      </w:pPr>
      <w:r>
        <w:t>39.</w:t>
      </w:r>
      <w:r>
        <w:tab/>
        <w:t>Учитывая, что трудоустройство является существенным фактором в освобождении женщин от основанных на насилии отношений, в этой области действуют и другие учреждения:</w:t>
      </w:r>
    </w:p>
    <w:p w:rsidR="00000000" w:rsidRDefault="00000000">
      <w:pPr>
        <w:pStyle w:val="18-8"/>
      </w:pPr>
      <w:r>
        <w:sym w:font="Symbol" w:char="F0B7"/>
      </w:r>
      <w:r>
        <w:tab/>
        <w:t>приют Афинской архиепископской епархии также обеспечивает профессиональную подготовку (например, ремесленные курсы), нацеленную на трудоустройство и социальную реабилитацию.</w:t>
      </w:r>
    </w:p>
    <w:p w:rsidR="00000000" w:rsidRDefault="00000000">
      <w:pPr>
        <w:pStyle w:val="18-8"/>
      </w:pPr>
      <w:r>
        <w:sym w:font="Symbol" w:char="F0B7"/>
      </w:r>
      <w:r>
        <w:tab/>
        <w:t xml:space="preserve">В 2003 году Центр исследований и поддержки жертв жестокого обращения и социальной изоляции, под эгидой Министерства занятости и социальной защиты, осуществлял программу дополнительной помощи под названием "Femina", ориентированную на уязвимые группы и женщин – жертв жестокого обращения. </w:t>
      </w:r>
    </w:p>
    <w:p w:rsidR="00000000" w:rsidRDefault="00000000">
      <w:pPr>
        <w:pStyle w:val="18-8"/>
      </w:pPr>
      <w:r>
        <w:sym w:font="Symbol" w:char="F0B7"/>
      </w:r>
      <w:r>
        <w:tab/>
        <w:t>В рамках борьбы против социальной изоляции аналогичные мероприятия проводились почти всеми существующими структурами.</w:t>
      </w:r>
    </w:p>
    <w:p w:rsidR="00000000" w:rsidRDefault="00000000">
      <w:pPr>
        <w:pStyle w:val="BodyText"/>
        <w:jc w:val="center"/>
        <w:rPr>
          <w:b/>
        </w:rPr>
      </w:pPr>
      <w:r>
        <w:rPr>
          <w:b/>
        </w:rPr>
        <w:t>IV.  Информирование и формирование общественного мнения</w:t>
      </w:r>
    </w:p>
    <w:p w:rsidR="00000000" w:rsidRDefault="00000000">
      <w:pPr>
        <w:pStyle w:val="BodyText"/>
      </w:pPr>
      <w:r>
        <w:t>40.</w:t>
      </w:r>
      <w:r>
        <w:tab/>
        <w:t xml:space="preserve">В течение 2001–2004 годов Генеральный секретариат по вопросам гендерного равенства старался привлечь к этой проблематике внимание общественного мнения посредством рекламных программ на телевидении и радио, публикации брошюр (на греческом и английском языках) и выпуска плакатов. Наряду с другими мероприятиями, в 2002 году Генеральный секретариат финансировал также постановку в одном из главных театров в Афинах театральной пьесы на тему насилия в семье. </w:t>
      </w:r>
    </w:p>
    <w:p w:rsidR="00000000" w:rsidRDefault="00000000">
      <w:pPr>
        <w:pStyle w:val="BodyText"/>
      </w:pPr>
      <w:r>
        <w:t>41.</w:t>
      </w:r>
      <w:r>
        <w:tab/>
        <w:t>25 ноября 2004 года, день борьбы с насилием в отношении женщин, Генеральный секретариат по вопросам гендерного равенства опубликовал данные из исследования "Насилие в семье – Статистическая выборка данных о жестоком обращении с женщинами" (Приложение В). Это исследование касается женщин, обращавшихся в консультационные центры Генерального секретариата по вопросам гендерного равенства в период с 1 января 2004 года по 31 ноября 2004 года; оно было проведено на базе 7 европейских показателей, предложенных Данией, председательствовавшей в ЕС в 2002 году. Результаты аналогичного исследования также были опубликованы в ноябре 2003 года. Кроме того, на главных улицах Афин и Пирея работали информационные бюро по обслуживанию населения, распространялись печатные материалы, а в общественном транспорте размещались плакаты.</w:t>
      </w:r>
    </w:p>
    <w:p w:rsidR="00000000" w:rsidRDefault="00000000">
      <w:pPr>
        <w:pStyle w:val="BodyText"/>
      </w:pPr>
      <w:r>
        <w:tab/>
      </w:r>
      <w:r>
        <w:tab/>
        <w:t>На региональном и местном уровнях были организованы такие мероприятия, как семинары, однодневные совещания и конференции по вопросам насилия в семье, например:</w:t>
      </w:r>
    </w:p>
    <w:p w:rsidR="00000000" w:rsidRDefault="00000000">
      <w:pPr>
        <w:pStyle w:val="18-8"/>
      </w:pPr>
      <w:r>
        <w:sym w:font="Symbol" w:char="F0B7"/>
      </w:r>
      <w:r>
        <w:tab/>
        <w:t>KETHI в Афинах и ее отделения провели мероприятия, ориентированные, главным образом, на соответствующие местные органы, а также на научные объединения местной общины;</w:t>
      </w:r>
    </w:p>
    <w:p w:rsidR="00000000" w:rsidRDefault="00000000">
      <w:pPr>
        <w:pStyle w:val="18-8"/>
      </w:pPr>
      <w:r>
        <w:sym w:font="Symbol" w:char="F0B7"/>
      </w:r>
      <w:r>
        <w:tab/>
        <w:t>одновременно муниципалитет Афин организовал учебные семинары и мероприятия с целью информирования различных специалистов;</w:t>
      </w:r>
    </w:p>
    <w:p w:rsidR="00000000" w:rsidRDefault="00000000">
      <w:pPr>
        <w:pStyle w:val="18-8"/>
      </w:pPr>
      <w:r>
        <w:sym w:font="Symbol" w:char="F0B7"/>
      </w:r>
      <w:r>
        <w:tab/>
        <w:t>приют архиепископской епархии Афин организовывал мероприятия, издавал и распространял информационные материалы и активно участвовал в информационно-просветительской работе в рамках общинных проектов. Он организовывал также конференции по проблемам насилия в семье.</w:t>
      </w:r>
    </w:p>
    <w:p w:rsidR="00000000" w:rsidRDefault="00000000">
      <w:pPr>
        <w:pStyle w:val="BodyText"/>
        <w:jc w:val="center"/>
        <w:rPr>
          <w:b/>
        </w:rPr>
      </w:pPr>
      <w:r>
        <w:rPr>
          <w:b/>
        </w:rPr>
        <w:br w:type="page"/>
        <w:t>V.  Помощь детям – жертвам насилия в семье</w:t>
      </w:r>
    </w:p>
    <w:p w:rsidR="00000000" w:rsidRDefault="00000000">
      <w:pPr>
        <w:pStyle w:val="BodyText"/>
      </w:pPr>
      <w:r>
        <w:t>42.</w:t>
      </w:r>
      <w:r>
        <w:tab/>
        <w:t>В отношении жестокого обращения с детьми – жертвами насилия в семье и безнадзорности, принимались следующие меры:</w:t>
      </w:r>
    </w:p>
    <w:p w:rsidR="00000000" w:rsidRDefault="00000000">
      <w:pPr>
        <w:pStyle w:val="18-8"/>
      </w:pPr>
      <w:r>
        <w:sym w:font="Symbol" w:char="F0B7"/>
      </w:r>
      <w:r>
        <w:tab/>
        <w:t>Осуществлялись мероприятия и сотрудничество с такими социальными органами, как Институт охраны здоровья детей; задачей Института является проведение комплексных исследований и регистрация случаев жестокого обращения с детьми и безнадзорности, а также представление компетентным органам предложений о мерах, необходимых для защиты детей и помощи детям – жертвам жестокого обращения.</w:t>
      </w:r>
    </w:p>
    <w:p w:rsidR="00000000" w:rsidRDefault="00000000">
      <w:pPr>
        <w:pStyle w:val="18-8"/>
      </w:pPr>
      <w:r>
        <w:sym w:font="Symbol" w:char="F0B7"/>
      </w:r>
      <w:r>
        <w:tab/>
        <w:t xml:space="preserve">В более конкретном плане, для решения этой проблемы при больнице "Agia Sofia" функционирует Центр по вопросам жестокого обращения с детьми и безнадзорности Института здоровья детей, а Министерство здравоохранения предоставляет специализированные услуги и жилье детям, ставшим жертвами жестокого обращения, в центрах помощи детям и в приюте Pendeli во исполнение постановления прокурора относительно ухода за детьми – жертвами жестокого обращения. </w:t>
      </w:r>
    </w:p>
    <w:p w:rsidR="00000000" w:rsidRDefault="00000000">
      <w:pPr>
        <w:pStyle w:val="18-8"/>
      </w:pPr>
      <w:r>
        <w:sym w:font="Symbol" w:char="F0B7"/>
      </w:r>
      <w:r>
        <w:tab/>
        <w:t>Кроме того, координация работы сети услуг и модернизация системы социального обеспечения страны будут способствовать полному использованию всех имеющихся средств в целях защиты детей.</w:t>
      </w:r>
    </w:p>
    <w:p w:rsidR="00000000" w:rsidRDefault="00000000">
      <w:pPr>
        <w:pStyle w:val="18-8"/>
      </w:pPr>
      <w:r>
        <w:sym w:font="Symbol" w:char="F0B7"/>
      </w:r>
      <w:r>
        <w:tab/>
        <w:t>Вслед за ратификацией Конвенции Организации Объединенных Наций о правах ребенка в соответствии с законом 2101/99 Греция учредила должность уполномоченного по правам ребенка в рамках института уполномоченного по правам граждан.</w:t>
      </w:r>
    </w:p>
    <w:p w:rsidR="00000000" w:rsidRDefault="00000000">
      <w:pPr>
        <w:pStyle w:val="18-8"/>
      </w:pPr>
      <w:r>
        <w:sym w:font="Symbol" w:char="F0B7"/>
      </w:r>
      <w:r>
        <w:tab/>
        <w:t>Министерство здравоохранения подписало программное соглашение с неправительственной организацией "Детская улыбка", которая занимается, в частности, делами находящихся в опасности детей, размещая их в специальных жилых помещениях и используя работающую в круглосуточном режиме передвижную бригаду, укомплектованную специализированным персоналом.</w:t>
      </w:r>
    </w:p>
    <w:p w:rsidR="00000000" w:rsidRDefault="00000000">
      <w:pPr>
        <w:pStyle w:val="BodyText"/>
        <w:jc w:val="center"/>
        <w:rPr>
          <w:b/>
        </w:rPr>
      </w:pPr>
      <w:r>
        <w:rPr>
          <w:b/>
        </w:rPr>
        <w:t>VI.  Исследования</w:t>
      </w:r>
    </w:p>
    <w:p w:rsidR="00000000" w:rsidRDefault="00000000">
      <w:pPr>
        <w:pStyle w:val="BodyText"/>
      </w:pPr>
      <w:r>
        <w:t>43.</w:t>
      </w:r>
      <w:r>
        <w:tab/>
        <w:t xml:space="preserve">При финансовой поддержке со стороны Генерального секретариата по вопросам гендерного равенства Центр исследований по проблемам гендерного равенства (K.E.TH.I.) и его отделения осуществили значительное число количественных и качественных исследований в отношении насилия в семье. Можно, в частности, отметить следующие исследования: </w:t>
      </w:r>
    </w:p>
    <w:p w:rsidR="00000000" w:rsidRDefault="00000000">
      <w:pPr>
        <w:pStyle w:val="18-8"/>
      </w:pPr>
      <w:r>
        <w:sym w:font="Symbol" w:char="F0B7"/>
      </w:r>
      <w:r>
        <w:tab/>
        <w:t>"Обзор греческой и иностранной библиографии по вопросам насилия в семье в отношении женщин и перечень организаций, предоставляющих поддержку женщинам" (K.E.TH.I, Афины, 2000 год.);</w:t>
      </w:r>
    </w:p>
    <w:p w:rsidR="00000000" w:rsidRDefault="00000000">
      <w:pPr>
        <w:pStyle w:val="18-8"/>
      </w:pPr>
      <w:r>
        <w:sym w:font="Symbol" w:char="F0B7"/>
      </w:r>
      <w:r>
        <w:tab/>
        <w:t>Издание "Руководства для консультирования женщин", предназначенного для сотрудников и советников K.E.TH.I. (K.E.TH.I., Афины, 2001 год);</w:t>
      </w:r>
    </w:p>
    <w:p w:rsidR="00000000" w:rsidRDefault="00000000">
      <w:pPr>
        <w:pStyle w:val="18-8"/>
      </w:pPr>
      <w:r>
        <w:sym w:font="Symbol" w:char="F0B7"/>
      </w:r>
      <w:r>
        <w:tab/>
        <w:t>"Характеристика женщин, пользовавшихся услугами K.E.TH.I. в период с 1 января 2000 года до 30 июня 2001 года. Оценка услуг K.E.TH.I. Количественный и качественный анализ данных и предложения относительно мер воздействия" K.E.TH.I., Афины, 2001 год);</w:t>
      </w:r>
    </w:p>
    <w:p w:rsidR="00000000" w:rsidRDefault="00000000">
      <w:pPr>
        <w:pStyle w:val="18-8"/>
      </w:pPr>
      <w:r>
        <w:sym w:font="Symbol" w:char="F0B7"/>
      </w:r>
      <w:r>
        <w:tab/>
        <w:t>"Исследование и предложения, касающиеся заключительного законопроекта Министерства внутренних дел о предотвращении насилия в семье и борьбе с ним" (K.E.TH.I., Афины, 2002 год);</w:t>
      </w:r>
    </w:p>
    <w:p w:rsidR="00000000" w:rsidRDefault="00000000">
      <w:pPr>
        <w:pStyle w:val="18-8"/>
      </w:pPr>
      <w:r>
        <w:sym w:font="Symbol" w:char="F0B7"/>
      </w:r>
      <w:r>
        <w:tab/>
        <w:t>"Насилие в семье в отношении женщин: первое всегреческое эпидемиологическое исследование" (K.E.TH.I., Афины, 2003 год);</w:t>
      </w:r>
    </w:p>
    <w:p w:rsidR="00000000" w:rsidRDefault="00000000">
      <w:pPr>
        <w:pStyle w:val="18-8"/>
      </w:pPr>
      <w:r>
        <w:sym w:font="Symbol" w:char="F0B7"/>
      </w:r>
      <w:r>
        <w:tab/>
        <w:t>"Жертва или оставшаяся в живых? Лингвистические конструкции, применяемые при консультировании в связи с насилием в отношении женщин: аналитическое исследование" (K.E.TH.I., Салоники, 2001 год);</w:t>
      </w:r>
    </w:p>
    <w:p w:rsidR="00000000" w:rsidRDefault="00000000">
      <w:pPr>
        <w:pStyle w:val="18-8"/>
      </w:pPr>
      <w:r>
        <w:sym w:font="Symbol" w:char="F0B7"/>
      </w:r>
      <w:r>
        <w:tab/>
        <w:t>"Насилие в отношении женщин со стороны их партнеров" (K.E.TH.I., Патра, 2001 год);</w:t>
      </w:r>
    </w:p>
    <w:p w:rsidR="00000000" w:rsidRDefault="00000000">
      <w:pPr>
        <w:pStyle w:val="18-8"/>
      </w:pPr>
      <w:r>
        <w:sym w:font="Symbol" w:char="F0B7"/>
      </w:r>
      <w:r>
        <w:tab/>
        <w:t>"Отношение жителей префектуры Магнисия к женщинам – главам семей с одним родителем" (K.E.TH.I., Волос, 2002 год).</w:t>
      </w:r>
    </w:p>
    <w:p w:rsidR="00000000" w:rsidRDefault="00000000">
      <w:pPr>
        <w:pStyle w:val="BodyText"/>
      </w:pPr>
      <w:r>
        <w:t>44.</w:t>
      </w:r>
      <w:r>
        <w:tab/>
        <w:t xml:space="preserve">В тот же период (2000–2004 годы) ряд исследований провели следующие научные и социальные организации: </w:t>
      </w:r>
    </w:p>
    <w:p w:rsidR="00000000" w:rsidRDefault="00000000">
      <w:pPr>
        <w:pStyle w:val="18-8"/>
      </w:pPr>
      <w:r>
        <w:sym w:font="Symbol" w:char="F0B7"/>
      </w:r>
      <w:r>
        <w:tab/>
        <w:t>Государственный афинский Каподистрианский университет в сотрудничестве с K.E.TH.I., Ираклион: "Связь насилия в семье с общим состоянием здоровья и обликом женщины" (2003 год);</w:t>
      </w:r>
    </w:p>
    <w:p w:rsidR="00000000" w:rsidRDefault="00000000">
      <w:pPr>
        <w:pStyle w:val="18-8"/>
      </w:pPr>
      <w:r>
        <w:sym w:font="Symbol" w:char="F0B7"/>
      </w:r>
      <w:r>
        <w:tab/>
        <w:t>Афинская медицинская школа: "Метод выявления фактов насилия со стороны сексуального партнера" и "Разработка и экспериментальная проверка модуля, касающегося роли органов здравоохранения в оценке и предупреждении насилия со стороны сексуального партнера " (2003 год);</w:t>
      </w:r>
    </w:p>
    <w:p w:rsidR="00000000" w:rsidRDefault="00000000">
      <w:pPr>
        <w:pStyle w:val="18-8"/>
      </w:pPr>
      <w:r>
        <w:sym w:font="Symbol" w:char="F0B7"/>
      </w:r>
      <w:r>
        <w:tab/>
        <w:t>KESO – приют Афинской архиепископской епархии: "Изучение дел обитателей Материнского приюта, нуждающихся в социальной защите" и "О тех, кто насилует детей" (2003 год);</w:t>
      </w:r>
    </w:p>
    <w:p w:rsidR="00000000" w:rsidRDefault="00000000">
      <w:pPr>
        <w:pStyle w:val="18-8"/>
      </w:pPr>
      <w:r>
        <w:sym w:font="Symbol" w:char="F0B7"/>
      </w:r>
      <w:r>
        <w:tab/>
        <w:t>Центр исследований и поддержки жертв жестокого обращения и социальной изоляции: "Женщины – жертвы насилия в семье: поведенческие характеристики" (2003 год);</w:t>
      </w:r>
    </w:p>
    <w:p w:rsidR="00000000" w:rsidRDefault="00000000">
      <w:pPr>
        <w:pStyle w:val="18-8"/>
      </w:pPr>
      <w:r>
        <w:sym w:font="Symbol" w:char="F0B7"/>
      </w:r>
      <w:r>
        <w:tab/>
        <w:t>Центр исследований и поддержки жертв жестокого обращения и социальной изоляции: "Насилие в семье: первый доклад агентства, работающего с подвергшимися избиениям женщинами" (2004 год).</w:t>
      </w:r>
    </w:p>
    <w:p w:rsidR="00000000" w:rsidRDefault="00000000">
      <w:pPr>
        <w:pStyle w:val="BodyText"/>
        <w:jc w:val="center"/>
        <w:rPr>
          <w:b/>
        </w:rPr>
      </w:pPr>
      <w:r>
        <w:rPr>
          <w:b/>
        </w:rPr>
        <w:br w:type="page"/>
        <w:t>VII.  Действия правительства</w:t>
      </w:r>
    </w:p>
    <w:p w:rsidR="00000000" w:rsidRDefault="00000000">
      <w:pPr>
        <w:pStyle w:val="BodyText"/>
        <w:rPr>
          <w:i/>
        </w:rPr>
      </w:pPr>
      <w:r>
        <w:t>45.</w:t>
      </w:r>
      <w:r>
        <w:tab/>
      </w:r>
      <w:r>
        <w:rPr>
          <w:b/>
          <w:i/>
        </w:rPr>
        <w:t>Министерство внутренних дел, государственной администрации и децентрализации (в сотрудничестве с Институтом профессионального обучения Национального центра государственной администрации):</w:t>
      </w:r>
    </w:p>
    <w:p w:rsidR="00000000" w:rsidRDefault="00000000">
      <w:pPr>
        <w:pStyle w:val="18-8"/>
      </w:pPr>
      <w:r>
        <w:sym w:font="Symbol" w:char="F0B7"/>
      </w:r>
      <w:r>
        <w:tab/>
        <w:t>Организация двух конференций на тему "Насилие в отношении женщин как препятствие на пути к равенству" (Афины – Салоники, 2003 год).</w:t>
      </w:r>
    </w:p>
    <w:p w:rsidR="00000000" w:rsidRDefault="00000000">
      <w:pPr>
        <w:pStyle w:val="18-8"/>
      </w:pPr>
      <w:r>
        <w:sym w:font="Symbol" w:char="F0B7"/>
      </w:r>
      <w:r>
        <w:tab/>
        <w:t>Осуществление трех программ профессиональной подготовки для государственных служащих под названием "Гендерное равенство и насилие в отношении женщин" (Афины, 2003 год).</w:t>
      </w:r>
    </w:p>
    <w:p w:rsidR="00000000" w:rsidRDefault="00000000">
      <w:pPr>
        <w:pStyle w:val="18-8"/>
      </w:pPr>
      <w:r>
        <w:sym w:font="Symbol" w:char="F0B7"/>
      </w:r>
      <w:r>
        <w:tab/>
        <w:t>организация в сотрудничестве с Ассоциацией сотрудников полиции Аттики конференции на тему "Методы борьбы с насилием в отношении женщин" (Афины, 2004 год).</w:t>
      </w:r>
    </w:p>
    <w:p w:rsidR="00000000" w:rsidRDefault="00000000">
      <w:pPr>
        <w:pStyle w:val="BodyText"/>
      </w:pPr>
      <w:r>
        <w:t>46.</w:t>
      </w:r>
      <w:r>
        <w:tab/>
      </w:r>
      <w:r>
        <w:rPr>
          <w:b/>
          <w:i/>
        </w:rPr>
        <w:t>Министерство общественного порядка</w:t>
      </w:r>
    </w:p>
    <w:p w:rsidR="00000000" w:rsidRDefault="00000000">
      <w:pPr>
        <w:pStyle w:val="18-8"/>
      </w:pPr>
      <w:r>
        <w:sym w:font="Symbol" w:char="F0B7"/>
      </w:r>
      <w:r>
        <w:tab/>
        <w:t xml:space="preserve">Министерство включило в учебную программу полицейских академий Греции </w:t>
      </w:r>
      <w:r>
        <w:br/>
        <w:t>(для полицейских – мужчин и женщин, офицеров полиции, школ повышения квалификации и профессиональной подготовки, Школ национальной безопасности) обязательные курсы по темам, касающимся защиты прав человека в целом, преступлений против сексуальной свободы и защиты от изнасилования.</w:t>
      </w:r>
    </w:p>
    <w:p w:rsidR="00000000" w:rsidRDefault="00000000">
      <w:pPr>
        <w:pStyle w:val="18-8"/>
      </w:pPr>
      <w:r>
        <w:sym w:font="Symbol" w:char="F0B7"/>
      </w:r>
      <w:r>
        <w:tab/>
        <w:t>В рамках обучения по вопросам обращения с жертвами изнасилования сотрудники служб безопасности участвовали в работе семинаров за границей: в Великобритании (9–10 мая 2000 года, с 23 по 26 июня 2003 года и с 27 по 30 июля 2004 года), в Германии (с 18 по 26 октября 2004 года) и в Швеции (с 13 по 18 марта 2004 года).</w:t>
      </w:r>
    </w:p>
    <w:p w:rsidR="00000000" w:rsidRDefault="00000000">
      <w:pPr>
        <w:pStyle w:val="18-8"/>
      </w:pPr>
      <w:r>
        <w:sym w:font="Symbol" w:char="F0B7"/>
      </w:r>
      <w:r>
        <w:tab/>
        <w:t>В рамках подготовки сотрудников полиции по вопросам обращения с женщинами – жертвами насилия в семье Министерство организовало и осуществило:</w:t>
      </w:r>
    </w:p>
    <w:p w:rsidR="00000000" w:rsidRDefault="00000000">
      <w:pPr>
        <w:pStyle w:val="26-8"/>
      </w:pPr>
      <w:r>
        <w:t xml:space="preserve">– </w:t>
      </w:r>
      <w:r>
        <w:tab/>
        <w:t>экспериментальную программу (февраль–май 2001 года), в рамках которой для региональных полицейских участков были наняты социальные работники и психологи, с тем чтобы: а) выявлять людей, нуждающихся в помощи, b) изучать случаи жестокого обращения, с) регистрировать конкретные случаи, d) оказывать содействие проектам и осуществлять их научную поддержку в качестве экспертов, е) составлять отчет и f) направлять людей в соответствующие органы;</w:t>
      </w:r>
    </w:p>
    <w:p w:rsidR="00000000" w:rsidRDefault="00000000">
      <w:pPr>
        <w:pStyle w:val="26-8"/>
      </w:pPr>
      <w:r>
        <w:t>–</w:t>
      </w:r>
      <w:r>
        <w:tab/>
        <w:t>до января 2002 года эта программа осуществлялась в полицейских участках в столице (районы Омонойя, Ачарнон, Колонос, Эксархейя) и в других местах (площадь Демократии, Дендропотаму, Ставруполис/Салоники, Лариса, Патра</w:t>
      </w:r>
      <w:r>
        <w:noBreakHyphen/>
        <w:t>В, Веройя, Ираклион-А), а также в полицейских участках в специальных полицейских подразделениях для несовершеннолетних правонарушителей (Аттика) и в департаменте безопасности Ираклиона и Патры;</w:t>
      </w:r>
    </w:p>
    <w:p w:rsidR="00000000" w:rsidRDefault="00000000">
      <w:pPr>
        <w:pStyle w:val="26-8"/>
      </w:pPr>
      <w:r>
        <w:t>–</w:t>
      </w:r>
      <w:r>
        <w:tab/>
        <w:t>второй этап программы осуществлялся с сентября 2002 года по сентябрь 2003 года, в нем дополнительно участвовали пять полицейских участков – три в районе Афин (Калитея, Авг. Пантелеймонас, Кипсели) и два в Салониках (пограничный полицейский участок и участок Белой башни).</w:t>
      </w:r>
    </w:p>
    <w:p w:rsidR="00000000" w:rsidRDefault="00000000">
      <w:pPr>
        <w:pStyle w:val="18-8"/>
      </w:pPr>
      <w:r>
        <w:sym w:font="Symbol" w:char="F0B7"/>
      </w:r>
      <w:r>
        <w:tab/>
        <w:t>В этот же период были организованы три семинара для информирования сотрудников полиции по данной проблематике, и во все полицейские участки страны были разосланы номера телефонов консультационных центров Генерального секретариата по вопросам гендерного равенства.</w:t>
      </w:r>
    </w:p>
    <w:p w:rsidR="00000000" w:rsidRDefault="00000000">
      <w:pPr>
        <w:pStyle w:val="BodyText"/>
      </w:pPr>
      <w:r>
        <w:t>47.</w:t>
      </w:r>
      <w:r>
        <w:tab/>
      </w:r>
      <w:r>
        <w:rPr>
          <w:b/>
          <w:i/>
        </w:rPr>
        <w:t>Министерство здравоохранения и социального обеспечения</w:t>
      </w:r>
    </w:p>
    <w:p w:rsidR="00000000" w:rsidRDefault="00000000">
      <w:pPr>
        <w:pStyle w:val="18-8"/>
      </w:pPr>
      <w:r>
        <w:sym w:font="Symbol" w:char="F0B7"/>
      </w:r>
      <w:r>
        <w:tab/>
        <w:t>Осуществлялись программы профессиональной подготовки для научных сотрудников Национального центра неотложной социальной помощи (EKAKV) всех специальностей, для психологов, социальных работников, социологов, воспитателей детских садов, преподавателей, психиатров и медицинских сестер.</w:t>
      </w:r>
    </w:p>
    <w:p w:rsidR="00000000" w:rsidRDefault="00000000">
      <w:pPr>
        <w:pStyle w:val="18-8"/>
      </w:pPr>
      <w:r>
        <w:sym w:font="Symbol" w:char="F0B7"/>
      </w:r>
      <w:r>
        <w:tab/>
        <w:t>Осуществлялись вводная просветительская программа "Меры воздействия в кризисных ситуациях" (с 12 по 21 декабря 2001 года), программа профессиональной подготовки "Жестокое обращение с женщинами – меры воздействия в кризисных ситуациях – первые контакты с соответствующими организациями – обеспечение специальных форм поддержки" (с 3 по 20 февраля 2003 года) с участием государственных служащих других взаимодействующих органов Национальной организации по вопросам социальной защиты (Национальная организация по вопросам социальной защиты была упразднена в соответствии со статьей 5 Закона 3100/2003).</w:t>
      </w:r>
    </w:p>
    <w:p w:rsidR="00000000" w:rsidRDefault="00000000">
      <w:pPr>
        <w:pStyle w:val="Heading2"/>
      </w:pPr>
      <w:bookmarkStart w:id="9" w:name="_Toc116466873"/>
      <w:r>
        <w:t>Статья 7</w:t>
      </w:r>
      <w:bookmarkEnd w:id="9"/>
    </w:p>
    <w:p w:rsidR="00000000" w:rsidRDefault="00000000">
      <w:pPr>
        <w:pStyle w:val="a4"/>
      </w:pPr>
      <w:r>
        <w:t xml:space="preserve">Государства-участники принимают все соответствующие меры по ликвидации дискриминации в отношении женщин в политической и общественной жизни страны и, в частности, обеспечивают женщинам на равных условиях с мужчинами права: </w:t>
      </w:r>
    </w:p>
    <w:p w:rsidR="00000000" w:rsidRDefault="00000000">
      <w:pPr>
        <w:pStyle w:val="a4"/>
        <w:tabs>
          <w:tab w:val="clear" w:pos="1021"/>
        </w:tabs>
      </w:pPr>
      <w:r>
        <w:tab/>
        <w:t>а)</w:t>
      </w:r>
      <w:r>
        <w:tab/>
        <w:t xml:space="preserve">голосовать на всех выборах и публичных референдумах и избираться во все публично избираемые органы; </w:t>
      </w:r>
    </w:p>
    <w:p w:rsidR="00000000" w:rsidRDefault="00000000">
      <w:pPr>
        <w:pStyle w:val="a4"/>
        <w:tabs>
          <w:tab w:val="clear" w:pos="1021"/>
        </w:tabs>
      </w:pPr>
      <w:r>
        <w:tab/>
        <w:t>b)</w:t>
      </w:r>
      <w:r>
        <w:tab/>
        <w:t xml:space="preserve">участвовать в формулировании и осуществлении политики правительства и занимать государственные посты, а также осуществлять все государственные функции на всех уровнях государственного управления; </w:t>
      </w:r>
    </w:p>
    <w:p w:rsidR="00000000" w:rsidRDefault="00000000">
      <w:pPr>
        <w:pStyle w:val="a4"/>
        <w:tabs>
          <w:tab w:val="clear" w:pos="1021"/>
        </w:tabs>
      </w:pPr>
      <w:r>
        <w:tab/>
        <w:t>c)</w:t>
      </w:r>
      <w:r>
        <w:tab/>
        <w:t>принимать участие в деятельности неправительственных организаций и ассоциаций, занимающихся проблемами общественной и политической жизни страны.</w:t>
      </w:r>
    </w:p>
    <w:p w:rsidR="00000000" w:rsidRDefault="00000000">
      <w:pPr>
        <w:pStyle w:val="BodyText"/>
        <w:spacing w:after="200"/>
      </w:pPr>
      <w:r>
        <w:rPr>
          <w:b/>
        </w:rPr>
        <w:br w:type="page"/>
      </w:r>
      <w:r>
        <w:t>1.</w:t>
      </w:r>
      <w:r>
        <w:tab/>
        <w:t>В целях реализации Программы действий по обеспечению равноправия на 2001–2006 годы, ориентированной на поддержку женского участия в директивных органах, были приняты соответствующие законы и меры</w:t>
      </w:r>
      <w:r>
        <w:rPr>
          <w:rStyle w:val="FootnoteReference"/>
        </w:rPr>
        <w:footnoteReference w:id="25"/>
      </w:r>
      <w:r>
        <w:t xml:space="preserve">, для комплексного решения вопроса женского участия в принятии решений и их представленности в директивных органах. </w:t>
      </w:r>
    </w:p>
    <w:p w:rsidR="00000000" w:rsidRDefault="00000000">
      <w:pPr>
        <w:pStyle w:val="BodyText"/>
        <w:jc w:val="center"/>
        <w:rPr>
          <w:caps/>
        </w:rPr>
      </w:pPr>
      <w:r>
        <w:rPr>
          <w:b/>
          <w:lang w:val="en-US"/>
        </w:rPr>
        <w:t>I</w:t>
      </w:r>
      <w:r>
        <w:rPr>
          <w:b/>
        </w:rPr>
        <w:t>.  Законодательная база</w:t>
      </w:r>
    </w:p>
    <w:p w:rsidR="00000000" w:rsidRDefault="00000000">
      <w:pPr>
        <w:pStyle w:val="BodyText"/>
      </w:pPr>
      <w:r>
        <w:t>2.</w:t>
      </w:r>
      <w:r>
        <w:tab/>
        <w:t>В статье 6 закона 2839/2000 предусматривается квота в одну треть для представителей обоих полов в советах департаментов, коллективных органах государственной администрации и органах местного самоуправления. В настоящее время введение такой квоты дало позитивные результаты: в 21 совете департаментов министерств доля женщин в среднем составляет 40–60 процентов.</w:t>
      </w:r>
    </w:p>
    <w:p w:rsidR="00000000" w:rsidRDefault="00000000">
      <w:pPr>
        <w:pStyle w:val="BodyText"/>
      </w:pPr>
      <w:r>
        <w:t>3.</w:t>
      </w:r>
      <w:r>
        <w:tab/>
        <w:t>В законе 2910/2001 определяется квота в одну треть для участия представителей обоих полов в выборах в префектуры и муниципалитеты. Наряду с целым рядом решений Государственный совет постановил, что указанное выше положение соответствует Конституции (пересмотренный пункт 2 статьи 116 Конституции)</w:t>
      </w:r>
      <w:r>
        <w:rPr>
          <w:rStyle w:val="FootnoteReference"/>
        </w:rPr>
        <w:footnoteReference w:id="26"/>
      </w:r>
      <w:r>
        <w:t>.</w:t>
      </w:r>
    </w:p>
    <w:p w:rsidR="00000000" w:rsidRDefault="00000000">
      <w:pPr>
        <w:pStyle w:val="BodyText"/>
      </w:pPr>
      <w:r>
        <w:t>4.</w:t>
      </w:r>
      <w:r>
        <w:tab/>
        <w:t>Решением премьер-министра в 2000 году был учрежден Межведомственный комитет по вопросам гендерного равенства</w:t>
      </w:r>
      <w:r>
        <w:rPr>
          <w:rStyle w:val="FootnoteReference"/>
        </w:rPr>
        <w:footnoteReference w:id="27"/>
      </w:r>
      <w:r>
        <w:t>.</w:t>
      </w:r>
    </w:p>
    <w:p w:rsidR="00000000" w:rsidRDefault="00000000">
      <w:pPr>
        <w:pStyle w:val="BodyText"/>
      </w:pPr>
      <w:r>
        <w:t>5.</w:t>
      </w:r>
      <w:r>
        <w:tab/>
        <w:t>В рамках деятельности парламента Греции с 2002 года функционирует Постоянный парламентский комитет по вопросам равенства и прав человека</w:t>
      </w:r>
      <w:r>
        <w:rPr>
          <w:rStyle w:val="FootnoteReference"/>
        </w:rPr>
        <w:footnoteReference w:id="28"/>
      </w:r>
      <w:r>
        <w:t>.</w:t>
      </w:r>
    </w:p>
    <w:p w:rsidR="00000000" w:rsidRDefault="00000000">
      <w:pPr>
        <w:pStyle w:val="BodyText"/>
        <w:jc w:val="center"/>
        <w:rPr>
          <w:b/>
        </w:rPr>
      </w:pPr>
      <w:r>
        <w:rPr>
          <w:b/>
          <w:lang w:val="en-US"/>
        </w:rPr>
        <w:t>II</w:t>
      </w:r>
      <w:r>
        <w:rPr>
          <w:b/>
        </w:rPr>
        <w:t>.  Участие женщин в политической жизни</w:t>
      </w:r>
    </w:p>
    <w:p w:rsidR="00000000" w:rsidRDefault="00000000">
      <w:pPr>
        <w:pStyle w:val="BodyText"/>
        <w:rPr>
          <w:i/>
          <w:u w:val="single"/>
        </w:rPr>
      </w:pPr>
      <w:r>
        <w:t>6.</w:t>
      </w:r>
      <w:r>
        <w:tab/>
      </w:r>
      <w:r>
        <w:rPr>
          <w:b/>
          <w:i/>
        </w:rPr>
        <w:t>Европейский парламент</w:t>
      </w:r>
      <w:r>
        <w:t xml:space="preserve"> </w:t>
      </w:r>
    </w:p>
    <w:p w:rsidR="00000000" w:rsidRDefault="00000000">
      <w:pPr>
        <w:pStyle w:val="BodyText"/>
      </w:pPr>
      <w:r>
        <w:t>Процентная доля участия женщин</w:t>
      </w:r>
    </w:p>
    <w:tbl>
      <w:tblPr>
        <w:tblW w:w="0" w:type="auto"/>
        <w:tblInd w:w="3" w:type="dxa"/>
        <w:tblLayout w:type="fixed"/>
        <w:tblCellMar>
          <w:left w:w="56" w:type="dxa"/>
          <w:right w:w="56" w:type="dxa"/>
        </w:tblCellMar>
        <w:tblLook w:val="0000" w:firstRow="0" w:lastRow="0" w:firstColumn="0" w:lastColumn="0" w:noHBand="0" w:noVBand="0"/>
      </w:tblPr>
      <w:tblGrid>
        <w:gridCol w:w="851"/>
        <w:gridCol w:w="3402"/>
        <w:gridCol w:w="3402"/>
      </w:tblGrid>
      <w:tr w:rsidR="00000000">
        <w:tblPrEx>
          <w:tblCellMar>
            <w:top w:w="0" w:type="dxa"/>
            <w:bottom w:w="0" w:type="dxa"/>
          </w:tblCellMar>
        </w:tblPrEx>
        <w:tc>
          <w:tcPr>
            <w:tcW w:w="851" w:type="dxa"/>
            <w:tcBorders>
              <w:top w:val="single" w:sz="4" w:space="0" w:color="auto"/>
              <w:bottom w:val="single" w:sz="4" w:space="0" w:color="auto"/>
            </w:tcBorders>
          </w:tcPr>
          <w:p w:rsidR="00000000" w:rsidRDefault="00000000">
            <w:pPr>
              <w:pStyle w:val="a6"/>
              <w:rPr>
                <w:b/>
              </w:rPr>
            </w:pPr>
            <w:r>
              <w:rPr>
                <w:b/>
              </w:rPr>
              <w:t>Год</w:t>
            </w:r>
          </w:p>
        </w:tc>
        <w:tc>
          <w:tcPr>
            <w:tcW w:w="3402" w:type="dxa"/>
            <w:tcBorders>
              <w:top w:val="single" w:sz="4" w:space="0" w:color="auto"/>
              <w:bottom w:val="single" w:sz="4" w:space="0" w:color="auto"/>
            </w:tcBorders>
          </w:tcPr>
          <w:p w:rsidR="00000000" w:rsidRDefault="00000000">
            <w:pPr>
              <w:pStyle w:val="a6"/>
              <w:rPr>
                <w:b/>
              </w:rPr>
            </w:pPr>
            <w:r>
              <w:rPr>
                <w:b/>
              </w:rPr>
              <w:t>Число избранных женщин</w:t>
            </w:r>
          </w:p>
        </w:tc>
        <w:tc>
          <w:tcPr>
            <w:tcW w:w="3402" w:type="dxa"/>
            <w:tcBorders>
              <w:top w:val="single" w:sz="4" w:space="0" w:color="auto"/>
              <w:bottom w:val="single" w:sz="4" w:space="0" w:color="auto"/>
            </w:tcBorders>
          </w:tcPr>
          <w:p w:rsidR="00000000" w:rsidRDefault="00000000">
            <w:pPr>
              <w:pStyle w:val="a6"/>
              <w:rPr>
                <w:b/>
              </w:rPr>
            </w:pPr>
            <w:r>
              <w:rPr>
                <w:b/>
              </w:rPr>
              <w:t>Доля женщин (в процентах)</w:t>
            </w:r>
          </w:p>
        </w:tc>
      </w:tr>
      <w:tr w:rsidR="00000000">
        <w:tblPrEx>
          <w:tblCellMar>
            <w:top w:w="0" w:type="dxa"/>
            <w:bottom w:w="0" w:type="dxa"/>
          </w:tblCellMar>
        </w:tblPrEx>
        <w:tc>
          <w:tcPr>
            <w:tcW w:w="851" w:type="dxa"/>
            <w:tcBorders>
              <w:top w:val="single" w:sz="4" w:space="0" w:color="auto"/>
            </w:tcBorders>
          </w:tcPr>
          <w:p w:rsidR="00000000" w:rsidRDefault="00000000">
            <w:pPr>
              <w:pStyle w:val="a7"/>
            </w:pPr>
            <w:r>
              <w:t>1999</w:t>
            </w:r>
          </w:p>
        </w:tc>
        <w:tc>
          <w:tcPr>
            <w:tcW w:w="3402" w:type="dxa"/>
            <w:tcBorders>
              <w:top w:val="single" w:sz="4" w:space="0" w:color="auto"/>
            </w:tcBorders>
          </w:tcPr>
          <w:p w:rsidR="00000000" w:rsidRDefault="00000000">
            <w:pPr>
              <w:pStyle w:val="a6"/>
            </w:pPr>
            <w:r>
              <w:t>4</w:t>
            </w:r>
          </w:p>
        </w:tc>
        <w:tc>
          <w:tcPr>
            <w:tcW w:w="3402" w:type="dxa"/>
            <w:tcBorders>
              <w:top w:val="single" w:sz="4" w:space="0" w:color="auto"/>
            </w:tcBorders>
          </w:tcPr>
          <w:p w:rsidR="00000000" w:rsidRDefault="00000000">
            <w:pPr>
              <w:pStyle w:val="a6"/>
            </w:pPr>
            <w:r>
              <w:t>16,0</w:t>
            </w:r>
          </w:p>
        </w:tc>
      </w:tr>
      <w:tr w:rsidR="00000000">
        <w:tblPrEx>
          <w:tblCellMar>
            <w:top w:w="0" w:type="dxa"/>
            <w:bottom w:w="0" w:type="dxa"/>
          </w:tblCellMar>
        </w:tblPrEx>
        <w:tc>
          <w:tcPr>
            <w:tcW w:w="851" w:type="dxa"/>
            <w:tcBorders>
              <w:bottom w:val="single" w:sz="4" w:space="0" w:color="auto"/>
            </w:tcBorders>
          </w:tcPr>
          <w:p w:rsidR="00000000" w:rsidRDefault="00000000">
            <w:pPr>
              <w:pStyle w:val="a7"/>
            </w:pPr>
            <w:r>
              <w:t>2004</w:t>
            </w:r>
          </w:p>
        </w:tc>
        <w:tc>
          <w:tcPr>
            <w:tcW w:w="3402" w:type="dxa"/>
            <w:tcBorders>
              <w:bottom w:val="single" w:sz="4" w:space="0" w:color="auto"/>
            </w:tcBorders>
          </w:tcPr>
          <w:p w:rsidR="00000000" w:rsidRDefault="00000000">
            <w:pPr>
              <w:pStyle w:val="a6"/>
            </w:pPr>
            <w:r>
              <w:t>7</w:t>
            </w:r>
          </w:p>
        </w:tc>
        <w:tc>
          <w:tcPr>
            <w:tcW w:w="3402" w:type="dxa"/>
            <w:tcBorders>
              <w:bottom w:val="single" w:sz="4" w:space="0" w:color="auto"/>
            </w:tcBorders>
          </w:tcPr>
          <w:p w:rsidR="00000000" w:rsidRDefault="00000000">
            <w:pPr>
              <w:pStyle w:val="a6"/>
            </w:pPr>
            <w:r>
              <w:t>28,8</w:t>
            </w:r>
          </w:p>
        </w:tc>
      </w:tr>
    </w:tbl>
    <w:p w:rsidR="00000000" w:rsidRDefault="00000000">
      <w:pPr>
        <w:pStyle w:val="BodyText"/>
        <w:spacing w:after="120"/>
      </w:pPr>
    </w:p>
    <w:p w:rsidR="00000000" w:rsidRDefault="00000000">
      <w:pPr>
        <w:pStyle w:val="BodyText"/>
      </w:pPr>
      <w:r>
        <w:t>7.</w:t>
      </w:r>
      <w:r>
        <w:tab/>
      </w:r>
      <w:r>
        <w:rPr>
          <w:b/>
          <w:i/>
        </w:rPr>
        <w:t>Греческий парламент</w:t>
      </w:r>
    </w:p>
    <w:p w:rsidR="00000000" w:rsidRDefault="00000000">
      <w:pPr>
        <w:pStyle w:val="BodyText"/>
      </w:pPr>
      <w:r>
        <w:t>Процентная доля женщин, 1996, 2000, 2004 годы</w:t>
      </w:r>
    </w:p>
    <w:tbl>
      <w:tblPr>
        <w:tblW w:w="0" w:type="auto"/>
        <w:tblInd w:w="3" w:type="dxa"/>
        <w:tblLayout w:type="fixed"/>
        <w:tblCellMar>
          <w:left w:w="56" w:type="dxa"/>
          <w:right w:w="56" w:type="dxa"/>
        </w:tblCellMar>
        <w:tblLook w:val="0000" w:firstRow="0" w:lastRow="0" w:firstColumn="0" w:lastColumn="0" w:noHBand="0" w:noVBand="0"/>
      </w:tblPr>
      <w:tblGrid>
        <w:gridCol w:w="851"/>
        <w:gridCol w:w="3402"/>
        <w:gridCol w:w="3402"/>
      </w:tblGrid>
      <w:tr w:rsidR="00000000">
        <w:tblPrEx>
          <w:tblCellMar>
            <w:top w:w="0" w:type="dxa"/>
            <w:bottom w:w="0" w:type="dxa"/>
          </w:tblCellMar>
        </w:tblPrEx>
        <w:tc>
          <w:tcPr>
            <w:tcW w:w="851" w:type="dxa"/>
            <w:tcBorders>
              <w:top w:val="single" w:sz="4" w:space="0" w:color="auto"/>
              <w:bottom w:val="single" w:sz="4" w:space="0" w:color="auto"/>
            </w:tcBorders>
          </w:tcPr>
          <w:p w:rsidR="00000000" w:rsidRDefault="00000000">
            <w:pPr>
              <w:pStyle w:val="a6"/>
              <w:rPr>
                <w:b/>
              </w:rPr>
            </w:pPr>
            <w:r>
              <w:rPr>
                <w:b/>
              </w:rPr>
              <w:t>Год</w:t>
            </w:r>
          </w:p>
        </w:tc>
        <w:tc>
          <w:tcPr>
            <w:tcW w:w="3402" w:type="dxa"/>
            <w:tcBorders>
              <w:top w:val="single" w:sz="4" w:space="0" w:color="auto"/>
              <w:bottom w:val="single" w:sz="4" w:space="0" w:color="auto"/>
            </w:tcBorders>
          </w:tcPr>
          <w:p w:rsidR="00000000" w:rsidRDefault="00000000">
            <w:pPr>
              <w:pStyle w:val="a6"/>
              <w:rPr>
                <w:b/>
              </w:rPr>
            </w:pPr>
            <w:r>
              <w:rPr>
                <w:b/>
              </w:rPr>
              <w:t>Число избранных женщин</w:t>
            </w:r>
          </w:p>
        </w:tc>
        <w:tc>
          <w:tcPr>
            <w:tcW w:w="3402" w:type="dxa"/>
            <w:tcBorders>
              <w:top w:val="single" w:sz="4" w:space="0" w:color="auto"/>
              <w:bottom w:val="single" w:sz="4" w:space="0" w:color="auto"/>
            </w:tcBorders>
          </w:tcPr>
          <w:p w:rsidR="00000000" w:rsidRDefault="00000000">
            <w:pPr>
              <w:pStyle w:val="a6"/>
              <w:rPr>
                <w:b/>
              </w:rPr>
            </w:pPr>
            <w:r>
              <w:rPr>
                <w:b/>
              </w:rPr>
              <w:t>Доля женщин (в процентах)</w:t>
            </w:r>
          </w:p>
        </w:tc>
      </w:tr>
      <w:tr w:rsidR="00000000">
        <w:tblPrEx>
          <w:tblCellMar>
            <w:top w:w="0" w:type="dxa"/>
            <w:bottom w:w="0" w:type="dxa"/>
          </w:tblCellMar>
        </w:tblPrEx>
        <w:tc>
          <w:tcPr>
            <w:tcW w:w="851" w:type="dxa"/>
            <w:tcBorders>
              <w:top w:val="single" w:sz="4" w:space="0" w:color="auto"/>
            </w:tcBorders>
          </w:tcPr>
          <w:p w:rsidR="00000000" w:rsidRDefault="00000000">
            <w:pPr>
              <w:pStyle w:val="a7"/>
            </w:pPr>
            <w:r>
              <w:t>1996</w:t>
            </w:r>
          </w:p>
        </w:tc>
        <w:tc>
          <w:tcPr>
            <w:tcW w:w="3402" w:type="dxa"/>
            <w:tcBorders>
              <w:top w:val="single" w:sz="4" w:space="0" w:color="auto"/>
            </w:tcBorders>
          </w:tcPr>
          <w:p w:rsidR="00000000" w:rsidRDefault="00000000">
            <w:pPr>
              <w:pStyle w:val="a6"/>
            </w:pPr>
            <w:r>
              <w:t>19</w:t>
            </w:r>
          </w:p>
        </w:tc>
        <w:tc>
          <w:tcPr>
            <w:tcW w:w="3402" w:type="dxa"/>
            <w:tcBorders>
              <w:top w:val="single" w:sz="4" w:space="0" w:color="auto"/>
            </w:tcBorders>
          </w:tcPr>
          <w:p w:rsidR="00000000" w:rsidRDefault="00000000">
            <w:pPr>
              <w:pStyle w:val="a6"/>
              <w:tabs>
                <w:tab w:val="clear" w:pos="567"/>
                <w:tab w:val="clear" w:pos="1021"/>
                <w:tab w:val="decimal" w:pos="1644"/>
              </w:tabs>
              <w:jc w:val="left"/>
            </w:pPr>
            <w:r>
              <w:t>6,3</w:t>
            </w:r>
          </w:p>
        </w:tc>
      </w:tr>
      <w:tr w:rsidR="00000000">
        <w:tblPrEx>
          <w:tblCellMar>
            <w:top w:w="0" w:type="dxa"/>
            <w:bottom w:w="0" w:type="dxa"/>
          </w:tblCellMar>
        </w:tblPrEx>
        <w:tc>
          <w:tcPr>
            <w:tcW w:w="851" w:type="dxa"/>
          </w:tcPr>
          <w:p w:rsidR="00000000" w:rsidRDefault="00000000">
            <w:pPr>
              <w:pStyle w:val="a7"/>
            </w:pPr>
            <w:r>
              <w:t>2000</w:t>
            </w:r>
          </w:p>
        </w:tc>
        <w:tc>
          <w:tcPr>
            <w:tcW w:w="3402" w:type="dxa"/>
          </w:tcPr>
          <w:p w:rsidR="00000000" w:rsidRDefault="00000000">
            <w:pPr>
              <w:pStyle w:val="a6"/>
            </w:pPr>
            <w:r>
              <w:t>31</w:t>
            </w:r>
          </w:p>
        </w:tc>
        <w:tc>
          <w:tcPr>
            <w:tcW w:w="3402" w:type="dxa"/>
          </w:tcPr>
          <w:p w:rsidR="00000000" w:rsidRDefault="00000000">
            <w:pPr>
              <w:pStyle w:val="a6"/>
              <w:tabs>
                <w:tab w:val="clear" w:pos="567"/>
                <w:tab w:val="clear" w:pos="1021"/>
                <w:tab w:val="decimal" w:pos="1644"/>
              </w:tabs>
              <w:jc w:val="left"/>
            </w:pPr>
            <w:r>
              <w:t>10,3</w:t>
            </w:r>
          </w:p>
        </w:tc>
      </w:tr>
      <w:tr w:rsidR="00000000">
        <w:tblPrEx>
          <w:tblCellMar>
            <w:top w:w="0" w:type="dxa"/>
            <w:bottom w:w="0" w:type="dxa"/>
          </w:tblCellMar>
        </w:tblPrEx>
        <w:tc>
          <w:tcPr>
            <w:tcW w:w="851" w:type="dxa"/>
            <w:tcBorders>
              <w:bottom w:val="single" w:sz="4" w:space="0" w:color="auto"/>
            </w:tcBorders>
          </w:tcPr>
          <w:p w:rsidR="00000000" w:rsidRDefault="00000000">
            <w:pPr>
              <w:pStyle w:val="a7"/>
            </w:pPr>
            <w:r>
              <w:t>2004</w:t>
            </w:r>
          </w:p>
        </w:tc>
        <w:tc>
          <w:tcPr>
            <w:tcW w:w="3402" w:type="dxa"/>
            <w:tcBorders>
              <w:bottom w:val="single" w:sz="4" w:space="0" w:color="auto"/>
            </w:tcBorders>
          </w:tcPr>
          <w:p w:rsidR="00000000" w:rsidRDefault="00000000">
            <w:pPr>
              <w:pStyle w:val="a6"/>
            </w:pPr>
            <w:r>
              <w:t>39</w:t>
            </w:r>
          </w:p>
        </w:tc>
        <w:tc>
          <w:tcPr>
            <w:tcW w:w="3402" w:type="dxa"/>
            <w:tcBorders>
              <w:bottom w:val="single" w:sz="4" w:space="0" w:color="auto"/>
            </w:tcBorders>
          </w:tcPr>
          <w:p w:rsidR="00000000" w:rsidRDefault="00000000">
            <w:pPr>
              <w:pStyle w:val="a6"/>
              <w:tabs>
                <w:tab w:val="clear" w:pos="567"/>
                <w:tab w:val="clear" w:pos="1021"/>
                <w:tab w:val="decimal" w:pos="1644"/>
              </w:tabs>
              <w:jc w:val="left"/>
            </w:pPr>
            <w:r>
              <w:t>13,0</w:t>
            </w:r>
          </w:p>
        </w:tc>
      </w:tr>
    </w:tbl>
    <w:p w:rsidR="00000000" w:rsidRDefault="00000000">
      <w:pPr>
        <w:pStyle w:val="BodyText"/>
      </w:pPr>
      <w:r>
        <w:t>8.</w:t>
      </w:r>
      <w:r>
        <w:tab/>
      </w:r>
      <w:r>
        <w:rPr>
          <w:b/>
          <w:i/>
        </w:rPr>
        <w:t>Участие женщин в правительстве</w:t>
      </w:r>
    </w:p>
    <w:p w:rsidR="00000000" w:rsidRDefault="00000000">
      <w:pPr>
        <w:pStyle w:val="BodyText"/>
      </w:pPr>
      <w:r>
        <w:t>Процентная доля женщин – должностных лиц, 1996, 2000, 2004 годы</w:t>
      </w:r>
    </w:p>
    <w:tbl>
      <w:tblPr>
        <w:tblW w:w="0" w:type="auto"/>
        <w:tblInd w:w="2" w:type="dxa"/>
        <w:tblLayout w:type="fixed"/>
        <w:tblLook w:val="0000" w:firstRow="0" w:lastRow="0" w:firstColumn="0" w:lastColumn="0" w:noHBand="0" w:noVBand="0"/>
      </w:tblPr>
      <w:tblGrid>
        <w:gridCol w:w="851"/>
        <w:gridCol w:w="5670"/>
      </w:tblGrid>
      <w:tr w:rsidR="00000000">
        <w:tblPrEx>
          <w:tblCellMar>
            <w:top w:w="0" w:type="dxa"/>
            <w:bottom w:w="0" w:type="dxa"/>
          </w:tblCellMar>
        </w:tblPrEx>
        <w:tc>
          <w:tcPr>
            <w:tcW w:w="851" w:type="dxa"/>
            <w:tcBorders>
              <w:top w:val="single" w:sz="4" w:space="0" w:color="auto"/>
              <w:bottom w:val="single" w:sz="4" w:space="0" w:color="auto"/>
            </w:tcBorders>
          </w:tcPr>
          <w:p w:rsidR="00000000" w:rsidRDefault="00000000">
            <w:pPr>
              <w:pStyle w:val="a6"/>
              <w:rPr>
                <w:b/>
              </w:rPr>
            </w:pPr>
            <w:r>
              <w:rPr>
                <w:b/>
              </w:rPr>
              <w:t>Год</w:t>
            </w:r>
          </w:p>
        </w:tc>
        <w:tc>
          <w:tcPr>
            <w:tcW w:w="5670" w:type="dxa"/>
            <w:tcBorders>
              <w:top w:val="single" w:sz="4" w:space="0" w:color="auto"/>
              <w:bottom w:val="single" w:sz="4" w:space="0" w:color="auto"/>
            </w:tcBorders>
          </w:tcPr>
          <w:p w:rsidR="00000000" w:rsidRDefault="00000000">
            <w:pPr>
              <w:pStyle w:val="a6"/>
              <w:rPr>
                <w:b/>
              </w:rPr>
            </w:pPr>
            <w:r>
              <w:rPr>
                <w:b/>
              </w:rPr>
              <w:t>Доля женщин (в процентах)</w:t>
            </w:r>
          </w:p>
        </w:tc>
      </w:tr>
      <w:tr w:rsidR="00000000">
        <w:tblPrEx>
          <w:tblCellMar>
            <w:top w:w="0" w:type="dxa"/>
            <w:bottom w:w="0" w:type="dxa"/>
          </w:tblCellMar>
        </w:tblPrEx>
        <w:tc>
          <w:tcPr>
            <w:tcW w:w="851" w:type="dxa"/>
            <w:tcBorders>
              <w:top w:val="single" w:sz="4" w:space="0" w:color="auto"/>
            </w:tcBorders>
          </w:tcPr>
          <w:p w:rsidR="00000000" w:rsidRDefault="00000000">
            <w:pPr>
              <w:pStyle w:val="a7"/>
            </w:pPr>
            <w:r>
              <w:t>1996</w:t>
            </w:r>
          </w:p>
        </w:tc>
        <w:tc>
          <w:tcPr>
            <w:tcW w:w="5670" w:type="dxa"/>
            <w:tcBorders>
              <w:top w:val="single" w:sz="4" w:space="0" w:color="auto"/>
            </w:tcBorders>
          </w:tcPr>
          <w:p w:rsidR="00000000" w:rsidRDefault="00000000">
            <w:pPr>
              <w:pStyle w:val="a6"/>
              <w:tabs>
                <w:tab w:val="clear" w:pos="567"/>
                <w:tab w:val="clear" w:pos="1021"/>
              </w:tabs>
            </w:pPr>
            <w:r>
              <w:t>7</w:t>
            </w:r>
          </w:p>
        </w:tc>
      </w:tr>
      <w:tr w:rsidR="00000000">
        <w:tblPrEx>
          <w:tblCellMar>
            <w:top w:w="0" w:type="dxa"/>
            <w:bottom w:w="0" w:type="dxa"/>
          </w:tblCellMar>
        </w:tblPrEx>
        <w:tc>
          <w:tcPr>
            <w:tcW w:w="851" w:type="dxa"/>
          </w:tcPr>
          <w:p w:rsidR="00000000" w:rsidRDefault="00000000">
            <w:pPr>
              <w:pStyle w:val="a7"/>
            </w:pPr>
            <w:r>
              <w:t>2000</w:t>
            </w:r>
          </w:p>
        </w:tc>
        <w:tc>
          <w:tcPr>
            <w:tcW w:w="5670" w:type="dxa"/>
          </w:tcPr>
          <w:p w:rsidR="00000000" w:rsidRDefault="00000000">
            <w:pPr>
              <w:pStyle w:val="a6"/>
              <w:tabs>
                <w:tab w:val="clear" w:pos="567"/>
                <w:tab w:val="clear" w:pos="1021"/>
              </w:tabs>
            </w:pPr>
            <w:r>
              <w:t>12,5</w:t>
            </w:r>
          </w:p>
        </w:tc>
      </w:tr>
      <w:tr w:rsidR="00000000">
        <w:tblPrEx>
          <w:tblCellMar>
            <w:top w:w="0" w:type="dxa"/>
            <w:bottom w:w="0" w:type="dxa"/>
          </w:tblCellMar>
        </w:tblPrEx>
        <w:tc>
          <w:tcPr>
            <w:tcW w:w="851" w:type="dxa"/>
            <w:tcBorders>
              <w:bottom w:val="single" w:sz="4" w:space="0" w:color="auto"/>
            </w:tcBorders>
          </w:tcPr>
          <w:p w:rsidR="00000000" w:rsidRDefault="00000000">
            <w:pPr>
              <w:pStyle w:val="a7"/>
            </w:pPr>
            <w:r>
              <w:t>2004</w:t>
            </w:r>
          </w:p>
        </w:tc>
        <w:tc>
          <w:tcPr>
            <w:tcW w:w="5670" w:type="dxa"/>
            <w:tcBorders>
              <w:bottom w:val="single" w:sz="4" w:space="0" w:color="auto"/>
            </w:tcBorders>
          </w:tcPr>
          <w:p w:rsidR="00000000" w:rsidRDefault="00000000">
            <w:pPr>
              <w:pStyle w:val="a6"/>
              <w:tabs>
                <w:tab w:val="clear" w:pos="567"/>
                <w:tab w:val="clear" w:pos="1021"/>
              </w:tabs>
            </w:pPr>
            <w:r>
              <w:t>4,25</w:t>
            </w:r>
          </w:p>
        </w:tc>
      </w:tr>
    </w:tbl>
    <w:p w:rsidR="00000000" w:rsidRDefault="00000000">
      <w:pPr>
        <w:pStyle w:val="BodyText"/>
      </w:pPr>
    </w:p>
    <w:p w:rsidR="00000000" w:rsidRDefault="00000000">
      <w:pPr>
        <w:pStyle w:val="BodyText"/>
        <w:rPr>
          <w:i/>
        </w:rPr>
      </w:pPr>
      <w:r>
        <w:t>9</w:t>
      </w:r>
      <w:r>
        <w:rPr>
          <w:i/>
        </w:rPr>
        <w:t>.</w:t>
      </w:r>
      <w:r>
        <w:rPr>
          <w:i/>
        </w:rPr>
        <w:tab/>
      </w:r>
      <w:r>
        <w:rPr>
          <w:b/>
          <w:i/>
        </w:rPr>
        <w:t>Участие женщин в местных органах власти (префектуры и муниципалитеты) (в процентах)</w:t>
      </w:r>
    </w:p>
    <w:tbl>
      <w:tblPr>
        <w:tblW w:w="0" w:type="auto"/>
        <w:tblInd w:w="2" w:type="dxa"/>
        <w:tblLayout w:type="fixed"/>
        <w:tblCellMar>
          <w:left w:w="56" w:type="dxa"/>
          <w:right w:w="56" w:type="dxa"/>
        </w:tblCellMar>
        <w:tblLook w:val="0000" w:firstRow="0" w:lastRow="0" w:firstColumn="0" w:lastColumn="0" w:noHBand="0" w:noVBand="0"/>
      </w:tblPr>
      <w:tblGrid>
        <w:gridCol w:w="4649"/>
        <w:gridCol w:w="2381"/>
        <w:gridCol w:w="2381"/>
      </w:tblGrid>
      <w:tr w:rsidR="00000000">
        <w:tblPrEx>
          <w:tblCellMar>
            <w:top w:w="0" w:type="dxa"/>
            <w:bottom w:w="0" w:type="dxa"/>
          </w:tblCellMar>
        </w:tblPrEx>
        <w:tc>
          <w:tcPr>
            <w:tcW w:w="4649" w:type="dxa"/>
            <w:tcBorders>
              <w:top w:val="single" w:sz="4" w:space="0" w:color="auto"/>
              <w:bottom w:val="single" w:sz="4" w:space="0" w:color="auto"/>
            </w:tcBorders>
          </w:tcPr>
          <w:p w:rsidR="00000000" w:rsidRDefault="00000000">
            <w:pPr>
              <w:pStyle w:val="a7"/>
              <w:rPr>
                <w:b/>
              </w:rPr>
            </w:pPr>
          </w:p>
        </w:tc>
        <w:tc>
          <w:tcPr>
            <w:tcW w:w="2381" w:type="dxa"/>
            <w:tcBorders>
              <w:top w:val="single" w:sz="4" w:space="0" w:color="auto"/>
              <w:bottom w:val="single" w:sz="4" w:space="0" w:color="auto"/>
            </w:tcBorders>
          </w:tcPr>
          <w:p w:rsidR="00000000" w:rsidRDefault="00000000">
            <w:pPr>
              <w:pStyle w:val="a6"/>
              <w:rPr>
                <w:b/>
              </w:rPr>
            </w:pPr>
            <w:r>
              <w:rPr>
                <w:b/>
              </w:rPr>
              <w:t>1998 год</w:t>
            </w:r>
          </w:p>
        </w:tc>
        <w:tc>
          <w:tcPr>
            <w:tcW w:w="2381" w:type="dxa"/>
            <w:tcBorders>
              <w:top w:val="single" w:sz="4" w:space="0" w:color="auto"/>
              <w:bottom w:val="single" w:sz="4" w:space="0" w:color="auto"/>
            </w:tcBorders>
          </w:tcPr>
          <w:p w:rsidR="00000000" w:rsidRDefault="00000000">
            <w:pPr>
              <w:pStyle w:val="a6"/>
              <w:rPr>
                <w:b/>
              </w:rPr>
            </w:pPr>
            <w:r>
              <w:rPr>
                <w:b/>
              </w:rPr>
              <w:t>2002 год</w:t>
            </w:r>
          </w:p>
        </w:tc>
      </w:tr>
      <w:tr w:rsidR="00000000">
        <w:tblPrEx>
          <w:tblCellMar>
            <w:top w:w="0" w:type="dxa"/>
            <w:bottom w:w="0" w:type="dxa"/>
          </w:tblCellMar>
        </w:tblPrEx>
        <w:tc>
          <w:tcPr>
            <w:tcW w:w="4649" w:type="dxa"/>
            <w:tcBorders>
              <w:top w:val="single" w:sz="4" w:space="0" w:color="auto"/>
            </w:tcBorders>
          </w:tcPr>
          <w:p w:rsidR="00000000" w:rsidRDefault="00000000">
            <w:pPr>
              <w:pStyle w:val="a7"/>
            </w:pPr>
            <w:r>
              <w:t>Женщины-муниципальные советники</w:t>
            </w:r>
          </w:p>
        </w:tc>
        <w:tc>
          <w:tcPr>
            <w:tcW w:w="2381" w:type="dxa"/>
            <w:tcBorders>
              <w:top w:val="single" w:sz="4" w:space="0" w:color="auto"/>
            </w:tcBorders>
          </w:tcPr>
          <w:p w:rsidR="00000000" w:rsidRDefault="00000000">
            <w:pPr>
              <w:pStyle w:val="a6"/>
            </w:pPr>
            <w:r>
              <w:t>7,11</w:t>
            </w:r>
          </w:p>
        </w:tc>
        <w:tc>
          <w:tcPr>
            <w:tcW w:w="2381" w:type="dxa"/>
            <w:tcBorders>
              <w:top w:val="single" w:sz="4" w:space="0" w:color="auto"/>
            </w:tcBorders>
          </w:tcPr>
          <w:p w:rsidR="00000000" w:rsidRDefault="00000000">
            <w:pPr>
              <w:pStyle w:val="a6"/>
            </w:pPr>
            <w:r>
              <w:t>12</w:t>
            </w:r>
          </w:p>
        </w:tc>
      </w:tr>
      <w:tr w:rsidR="00000000">
        <w:tblPrEx>
          <w:tblCellMar>
            <w:top w:w="0" w:type="dxa"/>
            <w:bottom w:w="0" w:type="dxa"/>
          </w:tblCellMar>
        </w:tblPrEx>
        <w:tc>
          <w:tcPr>
            <w:tcW w:w="4649" w:type="dxa"/>
          </w:tcPr>
          <w:p w:rsidR="00000000" w:rsidRDefault="00000000">
            <w:pPr>
              <w:pStyle w:val="a7"/>
            </w:pPr>
            <w:r>
              <w:t>Женщины-советники в префектурах</w:t>
            </w:r>
          </w:p>
        </w:tc>
        <w:tc>
          <w:tcPr>
            <w:tcW w:w="2381" w:type="dxa"/>
          </w:tcPr>
          <w:p w:rsidR="00000000" w:rsidRDefault="00000000">
            <w:pPr>
              <w:pStyle w:val="a6"/>
            </w:pPr>
            <w:r>
              <w:t>10,8</w:t>
            </w:r>
          </w:p>
        </w:tc>
        <w:tc>
          <w:tcPr>
            <w:tcW w:w="2381" w:type="dxa"/>
          </w:tcPr>
          <w:p w:rsidR="00000000" w:rsidRDefault="00000000">
            <w:pPr>
              <w:pStyle w:val="a6"/>
            </w:pPr>
            <w:r>
              <w:t>18</w:t>
            </w:r>
          </w:p>
        </w:tc>
      </w:tr>
      <w:tr w:rsidR="00000000">
        <w:tblPrEx>
          <w:tblCellMar>
            <w:top w:w="0" w:type="dxa"/>
            <w:bottom w:w="0" w:type="dxa"/>
          </w:tblCellMar>
        </w:tblPrEx>
        <w:tc>
          <w:tcPr>
            <w:tcW w:w="4649" w:type="dxa"/>
          </w:tcPr>
          <w:p w:rsidR="00000000" w:rsidRDefault="00000000">
            <w:pPr>
              <w:pStyle w:val="a7"/>
            </w:pPr>
            <w:r>
              <w:t>Женщины-мэры</w:t>
            </w:r>
          </w:p>
        </w:tc>
        <w:tc>
          <w:tcPr>
            <w:tcW w:w="2381" w:type="dxa"/>
          </w:tcPr>
          <w:p w:rsidR="00000000" w:rsidRDefault="00000000">
            <w:pPr>
              <w:pStyle w:val="a6"/>
            </w:pPr>
            <w:r>
              <w:t>1,45</w:t>
            </w:r>
          </w:p>
        </w:tc>
        <w:tc>
          <w:tcPr>
            <w:tcW w:w="2381" w:type="dxa"/>
          </w:tcPr>
          <w:p w:rsidR="00000000" w:rsidRDefault="00000000">
            <w:pPr>
              <w:pStyle w:val="a6"/>
            </w:pPr>
            <w:r>
              <w:t>2,1</w:t>
            </w:r>
          </w:p>
        </w:tc>
      </w:tr>
      <w:tr w:rsidR="00000000">
        <w:tblPrEx>
          <w:tblCellMar>
            <w:top w:w="0" w:type="dxa"/>
            <w:bottom w:w="0" w:type="dxa"/>
          </w:tblCellMar>
        </w:tblPrEx>
        <w:tc>
          <w:tcPr>
            <w:tcW w:w="4649" w:type="dxa"/>
            <w:tcBorders>
              <w:bottom w:val="single" w:sz="4" w:space="0" w:color="auto"/>
            </w:tcBorders>
          </w:tcPr>
          <w:p w:rsidR="00000000" w:rsidRDefault="00000000">
            <w:pPr>
              <w:pStyle w:val="a7"/>
            </w:pPr>
            <w:r>
              <w:t>Женщины-префекты (суперпрефекты)</w:t>
            </w:r>
          </w:p>
        </w:tc>
        <w:tc>
          <w:tcPr>
            <w:tcW w:w="2381" w:type="dxa"/>
            <w:tcBorders>
              <w:bottom w:val="single" w:sz="4" w:space="0" w:color="auto"/>
            </w:tcBorders>
          </w:tcPr>
          <w:p w:rsidR="00000000" w:rsidRDefault="00000000">
            <w:pPr>
              <w:pStyle w:val="a6"/>
            </w:pPr>
            <w:r>
              <w:t>3,5</w:t>
            </w:r>
          </w:p>
        </w:tc>
        <w:tc>
          <w:tcPr>
            <w:tcW w:w="2381" w:type="dxa"/>
            <w:tcBorders>
              <w:bottom w:val="single" w:sz="4" w:space="0" w:color="auto"/>
            </w:tcBorders>
          </w:tcPr>
          <w:p w:rsidR="00000000" w:rsidRDefault="00000000">
            <w:pPr>
              <w:pStyle w:val="a6"/>
            </w:pPr>
            <w:r>
              <w:t>1,7</w:t>
            </w:r>
          </w:p>
        </w:tc>
      </w:tr>
    </w:tbl>
    <w:p w:rsidR="00000000" w:rsidRDefault="00000000">
      <w:pPr>
        <w:pStyle w:val="BodyText"/>
      </w:pPr>
    </w:p>
    <w:p w:rsidR="00000000" w:rsidRDefault="00000000">
      <w:pPr>
        <w:pStyle w:val="BodyText"/>
        <w:rPr>
          <w:i/>
        </w:rPr>
      </w:pPr>
      <w:r>
        <w:t>10</w:t>
      </w:r>
      <w:r>
        <w:rPr>
          <w:i/>
        </w:rPr>
        <w:t>.</w:t>
      </w:r>
      <w:r>
        <w:rPr>
          <w:i/>
        </w:rPr>
        <w:tab/>
      </w:r>
      <w:r>
        <w:rPr>
          <w:b/>
          <w:i/>
        </w:rPr>
        <w:t>Участие женщин в национальном парламенте</w:t>
      </w:r>
    </w:p>
    <w:tbl>
      <w:tblPr>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567"/>
        <w:gridCol w:w="737"/>
        <w:gridCol w:w="737"/>
        <w:gridCol w:w="737"/>
        <w:gridCol w:w="737"/>
        <w:gridCol w:w="737"/>
        <w:gridCol w:w="737"/>
        <w:gridCol w:w="737"/>
        <w:gridCol w:w="737"/>
        <w:gridCol w:w="737"/>
        <w:gridCol w:w="737"/>
        <w:gridCol w:w="737"/>
        <w:gridCol w:w="737"/>
      </w:tblGrid>
      <w:tr w:rsidR="00000000">
        <w:tblPrEx>
          <w:tblCellMar>
            <w:top w:w="0" w:type="dxa"/>
            <w:bottom w:w="0" w:type="dxa"/>
          </w:tblCellMar>
        </w:tblPrEx>
        <w:trPr>
          <w:cantSplit/>
        </w:trPr>
        <w:tc>
          <w:tcPr>
            <w:tcW w:w="567" w:type="dxa"/>
            <w:vMerge w:val="restart"/>
            <w:tcBorders>
              <w:top w:val="single" w:sz="4" w:space="0" w:color="auto"/>
              <w:left w:val="nil"/>
              <w:right w:val="nil"/>
            </w:tcBorders>
          </w:tcPr>
          <w:p w:rsidR="00000000" w:rsidRDefault="00000000">
            <w:pPr>
              <w:pStyle w:val="a6"/>
              <w:rPr>
                <w:b/>
                <w:sz w:val="18"/>
              </w:rPr>
            </w:pPr>
            <w:r>
              <w:rPr>
                <w:b/>
                <w:sz w:val="18"/>
              </w:rPr>
              <w:t>Год</w:t>
            </w:r>
          </w:p>
        </w:tc>
        <w:tc>
          <w:tcPr>
            <w:tcW w:w="2211" w:type="dxa"/>
            <w:gridSpan w:val="3"/>
            <w:tcBorders>
              <w:top w:val="single" w:sz="4" w:space="0" w:color="auto"/>
              <w:left w:val="nil"/>
              <w:bottom w:val="single" w:sz="4" w:space="0" w:color="auto"/>
              <w:right w:val="nil"/>
            </w:tcBorders>
          </w:tcPr>
          <w:p w:rsidR="00000000" w:rsidRDefault="00000000">
            <w:pPr>
              <w:pStyle w:val="a6"/>
              <w:rPr>
                <w:b/>
                <w:sz w:val="18"/>
              </w:rPr>
            </w:pPr>
            <w:r>
              <w:rPr>
                <w:b/>
                <w:sz w:val="18"/>
              </w:rPr>
              <w:t>Н.Д.</w:t>
            </w:r>
          </w:p>
        </w:tc>
        <w:tc>
          <w:tcPr>
            <w:tcW w:w="2211" w:type="dxa"/>
            <w:gridSpan w:val="3"/>
            <w:tcBorders>
              <w:top w:val="single" w:sz="4" w:space="0" w:color="auto"/>
              <w:left w:val="nil"/>
              <w:bottom w:val="single" w:sz="4" w:space="0" w:color="auto"/>
              <w:right w:val="nil"/>
            </w:tcBorders>
          </w:tcPr>
          <w:p w:rsidR="00000000" w:rsidRDefault="00000000">
            <w:pPr>
              <w:pStyle w:val="a6"/>
              <w:rPr>
                <w:b/>
                <w:sz w:val="18"/>
              </w:rPr>
            </w:pPr>
            <w:r>
              <w:rPr>
                <w:b/>
                <w:sz w:val="18"/>
              </w:rPr>
              <w:t>ПАСОК</w:t>
            </w:r>
          </w:p>
        </w:tc>
        <w:tc>
          <w:tcPr>
            <w:tcW w:w="2211" w:type="dxa"/>
            <w:gridSpan w:val="3"/>
            <w:tcBorders>
              <w:top w:val="single" w:sz="4" w:space="0" w:color="auto"/>
              <w:left w:val="nil"/>
              <w:bottom w:val="single" w:sz="4" w:space="0" w:color="auto"/>
              <w:right w:val="nil"/>
            </w:tcBorders>
          </w:tcPr>
          <w:p w:rsidR="00000000" w:rsidRDefault="00000000">
            <w:pPr>
              <w:pStyle w:val="a6"/>
              <w:rPr>
                <w:b/>
                <w:sz w:val="18"/>
              </w:rPr>
            </w:pPr>
            <w:r>
              <w:rPr>
                <w:b/>
                <w:sz w:val="18"/>
              </w:rPr>
              <w:t>ККЕ</w:t>
            </w:r>
          </w:p>
        </w:tc>
        <w:tc>
          <w:tcPr>
            <w:tcW w:w="2211" w:type="dxa"/>
            <w:gridSpan w:val="3"/>
            <w:tcBorders>
              <w:top w:val="single" w:sz="4" w:space="0" w:color="auto"/>
              <w:left w:val="nil"/>
              <w:bottom w:val="single" w:sz="4" w:space="0" w:color="auto"/>
              <w:right w:val="nil"/>
            </w:tcBorders>
          </w:tcPr>
          <w:p w:rsidR="00000000" w:rsidRDefault="00000000">
            <w:pPr>
              <w:pStyle w:val="a6"/>
              <w:rPr>
                <w:b/>
                <w:caps/>
                <w:sz w:val="18"/>
              </w:rPr>
            </w:pPr>
            <w:r>
              <w:rPr>
                <w:b/>
                <w:caps/>
                <w:sz w:val="18"/>
              </w:rPr>
              <w:t>Синасписмос</w:t>
            </w:r>
          </w:p>
        </w:tc>
      </w:tr>
      <w:tr w:rsidR="00000000">
        <w:tblPrEx>
          <w:tblCellMar>
            <w:top w:w="0" w:type="dxa"/>
            <w:bottom w:w="0" w:type="dxa"/>
          </w:tblCellMar>
        </w:tblPrEx>
        <w:trPr>
          <w:cantSplit/>
        </w:trPr>
        <w:tc>
          <w:tcPr>
            <w:tcW w:w="567" w:type="dxa"/>
            <w:vMerge/>
            <w:tcBorders>
              <w:left w:val="nil"/>
              <w:bottom w:val="single" w:sz="4" w:space="0" w:color="auto"/>
              <w:right w:val="nil"/>
            </w:tcBorders>
          </w:tcPr>
          <w:p w:rsidR="00000000" w:rsidRDefault="00000000">
            <w:pPr>
              <w:pStyle w:val="a6"/>
              <w:rPr>
                <w:b/>
                <w:caps/>
                <w:sz w:val="18"/>
              </w:rPr>
            </w:pPr>
          </w:p>
        </w:tc>
        <w:tc>
          <w:tcPr>
            <w:tcW w:w="737" w:type="dxa"/>
            <w:tcBorders>
              <w:top w:val="single" w:sz="4" w:space="0" w:color="auto"/>
              <w:left w:val="nil"/>
              <w:bottom w:val="single" w:sz="4" w:space="0" w:color="auto"/>
              <w:right w:val="nil"/>
            </w:tcBorders>
          </w:tcPr>
          <w:p w:rsidR="00000000" w:rsidRDefault="00000000">
            <w:pPr>
              <w:pStyle w:val="a6"/>
              <w:rPr>
                <w:b/>
                <w:caps/>
                <w:sz w:val="18"/>
              </w:rPr>
            </w:pPr>
            <w:r>
              <w:rPr>
                <w:b/>
                <w:sz w:val="18"/>
              </w:rPr>
              <w:t>всего</w:t>
            </w:r>
          </w:p>
        </w:tc>
        <w:tc>
          <w:tcPr>
            <w:tcW w:w="737" w:type="dxa"/>
            <w:tcBorders>
              <w:top w:val="single" w:sz="4" w:space="0" w:color="auto"/>
              <w:left w:val="nil"/>
              <w:bottom w:val="single" w:sz="4" w:space="0" w:color="auto"/>
              <w:right w:val="nil"/>
            </w:tcBorders>
          </w:tcPr>
          <w:p w:rsidR="00000000" w:rsidRDefault="00000000">
            <w:pPr>
              <w:pStyle w:val="a6"/>
              <w:rPr>
                <w:b/>
                <w:caps/>
                <w:sz w:val="18"/>
              </w:rPr>
            </w:pPr>
            <w:r>
              <w:rPr>
                <w:b/>
                <w:sz w:val="18"/>
              </w:rPr>
              <w:t>жен</w:t>
            </w:r>
            <w:r>
              <w:rPr>
                <w:b/>
                <w:sz w:val="18"/>
              </w:rPr>
              <w:softHyphen/>
              <w:t>щины</w:t>
            </w:r>
          </w:p>
        </w:tc>
        <w:tc>
          <w:tcPr>
            <w:tcW w:w="737" w:type="dxa"/>
            <w:tcBorders>
              <w:top w:val="single" w:sz="4" w:space="0" w:color="auto"/>
              <w:left w:val="nil"/>
              <w:bottom w:val="single" w:sz="4" w:space="0" w:color="auto"/>
              <w:right w:val="nil"/>
            </w:tcBorders>
          </w:tcPr>
          <w:p w:rsidR="00000000" w:rsidRDefault="00000000">
            <w:pPr>
              <w:pStyle w:val="a6"/>
              <w:rPr>
                <w:b/>
                <w:caps/>
                <w:sz w:val="18"/>
              </w:rPr>
            </w:pPr>
            <w:r>
              <w:rPr>
                <w:b/>
                <w:sz w:val="18"/>
              </w:rPr>
              <w:t>в %</w:t>
            </w:r>
          </w:p>
        </w:tc>
        <w:tc>
          <w:tcPr>
            <w:tcW w:w="737" w:type="dxa"/>
            <w:tcBorders>
              <w:top w:val="single" w:sz="4" w:space="0" w:color="auto"/>
              <w:left w:val="nil"/>
              <w:bottom w:val="single" w:sz="4" w:space="0" w:color="auto"/>
              <w:right w:val="nil"/>
            </w:tcBorders>
          </w:tcPr>
          <w:p w:rsidR="00000000" w:rsidRDefault="00000000">
            <w:pPr>
              <w:pStyle w:val="a6"/>
              <w:rPr>
                <w:b/>
                <w:caps/>
                <w:sz w:val="18"/>
              </w:rPr>
            </w:pPr>
            <w:r>
              <w:rPr>
                <w:b/>
                <w:sz w:val="18"/>
              </w:rPr>
              <w:t>всего</w:t>
            </w:r>
          </w:p>
        </w:tc>
        <w:tc>
          <w:tcPr>
            <w:tcW w:w="737" w:type="dxa"/>
            <w:tcBorders>
              <w:top w:val="single" w:sz="4" w:space="0" w:color="auto"/>
              <w:left w:val="nil"/>
              <w:bottom w:val="single" w:sz="4" w:space="0" w:color="auto"/>
              <w:right w:val="nil"/>
            </w:tcBorders>
          </w:tcPr>
          <w:p w:rsidR="00000000" w:rsidRDefault="00000000">
            <w:pPr>
              <w:pStyle w:val="a6"/>
              <w:rPr>
                <w:b/>
                <w:caps/>
                <w:sz w:val="18"/>
              </w:rPr>
            </w:pPr>
            <w:r>
              <w:rPr>
                <w:b/>
                <w:sz w:val="18"/>
              </w:rPr>
              <w:t>жен</w:t>
            </w:r>
            <w:r>
              <w:rPr>
                <w:b/>
                <w:sz w:val="18"/>
              </w:rPr>
              <w:softHyphen/>
              <w:t>щины</w:t>
            </w:r>
          </w:p>
        </w:tc>
        <w:tc>
          <w:tcPr>
            <w:tcW w:w="737" w:type="dxa"/>
            <w:tcBorders>
              <w:top w:val="single" w:sz="4" w:space="0" w:color="auto"/>
              <w:left w:val="nil"/>
              <w:bottom w:val="single" w:sz="4" w:space="0" w:color="auto"/>
              <w:right w:val="nil"/>
            </w:tcBorders>
          </w:tcPr>
          <w:p w:rsidR="00000000" w:rsidRDefault="00000000">
            <w:pPr>
              <w:pStyle w:val="a6"/>
              <w:rPr>
                <w:b/>
                <w:caps/>
                <w:sz w:val="18"/>
              </w:rPr>
            </w:pPr>
            <w:r>
              <w:rPr>
                <w:b/>
                <w:sz w:val="18"/>
              </w:rPr>
              <w:t>в %</w:t>
            </w:r>
          </w:p>
        </w:tc>
        <w:tc>
          <w:tcPr>
            <w:tcW w:w="737" w:type="dxa"/>
            <w:tcBorders>
              <w:top w:val="single" w:sz="4" w:space="0" w:color="auto"/>
              <w:left w:val="nil"/>
              <w:bottom w:val="single" w:sz="4" w:space="0" w:color="auto"/>
              <w:right w:val="nil"/>
            </w:tcBorders>
          </w:tcPr>
          <w:p w:rsidR="00000000" w:rsidRDefault="00000000">
            <w:pPr>
              <w:pStyle w:val="a6"/>
              <w:rPr>
                <w:b/>
                <w:caps/>
                <w:sz w:val="18"/>
              </w:rPr>
            </w:pPr>
            <w:r>
              <w:rPr>
                <w:b/>
                <w:sz w:val="18"/>
              </w:rPr>
              <w:t>всего</w:t>
            </w:r>
          </w:p>
        </w:tc>
        <w:tc>
          <w:tcPr>
            <w:tcW w:w="737" w:type="dxa"/>
            <w:tcBorders>
              <w:top w:val="single" w:sz="4" w:space="0" w:color="auto"/>
              <w:left w:val="nil"/>
              <w:bottom w:val="single" w:sz="4" w:space="0" w:color="auto"/>
              <w:right w:val="nil"/>
            </w:tcBorders>
          </w:tcPr>
          <w:p w:rsidR="00000000" w:rsidRDefault="00000000">
            <w:pPr>
              <w:pStyle w:val="a6"/>
              <w:rPr>
                <w:b/>
                <w:caps/>
                <w:sz w:val="18"/>
              </w:rPr>
            </w:pPr>
            <w:r>
              <w:rPr>
                <w:b/>
                <w:sz w:val="18"/>
              </w:rPr>
              <w:t>жен</w:t>
            </w:r>
            <w:r>
              <w:rPr>
                <w:b/>
                <w:sz w:val="18"/>
              </w:rPr>
              <w:softHyphen/>
              <w:t>щины</w:t>
            </w:r>
          </w:p>
        </w:tc>
        <w:tc>
          <w:tcPr>
            <w:tcW w:w="737" w:type="dxa"/>
            <w:tcBorders>
              <w:top w:val="single" w:sz="4" w:space="0" w:color="auto"/>
              <w:left w:val="nil"/>
              <w:bottom w:val="single" w:sz="4" w:space="0" w:color="auto"/>
              <w:right w:val="nil"/>
            </w:tcBorders>
          </w:tcPr>
          <w:p w:rsidR="00000000" w:rsidRDefault="00000000">
            <w:pPr>
              <w:pStyle w:val="a6"/>
              <w:rPr>
                <w:b/>
                <w:caps/>
                <w:sz w:val="18"/>
              </w:rPr>
            </w:pPr>
            <w:r>
              <w:rPr>
                <w:b/>
                <w:sz w:val="18"/>
              </w:rPr>
              <w:t>в %</w:t>
            </w:r>
          </w:p>
        </w:tc>
        <w:tc>
          <w:tcPr>
            <w:tcW w:w="737" w:type="dxa"/>
            <w:tcBorders>
              <w:top w:val="single" w:sz="4" w:space="0" w:color="auto"/>
              <w:left w:val="nil"/>
              <w:bottom w:val="single" w:sz="4" w:space="0" w:color="auto"/>
              <w:right w:val="nil"/>
            </w:tcBorders>
          </w:tcPr>
          <w:p w:rsidR="00000000" w:rsidRDefault="00000000">
            <w:pPr>
              <w:pStyle w:val="a6"/>
              <w:rPr>
                <w:b/>
                <w:caps/>
                <w:sz w:val="18"/>
              </w:rPr>
            </w:pPr>
            <w:r>
              <w:rPr>
                <w:b/>
                <w:sz w:val="18"/>
              </w:rPr>
              <w:t>всего</w:t>
            </w:r>
          </w:p>
        </w:tc>
        <w:tc>
          <w:tcPr>
            <w:tcW w:w="737" w:type="dxa"/>
            <w:tcBorders>
              <w:top w:val="single" w:sz="4" w:space="0" w:color="auto"/>
              <w:left w:val="nil"/>
              <w:bottom w:val="single" w:sz="4" w:space="0" w:color="auto"/>
              <w:right w:val="nil"/>
            </w:tcBorders>
          </w:tcPr>
          <w:p w:rsidR="00000000" w:rsidRDefault="00000000">
            <w:pPr>
              <w:pStyle w:val="a6"/>
              <w:rPr>
                <w:b/>
                <w:caps/>
                <w:sz w:val="18"/>
              </w:rPr>
            </w:pPr>
            <w:r>
              <w:rPr>
                <w:b/>
                <w:sz w:val="18"/>
              </w:rPr>
              <w:t>жен</w:t>
            </w:r>
            <w:r>
              <w:rPr>
                <w:b/>
                <w:sz w:val="18"/>
              </w:rPr>
              <w:softHyphen/>
              <w:t>щины</w:t>
            </w:r>
          </w:p>
        </w:tc>
        <w:tc>
          <w:tcPr>
            <w:tcW w:w="737" w:type="dxa"/>
            <w:tcBorders>
              <w:top w:val="single" w:sz="4" w:space="0" w:color="auto"/>
              <w:left w:val="nil"/>
              <w:bottom w:val="single" w:sz="4" w:space="0" w:color="auto"/>
              <w:right w:val="nil"/>
            </w:tcBorders>
          </w:tcPr>
          <w:p w:rsidR="00000000" w:rsidRDefault="00000000">
            <w:pPr>
              <w:pStyle w:val="a6"/>
              <w:rPr>
                <w:b/>
                <w:caps/>
                <w:sz w:val="18"/>
              </w:rPr>
            </w:pPr>
            <w:r>
              <w:rPr>
                <w:b/>
                <w:sz w:val="18"/>
              </w:rPr>
              <w:t>в %</w:t>
            </w:r>
          </w:p>
        </w:tc>
      </w:tr>
      <w:tr w:rsidR="00000000">
        <w:tblPrEx>
          <w:tblCellMar>
            <w:top w:w="0" w:type="dxa"/>
            <w:bottom w:w="0" w:type="dxa"/>
          </w:tblCellMar>
        </w:tblPrEx>
        <w:tc>
          <w:tcPr>
            <w:tcW w:w="567" w:type="dxa"/>
            <w:tcBorders>
              <w:top w:val="single" w:sz="4" w:space="0" w:color="auto"/>
              <w:left w:val="nil"/>
              <w:bottom w:val="nil"/>
              <w:right w:val="nil"/>
            </w:tcBorders>
          </w:tcPr>
          <w:p w:rsidR="00000000" w:rsidRDefault="00000000">
            <w:pPr>
              <w:pStyle w:val="a6"/>
              <w:jc w:val="left"/>
              <w:rPr>
                <w:sz w:val="18"/>
              </w:rPr>
            </w:pPr>
            <w:r>
              <w:rPr>
                <w:sz w:val="18"/>
              </w:rPr>
              <w:t>1996</w:t>
            </w:r>
          </w:p>
        </w:tc>
        <w:tc>
          <w:tcPr>
            <w:tcW w:w="737" w:type="dxa"/>
            <w:tcBorders>
              <w:top w:val="single" w:sz="4" w:space="0" w:color="auto"/>
              <w:left w:val="nil"/>
              <w:bottom w:val="nil"/>
              <w:right w:val="nil"/>
            </w:tcBorders>
          </w:tcPr>
          <w:p w:rsidR="00000000" w:rsidRDefault="00000000">
            <w:pPr>
              <w:pStyle w:val="a6"/>
              <w:rPr>
                <w:sz w:val="18"/>
              </w:rPr>
            </w:pPr>
            <w:r>
              <w:rPr>
                <w:sz w:val="18"/>
              </w:rPr>
              <w:t>108</w:t>
            </w:r>
          </w:p>
        </w:tc>
        <w:tc>
          <w:tcPr>
            <w:tcW w:w="737" w:type="dxa"/>
            <w:tcBorders>
              <w:top w:val="single" w:sz="4" w:space="0" w:color="auto"/>
              <w:left w:val="nil"/>
              <w:bottom w:val="nil"/>
              <w:right w:val="nil"/>
            </w:tcBorders>
          </w:tcPr>
          <w:p w:rsidR="00000000" w:rsidRDefault="00000000">
            <w:pPr>
              <w:pStyle w:val="a6"/>
              <w:rPr>
                <w:sz w:val="18"/>
              </w:rPr>
            </w:pPr>
            <w:r>
              <w:rPr>
                <w:sz w:val="18"/>
              </w:rPr>
              <w:t>6</w:t>
            </w:r>
          </w:p>
        </w:tc>
        <w:tc>
          <w:tcPr>
            <w:tcW w:w="737" w:type="dxa"/>
            <w:tcBorders>
              <w:top w:val="single" w:sz="4" w:space="0" w:color="auto"/>
              <w:left w:val="nil"/>
              <w:bottom w:val="nil"/>
              <w:right w:val="nil"/>
            </w:tcBorders>
          </w:tcPr>
          <w:p w:rsidR="00000000" w:rsidRDefault="00000000">
            <w:pPr>
              <w:pStyle w:val="a6"/>
              <w:rPr>
                <w:sz w:val="18"/>
              </w:rPr>
            </w:pPr>
            <w:r>
              <w:rPr>
                <w:sz w:val="18"/>
              </w:rPr>
              <w:t>6</w:t>
            </w:r>
          </w:p>
        </w:tc>
        <w:tc>
          <w:tcPr>
            <w:tcW w:w="737" w:type="dxa"/>
            <w:tcBorders>
              <w:top w:val="single" w:sz="4" w:space="0" w:color="auto"/>
              <w:left w:val="nil"/>
              <w:bottom w:val="nil"/>
              <w:right w:val="nil"/>
            </w:tcBorders>
          </w:tcPr>
          <w:p w:rsidR="00000000" w:rsidRDefault="00000000">
            <w:pPr>
              <w:pStyle w:val="a6"/>
              <w:rPr>
                <w:sz w:val="18"/>
              </w:rPr>
            </w:pPr>
            <w:r>
              <w:rPr>
                <w:sz w:val="18"/>
              </w:rPr>
              <w:t>162</w:t>
            </w:r>
          </w:p>
        </w:tc>
        <w:tc>
          <w:tcPr>
            <w:tcW w:w="737" w:type="dxa"/>
            <w:tcBorders>
              <w:top w:val="single" w:sz="4" w:space="0" w:color="auto"/>
              <w:left w:val="nil"/>
              <w:bottom w:val="nil"/>
              <w:right w:val="nil"/>
            </w:tcBorders>
          </w:tcPr>
          <w:p w:rsidR="00000000" w:rsidRDefault="00000000">
            <w:pPr>
              <w:pStyle w:val="a6"/>
              <w:rPr>
                <w:sz w:val="18"/>
              </w:rPr>
            </w:pPr>
            <w:r>
              <w:rPr>
                <w:sz w:val="18"/>
              </w:rPr>
              <w:t>7</w:t>
            </w:r>
          </w:p>
        </w:tc>
        <w:tc>
          <w:tcPr>
            <w:tcW w:w="737" w:type="dxa"/>
            <w:tcBorders>
              <w:top w:val="single" w:sz="4" w:space="0" w:color="auto"/>
              <w:left w:val="nil"/>
              <w:bottom w:val="nil"/>
              <w:right w:val="nil"/>
            </w:tcBorders>
          </w:tcPr>
          <w:p w:rsidR="00000000" w:rsidRDefault="00000000">
            <w:pPr>
              <w:pStyle w:val="a6"/>
              <w:rPr>
                <w:sz w:val="18"/>
              </w:rPr>
            </w:pPr>
            <w:r>
              <w:rPr>
                <w:sz w:val="18"/>
              </w:rPr>
              <w:t>4</w:t>
            </w:r>
          </w:p>
        </w:tc>
        <w:tc>
          <w:tcPr>
            <w:tcW w:w="737" w:type="dxa"/>
            <w:tcBorders>
              <w:top w:val="single" w:sz="4" w:space="0" w:color="auto"/>
              <w:left w:val="nil"/>
              <w:bottom w:val="nil"/>
              <w:right w:val="nil"/>
            </w:tcBorders>
          </w:tcPr>
          <w:p w:rsidR="00000000" w:rsidRDefault="00000000">
            <w:pPr>
              <w:pStyle w:val="a6"/>
              <w:rPr>
                <w:sz w:val="18"/>
              </w:rPr>
            </w:pPr>
            <w:r>
              <w:rPr>
                <w:sz w:val="18"/>
              </w:rPr>
              <w:t>11</w:t>
            </w:r>
          </w:p>
        </w:tc>
        <w:tc>
          <w:tcPr>
            <w:tcW w:w="737" w:type="dxa"/>
            <w:tcBorders>
              <w:top w:val="single" w:sz="4" w:space="0" w:color="auto"/>
              <w:left w:val="nil"/>
              <w:bottom w:val="nil"/>
              <w:right w:val="nil"/>
            </w:tcBorders>
          </w:tcPr>
          <w:p w:rsidR="00000000" w:rsidRDefault="00000000">
            <w:pPr>
              <w:pStyle w:val="a6"/>
              <w:rPr>
                <w:sz w:val="18"/>
              </w:rPr>
            </w:pPr>
            <w:r>
              <w:rPr>
                <w:sz w:val="18"/>
              </w:rPr>
              <w:t>2</w:t>
            </w:r>
          </w:p>
        </w:tc>
        <w:tc>
          <w:tcPr>
            <w:tcW w:w="737" w:type="dxa"/>
            <w:tcBorders>
              <w:top w:val="single" w:sz="4" w:space="0" w:color="auto"/>
              <w:left w:val="nil"/>
              <w:bottom w:val="nil"/>
              <w:right w:val="nil"/>
            </w:tcBorders>
          </w:tcPr>
          <w:p w:rsidR="00000000" w:rsidRDefault="00000000">
            <w:pPr>
              <w:pStyle w:val="a6"/>
              <w:rPr>
                <w:sz w:val="18"/>
              </w:rPr>
            </w:pPr>
            <w:r>
              <w:rPr>
                <w:sz w:val="18"/>
              </w:rPr>
              <w:t>18</w:t>
            </w:r>
          </w:p>
        </w:tc>
        <w:tc>
          <w:tcPr>
            <w:tcW w:w="737" w:type="dxa"/>
            <w:tcBorders>
              <w:top w:val="single" w:sz="4" w:space="0" w:color="auto"/>
              <w:left w:val="nil"/>
              <w:bottom w:val="nil"/>
              <w:right w:val="nil"/>
            </w:tcBorders>
          </w:tcPr>
          <w:p w:rsidR="00000000" w:rsidRDefault="00000000">
            <w:pPr>
              <w:pStyle w:val="a6"/>
              <w:rPr>
                <w:sz w:val="18"/>
              </w:rPr>
            </w:pPr>
            <w:r>
              <w:rPr>
                <w:sz w:val="18"/>
              </w:rPr>
              <w:t>10</w:t>
            </w:r>
          </w:p>
        </w:tc>
        <w:tc>
          <w:tcPr>
            <w:tcW w:w="737" w:type="dxa"/>
            <w:tcBorders>
              <w:top w:val="single" w:sz="4" w:space="0" w:color="auto"/>
              <w:left w:val="nil"/>
              <w:bottom w:val="nil"/>
              <w:right w:val="nil"/>
            </w:tcBorders>
          </w:tcPr>
          <w:p w:rsidR="00000000" w:rsidRDefault="00000000">
            <w:pPr>
              <w:pStyle w:val="a6"/>
              <w:rPr>
                <w:sz w:val="18"/>
              </w:rPr>
            </w:pPr>
            <w:r>
              <w:rPr>
                <w:sz w:val="18"/>
              </w:rPr>
              <w:t>3</w:t>
            </w:r>
          </w:p>
        </w:tc>
        <w:tc>
          <w:tcPr>
            <w:tcW w:w="737" w:type="dxa"/>
            <w:tcBorders>
              <w:top w:val="single" w:sz="4" w:space="0" w:color="auto"/>
              <w:left w:val="nil"/>
              <w:bottom w:val="nil"/>
              <w:right w:val="nil"/>
            </w:tcBorders>
          </w:tcPr>
          <w:p w:rsidR="00000000" w:rsidRDefault="00000000">
            <w:pPr>
              <w:pStyle w:val="a6"/>
              <w:rPr>
                <w:sz w:val="18"/>
              </w:rPr>
            </w:pPr>
            <w:r>
              <w:rPr>
                <w:sz w:val="18"/>
              </w:rPr>
              <w:t>30</w:t>
            </w:r>
          </w:p>
        </w:tc>
      </w:tr>
      <w:tr w:rsidR="00000000">
        <w:tblPrEx>
          <w:tblCellMar>
            <w:top w:w="0" w:type="dxa"/>
            <w:bottom w:w="0" w:type="dxa"/>
          </w:tblCellMar>
        </w:tblPrEx>
        <w:tc>
          <w:tcPr>
            <w:tcW w:w="567" w:type="dxa"/>
            <w:tcBorders>
              <w:top w:val="nil"/>
              <w:left w:val="nil"/>
              <w:bottom w:val="nil"/>
              <w:right w:val="nil"/>
            </w:tcBorders>
          </w:tcPr>
          <w:p w:rsidR="00000000" w:rsidRDefault="00000000">
            <w:pPr>
              <w:pStyle w:val="a6"/>
              <w:jc w:val="left"/>
              <w:rPr>
                <w:sz w:val="18"/>
              </w:rPr>
            </w:pPr>
            <w:r>
              <w:rPr>
                <w:sz w:val="18"/>
              </w:rPr>
              <w:t>2000</w:t>
            </w:r>
          </w:p>
        </w:tc>
        <w:tc>
          <w:tcPr>
            <w:tcW w:w="737" w:type="dxa"/>
            <w:tcBorders>
              <w:top w:val="nil"/>
              <w:left w:val="nil"/>
              <w:bottom w:val="nil"/>
              <w:right w:val="nil"/>
            </w:tcBorders>
          </w:tcPr>
          <w:p w:rsidR="00000000" w:rsidRDefault="00000000">
            <w:pPr>
              <w:pStyle w:val="a6"/>
              <w:rPr>
                <w:sz w:val="18"/>
              </w:rPr>
            </w:pPr>
            <w:r>
              <w:rPr>
                <w:sz w:val="18"/>
              </w:rPr>
              <w:t>125</w:t>
            </w:r>
          </w:p>
        </w:tc>
        <w:tc>
          <w:tcPr>
            <w:tcW w:w="737" w:type="dxa"/>
            <w:tcBorders>
              <w:top w:val="nil"/>
              <w:left w:val="nil"/>
              <w:bottom w:val="nil"/>
              <w:right w:val="nil"/>
            </w:tcBorders>
          </w:tcPr>
          <w:p w:rsidR="00000000" w:rsidRDefault="00000000">
            <w:pPr>
              <w:pStyle w:val="a6"/>
              <w:rPr>
                <w:sz w:val="18"/>
              </w:rPr>
            </w:pPr>
            <w:r>
              <w:rPr>
                <w:sz w:val="18"/>
              </w:rPr>
              <w:t>10</w:t>
            </w:r>
          </w:p>
        </w:tc>
        <w:tc>
          <w:tcPr>
            <w:tcW w:w="737" w:type="dxa"/>
            <w:tcBorders>
              <w:top w:val="nil"/>
              <w:left w:val="nil"/>
              <w:bottom w:val="nil"/>
              <w:right w:val="nil"/>
            </w:tcBorders>
          </w:tcPr>
          <w:p w:rsidR="00000000" w:rsidRDefault="00000000">
            <w:pPr>
              <w:pStyle w:val="a6"/>
              <w:rPr>
                <w:sz w:val="18"/>
              </w:rPr>
            </w:pPr>
            <w:r>
              <w:rPr>
                <w:sz w:val="18"/>
              </w:rPr>
              <w:t>8</w:t>
            </w:r>
          </w:p>
        </w:tc>
        <w:tc>
          <w:tcPr>
            <w:tcW w:w="737" w:type="dxa"/>
            <w:tcBorders>
              <w:top w:val="nil"/>
              <w:left w:val="nil"/>
              <w:bottom w:val="nil"/>
              <w:right w:val="nil"/>
            </w:tcBorders>
          </w:tcPr>
          <w:p w:rsidR="00000000" w:rsidRDefault="00000000">
            <w:pPr>
              <w:pStyle w:val="a6"/>
              <w:rPr>
                <w:sz w:val="18"/>
              </w:rPr>
            </w:pPr>
            <w:r>
              <w:rPr>
                <w:sz w:val="18"/>
              </w:rPr>
              <w:t>158</w:t>
            </w:r>
          </w:p>
        </w:tc>
        <w:tc>
          <w:tcPr>
            <w:tcW w:w="737" w:type="dxa"/>
            <w:tcBorders>
              <w:top w:val="nil"/>
              <w:left w:val="nil"/>
              <w:bottom w:val="nil"/>
              <w:right w:val="nil"/>
            </w:tcBorders>
          </w:tcPr>
          <w:p w:rsidR="00000000" w:rsidRDefault="00000000">
            <w:pPr>
              <w:pStyle w:val="a6"/>
              <w:rPr>
                <w:sz w:val="18"/>
              </w:rPr>
            </w:pPr>
            <w:r>
              <w:rPr>
                <w:sz w:val="18"/>
              </w:rPr>
              <w:t>17</w:t>
            </w:r>
          </w:p>
        </w:tc>
        <w:tc>
          <w:tcPr>
            <w:tcW w:w="737" w:type="dxa"/>
            <w:tcBorders>
              <w:top w:val="nil"/>
              <w:left w:val="nil"/>
              <w:bottom w:val="nil"/>
              <w:right w:val="nil"/>
            </w:tcBorders>
          </w:tcPr>
          <w:p w:rsidR="00000000" w:rsidRDefault="00000000">
            <w:pPr>
              <w:pStyle w:val="a6"/>
              <w:rPr>
                <w:sz w:val="18"/>
              </w:rPr>
            </w:pPr>
            <w:r>
              <w:rPr>
                <w:sz w:val="18"/>
              </w:rPr>
              <w:t>11</w:t>
            </w:r>
          </w:p>
        </w:tc>
        <w:tc>
          <w:tcPr>
            <w:tcW w:w="737" w:type="dxa"/>
            <w:tcBorders>
              <w:top w:val="nil"/>
              <w:left w:val="nil"/>
              <w:bottom w:val="nil"/>
              <w:right w:val="nil"/>
            </w:tcBorders>
          </w:tcPr>
          <w:p w:rsidR="00000000" w:rsidRDefault="00000000">
            <w:pPr>
              <w:pStyle w:val="a6"/>
              <w:rPr>
                <w:sz w:val="18"/>
              </w:rPr>
            </w:pPr>
            <w:r>
              <w:rPr>
                <w:sz w:val="18"/>
              </w:rPr>
              <w:t>11</w:t>
            </w:r>
          </w:p>
        </w:tc>
        <w:tc>
          <w:tcPr>
            <w:tcW w:w="737" w:type="dxa"/>
            <w:tcBorders>
              <w:top w:val="nil"/>
              <w:left w:val="nil"/>
              <w:bottom w:val="nil"/>
              <w:right w:val="nil"/>
            </w:tcBorders>
          </w:tcPr>
          <w:p w:rsidR="00000000" w:rsidRDefault="00000000">
            <w:pPr>
              <w:pStyle w:val="a6"/>
              <w:rPr>
                <w:sz w:val="18"/>
              </w:rPr>
            </w:pPr>
            <w:r>
              <w:rPr>
                <w:sz w:val="18"/>
              </w:rPr>
              <w:t>2</w:t>
            </w:r>
          </w:p>
        </w:tc>
        <w:tc>
          <w:tcPr>
            <w:tcW w:w="737" w:type="dxa"/>
            <w:tcBorders>
              <w:top w:val="nil"/>
              <w:left w:val="nil"/>
              <w:bottom w:val="nil"/>
              <w:right w:val="nil"/>
            </w:tcBorders>
          </w:tcPr>
          <w:p w:rsidR="00000000" w:rsidRDefault="00000000">
            <w:pPr>
              <w:pStyle w:val="a6"/>
              <w:rPr>
                <w:sz w:val="18"/>
              </w:rPr>
            </w:pPr>
            <w:r>
              <w:rPr>
                <w:sz w:val="18"/>
              </w:rPr>
              <w:t>18</w:t>
            </w:r>
          </w:p>
        </w:tc>
        <w:tc>
          <w:tcPr>
            <w:tcW w:w="737" w:type="dxa"/>
            <w:tcBorders>
              <w:top w:val="nil"/>
              <w:left w:val="nil"/>
              <w:bottom w:val="nil"/>
              <w:right w:val="nil"/>
            </w:tcBorders>
          </w:tcPr>
          <w:p w:rsidR="00000000" w:rsidRDefault="00000000">
            <w:pPr>
              <w:pStyle w:val="a6"/>
              <w:rPr>
                <w:sz w:val="18"/>
              </w:rPr>
            </w:pPr>
            <w:r>
              <w:rPr>
                <w:sz w:val="18"/>
              </w:rPr>
              <w:t>6</w:t>
            </w:r>
          </w:p>
        </w:tc>
        <w:tc>
          <w:tcPr>
            <w:tcW w:w="737" w:type="dxa"/>
            <w:tcBorders>
              <w:top w:val="nil"/>
              <w:left w:val="nil"/>
              <w:bottom w:val="nil"/>
              <w:right w:val="nil"/>
            </w:tcBorders>
          </w:tcPr>
          <w:p w:rsidR="00000000" w:rsidRDefault="00000000">
            <w:pPr>
              <w:pStyle w:val="a6"/>
              <w:rPr>
                <w:sz w:val="18"/>
              </w:rPr>
            </w:pPr>
            <w:r>
              <w:rPr>
                <w:sz w:val="18"/>
              </w:rPr>
              <w:t>2</w:t>
            </w:r>
          </w:p>
        </w:tc>
        <w:tc>
          <w:tcPr>
            <w:tcW w:w="737" w:type="dxa"/>
            <w:tcBorders>
              <w:top w:val="nil"/>
              <w:left w:val="nil"/>
              <w:bottom w:val="nil"/>
              <w:right w:val="nil"/>
            </w:tcBorders>
          </w:tcPr>
          <w:p w:rsidR="00000000" w:rsidRDefault="00000000">
            <w:pPr>
              <w:pStyle w:val="a6"/>
              <w:rPr>
                <w:sz w:val="18"/>
              </w:rPr>
            </w:pPr>
            <w:r>
              <w:rPr>
                <w:sz w:val="18"/>
              </w:rPr>
              <w:t>33</w:t>
            </w:r>
          </w:p>
        </w:tc>
      </w:tr>
      <w:tr w:rsidR="00000000">
        <w:tblPrEx>
          <w:tblCellMar>
            <w:top w:w="0" w:type="dxa"/>
            <w:bottom w:w="0" w:type="dxa"/>
          </w:tblCellMar>
        </w:tblPrEx>
        <w:tc>
          <w:tcPr>
            <w:tcW w:w="567" w:type="dxa"/>
            <w:tcBorders>
              <w:top w:val="nil"/>
              <w:left w:val="nil"/>
              <w:bottom w:val="single" w:sz="4" w:space="0" w:color="auto"/>
              <w:right w:val="nil"/>
            </w:tcBorders>
          </w:tcPr>
          <w:p w:rsidR="00000000" w:rsidRDefault="00000000">
            <w:pPr>
              <w:pStyle w:val="a6"/>
              <w:jc w:val="left"/>
              <w:rPr>
                <w:sz w:val="18"/>
              </w:rPr>
            </w:pPr>
            <w:r>
              <w:rPr>
                <w:sz w:val="18"/>
              </w:rPr>
              <w:t>2004</w:t>
            </w:r>
          </w:p>
        </w:tc>
        <w:tc>
          <w:tcPr>
            <w:tcW w:w="737" w:type="dxa"/>
            <w:tcBorders>
              <w:top w:val="nil"/>
              <w:left w:val="nil"/>
              <w:bottom w:val="single" w:sz="4" w:space="0" w:color="auto"/>
              <w:right w:val="nil"/>
            </w:tcBorders>
          </w:tcPr>
          <w:p w:rsidR="00000000" w:rsidRDefault="00000000">
            <w:pPr>
              <w:pStyle w:val="a6"/>
              <w:rPr>
                <w:sz w:val="18"/>
              </w:rPr>
            </w:pPr>
            <w:r>
              <w:rPr>
                <w:sz w:val="18"/>
              </w:rPr>
              <w:t>165</w:t>
            </w:r>
          </w:p>
        </w:tc>
        <w:tc>
          <w:tcPr>
            <w:tcW w:w="737" w:type="dxa"/>
            <w:tcBorders>
              <w:top w:val="nil"/>
              <w:left w:val="nil"/>
              <w:bottom w:val="single" w:sz="4" w:space="0" w:color="auto"/>
              <w:right w:val="nil"/>
            </w:tcBorders>
          </w:tcPr>
          <w:p w:rsidR="00000000" w:rsidRDefault="00000000">
            <w:pPr>
              <w:pStyle w:val="a6"/>
              <w:rPr>
                <w:sz w:val="18"/>
              </w:rPr>
            </w:pPr>
            <w:r>
              <w:rPr>
                <w:sz w:val="18"/>
              </w:rPr>
              <w:t>17</w:t>
            </w:r>
          </w:p>
        </w:tc>
        <w:tc>
          <w:tcPr>
            <w:tcW w:w="737" w:type="dxa"/>
            <w:tcBorders>
              <w:top w:val="nil"/>
              <w:left w:val="nil"/>
              <w:bottom w:val="single" w:sz="4" w:space="0" w:color="auto"/>
              <w:right w:val="nil"/>
            </w:tcBorders>
          </w:tcPr>
          <w:p w:rsidR="00000000" w:rsidRDefault="00000000">
            <w:pPr>
              <w:pStyle w:val="a6"/>
              <w:rPr>
                <w:sz w:val="18"/>
              </w:rPr>
            </w:pPr>
            <w:r>
              <w:rPr>
                <w:sz w:val="18"/>
              </w:rPr>
              <w:t>10,3</w:t>
            </w:r>
          </w:p>
        </w:tc>
        <w:tc>
          <w:tcPr>
            <w:tcW w:w="737" w:type="dxa"/>
            <w:tcBorders>
              <w:top w:val="nil"/>
              <w:left w:val="nil"/>
              <w:bottom w:val="single" w:sz="4" w:space="0" w:color="auto"/>
              <w:right w:val="nil"/>
            </w:tcBorders>
          </w:tcPr>
          <w:p w:rsidR="00000000" w:rsidRDefault="00000000">
            <w:pPr>
              <w:pStyle w:val="a6"/>
              <w:rPr>
                <w:sz w:val="18"/>
              </w:rPr>
            </w:pPr>
            <w:r>
              <w:rPr>
                <w:sz w:val="18"/>
              </w:rPr>
              <w:t>117</w:t>
            </w:r>
          </w:p>
        </w:tc>
        <w:tc>
          <w:tcPr>
            <w:tcW w:w="737" w:type="dxa"/>
            <w:tcBorders>
              <w:top w:val="nil"/>
              <w:left w:val="nil"/>
              <w:bottom w:val="single" w:sz="4" w:space="0" w:color="auto"/>
              <w:right w:val="nil"/>
            </w:tcBorders>
          </w:tcPr>
          <w:p w:rsidR="00000000" w:rsidRDefault="00000000">
            <w:pPr>
              <w:pStyle w:val="a6"/>
              <w:rPr>
                <w:sz w:val="18"/>
              </w:rPr>
            </w:pPr>
            <w:r>
              <w:rPr>
                <w:sz w:val="18"/>
              </w:rPr>
              <w:t>18</w:t>
            </w:r>
          </w:p>
        </w:tc>
        <w:tc>
          <w:tcPr>
            <w:tcW w:w="737" w:type="dxa"/>
            <w:tcBorders>
              <w:top w:val="nil"/>
              <w:left w:val="nil"/>
              <w:bottom w:val="single" w:sz="4" w:space="0" w:color="auto"/>
              <w:right w:val="nil"/>
            </w:tcBorders>
          </w:tcPr>
          <w:p w:rsidR="00000000" w:rsidRDefault="00000000">
            <w:pPr>
              <w:pStyle w:val="a6"/>
              <w:rPr>
                <w:sz w:val="18"/>
              </w:rPr>
            </w:pPr>
            <w:r>
              <w:rPr>
                <w:sz w:val="18"/>
              </w:rPr>
              <w:t>15,38</w:t>
            </w:r>
          </w:p>
        </w:tc>
        <w:tc>
          <w:tcPr>
            <w:tcW w:w="737" w:type="dxa"/>
            <w:tcBorders>
              <w:top w:val="nil"/>
              <w:left w:val="nil"/>
              <w:bottom w:val="single" w:sz="4" w:space="0" w:color="auto"/>
              <w:right w:val="nil"/>
            </w:tcBorders>
          </w:tcPr>
          <w:p w:rsidR="00000000" w:rsidRDefault="00000000">
            <w:pPr>
              <w:pStyle w:val="a6"/>
              <w:rPr>
                <w:sz w:val="18"/>
              </w:rPr>
            </w:pPr>
            <w:r>
              <w:rPr>
                <w:sz w:val="18"/>
              </w:rPr>
              <w:t>12</w:t>
            </w:r>
          </w:p>
        </w:tc>
        <w:tc>
          <w:tcPr>
            <w:tcW w:w="737" w:type="dxa"/>
            <w:tcBorders>
              <w:top w:val="nil"/>
              <w:left w:val="nil"/>
              <w:bottom w:val="single" w:sz="4" w:space="0" w:color="auto"/>
              <w:right w:val="nil"/>
            </w:tcBorders>
          </w:tcPr>
          <w:p w:rsidR="00000000" w:rsidRDefault="00000000">
            <w:pPr>
              <w:pStyle w:val="a6"/>
              <w:rPr>
                <w:sz w:val="18"/>
              </w:rPr>
            </w:pPr>
            <w:r>
              <w:rPr>
                <w:sz w:val="18"/>
              </w:rPr>
              <w:t>3</w:t>
            </w:r>
          </w:p>
        </w:tc>
        <w:tc>
          <w:tcPr>
            <w:tcW w:w="737" w:type="dxa"/>
            <w:tcBorders>
              <w:top w:val="nil"/>
              <w:left w:val="nil"/>
              <w:bottom w:val="single" w:sz="4" w:space="0" w:color="auto"/>
              <w:right w:val="nil"/>
            </w:tcBorders>
          </w:tcPr>
          <w:p w:rsidR="00000000" w:rsidRDefault="00000000">
            <w:pPr>
              <w:pStyle w:val="a6"/>
              <w:rPr>
                <w:sz w:val="18"/>
              </w:rPr>
            </w:pPr>
            <w:r>
              <w:rPr>
                <w:sz w:val="18"/>
              </w:rPr>
              <w:t>25</w:t>
            </w:r>
          </w:p>
        </w:tc>
        <w:tc>
          <w:tcPr>
            <w:tcW w:w="737" w:type="dxa"/>
            <w:tcBorders>
              <w:top w:val="nil"/>
              <w:left w:val="nil"/>
              <w:bottom w:val="single" w:sz="4" w:space="0" w:color="auto"/>
              <w:right w:val="nil"/>
            </w:tcBorders>
          </w:tcPr>
          <w:p w:rsidR="00000000" w:rsidRDefault="00000000">
            <w:pPr>
              <w:pStyle w:val="a6"/>
              <w:rPr>
                <w:sz w:val="18"/>
              </w:rPr>
            </w:pPr>
            <w:r>
              <w:rPr>
                <w:sz w:val="18"/>
              </w:rPr>
              <w:t>6</w:t>
            </w:r>
          </w:p>
        </w:tc>
        <w:tc>
          <w:tcPr>
            <w:tcW w:w="737" w:type="dxa"/>
            <w:tcBorders>
              <w:top w:val="nil"/>
              <w:left w:val="nil"/>
              <w:bottom w:val="single" w:sz="4" w:space="0" w:color="auto"/>
              <w:right w:val="nil"/>
            </w:tcBorders>
          </w:tcPr>
          <w:p w:rsidR="00000000" w:rsidRDefault="00000000">
            <w:pPr>
              <w:pStyle w:val="a6"/>
              <w:rPr>
                <w:sz w:val="18"/>
              </w:rPr>
            </w:pPr>
            <w:r>
              <w:rPr>
                <w:sz w:val="18"/>
              </w:rPr>
              <w:t>1</w:t>
            </w:r>
          </w:p>
        </w:tc>
        <w:tc>
          <w:tcPr>
            <w:tcW w:w="737" w:type="dxa"/>
            <w:tcBorders>
              <w:top w:val="nil"/>
              <w:left w:val="nil"/>
              <w:bottom w:val="single" w:sz="4" w:space="0" w:color="auto"/>
              <w:right w:val="nil"/>
            </w:tcBorders>
          </w:tcPr>
          <w:p w:rsidR="00000000" w:rsidRDefault="00000000">
            <w:pPr>
              <w:pStyle w:val="a6"/>
              <w:rPr>
                <w:sz w:val="18"/>
              </w:rPr>
            </w:pPr>
            <w:r>
              <w:rPr>
                <w:sz w:val="18"/>
              </w:rPr>
              <w:t>16,6</w:t>
            </w:r>
          </w:p>
        </w:tc>
      </w:tr>
    </w:tbl>
    <w:p w:rsidR="00000000" w:rsidRDefault="00000000">
      <w:pPr>
        <w:pStyle w:val="BodyText"/>
      </w:pPr>
    </w:p>
    <w:p w:rsidR="00000000" w:rsidRDefault="00000000">
      <w:pPr>
        <w:pStyle w:val="BodyText"/>
        <w:jc w:val="center"/>
        <w:rPr>
          <w:b/>
        </w:rPr>
      </w:pPr>
      <w:r>
        <w:rPr>
          <w:b/>
          <w:lang w:val="en-US"/>
        </w:rPr>
        <w:t>III</w:t>
      </w:r>
      <w:r>
        <w:rPr>
          <w:b/>
        </w:rPr>
        <w:t>.  Участие женщин в государственной администрации</w:t>
      </w:r>
    </w:p>
    <w:p w:rsidR="00000000" w:rsidRDefault="00000000">
      <w:pPr>
        <w:pStyle w:val="BodyText"/>
        <w:rPr>
          <w:i/>
        </w:rPr>
      </w:pPr>
      <w:r>
        <w:t>11.</w:t>
      </w:r>
      <w:r>
        <w:tab/>
      </w:r>
      <w:r>
        <w:rPr>
          <w:b/>
          <w:i/>
        </w:rPr>
        <w:t>Руководители государственных служб с разбивкой по отделениям и полу, 1998–2000 годы (в процентах)</w:t>
      </w:r>
    </w:p>
    <w:tbl>
      <w:tblPr>
        <w:tblW w:w="0" w:type="auto"/>
        <w:tblInd w:w="3" w:type="dxa"/>
        <w:tblLayout w:type="fixed"/>
        <w:tblCellMar>
          <w:left w:w="56" w:type="dxa"/>
          <w:right w:w="56" w:type="dxa"/>
        </w:tblCellMar>
        <w:tblLook w:val="0000" w:firstRow="0" w:lastRow="0" w:firstColumn="0" w:lastColumn="0" w:noHBand="0" w:noVBand="0"/>
      </w:tblPr>
      <w:tblGrid>
        <w:gridCol w:w="908"/>
        <w:gridCol w:w="1416"/>
        <w:gridCol w:w="1418"/>
        <w:gridCol w:w="1419"/>
        <w:gridCol w:w="1419"/>
        <w:gridCol w:w="1419"/>
        <w:gridCol w:w="1414"/>
      </w:tblGrid>
      <w:tr w:rsidR="00000000">
        <w:tblPrEx>
          <w:tblCellMar>
            <w:top w:w="0" w:type="dxa"/>
            <w:bottom w:w="0" w:type="dxa"/>
          </w:tblCellMar>
        </w:tblPrEx>
        <w:tc>
          <w:tcPr>
            <w:tcW w:w="908" w:type="dxa"/>
            <w:tcBorders>
              <w:top w:val="single" w:sz="4" w:space="0" w:color="auto"/>
            </w:tcBorders>
          </w:tcPr>
          <w:p w:rsidR="00000000" w:rsidRDefault="00000000">
            <w:pPr>
              <w:pStyle w:val="a6"/>
              <w:rPr>
                <w:b/>
              </w:rPr>
            </w:pPr>
            <w:r>
              <w:rPr>
                <w:b/>
              </w:rPr>
              <w:t>Год</w:t>
            </w:r>
          </w:p>
        </w:tc>
        <w:tc>
          <w:tcPr>
            <w:tcW w:w="2834" w:type="dxa"/>
            <w:gridSpan w:val="2"/>
            <w:tcBorders>
              <w:top w:val="single" w:sz="4" w:space="0" w:color="auto"/>
              <w:bottom w:val="single" w:sz="4" w:space="0" w:color="auto"/>
            </w:tcBorders>
          </w:tcPr>
          <w:p w:rsidR="00000000" w:rsidRDefault="00000000">
            <w:pPr>
              <w:pStyle w:val="a6"/>
              <w:rPr>
                <w:b/>
              </w:rPr>
            </w:pPr>
            <w:r>
              <w:rPr>
                <w:b/>
              </w:rPr>
              <w:t>Управления</w:t>
            </w:r>
          </w:p>
        </w:tc>
        <w:tc>
          <w:tcPr>
            <w:tcW w:w="2838" w:type="dxa"/>
            <w:gridSpan w:val="2"/>
            <w:tcBorders>
              <w:top w:val="single" w:sz="4" w:space="0" w:color="auto"/>
              <w:bottom w:val="single" w:sz="4" w:space="0" w:color="auto"/>
            </w:tcBorders>
          </w:tcPr>
          <w:p w:rsidR="00000000" w:rsidRDefault="00000000">
            <w:pPr>
              <w:pStyle w:val="a6"/>
              <w:rPr>
                <w:b/>
              </w:rPr>
            </w:pPr>
            <w:r>
              <w:rPr>
                <w:b/>
              </w:rPr>
              <w:t>Департаменты</w:t>
            </w:r>
          </w:p>
        </w:tc>
        <w:tc>
          <w:tcPr>
            <w:tcW w:w="2833" w:type="dxa"/>
            <w:gridSpan w:val="2"/>
            <w:tcBorders>
              <w:top w:val="single" w:sz="4" w:space="0" w:color="auto"/>
              <w:bottom w:val="single" w:sz="4" w:space="0" w:color="auto"/>
            </w:tcBorders>
          </w:tcPr>
          <w:p w:rsidR="00000000" w:rsidRDefault="00000000">
            <w:pPr>
              <w:pStyle w:val="a6"/>
              <w:rPr>
                <w:b/>
              </w:rPr>
            </w:pPr>
            <w:r>
              <w:rPr>
                <w:b/>
              </w:rPr>
              <w:t>Автономные отделения</w:t>
            </w:r>
          </w:p>
        </w:tc>
      </w:tr>
      <w:tr w:rsidR="00000000">
        <w:tblPrEx>
          <w:tblCellMar>
            <w:top w:w="0" w:type="dxa"/>
            <w:bottom w:w="0" w:type="dxa"/>
          </w:tblCellMar>
        </w:tblPrEx>
        <w:tc>
          <w:tcPr>
            <w:tcW w:w="908" w:type="dxa"/>
            <w:tcBorders>
              <w:bottom w:val="single" w:sz="4" w:space="0" w:color="auto"/>
            </w:tcBorders>
          </w:tcPr>
          <w:p w:rsidR="00000000" w:rsidRDefault="00000000">
            <w:pPr>
              <w:pStyle w:val="a6"/>
              <w:rPr>
                <w:b/>
                <w:i/>
                <w:u w:val="single"/>
              </w:rPr>
            </w:pPr>
          </w:p>
        </w:tc>
        <w:tc>
          <w:tcPr>
            <w:tcW w:w="1416" w:type="dxa"/>
            <w:tcBorders>
              <w:top w:val="single" w:sz="4" w:space="0" w:color="auto"/>
              <w:bottom w:val="single" w:sz="4" w:space="0" w:color="auto"/>
            </w:tcBorders>
          </w:tcPr>
          <w:p w:rsidR="00000000" w:rsidRDefault="00000000">
            <w:pPr>
              <w:pStyle w:val="a6"/>
              <w:rPr>
                <w:b/>
              </w:rPr>
            </w:pPr>
            <w:r>
              <w:rPr>
                <w:b/>
              </w:rPr>
              <w:t>мужчины</w:t>
            </w:r>
          </w:p>
        </w:tc>
        <w:tc>
          <w:tcPr>
            <w:tcW w:w="1418" w:type="dxa"/>
            <w:tcBorders>
              <w:top w:val="single" w:sz="4" w:space="0" w:color="auto"/>
              <w:bottom w:val="single" w:sz="4" w:space="0" w:color="auto"/>
            </w:tcBorders>
          </w:tcPr>
          <w:p w:rsidR="00000000" w:rsidRDefault="00000000">
            <w:pPr>
              <w:pStyle w:val="a6"/>
              <w:rPr>
                <w:b/>
              </w:rPr>
            </w:pPr>
            <w:r>
              <w:rPr>
                <w:b/>
              </w:rPr>
              <w:t>женщины</w:t>
            </w:r>
          </w:p>
        </w:tc>
        <w:tc>
          <w:tcPr>
            <w:tcW w:w="1419" w:type="dxa"/>
            <w:tcBorders>
              <w:top w:val="single" w:sz="4" w:space="0" w:color="auto"/>
              <w:bottom w:val="single" w:sz="4" w:space="0" w:color="auto"/>
            </w:tcBorders>
          </w:tcPr>
          <w:p w:rsidR="00000000" w:rsidRDefault="00000000">
            <w:pPr>
              <w:pStyle w:val="a6"/>
              <w:rPr>
                <w:b/>
              </w:rPr>
            </w:pPr>
            <w:r>
              <w:rPr>
                <w:b/>
              </w:rPr>
              <w:t>мужчины</w:t>
            </w:r>
          </w:p>
        </w:tc>
        <w:tc>
          <w:tcPr>
            <w:tcW w:w="1419" w:type="dxa"/>
            <w:tcBorders>
              <w:top w:val="single" w:sz="4" w:space="0" w:color="auto"/>
              <w:bottom w:val="single" w:sz="4" w:space="0" w:color="auto"/>
            </w:tcBorders>
          </w:tcPr>
          <w:p w:rsidR="00000000" w:rsidRDefault="00000000">
            <w:pPr>
              <w:pStyle w:val="a6"/>
              <w:rPr>
                <w:b/>
              </w:rPr>
            </w:pPr>
            <w:r>
              <w:rPr>
                <w:b/>
              </w:rPr>
              <w:t>женщины</w:t>
            </w:r>
          </w:p>
        </w:tc>
        <w:tc>
          <w:tcPr>
            <w:tcW w:w="1419" w:type="dxa"/>
            <w:tcBorders>
              <w:top w:val="single" w:sz="4" w:space="0" w:color="auto"/>
              <w:bottom w:val="single" w:sz="4" w:space="0" w:color="auto"/>
            </w:tcBorders>
          </w:tcPr>
          <w:p w:rsidR="00000000" w:rsidRDefault="00000000">
            <w:pPr>
              <w:pStyle w:val="a6"/>
              <w:rPr>
                <w:b/>
              </w:rPr>
            </w:pPr>
            <w:r>
              <w:rPr>
                <w:b/>
              </w:rPr>
              <w:t>мужчины</w:t>
            </w:r>
          </w:p>
        </w:tc>
        <w:tc>
          <w:tcPr>
            <w:tcW w:w="1414" w:type="dxa"/>
            <w:tcBorders>
              <w:top w:val="single" w:sz="4" w:space="0" w:color="auto"/>
              <w:bottom w:val="single" w:sz="4" w:space="0" w:color="auto"/>
            </w:tcBorders>
          </w:tcPr>
          <w:p w:rsidR="00000000" w:rsidRDefault="00000000">
            <w:pPr>
              <w:pStyle w:val="a6"/>
              <w:rPr>
                <w:b/>
              </w:rPr>
            </w:pPr>
            <w:r>
              <w:rPr>
                <w:b/>
              </w:rPr>
              <w:t>женщины</w:t>
            </w:r>
          </w:p>
        </w:tc>
      </w:tr>
      <w:tr w:rsidR="00000000">
        <w:tblPrEx>
          <w:tblCellMar>
            <w:top w:w="0" w:type="dxa"/>
            <w:bottom w:w="0" w:type="dxa"/>
          </w:tblCellMar>
        </w:tblPrEx>
        <w:tc>
          <w:tcPr>
            <w:tcW w:w="908" w:type="dxa"/>
            <w:tcBorders>
              <w:top w:val="single" w:sz="4" w:space="0" w:color="auto"/>
            </w:tcBorders>
          </w:tcPr>
          <w:p w:rsidR="00000000" w:rsidRDefault="00000000">
            <w:pPr>
              <w:pStyle w:val="a7"/>
            </w:pPr>
            <w:r>
              <w:t>1998</w:t>
            </w:r>
          </w:p>
        </w:tc>
        <w:tc>
          <w:tcPr>
            <w:tcW w:w="1416" w:type="dxa"/>
            <w:tcBorders>
              <w:top w:val="single" w:sz="4" w:space="0" w:color="auto"/>
            </w:tcBorders>
          </w:tcPr>
          <w:p w:rsidR="00000000" w:rsidRDefault="00000000">
            <w:pPr>
              <w:pStyle w:val="a6"/>
            </w:pPr>
            <w:r>
              <w:t>69,9</w:t>
            </w:r>
          </w:p>
        </w:tc>
        <w:tc>
          <w:tcPr>
            <w:tcW w:w="1418" w:type="dxa"/>
            <w:tcBorders>
              <w:top w:val="single" w:sz="4" w:space="0" w:color="auto"/>
            </w:tcBorders>
          </w:tcPr>
          <w:p w:rsidR="00000000" w:rsidRDefault="00000000">
            <w:pPr>
              <w:pStyle w:val="a6"/>
            </w:pPr>
            <w:r>
              <w:t>30,1</w:t>
            </w:r>
          </w:p>
        </w:tc>
        <w:tc>
          <w:tcPr>
            <w:tcW w:w="1419" w:type="dxa"/>
            <w:tcBorders>
              <w:top w:val="single" w:sz="4" w:space="0" w:color="auto"/>
            </w:tcBorders>
          </w:tcPr>
          <w:p w:rsidR="00000000" w:rsidRDefault="00000000">
            <w:pPr>
              <w:pStyle w:val="a6"/>
            </w:pPr>
            <w:r>
              <w:t>59,9</w:t>
            </w:r>
          </w:p>
        </w:tc>
        <w:tc>
          <w:tcPr>
            <w:tcW w:w="1419" w:type="dxa"/>
            <w:tcBorders>
              <w:top w:val="single" w:sz="4" w:space="0" w:color="auto"/>
            </w:tcBorders>
          </w:tcPr>
          <w:p w:rsidR="00000000" w:rsidRDefault="00000000">
            <w:pPr>
              <w:pStyle w:val="a6"/>
            </w:pPr>
            <w:r>
              <w:t>40,1</w:t>
            </w:r>
          </w:p>
        </w:tc>
        <w:tc>
          <w:tcPr>
            <w:tcW w:w="1419" w:type="dxa"/>
            <w:tcBorders>
              <w:top w:val="single" w:sz="4" w:space="0" w:color="auto"/>
            </w:tcBorders>
          </w:tcPr>
          <w:p w:rsidR="00000000" w:rsidRDefault="00000000">
            <w:pPr>
              <w:pStyle w:val="a6"/>
            </w:pPr>
            <w:r>
              <w:t>56,3</w:t>
            </w:r>
          </w:p>
        </w:tc>
        <w:tc>
          <w:tcPr>
            <w:tcW w:w="1414" w:type="dxa"/>
            <w:tcBorders>
              <w:top w:val="single" w:sz="4" w:space="0" w:color="auto"/>
            </w:tcBorders>
          </w:tcPr>
          <w:p w:rsidR="00000000" w:rsidRDefault="00000000">
            <w:pPr>
              <w:pStyle w:val="a6"/>
            </w:pPr>
            <w:r>
              <w:t>43,7</w:t>
            </w:r>
          </w:p>
        </w:tc>
      </w:tr>
      <w:tr w:rsidR="00000000">
        <w:tblPrEx>
          <w:tblCellMar>
            <w:top w:w="0" w:type="dxa"/>
            <w:bottom w:w="0" w:type="dxa"/>
          </w:tblCellMar>
        </w:tblPrEx>
        <w:tc>
          <w:tcPr>
            <w:tcW w:w="908" w:type="dxa"/>
            <w:tcBorders>
              <w:bottom w:val="single" w:sz="4" w:space="0" w:color="auto"/>
            </w:tcBorders>
          </w:tcPr>
          <w:p w:rsidR="00000000" w:rsidRDefault="00000000">
            <w:pPr>
              <w:pStyle w:val="a7"/>
            </w:pPr>
            <w:r>
              <w:t>2002</w:t>
            </w:r>
          </w:p>
        </w:tc>
        <w:tc>
          <w:tcPr>
            <w:tcW w:w="1416" w:type="dxa"/>
            <w:tcBorders>
              <w:bottom w:val="single" w:sz="4" w:space="0" w:color="auto"/>
            </w:tcBorders>
          </w:tcPr>
          <w:p w:rsidR="00000000" w:rsidRDefault="00000000">
            <w:pPr>
              <w:pStyle w:val="a6"/>
            </w:pPr>
            <w:r>
              <w:t>64,0</w:t>
            </w:r>
          </w:p>
        </w:tc>
        <w:tc>
          <w:tcPr>
            <w:tcW w:w="1418" w:type="dxa"/>
            <w:tcBorders>
              <w:bottom w:val="single" w:sz="4" w:space="0" w:color="auto"/>
            </w:tcBorders>
          </w:tcPr>
          <w:p w:rsidR="00000000" w:rsidRDefault="00000000">
            <w:pPr>
              <w:pStyle w:val="a6"/>
            </w:pPr>
            <w:r>
              <w:t>36,0</w:t>
            </w:r>
          </w:p>
        </w:tc>
        <w:tc>
          <w:tcPr>
            <w:tcW w:w="1419" w:type="dxa"/>
            <w:tcBorders>
              <w:bottom w:val="single" w:sz="4" w:space="0" w:color="auto"/>
            </w:tcBorders>
          </w:tcPr>
          <w:p w:rsidR="00000000" w:rsidRDefault="00000000">
            <w:pPr>
              <w:pStyle w:val="a6"/>
            </w:pPr>
            <w:r>
              <w:t>49,3</w:t>
            </w:r>
          </w:p>
        </w:tc>
        <w:tc>
          <w:tcPr>
            <w:tcW w:w="1419" w:type="dxa"/>
            <w:tcBorders>
              <w:bottom w:val="single" w:sz="4" w:space="0" w:color="auto"/>
            </w:tcBorders>
          </w:tcPr>
          <w:p w:rsidR="00000000" w:rsidRDefault="00000000">
            <w:pPr>
              <w:pStyle w:val="a6"/>
            </w:pPr>
            <w:r>
              <w:t>50,7</w:t>
            </w:r>
          </w:p>
        </w:tc>
        <w:tc>
          <w:tcPr>
            <w:tcW w:w="1419" w:type="dxa"/>
            <w:tcBorders>
              <w:bottom w:val="single" w:sz="4" w:space="0" w:color="auto"/>
            </w:tcBorders>
          </w:tcPr>
          <w:p w:rsidR="00000000" w:rsidRDefault="00000000">
            <w:pPr>
              <w:pStyle w:val="a6"/>
            </w:pPr>
            <w:r>
              <w:t>49,5</w:t>
            </w:r>
          </w:p>
        </w:tc>
        <w:tc>
          <w:tcPr>
            <w:tcW w:w="1414" w:type="dxa"/>
            <w:tcBorders>
              <w:bottom w:val="single" w:sz="4" w:space="0" w:color="auto"/>
            </w:tcBorders>
          </w:tcPr>
          <w:p w:rsidR="00000000" w:rsidRDefault="00000000">
            <w:pPr>
              <w:pStyle w:val="a6"/>
            </w:pPr>
            <w:r>
              <w:t>50,5</w:t>
            </w:r>
          </w:p>
        </w:tc>
      </w:tr>
    </w:tbl>
    <w:p w:rsidR="00000000" w:rsidRDefault="00000000">
      <w:pPr>
        <w:pStyle w:val="BodyText"/>
        <w:spacing w:after="120"/>
        <w:rPr>
          <w:b/>
          <w:i/>
          <w:u w:val="single"/>
        </w:rPr>
      </w:pPr>
    </w:p>
    <w:p w:rsidR="00000000" w:rsidRDefault="00000000">
      <w:pPr>
        <w:pStyle w:val="BodyText"/>
        <w:rPr>
          <w:b/>
          <w:i/>
        </w:rPr>
      </w:pPr>
      <w:r>
        <w:br w:type="page"/>
        <w:t>12.</w:t>
      </w:r>
      <w:r>
        <w:tab/>
      </w:r>
      <w:r>
        <w:rPr>
          <w:b/>
          <w:i/>
        </w:rPr>
        <w:t>Старшие должностные лица в организациях государственного сектора и учреждениях с разбивкой по отделениям и полу, 1998–2002 годы (в процентах)</w:t>
      </w:r>
    </w:p>
    <w:tbl>
      <w:tblPr>
        <w:tblW w:w="0" w:type="auto"/>
        <w:tblInd w:w="3" w:type="dxa"/>
        <w:tblLayout w:type="fixed"/>
        <w:tblCellMar>
          <w:left w:w="56" w:type="dxa"/>
          <w:right w:w="56" w:type="dxa"/>
        </w:tblCellMar>
        <w:tblLook w:val="0000" w:firstRow="0" w:lastRow="0" w:firstColumn="0" w:lastColumn="0" w:noHBand="0" w:noVBand="0"/>
      </w:tblPr>
      <w:tblGrid>
        <w:gridCol w:w="908"/>
        <w:gridCol w:w="1416"/>
        <w:gridCol w:w="1418"/>
        <w:gridCol w:w="1419"/>
        <w:gridCol w:w="1419"/>
        <w:gridCol w:w="1419"/>
        <w:gridCol w:w="1414"/>
      </w:tblGrid>
      <w:tr w:rsidR="00000000">
        <w:tblPrEx>
          <w:tblCellMar>
            <w:top w:w="0" w:type="dxa"/>
            <w:bottom w:w="0" w:type="dxa"/>
          </w:tblCellMar>
        </w:tblPrEx>
        <w:tc>
          <w:tcPr>
            <w:tcW w:w="908" w:type="dxa"/>
            <w:tcBorders>
              <w:top w:val="single" w:sz="4" w:space="0" w:color="auto"/>
            </w:tcBorders>
          </w:tcPr>
          <w:p w:rsidR="00000000" w:rsidRDefault="00000000">
            <w:pPr>
              <w:pStyle w:val="a6"/>
              <w:rPr>
                <w:b/>
              </w:rPr>
            </w:pPr>
            <w:r>
              <w:rPr>
                <w:b/>
              </w:rPr>
              <w:t>Год</w:t>
            </w:r>
          </w:p>
        </w:tc>
        <w:tc>
          <w:tcPr>
            <w:tcW w:w="2834" w:type="dxa"/>
            <w:gridSpan w:val="2"/>
            <w:tcBorders>
              <w:top w:val="single" w:sz="4" w:space="0" w:color="auto"/>
              <w:bottom w:val="single" w:sz="4" w:space="0" w:color="auto"/>
            </w:tcBorders>
          </w:tcPr>
          <w:p w:rsidR="00000000" w:rsidRDefault="00000000">
            <w:pPr>
              <w:pStyle w:val="a6"/>
              <w:rPr>
                <w:b/>
              </w:rPr>
            </w:pPr>
            <w:r>
              <w:rPr>
                <w:b/>
              </w:rPr>
              <w:t>Управления</w:t>
            </w:r>
          </w:p>
        </w:tc>
        <w:tc>
          <w:tcPr>
            <w:tcW w:w="2838" w:type="dxa"/>
            <w:gridSpan w:val="2"/>
            <w:tcBorders>
              <w:top w:val="single" w:sz="4" w:space="0" w:color="auto"/>
              <w:bottom w:val="single" w:sz="4" w:space="0" w:color="auto"/>
            </w:tcBorders>
          </w:tcPr>
          <w:p w:rsidR="00000000" w:rsidRDefault="00000000">
            <w:pPr>
              <w:pStyle w:val="a6"/>
              <w:rPr>
                <w:b/>
              </w:rPr>
            </w:pPr>
            <w:r>
              <w:rPr>
                <w:b/>
              </w:rPr>
              <w:t>Департаменты</w:t>
            </w:r>
          </w:p>
        </w:tc>
        <w:tc>
          <w:tcPr>
            <w:tcW w:w="2833" w:type="dxa"/>
            <w:gridSpan w:val="2"/>
            <w:tcBorders>
              <w:top w:val="single" w:sz="4" w:space="0" w:color="auto"/>
              <w:bottom w:val="single" w:sz="4" w:space="0" w:color="auto"/>
            </w:tcBorders>
          </w:tcPr>
          <w:p w:rsidR="00000000" w:rsidRDefault="00000000">
            <w:pPr>
              <w:pStyle w:val="a6"/>
              <w:rPr>
                <w:b/>
              </w:rPr>
            </w:pPr>
            <w:r>
              <w:rPr>
                <w:b/>
              </w:rPr>
              <w:t>Автономные отделения</w:t>
            </w:r>
          </w:p>
        </w:tc>
      </w:tr>
      <w:tr w:rsidR="00000000">
        <w:tblPrEx>
          <w:tblCellMar>
            <w:top w:w="0" w:type="dxa"/>
            <w:bottom w:w="0" w:type="dxa"/>
          </w:tblCellMar>
        </w:tblPrEx>
        <w:tc>
          <w:tcPr>
            <w:tcW w:w="908" w:type="dxa"/>
            <w:tcBorders>
              <w:bottom w:val="single" w:sz="4" w:space="0" w:color="auto"/>
            </w:tcBorders>
          </w:tcPr>
          <w:p w:rsidR="00000000" w:rsidRDefault="00000000">
            <w:pPr>
              <w:pStyle w:val="a6"/>
              <w:rPr>
                <w:b/>
                <w:i/>
                <w:u w:val="single"/>
              </w:rPr>
            </w:pPr>
          </w:p>
        </w:tc>
        <w:tc>
          <w:tcPr>
            <w:tcW w:w="1416" w:type="dxa"/>
            <w:tcBorders>
              <w:top w:val="single" w:sz="4" w:space="0" w:color="auto"/>
              <w:bottom w:val="single" w:sz="4" w:space="0" w:color="auto"/>
            </w:tcBorders>
          </w:tcPr>
          <w:p w:rsidR="00000000" w:rsidRDefault="00000000">
            <w:pPr>
              <w:pStyle w:val="a6"/>
              <w:rPr>
                <w:b/>
              </w:rPr>
            </w:pPr>
            <w:r>
              <w:rPr>
                <w:b/>
              </w:rPr>
              <w:t>мужчины</w:t>
            </w:r>
          </w:p>
        </w:tc>
        <w:tc>
          <w:tcPr>
            <w:tcW w:w="1418" w:type="dxa"/>
            <w:tcBorders>
              <w:top w:val="single" w:sz="4" w:space="0" w:color="auto"/>
              <w:bottom w:val="single" w:sz="4" w:space="0" w:color="auto"/>
            </w:tcBorders>
          </w:tcPr>
          <w:p w:rsidR="00000000" w:rsidRDefault="00000000">
            <w:pPr>
              <w:pStyle w:val="a6"/>
              <w:rPr>
                <w:b/>
              </w:rPr>
            </w:pPr>
            <w:r>
              <w:rPr>
                <w:b/>
              </w:rPr>
              <w:t>женщины</w:t>
            </w:r>
          </w:p>
        </w:tc>
        <w:tc>
          <w:tcPr>
            <w:tcW w:w="1419" w:type="dxa"/>
            <w:tcBorders>
              <w:top w:val="single" w:sz="4" w:space="0" w:color="auto"/>
              <w:bottom w:val="single" w:sz="4" w:space="0" w:color="auto"/>
            </w:tcBorders>
          </w:tcPr>
          <w:p w:rsidR="00000000" w:rsidRDefault="00000000">
            <w:pPr>
              <w:pStyle w:val="a6"/>
              <w:rPr>
                <w:b/>
              </w:rPr>
            </w:pPr>
            <w:r>
              <w:rPr>
                <w:b/>
              </w:rPr>
              <w:t>мужчины</w:t>
            </w:r>
          </w:p>
        </w:tc>
        <w:tc>
          <w:tcPr>
            <w:tcW w:w="1419" w:type="dxa"/>
            <w:tcBorders>
              <w:top w:val="single" w:sz="4" w:space="0" w:color="auto"/>
              <w:bottom w:val="single" w:sz="4" w:space="0" w:color="auto"/>
            </w:tcBorders>
          </w:tcPr>
          <w:p w:rsidR="00000000" w:rsidRDefault="00000000">
            <w:pPr>
              <w:pStyle w:val="a6"/>
              <w:rPr>
                <w:b/>
              </w:rPr>
            </w:pPr>
            <w:r>
              <w:rPr>
                <w:b/>
              </w:rPr>
              <w:t>женщины</w:t>
            </w:r>
          </w:p>
        </w:tc>
        <w:tc>
          <w:tcPr>
            <w:tcW w:w="1419" w:type="dxa"/>
            <w:tcBorders>
              <w:top w:val="single" w:sz="4" w:space="0" w:color="auto"/>
              <w:bottom w:val="single" w:sz="4" w:space="0" w:color="auto"/>
            </w:tcBorders>
          </w:tcPr>
          <w:p w:rsidR="00000000" w:rsidRDefault="00000000">
            <w:pPr>
              <w:pStyle w:val="a6"/>
              <w:rPr>
                <w:b/>
              </w:rPr>
            </w:pPr>
            <w:r>
              <w:rPr>
                <w:b/>
              </w:rPr>
              <w:t>мужчины</w:t>
            </w:r>
          </w:p>
        </w:tc>
        <w:tc>
          <w:tcPr>
            <w:tcW w:w="1414" w:type="dxa"/>
            <w:tcBorders>
              <w:top w:val="single" w:sz="4" w:space="0" w:color="auto"/>
              <w:bottom w:val="single" w:sz="4" w:space="0" w:color="auto"/>
            </w:tcBorders>
          </w:tcPr>
          <w:p w:rsidR="00000000" w:rsidRDefault="00000000">
            <w:pPr>
              <w:pStyle w:val="a6"/>
              <w:rPr>
                <w:b/>
              </w:rPr>
            </w:pPr>
            <w:r>
              <w:rPr>
                <w:b/>
              </w:rPr>
              <w:t>женщины</w:t>
            </w:r>
          </w:p>
        </w:tc>
      </w:tr>
      <w:tr w:rsidR="00000000">
        <w:tblPrEx>
          <w:tblCellMar>
            <w:top w:w="0" w:type="dxa"/>
            <w:bottom w:w="0" w:type="dxa"/>
          </w:tblCellMar>
        </w:tblPrEx>
        <w:tc>
          <w:tcPr>
            <w:tcW w:w="908" w:type="dxa"/>
            <w:tcBorders>
              <w:top w:val="single" w:sz="4" w:space="0" w:color="auto"/>
            </w:tcBorders>
          </w:tcPr>
          <w:p w:rsidR="00000000" w:rsidRDefault="00000000">
            <w:pPr>
              <w:pStyle w:val="a7"/>
            </w:pPr>
            <w:r>
              <w:t>1998</w:t>
            </w:r>
          </w:p>
        </w:tc>
        <w:tc>
          <w:tcPr>
            <w:tcW w:w="1416" w:type="dxa"/>
            <w:tcBorders>
              <w:top w:val="single" w:sz="4" w:space="0" w:color="auto"/>
            </w:tcBorders>
          </w:tcPr>
          <w:p w:rsidR="00000000" w:rsidRDefault="00000000">
            <w:pPr>
              <w:pStyle w:val="a6"/>
            </w:pPr>
            <w:r>
              <w:t>44,1</w:t>
            </w:r>
          </w:p>
        </w:tc>
        <w:tc>
          <w:tcPr>
            <w:tcW w:w="1418" w:type="dxa"/>
            <w:tcBorders>
              <w:top w:val="single" w:sz="4" w:space="0" w:color="auto"/>
            </w:tcBorders>
          </w:tcPr>
          <w:p w:rsidR="00000000" w:rsidRDefault="00000000">
            <w:pPr>
              <w:pStyle w:val="a6"/>
            </w:pPr>
            <w:r>
              <w:t>55,9</w:t>
            </w:r>
          </w:p>
        </w:tc>
        <w:tc>
          <w:tcPr>
            <w:tcW w:w="1419" w:type="dxa"/>
            <w:tcBorders>
              <w:top w:val="single" w:sz="4" w:space="0" w:color="auto"/>
            </w:tcBorders>
          </w:tcPr>
          <w:p w:rsidR="00000000" w:rsidRDefault="00000000">
            <w:pPr>
              <w:pStyle w:val="a6"/>
            </w:pPr>
            <w:r>
              <w:t>27,9</w:t>
            </w:r>
          </w:p>
        </w:tc>
        <w:tc>
          <w:tcPr>
            <w:tcW w:w="1419" w:type="dxa"/>
            <w:tcBorders>
              <w:top w:val="single" w:sz="4" w:space="0" w:color="auto"/>
            </w:tcBorders>
          </w:tcPr>
          <w:p w:rsidR="00000000" w:rsidRDefault="00000000">
            <w:pPr>
              <w:pStyle w:val="a6"/>
            </w:pPr>
            <w:r>
              <w:t>72,1</w:t>
            </w:r>
          </w:p>
        </w:tc>
        <w:tc>
          <w:tcPr>
            <w:tcW w:w="1419" w:type="dxa"/>
            <w:tcBorders>
              <w:top w:val="single" w:sz="4" w:space="0" w:color="auto"/>
            </w:tcBorders>
          </w:tcPr>
          <w:p w:rsidR="00000000" w:rsidRDefault="00000000">
            <w:pPr>
              <w:pStyle w:val="a6"/>
            </w:pPr>
            <w:r>
              <w:t>37,6</w:t>
            </w:r>
          </w:p>
        </w:tc>
        <w:tc>
          <w:tcPr>
            <w:tcW w:w="1414" w:type="dxa"/>
            <w:tcBorders>
              <w:top w:val="single" w:sz="4" w:space="0" w:color="auto"/>
            </w:tcBorders>
          </w:tcPr>
          <w:p w:rsidR="00000000" w:rsidRDefault="00000000">
            <w:pPr>
              <w:pStyle w:val="a6"/>
            </w:pPr>
            <w:r>
              <w:t>62,4</w:t>
            </w:r>
          </w:p>
        </w:tc>
      </w:tr>
      <w:tr w:rsidR="00000000">
        <w:tblPrEx>
          <w:tblCellMar>
            <w:top w:w="0" w:type="dxa"/>
            <w:bottom w:w="0" w:type="dxa"/>
          </w:tblCellMar>
        </w:tblPrEx>
        <w:tc>
          <w:tcPr>
            <w:tcW w:w="908" w:type="dxa"/>
            <w:tcBorders>
              <w:bottom w:val="single" w:sz="4" w:space="0" w:color="auto"/>
            </w:tcBorders>
          </w:tcPr>
          <w:p w:rsidR="00000000" w:rsidRDefault="00000000">
            <w:pPr>
              <w:pStyle w:val="a7"/>
            </w:pPr>
            <w:r>
              <w:t>2002</w:t>
            </w:r>
          </w:p>
        </w:tc>
        <w:tc>
          <w:tcPr>
            <w:tcW w:w="1416" w:type="dxa"/>
            <w:tcBorders>
              <w:bottom w:val="single" w:sz="4" w:space="0" w:color="auto"/>
            </w:tcBorders>
          </w:tcPr>
          <w:p w:rsidR="00000000" w:rsidRDefault="00000000">
            <w:pPr>
              <w:pStyle w:val="a6"/>
            </w:pPr>
            <w:r>
              <w:t>28,8</w:t>
            </w:r>
          </w:p>
        </w:tc>
        <w:tc>
          <w:tcPr>
            <w:tcW w:w="1418" w:type="dxa"/>
            <w:tcBorders>
              <w:bottom w:val="single" w:sz="4" w:space="0" w:color="auto"/>
            </w:tcBorders>
          </w:tcPr>
          <w:p w:rsidR="00000000" w:rsidRDefault="00000000">
            <w:pPr>
              <w:pStyle w:val="a6"/>
            </w:pPr>
            <w:r>
              <w:t>71,2</w:t>
            </w:r>
          </w:p>
        </w:tc>
        <w:tc>
          <w:tcPr>
            <w:tcW w:w="1419" w:type="dxa"/>
            <w:tcBorders>
              <w:bottom w:val="single" w:sz="4" w:space="0" w:color="auto"/>
            </w:tcBorders>
          </w:tcPr>
          <w:p w:rsidR="00000000" w:rsidRDefault="00000000">
            <w:pPr>
              <w:pStyle w:val="a6"/>
            </w:pPr>
            <w:r>
              <w:t>28,4</w:t>
            </w:r>
          </w:p>
        </w:tc>
        <w:tc>
          <w:tcPr>
            <w:tcW w:w="1419" w:type="dxa"/>
            <w:tcBorders>
              <w:bottom w:val="single" w:sz="4" w:space="0" w:color="auto"/>
            </w:tcBorders>
          </w:tcPr>
          <w:p w:rsidR="00000000" w:rsidRDefault="00000000">
            <w:pPr>
              <w:pStyle w:val="a6"/>
            </w:pPr>
            <w:r>
              <w:t>71,6</w:t>
            </w:r>
          </w:p>
        </w:tc>
        <w:tc>
          <w:tcPr>
            <w:tcW w:w="1419" w:type="dxa"/>
            <w:tcBorders>
              <w:bottom w:val="single" w:sz="4" w:space="0" w:color="auto"/>
            </w:tcBorders>
          </w:tcPr>
          <w:p w:rsidR="00000000" w:rsidRDefault="00000000">
            <w:pPr>
              <w:pStyle w:val="a6"/>
            </w:pPr>
            <w:r>
              <w:t>39,8</w:t>
            </w:r>
          </w:p>
        </w:tc>
        <w:tc>
          <w:tcPr>
            <w:tcW w:w="1414" w:type="dxa"/>
            <w:tcBorders>
              <w:bottom w:val="single" w:sz="4" w:space="0" w:color="auto"/>
            </w:tcBorders>
          </w:tcPr>
          <w:p w:rsidR="00000000" w:rsidRDefault="00000000">
            <w:pPr>
              <w:pStyle w:val="a6"/>
            </w:pPr>
            <w:r>
              <w:t>60,2</w:t>
            </w:r>
          </w:p>
        </w:tc>
      </w:tr>
    </w:tbl>
    <w:p w:rsidR="00000000" w:rsidRDefault="00000000">
      <w:pPr>
        <w:pStyle w:val="BodyText"/>
      </w:pPr>
    </w:p>
    <w:p w:rsidR="00000000" w:rsidRDefault="00000000">
      <w:pPr>
        <w:pStyle w:val="BodyText"/>
        <w:rPr>
          <w:b/>
          <w:i/>
        </w:rPr>
      </w:pPr>
      <w:r>
        <w:t>13.</w:t>
      </w:r>
      <w:r>
        <w:tab/>
      </w:r>
      <w:r>
        <w:rPr>
          <w:b/>
          <w:i/>
        </w:rPr>
        <w:t>Руководители органов местного самоуправления с разбивкой по отделениям и полу, 1998–2002 годы (в процентах)</w:t>
      </w:r>
    </w:p>
    <w:tbl>
      <w:tblPr>
        <w:tblW w:w="0" w:type="auto"/>
        <w:tblInd w:w="3" w:type="dxa"/>
        <w:tblLayout w:type="fixed"/>
        <w:tblCellMar>
          <w:left w:w="56" w:type="dxa"/>
          <w:right w:w="56" w:type="dxa"/>
        </w:tblCellMar>
        <w:tblLook w:val="0000" w:firstRow="0" w:lastRow="0" w:firstColumn="0" w:lastColumn="0" w:noHBand="0" w:noVBand="0"/>
      </w:tblPr>
      <w:tblGrid>
        <w:gridCol w:w="908"/>
        <w:gridCol w:w="1416"/>
        <w:gridCol w:w="1418"/>
        <w:gridCol w:w="1419"/>
        <w:gridCol w:w="1419"/>
        <w:gridCol w:w="1419"/>
        <w:gridCol w:w="1414"/>
      </w:tblGrid>
      <w:tr w:rsidR="00000000">
        <w:tblPrEx>
          <w:tblCellMar>
            <w:top w:w="0" w:type="dxa"/>
            <w:bottom w:w="0" w:type="dxa"/>
          </w:tblCellMar>
        </w:tblPrEx>
        <w:tc>
          <w:tcPr>
            <w:tcW w:w="908" w:type="dxa"/>
            <w:tcBorders>
              <w:top w:val="single" w:sz="4" w:space="0" w:color="auto"/>
            </w:tcBorders>
          </w:tcPr>
          <w:p w:rsidR="00000000" w:rsidRDefault="00000000">
            <w:pPr>
              <w:pStyle w:val="a6"/>
              <w:rPr>
                <w:b/>
              </w:rPr>
            </w:pPr>
            <w:r>
              <w:rPr>
                <w:b/>
              </w:rPr>
              <w:t>Год</w:t>
            </w:r>
          </w:p>
        </w:tc>
        <w:tc>
          <w:tcPr>
            <w:tcW w:w="2834" w:type="dxa"/>
            <w:gridSpan w:val="2"/>
            <w:tcBorders>
              <w:top w:val="single" w:sz="4" w:space="0" w:color="auto"/>
              <w:bottom w:val="single" w:sz="4" w:space="0" w:color="auto"/>
            </w:tcBorders>
          </w:tcPr>
          <w:p w:rsidR="00000000" w:rsidRDefault="00000000">
            <w:pPr>
              <w:pStyle w:val="a6"/>
              <w:rPr>
                <w:b/>
              </w:rPr>
            </w:pPr>
            <w:r>
              <w:rPr>
                <w:b/>
              </w:rPr>
              <w:t>Управления</w:t>
            </w:r>
          </w:p>
        </w:tc>
        <w:tc>
          <w:tcPr>
            <w:tcW w:w="2838" w:type="dxa"/>
            <w:gridSpan w:val="2"/>
            <w:tcBorders>
              <w:top w:val="single" w:sz="4" w:space="0" w:color="auto"/>
              <w:bottom w:val="single" w:sz="4" w:space="0" w:color="auto"/>
            </w:tcBorders>
          </w:tcPr>
          <w:p w:rsidR="00000000" w:rsidRDefault="00000000">
            <w:pPr>
              <w:pStyle w:val="a6"/>
              <w:rPr>
                <w:b/>
              </w:rPr>
            </w:pPr>
            <w:r>
              <w:rPr>
                <w:b/>
              </w:rPr>
              <w:t>Департаменты</w:t>
            </w:r>
          </w:p>
        </w:tc>
        <w:tc>
          <w:tcPr>
            <w:tcW w:w="2833" w:type="dxa"/>
            <w:gridSpan w:val="2"/>
            <w:tcBorders>
              <w:top w:val="single" w:sz="4" w:space="0" w:color="auto"/>
              <w:bottom w:val="single" w:sz="4" w:space="0" w:color="auto"/>
            </w:tcBorders>
          </w:tcPr>
          <w:p w:rsidR="00000000" w:rsidRDefault="00000000">
            <w:pPr>
              <w:pStyle w:val="a6"/>
              <w:rPr>
                <w:b/>
              </w:rPr>
            </w:pPr>
            <w:r>
              <w:rPr>
                <w:b/>
              </w:rPr>
              <w:t>Автономные отделения</w:t>
            </w:r>
          </w:p>
        </w:tc>
      </w:tr>
      <w:tr w:rsidR="00000000">
        <w:tblPrEx>
          <w:tblCellMar>
            <w:top w:w="0" w:type="dxa"/>
            <w:bottom w:w="0" w:type="dxa"/>
          </w:tblCellMar>
        </w:tblPrEx>
        <w:tc>
          <w:tcPr>
            <w:tcW w:w="908" w:type="dxa"/>
            <w:tcBorders>
              <w:bottom w:val="single" w:sz="4" w:space="0" w:color="auto"/>
            </w:tcBorders>
          </w:tcPr>
          <w:p w:rsidR="00000000" w:rsidRDefault="00000000">
            <w:pPr>
              <w:pStyle w:val="a6"/>
              <w:rPr>
                <w:b/>
                <w:i/>
                <w:u w:val="single"/>
              </w:rPr>
            </w:pPr>
          </w:p>
        </w:tc>
        <w:tc>
          <w:tcPr>
            <w:tcW w:w="1416" w:type="dxa"/>
            <w:tcBorders>
              <w:top w:val="single" w:sz="4" w:space="0" w:color="auto"/>
              <w:bottom w:val="single" w:sz="4" w:space="0" w:color="auto"/>
            </w:tcBorders>
          </w:tcPr>
          <w:p w:rsidR="00000000" w:rsidRDefault="00000000">
            <w:pPr>
              <w:pStyle w:val="a6"/>
              <w:rPr>
                <w:b/>
              </w:rPr>
            </w:pPr>
            <w:r>
              <w:rPr>
                <w:b/>
              </w:rPr>
              <w:t>мужчины</w:t>
            </w:r>
          </w:p>
        </w:tc>
        <w:tc>
          <w:tcPr>
            <w:tcW w:w="1418" w:type="dxa"/>
            <w:tcBorders>
              <w:top w:val="single" w:sz="4" w:space="0" w:color="auto"/>
              <w:bottom w:val="single" w:sz="4" w:space="0" w:color="auto"/>
            </w:tcBorders>
          </w:tcPr>
          <w:p w:rsidR="00000000" w:rsidRDefault="00000000">
            <w:pPr>
              <w:pStyle w:val="a6"/>
              <w:rPr>
                <w:b/>
              </w:rPr>
            </w:pPr>
            <w:r>
              <w:rPr>
                <w:b/>
              </w:rPr>
              <w:t>женщины</w:t>
            </w:r>
          </w:p>
        </w:tc>
        <w:tc>
          <w:tcPr>
            <w:tcW w:w="1419" w:type="dxa"/>
            <w:tcBorders>
              <w:top w:val="single" w:sz="4" w:space="0" w:color="auto"/>
              <w:bottom w:val="single" w:sz="4" w:space="0" w:color="auto"/>
            </w:tcBorders>
          </w:tcPr>
          <w:p w:rsidR="00000000" w:rsidRDefault="00000000">
            <w:pPr>
              <w:pStyle w:val="a6"/>
              <w:rPr>
                <w:b/>
              </w:rPr>
            </w:pPr>
            <w:r>
              <w:rPr>
                <w:b/>
              </w:rPr>
              <w:t>мужчины</w:t>
            </w:r>
          </w:p>
        </w:tc>
        <w:tc>
          <w:tcPr>
            <w:tcW w:w="1419" w:type="dxa"/>
            <w:tcBorders>
              <w:top w:val="single" w:sz="4" w:space="0" w:color="auto"/>
              <w:bottom w:val="single" w:sz="4" w:space="0" w:color="auto"/>
            </w:tcBorders>
          </w:tcPr>
          <w:p w:rsidR="00000000" w:rsidRDefault="00000000">
            <w:pPr>
              <w:pStyle w:val="a6"/>
              <w:rPr>
                <w:b/>
              </w:rPr>
            </w:pPr>
            <w:r>
              <w:rPr>
                <w:b/>
              </w:rPr>
              <w:t>женщины</w:t>
            </w:r>
          </w:p>
        </w:tc>
        <w:tc>
          <w:tcPr>
            <w:tcW w:w="1419" w:type="dxa"/>
            <w:tcBorders>
              <w:top w:val="single" w:sz="4" w:space="0" w:color="auto"/>
              <w:bottom w:val="single" w:sz="4" w:space="0" w:color="auto"/>
            </w:tcBorders>
          </w:tcPr>
          <w:p w:rsidR="00000000" w:rsidRDefault="00000000">
            <w:pPr>
              <w:pStyle w:val="a6"/>
              <w:rPr>
                <w:b/>
              </w:rPr>
            </w:pPr>
            <w:r>
              <w:rPr>
                <w:b/>
              </w:rPr>
              <w:t>мужчины</w:t>
            </w:r>
          </w:p>
        </w:tc>
        <w:tc>
          <w:tcPr>
            <w:tcW w:w="1414" w:type="dxa"/>
            <w:tcBorders>
              <w:top w:val="single" w:sz="4" w:space="0" w:color="auto"/>
              <w:bottom w:val="single" w:sz="4" w:space="0" w:color="auto"/>
            </w:tcBorders>
          </w:tcPr>
          <w:p w:rsidR="00000000" w:rsidRDefault="00000000">
            <w:pPr>
              <w:pStyle w:val="a6"/>
              <w:rPr>
                <w:b/>
              </w:rPr>
            </w:pPr>
            <w:r>
              <w:rPr>
                <w:b/>
              </w:rPr>
              <w:t>женщины</w:t>
            </w:r>
          </w:p>
        </w:tc>
      </w:tr>
      <w:tr w:rsidR="00000000">
        <w:tblPrEx>
          <w:tblCellMar>
            <w:top w:w="0" w:type="dxa"/>
            <w:bottom w:w="0" w:type="dxa"/>
          </w:tblCellMar>
        </w:tblPrEx>
        <w:tc>
          <w:tcPr>
            <w:tcW w:w="908" w:type="dxa"/>
            <w:tcBorders>
              <w:bottom w:val="single" w:sz="4" w:space="0" w:color="auto"/>
            </w:tcBorders>
          </w:tcPr>
          <w:p w:rsidR="00000000" w:rsidRDefault="00000000">
            <w:pPr>
              <w:pStyle w:val="a7"/>
            </w:pPr>
            <w:r>
              <w:t>2002</w:t>
            </w:r>
          </w:p>
        </w:tc>
        <w:tc>
          <w:tcPr>
            <w:tcW w:w="1416" w:type="dxa"/>
            <w:tcBorders>
              <w:bottom w:val="single" w:sz="4" w:space="0" w:color="auto"/>
            </w:tcBorders>
          </w:tcPr>
          <w:p w:rsidR="00000000" w:rsidRDefault="00000000">
            <w:pPr>
              <w:pStyle w:val="a6"/>
            </w:pPr>
            <w:r>
              <w:t>64,50</w:t>
            </w:r>
          </w:p>
        </w:tc>
        <w:tc>
          <w:tcPr>
            <w:tcW w:w="1418" w:type="dxa"/>
            <w:tcBorders>
              <w:bottom w:val="single" w:sz="4" w:space="0" w:color="auto"/>
            </w:tcBorders>
          </w:tcPr>
          <w:p w:rsidR="00000000" w:rsidRDefault="00000000">
            <w:pPr>
              <w:pStyle w:val="a6"/>
            </w:pPr>
            <w:r>
              <w:t>35,50</w:t>
            </w:r>
          </w:p>
        </w:tc>
        <w:tc>
          <w:tcPr>
            <w:tcW w:w="1419" w:type="dxa"/>
            <w:tcBorders>
              <w:bottom w:val="single" w:sz="4" w:space="0" w:color="auto"/>
            </w:tcBorders>
          </w:tcPr>
          <w:p w:rsidR="00000000" w:rsidRDefault="00000000">
            <w:pPr>
              <w:pStyle w:val="a6"/>
            </w:pPr>
            <w:r>
              <w:t>56,78</w:t>
            </w:r>
          </w:p>
        </w:tc>
        <w:tc>
          <w:tcPr>
            <w:tcW w:w="1419" w:type="dxa"/>
            <w:tcBorders>
              <w:bottom w:val="single" w:sz="4" w:space="0" w:color="auto"/>
            </w:tcBorders>
          </w:tcPr>
          <w:p w:rsidR="00000000" w:rsidRDefault="00000000">
            <w:pPr>
              <w:pStyle w:val="a6"/>
            </w:pPr>
            <w:r>
              <w:t>43,22</w:t>
            </w:r>
          </w:p>
        </w:tc>
        <w:tc>
          <w:tcPr>
            <w:tcW w:w="1419" w:type="dxa"/>
            <w:tcBorders>
              <w:bottom w:val="single" w:sz="4" w:space="0" w:color="auto"/>
            </w:tcBorders>
          </w:tcPr>
          <w:p w:rsidR="00000000" w:rsidRDefault="00000000">
            <w:pPr>
              <w:pStyle w:val="a6"/>
            </w:pPr>
            <w:r>
              <w:t>59,91</w:t>
            </w:r>
          </w:p>
        </w:tc>
        <w:tc>
          <w:tcPr>
            <w:tcW w:w="1414" w:type="dxa"/>
            <w:tcBorders>
              <w:bottom w:val="single" w:sz="4" w:space="0" w:color="auto"/>
            </w:tcBorders>
          </w:tcPr>
          <w:p w:rsidR="00000000" w:rsidRDefault="00000000">
            <w:pPr>
              <w:pStyle w:val="a6"/>
            </w:pPr>
            <w:r>
              <w:t>40,09</w:t>
            </w:r>
          </w:p>
        </w:tc>
      </w:tr>
    </w:tbl>
    <w:p w:rsidR="00000000" w:rsidRDefault="00000000">
      <w:pPr>
        <w:pStyle w:val="BodyText"/>
        <w:spacing w:before="120"/>
        <w:ind w:left="0" w:firstLine="0"/>
        <w:rPr>
          <w:sz w:val="20"/>
        </w:rPr>
      </w:pPr>
      <w:r>
        <w:rPr>
          <w:i/>
          <w:spacing w:val="-2"/>
          <w:sz w:val="20"/>
        </w:rPr>
        <w:t>Источники:</w:t>
      </w:r>
      <w:r>
        <w:rPr>
          <w:spacing w:val="-2"/>
          <w:sz w:val="20"/>
        </w:rPr>
        <w:t xml:space="preserve"> Министерство внутренних дел, государственной администрации и децентрализации/Генеральный</w:t>
      </w:r>
      <w:r>
        <w:rPr>
          <w:sz w:val="20"/>
        </w:rPr>
        <w:t xml:space="preserve"> секретариат по вопросам государственной администрации;</w:t>
      </w:r>
      <w:r>
        <w:rPr>
          <w:sz w:val="20"/>
        </w:rPr>
        <w:tab/>
      </w:r>
      <w:r>
        <w:rPr>
          <w:sz w:val="20"/>
        </w:rPr>
        <w:br/>
        <w:t>Бюллетень статистических данных о работниках государственного сектора, 1999, 2003 годы.</w:t>
      </w:r>
    </w:p>
    <w:p w:rsidR="00000000" w:rsidRDefault="00000000">
      <w:pPr>
        <w:pStyle w:val="BodyText"/>
        <w:spacing w:before="120"/>
        <w:jc w:val="center"/>
        <w:rPr>
          <w:b/>
        </w:rPr>
      </w:pPr>
      <w:r>
        <w:rPr>
          <w:b/>
          <w:lang w:val="en-US"/>
        </w:rPr>
        <w:t>IV</w:t>
      </w:r>
      <w:r>
        <w:rPr>
          <w:b/>
        </w:rPr>
        <w:t>.  Участие женщин в судебных органах</w:t>
      </w:r>
    </w:p>
    <w:p w:rsidR="00000000" w:rsidRDefault="00000000">
      <w:pPr>
        <w:pStyle w:val="BodyText"/>
        <w:rPr>
          <w:i/>
        </w:rPr>
      </w:pPr>
      <w:r>
        <w:t>14.</w:t>
      </w:r>
      <w:r>
        <w:tab/>
      </w:r>
      <w:r>
        <w:rPr>
          <w:b/>
          <w:i/>
        </w:rPr>
        <w:t>Государственный совет</w:t>
      </w:r>
      <w:r>
        <w:t xml:space="preserve"> </w:t>
      </w:r>
    </w:p>
    <w:tbl>
      <w:tblPr>
        <w:tblW w:w="0" w:type="auto"/>
        <w:tblInd w:w="3" w:type="dxa"/>
        <w:tblLayout w:type="fixed"/>
        <w:tblCellMar>
          <w:left w:w="56" w:type="dxa"/>
          <w:right w:w="56" w:type="dxa"/>
        </w:tblCellMar>
        <w:tblLook w:val="0000" w:firstRow="0" w:lastRow="0" w:firstColumn="0" w:lastColumn="0" w:noHBand="0" w:noVBand="0"/>
      </w:tblPr>
      <w:tblGrid>
        <w:gridCol w:w="850"/>
        <w:gridCol w:w="2268"/>
        <w:gridCol w:w="1559"/>
        <w:gridCol w:w="3260"/>
        <w:gridCol w:w="1474"/>
      </w:tblGrid>
      <w:tr w:rsidR="00000000">
        <w:tblPrEx>
          <w:tblCellMar>
            <w:top w:w="0" w:type="dxa"/>
            <w:bottom w:w="0" w:type="dxa"/>
          </w:tblCellMar>
        </w:tblPrEx>
        <w:trPr>
          <w:cantSplit/>
        </w:trPr>
        <w:tc>
          <w:tcPr>
            <w:tcW w:w="7937" w:type="dxa"/>
            <w:gridSpan w:val="4"/>
            <w:tcBorders>
              <w:bottom w:val="single" w:sz="4" w:space="0" w:color="auto"/>
            </w:tcBorders>
          </w:tcPr>
          <w:p w:rsidR="00000000" w:rsidRDefault="00000000">
            <w:pPr>
              <w:pStyle w:val="a6"/>
              <w:rPr>
                <w:b/>
                <w:i/>
                <w:u w:val="single"/>
              </w:rPr>
            </w:pPr>
            <w:r>
              <w:rPr>
                <w:b/>
              </w:rPr>
              <w:t>Заместители председателя</w:t>
            </w:r>
          </w:p>
        </w:tc>
        <w:tc>
          <w:tcPr>
            <w:tcW w:w="1474" w:type="dxa"/>
          </w:tcPr>
          <w:p w:rsidR="00000000" w:rsidRDefault="00000000">
            <w:pPr>
              <w:pStyle w:val="a6"/>
              <w:rPr>
                <w:b/>
                <w:i/>
                <w:u w:val="single"/>
              </w:rPr>
            </w:pPr>
          </w:p>
        </w:tc>
      </w:tr>
      <w:tr w:rsidR="00000000">
        <w:tblPrEx>
          <w:tblCellMar>
            <w:top w:w="0" w:type="dxa"/>
            <w:bottom w:w="0" w:type="dxa"/>
          </w:tblCellMar>
        </w:tblPrEx>
        <w:trPr>
          <w:cantSplit/>
        </w:trPr>
        <w:tc>
          <w:tcPr>
            <w:tcW w:w="850" w:type="dxa"/>
            <w:tcBorders>
              <w:top w:val="single" w:sz="4" w:space="0" w:color="auto"/>
              <w:bottom w:val="single" w:sz="4" w:space="0" w:color="auto"/>
            </w:tcBorders>
          </w:tcPr>
          <w:p w:rsidR="00000000" w:rsidRDefault="00000000">
            <w:pPr>
              <w:pStyle w:val="a6"/>
              <w:rPr>
                <w:b/>
                <w:i/>
                <w:u w:val="single"/>
              </w:rPr>
            </w:pPr>
            <w:r>
              <w:rPr>
                <w:b/>
              </w:rPr>
              <w:t>Год</w:t>
            </w:r>
          </w:p>
        </w:tc>
        <w:tc>
          <w:tcPr>
            <w:tcW w:w="2268" w:type="dxa"/>
            <w:tcBorders>
              <w:top w:val="single" w:sz="4" w:space="0" w:color="auto"/>
              <w:bottom w:val="single" w:sz="4" w:space="0" w:color="auto"/>
            </w:tcBorders>
          </w:tcPr>
          <w:p w:rsidR="00000000" w:rsidRDefault="00000000">
            <w:pPr>
              <w:pStyle w:val="a6"/>
              <w:rPr>
                <w:b/>
              </w:rPr>
            </w:pPr>
            <w:r>
              <w:rPr>
                <w:b/>
              </w:rPr>
              <w:t>Штатные должности</w:t>
            </w:r>
          </w:p>
        </w:tc>
        <w:tc>
          <w:tcPr>
            <w:tcW w:w="1559" w:type="dxa"/>
            <w:tcBorders>
              <w:top w:val="single" w:sz="4" w:space="0" w:color="auto"/>
              <w:bottom w:val="single" w:sz="4" w:space="0" w:color="auto"/>
            </w:tcBorders>
          </w:tcPr>
          <w:p w:rsidR="00000000" w:rsidRDefault="00000000">
            <w:pPr>
              <w:pStyle w:val="a6"/>
              <w:rPr>
                <w:b/>
              </w:rPr>
            </w:pPr>
            <w:r>
              <w:rPr>
                <w:b/>
              </w:rPr>
              <w:t>Женщины</w:t>
            </w:r>
          </w:p>
        </w:tc>
        <w:tc>
          <w:tcPr>
            <w:tcW w:w="3260" w:type="dxa"/>
            <w:tcBorders>
              <w:top w:val="single" w:sz="4" w:space="0" w:color="auto"/>
              <w:bottom w:val="single" w:sz="4" w:space="0" w:color="auto"/>
            </w:tcBorders>
          </w:tcPr>
          <w:p w:rsidR="00000000" w:rsidRDefault="00000000">
            <w:pPr>
              <w:pStyle w:val="a6"/>
              <w:rPr>
                <w:b/>
              </w:rPr>
            </w:pPr>
            <w:r>
              <w:rPr>
                <w:b/>
              </w:rPr>
              <w:t>Доля женщин (в процентах)</w:t>
            </w:r>
          </w:p>
        </w:tc>
        <w:tc>
          <w:tcPr>
            <w:tcW w:w="1474" w:type="dxa"/>
          </w:tcPr>
          <w:p w:rsidR="00000000" w:rsidRDefault="00000000">
            <w:pPr>
              <w:pStyle w:val="a6"/>
              <w:rPr>
                <w:b/>
                <w:i/>
                <w:u w:val="single"/>
              </w:rPr>
            </w:pPr>
          </w:p>
        </w:tc>
      </w:tr>
      <w:tr w:rsidR="00000000">
        <w:tblPrEx>
          <w:tblCellMar>
            <w:top w:w="0" w:type="dxa"/>
            <w:bottom w:w="0" w:type="dxa"/>
          </w:tblCellMar>
        </w:tblPrEx>
        <w:trPr>
          <w:cantSplit/>
        </w:trPr>
        <w:tc>
          <w:tcPr>
            <w:tcW w:w="850" w:type="dxa"/>
            <w:tcBorders>
              <w:top w:val="single" w:sz="4" w:space="0" w:color="auto"/>
            </w:tcBorders>
          </w:tcPr>
          <w:p w:rsidR="00000000" w:rsidRDefault="00000000">
            <w:pPr>
              <w:pStyle w:val="a7"/>
            </w:pPr>
            <w:r>
              <w:t xml:space="preserve">2000 </w:t>
            </w:r>
          </w:p>
        </w:tc>
        <w:tc>
          <w:tcPr>
            <w:tcW w:w="2268" w:type="dxa"/>
            <w:tcBorders>
              <w:top w:val="single" w:sz="4" w:space="0" w:color="auto"/>
            </w:tcBorders>
          </w:tcPr>
          <w:p w:rsidR="00000000" w:rsidRDefault="00000000">
            <w:pPr>
              <w:pStyle w:val="a6"/>
            </w:pPr>
            <w:r>
              <w:t>42</w:t>
            </w:r>
          </w:p>
        </w:tc>
        <w:tc>
          <w:tcPr>
            <w:tcW w:w="1559" w:type="dxa"/>
            <w:tcBorders>
              <w:top w:val="single" w:sz="4" w:space="0" w:color="auto"/>
            </w:tcBorders>
          </w:tcPr>
          <w:p w:rsidR="00000000" w:rsidRDefault="00000000">
            <w:pPr>
              <w:pStyle w:val="a6"/>
            </w:pPr>
            <w:r>
              <w:t>8</w:t>
            </w:r>
          </w:p>
        </w:tc>
        <w:tc>
          <w:tcPr>
            <w:tcW w:w="3260" w:type="dxa"/>
            <w:tcBorders>
              <w:top w:val="single" w:sz="4" w:space="0" w:color="auto"/>
            </w:tcBorders>
          </w:tcPr>
          <w:p w:rsidR="00000000" w:rsidRDefault="00000000">
            <w:pPr>
              <w:pStyle w:val="a6"/>
            </w:pPr>
            <w:r>
              <w:t>19</w:t>
            </w:r>
          </w:p>
        </w:tc>
        <w:tc>
          <w:tcPr>
            <w:tcW w:w="1474" w:type="dxa"/>
          </w:tcPr>
          <w:p w:rsidR="00000000" w:rsidRDefault="00000000">
            <w:pPr>
              <w:pStyle w:val="a6"/>
              <w:rPr>
                <w:i/>
                <w:u w:val="single"/>
              </w:rPr>
            </w:pPr>
          </w:p>
        </w:tc>
      </w:tr>
      <w:tr w:rsidR="00000000">
        <w:tblPrEx>
          <w:tblCellMar>
            <w:top w:w="0" w:type="dxa"/>
            <w:bottom w:w="0" w:type="dxa"/>
          </w:tblCellMar>
        </w:tblPrEx>
        <w:trPr>
          <w:cantSplit/>
        </w:trPr>
        <w:tc>
          <w:tcPr>
            <w:tcW w:w="850" w:type="dxa"/>
            <w:tcBorders>
              <w:bottom w:val="single" w:sz="4" w:space="0" w:color="auto"/>
            </w:tcBorders>
          </w:tcPr>
          <w:p w:rsidR="00000000" w:rsidRDefault="00000000">
            <w:pPr>
              <w:pStyle w:val="a7"/>
            </w:pPr>
            <w:r>
              <w:t xml:space="preserve">2004 </w:t>
            </w:r>
          </w:p>
        </w:tc>
        <w:tc>
          <w:tcPr>
            <w:tcW w:w="2268" w:type="dxa"/>
            <w:tcBorders>
              <w:bottom w:val="single" w:sz="4" w:space="0" w:color="auto"/>
            </w:tcBorders>
          </w:tcPr>
          <w:p w:rsidR="00000000" w:rsidRDefault="00000000">
            <w:pPr>
              <w:pStyle w:val="a6"/>
            </w:pPr>
            <w:r>
              <w:t>46</w:t>
            </w:r>
          </w:p>
        </w:tc>
        <w:tc>
          <w:tcPr>
            <w:tcW w:w="1559" w:type="dxa"/>
            <w:tcBorders>
              <w:bottom w:val="single" w:sz="4" w:space="0" w:color="auto"/>
            </w:tcBorders>
          </w:tcPr>
          <w:p w:rsidR="00000000" w:rsidRDefault="00000000">
            <w:pPr>
              <w:pStyle w:val="a6"/>
            </w:pPr>
            <w:r>
              <w:t>11</w:t>
            </w:r>
          </w:p>
        </w:tc>
        <w:tc>
          <w:tcPr>
            <w:tcW w:w="3260" w:type="dxa"/>
            <w:tcBorders>
              <w:bottom w:val="single" w:sz="4" w:space="0" w:color="auto"/>
            </w:tcBorders>
          </w:tcPr>
          <w:p w:rsidR="00000000" w:rsidRDefault="00000000">
            <w:pPr>
              <w:pStyle w:val="a6"/>
            </w:pPr>
            <w:r>
              <w:t>24</w:t>
            </w:r>
          </w:p>
        </w:tc>
        <w:tc>
          <w:tcPr>
            <w:tcW w:w="1474" w:type="dxa"/>
          </w:tcPr>
          <w:p w:rsidR="00000000" w:rsidRDefault="00000000">
            <w:pPr>
              <w:pStyle w:val="a6"/>
              <w:rPr>
                <w:i/>
                <w:u w:val="single"/>
              </w:rPr>
            </w:pPr>
          </w:p>
        </w:tc>
      </w:tr>
      <w:tr w:rsidR="00000000">
        <w:tblPrEx>
          <w:tblCellMar>
            <w:top w:w="0" w:type="dxa"/>
            <w:bottom w:w="0" w:type="dxa"/>
          </w:tblCellMar>
        </w:tblPrEx>
        <w:trPr>
          <w:cantSplit/>
        </w:trPr>
        <w:tc>
          <w:tcPr>
            <w:tcW w:w="7937" w:type="dxa"/>
            <w:gridSpan w:val="4"/>
            <w:tcBorders>
              <w:top w:val="single" w:sz="4" w:space="0" w:color="auto"/>
              <w:bottom w:val="single" w:sz="4" w:space="0" w:color="auto"/>
            </w:tcBorders>
          </w:tcPr>
          <w:p w:rsidR="00000000" w:rsidRDefault="00000000">
            <w:pPr>
              <w:pStyle w:val="a6"/>
              <w:spacing w:before="240"/>
              <w:rPr>
                <w:b/>
              </w:rPr>
            </w:pPr>
            <w:r>
              <w:rPr>
                <w:b/>
              </w:rPr>
              <w:t xml:space="preserve">Асессоры государственного совета </w:t>
            </w:r>
          </w:p>
        </w:tc>
        <w:tc>
          <w:tcPr>
            <w:tcW w:w="1474" w:type="dxa"/>
          </w:tcPr>
          <w:p w:rsidR="00000000" w:rsidRDefault="00000000">
            <w:pPr>
              <w:pStyle w:val="a6"/>
              <w:spacing w:before="240"/>
              <w:rPr>
                <w:b/>
                <w:i/>
                <w:u w:val="single"/>
              </w:rPr>
            </w:pPr>
          </w:p>
        </w:tc>
      </w:tr>
      <w:tr w:rsidR="00000000">
        <w:tblPrEx>
          <w:tblCellMar>
            <w:top w:w="0" w:type="dxa"/>
            <w:bottom w:w="0" w:type="dxa"/>
          </w:tblCellMar>
        </w:tblPrEx>
        <w:trPr>
          <w:cantSplit/>
        </w:trPr>
        <w:tc>
          <w:tcPr>
            <w:tcW w:w="850" w:type="dxa"/>
            <w:tcBorders>
              <w:top w:val="single" w:sz="4" w:space="0" w:color="auto"/>
              <w:bottom w:val="single" w:sz="4" w:space="0" w:color="auto"/>
            </w:tcBorders>
          </w:tcPr>
          <w:p w:rsidR="00000000" w:rsidRDefault="00000000">
            <w:pPr>
              <w:pStyle w:val="a6"/>
              <w:rPr>
                <w:b/>
                <w:i/>
                <w:u w:val="single"/>
              </w:rPr>
            </w:pPr>
            <w:r>
              <w:rPr>
                <w:b/>
              </w:rPr>
              <w:t>Год</w:t>
            </w:r>
          </w:p>
        </w:tc>
        <w:tc>
          <w:tcPr>
            <w:tcW w:w="2268" w:type="dxa"/>
            <w:tcBorders>
              <w:top w:val="single" w:sz="4" w:space="0" w:color="auto"/>
              <w:bottom w:val="single" w:sz="4" w:space="0" w:color="auto"/>
            </w:tcBorders>
          </w:tcPr>
          <w:p w:rsidR="00000000" w:rsidRDefault="00000000">
            <w:pPr>
              <w:pStyle w:val="a6"/>
              <w:rPr>
                <w:b/>
              </w:rPr>
            </w:pPr>
            <w:r>
              <w:rPr>
                <w:b/>
              </w:rPr>
              <w:t>Штатные должности</w:t>
            </w:r>
          </w:p>
        </w:tc>
        <w:tc>
          <w:tcPr>
            <w:tcW w:w="1559" w:type="dxa"/>
            <w:tcBorders>
              <w:top w:val="single" w:sz="4" w:space="0" w:color="auto"/>
              <w:bottom w:val="single" w:sz="4" w:space="0" w:color="auto"/>
            </w:tcBorders>
          </w:tcPr>
          <w:p w:rsidR="00000000" w:rsidRDefault="00000000">
            <w:pPr>
              <w:pStyle w:val="a6"/>
              <w:rPr>
                <w:b/>
              </w:rPr>
            </w:pPr>
            <w:r>
              <w:rPr>
                <w:b/>
              </w:rPr>
              <w:t>Женщины</w:t>
            </w:r>
          </w:p>
        </w:tc>
        <w:tc>
          <w:tcPr>
            <w:tcW w:w="3260" w:type="dxa"/>
            <w:tcBorders>
              <w:top w:val="single" w:sz="4" w:space="0" w:color="auto"/>
              <w:bottom w:val="single" w:sz="4" w:space="0" w:color="auto"/>
            </w:tcBorders>
          </w:tcPr>
          <w:p w:rsidR="00000000" w:rsidRDefault="00000000">
            <w:pPr>
              <w:pStyle w:val="a6"/>
              <w:rPr>
                <w:b/>
              </w:rPr>
            </w:pPr>
            <w:r>
              <w:rPr>
                <w:b/>
              </w:rPr>
              <w:t>Доля женщин (в процентах)</w:t>
            </w:r>
          </w:p>
        </w:tc>
        <w:tc>
          <w:tcPr>
            <w:tcW w:w="1474" w:type="dxa"/>
          </w:tcPr>
          <w:p w:rsidR="00000000" w:rsidRDefault="00000000">
            <w:pPr>
              <w:pStyle w:val="a6"/>
              <w:rPr>
                <w:b/>
                <w:i/>
                <w:u w:val="single"/>
              </w:rPr>
            </w:pPr>
          </w:p>
        </w:tc>
      </w:tr>
      <w:tr w:rsidR="00000000">
        <w:tblPrEx>
          <w:tblCellMar>
            <w:top w:w="0" w:type="dxa"/>
            <w:bottom w:w="0" w:type="dxa"/>
          </w:tblCellMar>
        </w:tblPrEx>
        <w:trPr>
          <w:cantSplit/>
        </w:trPr>
        <w:tc>
          <w:tcPr>
            <w:tcW w:w="850" w:type="dxa"/>
            <w:tcBorders>
              <w:top w:val="single" w:sz="4" w:space="0" w:color="auto"/>
            </w:tcBorders>
          </w:tcPr>
          <w:p w:rsidR="00000000" w:rsidRDefault="00000000">
            <w:pPr>
              <w:pStyle w:val="a7"/>
            </w:pPr>
            <w:r>
              <w:t xml:space="preserve">2000 </w:t>
            </w:r>
          </w:p>
        </w:tc>
        <w:tc>
          <w:tcPr>
            <w:tcW w:w="2268" w:type="dxa"/>
            <w:tcBorders>
              <w:top w:val="single" w:sz="4" w:space="0" w:color="auto"/>
            </w:tcBorders>
          </w:tcPr>
          <w:p w:rsidR="00000000" w:rsidRDefault="00000000">
            <w:pPr>
              <w:pStyle w:val="a6"/>
            </w:pPr>
            <w:r>
              <w:t>48</w:t>
            </w:r>
          </w:p>
        </w:tc>
        <w:tc>
          <w:tcPr>
            <w:tcW w:w="1559" w:type="dxa"/>
            <w:tcBorders>
              <w:top w:val="single" w:sz="4" w:space="0" w:color="auto"/>
            </w:tcBorders>
          </w:tcPr>
          <w:p w:rsidR="00000000" w:rsidRDefault="00000000">
            <w:pPr>
              <w:pStyle w:val="a6"/>
            </w:pPr>
            <w:r>
              <w:t>23</w:t>
            </w:r>
          </w:p>
        </w:tc>
        <w:tc>
          <w:tcPr>
            <w:tcW w:w="3260" w:type="dxa"/>
            <w:tcBorders>
              <w:top w:val="single" w:sz="4" w:space="0" w:color="auto"/>
            </w:tcBorders>
          </w:tcPr>
          <w:p w:rsidR="00000000" w:rsidRDefault="00000000">
            <w:pPr>
              <w:pStyle w:val="a6"/>
            </w:pPr>
            <w:r>
              <w:t>47,9</w:t>
            </w:r>
          </w:p>
        </w:tc>
        <w:tc>
          <w:tcPr>
            <w:tcW w:w="1474" w:type="dxa"/>
          </w:tcPr>
          <w:p w:rsidR="00000000" w:rsidRDefault="00000000">
            <w:pPr>
              <w:pStyle w:val="a6"/>
              <w:rPr>
                <w:i/>
                <w:u w:val="single"/>
              </w:rPr>
            </w:pPr>
          </w:p>
        </w:tc>
      </w:tr>
      <w:tr w:rsidR="00000000">
        <w:tblPrEx>
          <w:tblCellMar>
            <w:top w:w="0" w:type="dxa"/>
            <w:bottom w:w="0" w:type="dxa"/>
          </w:tblCellMar>
        </w:tblPrEx>
        <w:trPr>
          <w:cantSplit/>
        </w:trPr>
        <w:tc>
          <w:tcPr>
            <w:tcW w:w="850" w:type="dxa"/>
            <w:tcBorders>
              <w:bottom w:val="single" w:sz="4" w:space="0" w:color="auto"/>
            </w:tcBorders>
          </w:tcPr>
          <w:p w:rsidR="00000000" w:rsidRDefault="00000000">
            <w:pPr>
              <w:pStyle w:val="a7"/>
            </w:pPr>
            <w:r>
              <w:t xml:space="preserve">2004 </w:t>
            </w:r>
          </w:p>
        </w:tc>
        <w:tc>
          <w:tcPr>
            <w:tcW w:w="2268" w:type="dxa"/>
            <w:tcBorders>
              <w:bottom w:val="single" w:sz="4" w:space="0" w:color="auto"/>
            </w:tcBorders>
          </w:tcPr>
          <w:p w:rsidR="00000000" w:rsidRDefault="00000000">
            <w:pPr>
              <w:pStyle w:val="a6"/>
            </w:pPr>
            <w:r>
              <w:t>52</w:t>
            </w:r>
          </w:p>
        </w:tc>
        <w:tc>
          <w:tcPr>
            <w:tcW w:w="1559" w:type="dxa"/>
            <w:tcBorders>
              <w:bottom w:val="single" w:sz="4" w:space="0" w:color="auto"/>
            </w:tcBorders>
          </w:tcPr>
          <w:p w:rsidR="00000000" w:rsidRDefault="00000000">
            <w:pPr>
              <w:pStyle w:val="a6"/>
            </w:pPr>
            <w:r>
              <w:t>28</w:t>
            </w:r>
          </w:p>
        </w:tc>
        <w:tc>
          <w:tcPr>
            <w:tcW w:w="3260" w:type="dxa"/>
            <w:tcBorders>
              <w:bottom w:val="single" w:sz="4" w:space="0" w:color="auto"/>
            </w:tcBorders>
          </w:tcPr>
          <w:p w:rsidR="00000000" w:rsidRDefault="00000000">
            <w:pPr>
              <w:pStyle w:val="a6"/>
            </w:pPr>
            <w:r>
              <w:t>54</w:t>
            </w:r>
          </w:p>
        </w:tc>
        <w:tc>
          <w:tcPr>
            <w:tcW w:w="1474" w:type="dxa"/>
          </w:tcPr>
          <w:p w:rsidR="00000000" w:rsidRDefault="00000000">
            <w:pPr>
              <w:pStyle w:val="a6"/>
              <w:rPr>
                <w:i/>
                <w:u w:val="single"/>
              </w:rPr>
            </w:pPr>
          </w:p>
        </w:tc>
      </w:tr>
      <w:tr w:rsidR="00000000">
        <w:tblPrEx>
          <w:tblCellMar>
            <w:top w:w="0" w:type="dxa"/>
            <w:bottom w:w="0" w:type="dxa"/>
          </w:tblCellMar>
        </w:tblPrEx>
        <w:trPr>
          <w:cantSplit/>
        </w:trPr>
        <w:tc>
          <w:tcPr>
            <w:tcW w:w="7937" w:type="dxa"/>
            <w:gridSpan w:val="4"/>
            <w:tcBorders>
              <w:top w:val="single" w:sz="4" w:space="0" w:color="auto"/>
              <w:bottom w:val="single" w:sz="4" w:space="0" w:color="auto"/>
            </w:tcBorders>
          </w:tcPr>
          <w:p w:rsidR="00000000" w:rsidRDefault="00000000">
            <w:pPr>
              <w:pStyle w:val="a6"/>
              <w:spacing w:before="240"/>
            </w:pPr>
            <w:r>
              <w:rPr>
                <w:b/>
              </w:rPr>
              <w:t>Докладчики и старшие докладчики</w:t>
            </w:r>
          </w:p>
        </w:tc>
        <w:tc>
          <w:tcPr>
            <w:tcW w:w="1474" w:type="dxa"/>
            <w:tcBorders>
              <w:bottom w:val="single" w:sz="4" w:space="0" w:color="auto"/>
            </w:tcBorders>
          </w:tcPr>
          <w:p w:rsidR="00000000" w:rsidRDefault="00000000">
            <w:pPr>
              <w:pStyle w:val="a6"/>
              <w:spacing w:before="240"/>
              <w:rPr>
                <w:i/>
                <w:u w:val="single"/>
              </w:rPr>
            </w:pPr>
          </w:p>
        </w:tc>
      </w:tr>
      <w:tr w:rsidR="00000000">
        <w:tblPrEx>
          <w:tblCellMar>
            <w:top w:w="0" w:type="dxa"/>
            <w:bottom w:w="0" w:type="dxa"/>
          </w:tblCellMar>
        </w:tblPrEx>
        <w:trPr>
          <w:cantSplit/>
        </w:trPr>
        <w:tc>
          <w:tcPr>
            <w:tcW w:w="850" w:type="dxa"/>
            <w:tcBorders>
              <w:top w:val="single" w:sz="4" w:space="0" w:color="auto"/>
              <w:bottom w:val="single" w:sz="4" w:space="0" w:color="auto"/>
            </w:tcBorders>
          </w:tcPr>
          <w:p w:rsidR="00000000" w:rsidRDefault="00000000">
            <w:pPr>
              <w:pStyle w:val="a6"/>
              <w:rPr>
                <w:b/>
              </w:rPr>
            </w:pPr>
            <w:r>
              <w:rPr>
                <w:b/>
              </w:rPr>
              <w:t>Год</w:t>
            </w:r>
          </w:p>
        </w:tc>
        <w:tc>
          <w:tcPr>
            <w:tcW w:w="2268" w:type="dxa"/>
            <w:tcBorders>
              <w:top w:val="single" w:sz="4" w:space="0" w:color="auto"/>
              <w:bottom w:val="single" w:sz="4" w:space="0" w:color="auto"/>
            </w:tcBorders>
          </w:tcPr>
          <w:p w:rsidR="00000000" w:rsidRDefault="00000000">
            <w:pPr>
              <w:pStyle w:val="a6"/>
              <w:rPr>
                <w:b/>
              </w:rPr>
            </w:pPr>
            <w:r>
              <w:rPr>
                <w:b/>
              </w:rPr>
              <w:t>Штатные должности</w:t>
            </w:r>
          </w:p>
        </w:tc>
        <w:tc>
          <w:tcPr>
            <w:tcW w:w="1559" w:type="dxa"/>
            <w:tcBorders>
              <w:top w:val="single" w:sz="4" w:space="0" w:color="auto"/>
              <w:bottom w:val="single" w:sz="4" w:space="0" w:color="auto"/>
            </w:tcBorders>
          </w:tcPr>
          <w:p w:rsidR="00000000" w:rsidRDefault="00000000">
            <w:pPr>
              <w:pStyle w:val="a6"/>
              <w:rPr>
                <w:b/>
              </w:rPr>
            </w:pPr>
            <w:r>
              <w:rPr>
                <w:b/>
              </w:rPr>
              <w:t>Работающие</w:t>
            </w:r>
          </w:p>
        </w:tc>
        <w:tc>
          <w:tcPr>
            <w:tcW w:w="3260" w:type="dxa"/>
            <w:tcBorders>
              <w:top w:val="single" w:sz="4" w:space="0" w:color="auto"/>
              <w:bottom w:val="single" w:sz="4" w:space="0" w:color="auto"/>
            </w:tcBorders>
          </w:tcPr>
          <w:p w:rsidR="00000000" w:rsidRDefault="00000000">
            <w:pPr>
              <w:pStyle w:val="a6"/>
              <w:rPr>
                <w:b/>
              </w:rPr>
            </w:pPr>
            <w:r>
              <w:rPr>
                <w:b/>
              </w:rPr>
              <w:t>Женщины</w:t>
            </w:r>
          </w:p>
        </w:tc>
        <w:tc>
          <w:tcPr>
            <w:tcW w:w="1474" w:type="dxa"/>
            <w:tcBorders>
              <w:top w:val="single" w:sz="4" w:space="0" w:color="auto"/>
              <w:bottom w:val="single" w:sz="4" w:space="0" w:color="auto"/>
            </w:tcBorders>
          </w:tcPr>
          <w:p w:rsidR="00000000" w:rsidRDefault="00000000">
            <w:pPr>
              <w:pStyle w:val="a6"/>
              <w:rPr>
                <w:b/>
              </w:rPr>
            </w:pPr>
            <w:r>
              <w:rPr>
                <w:b/>
              </w:rPr>
              <w:t xml:space="preserve">Доля женщин </w:t>
            </w:r>
            <w:r>
              <w:rPr>
                <w:b/>
              </w:rPr>
              <w:br/>
              <w:t>(в процентах)</w:t>
            </w:r>
          </w:p>
        </w:tc>
      </w:tr>
      <w:tr w:rsidR="00000000">
        <w:tblPrEx>
          <w:tblCellMar>
            <w:top w:w="0" w:type="dxa"/>
            <w:bottom w:w="0" w:type="dxa"/>
          </w:tblCellMar>
        </w:tblPrEx>
        <w:trPr>
          <w:cantSplit/>
        </w:trPr>
        <w:tc>
          <w:tcPr>
            <w:tcW w:w="850" w:type="dxa"/>
            <w:tcBorders>
              <w:top w:val="single" w:sz="4" w:space="0" w:color="auto"/>
            </w:tcBorders>
          </w:tcPr>
          <w:p w:rsidR="00000000" w:rsidRDefault="00000000">
            <w:pPr>
              <w:pStyle w:val="a7"/>
            </w:pPr>
            <w:r>
              <w:t xml:space="preserve">2000 </w:t>
            </w:r>
          </w:p>
        </w:tc>
        <w:tc>
          <w:tcPr>
            <w:tcW w:w="2268" w:type="dxa"/>
            <w:tcBorders>
              <w:top w:val="single" w:sz="4" w:space="0" w:color="auto"/>
            </w:tcBorders>
          </w:tcPr>
          <w:p w:rsidR="00000000" w:rsidRDefault="00000000">
            <w:pPr>
              <w:pStyle w:val="a6"/>
            </w:pPr>
            <w:r>
              <w:t>50</w:t>
            </w:r>
          </w:p>
        </w:tc>
        <w:tc>
          <w:tcPr>
            <w:tcW w:w="1559" w:type="dxa"/>
            <w:tcBorders>
              <w:top w:val="single" w:sz="4" w:space="0" w:color="auto"/>
            </w:tcBorders>
          </w:tcPr>
          <w:p w:rsidR="00000000" w:rsidRDefault="00000000">
            <w:pPr>
              <w:pStyle w:val="a6"/>
            </w:pPr>
          </w:p>
        </w:tc>
        <w:tc>
          <w:tcPr>
            <w:tcW w:w="3260" w:type="dxa"/>
            <w:tcBorders>
              <w:top w:val="single" w:sz="4" w:space="0" w:color="auto"/>
            </w:tcBorders>
          </w:tcPr>
          <w:p w:rsidR="00000000" w:rsidRDefault="00000000">
            <w:pPr>
              <w:pStyle w:val="a6"/>
            </w:pPr>
          </w:p>
        </w:tc>
        <w:tc>
          <w:tcPr>
            <w:tcW w:w="1474" w:type="dxa"/>
            <w:tcBorders>
              <w:top w:val="single" w:sz="4" w:space="0" w:color="auto"/>
            </w:tcBorders>
          </w:tcPr>
          <w:p w:rsidR="00000000" w:rsidRDefault="00000000">
            <w:pPr>
              <w:pStyle w:val="a6"/>
            </w:pPr>
            <w:r>
              <w:t>52</w:t>
            </w:r>
          </w:p>
        </w:tc>
      </w:tr>
      <w:tr w:rsidR="00000000">
        <w:tblPrEx>
          <w:tblCellMar>
            <w:top w:w="0" w:type="dxa"/>
            <w:bottom w:w="0" w:type="dxa"/>
          </w:tblCellMar>
        </w:tblPrEx>
        <w:trPr>
          <w:cantSplit/>
        </w:trPr>
        <w:tc>
          <w:tcPr>
            <w:tcW w:w="850" w:type="dxa"/>
            <w:tcBorders>
              <w:bottom w:val="single" w:sz="4" w:space="0" w:color="auto"/>
            </w:tcBorders>
          </w:tcPr>
          <w:p w:rsidR="00000000" w:rsidRDefault="00000000">
            <w:pPr>
              <w:pStyle w:val="a7"/>
            </w:pPr>
            <w:r>
              <w:t xml:space="preserve">2004 </w:t>
            </w:r>
          </w:p>
        </w:tc>
        <w:tc>
          <w:tcPr>
            <w:tcW w:w="2268" w:type="dxa"/>
            <w:tcBorders>
              <w:bottom w:val="single" w:sz="4" w:space="0" w:color="auto"/>
            </w:tcBorders>
          </w:tcPr>
          <w:p w:rsidR="00000000" w:rsidRDefault="00000000">
            <w:pPr>
              <w:pStyle w:val="a6"/>
            </w:pPr>
            <w:r>
              <w:t>50</w:t>
            </w:r>
          </w:p>
        </w:tc>
        <w:tc>
          <w:tcPr>
            <w:tcW w:w="1559" w:type="dxa"/>
            <w:tcBorders>
              <w:bottom w:val="single" w:sz="4" w:space="0" w:color="auto"/>
            </w:tcBorders>
          </w:tcPr>
          <w:p w:rsidR="00000000" w:rsidRDefault="00000000">
            <w:pPr>
              <w:pStyle w:val="a6"/>
            </w:pPr>
            <w:r>
              <w:t>43</w:t>
            </w:r>
          </w:p>
        </w:tc>
        <w:tc>
          <w:tcPr>
            <w:tcW w:w="3260" w:type="dxa"/>
            <w:tcBorders>
              <w:bottom w:val="single" w:sz="4" w:space="0" w:color="auto"/>
            </w:tcBorders>
          </w:tcPr>
          <w:p w:rsidR="00000000" w:rsidRDefault="00000000">
            <w:pPr>
              <w:pStyle w:val="a6"/>
            </w:pPr>
            <w:r>
              <w:t>26</w:t>
            </w:r>
          </w:p>
        </w:tc>
        <w:tc>
          <w:tcPr>
            <w:tcW w:w="1474" w:type="dxa"/>
            <w:tcBorders>
              <w:bottom w:val="single" w:sz="4" w:space="0" w:color="auto"/>
            </w:tcBorders>
          </w:tcPr>
          <w:p w:rsidR="00000000" w:rsidRDefault="00000000">
            <w:pPr>
              <w:pStyle w:val="a6"/>
            </w:pPr>
            <w:r>
              <w:t>60</w:t>
            </w:r>
          </w:p>
        </w:tc>
      </w:tr>
    </w:tbl>
    <w:p w:rsidR="00000000" w:rsidRDefault="00000000">
      <w:pPr>
        <w:pStyle w:val="BodyText"/>
        <w:rPr>
          <w:i/>
          <w:u w:val="single"/>
        </w:rPr>
      </w:pPr>
    </w:p>
    <w:p w:rsidR="00000000" w:rsidRDefault="00000000">
      <w:pPr>
        <w:pStyle w:val="BodyText"/>
        <w:rPr>
          <w:b/>
          <w:i/>
        </w:rPr>
      </w:pPr>
      <w:r>
        <w:br w:type="page"/>
        <w:t>15.</w:t>
      </w:r>
      <w:r>
        <w:tab/>
      </w:r>
      <w:r>
        <w:rPr>
          <w:b/>
          <w:i/>
        </w:rPr>
        <w:t>Административные суды (суды общей юрисдикции)</w:t>
      </w:r>
    </w:p>
    <w:tbl>
      <w:tblPr>
        <w:tblW w:w="0" w:type="auto"/>
        <w:tblInd w:w="3" w:type="dxa"/>
        <w:tblLayout w:type="fixed"/>
        <w:tblCellMar>
          <w:left w:w="56" w:type="dxa"/>
          <w:right w:w="56" w:type="dxa"/>
        </w:tblCellMar>
        <w:tblLook w:val="0000" w:firstRow="0" w:lastRow="0" w:firstColumn="0" w:lastColumn="0" w:noHBand="0" w:noVBand="0"/>
      </w:tblPr>
      <w:tblGrid>
        <w:gridCol w:w="850"/>
        <w:gridCol w:w="2268"/>
        <w:gridCol w:w="1559"/>
        <w:gridCol w:w="3260"/>
        <w:gridCol w:w="1474"/>
      </w:tblGrid>
      <w:tr w:rsidR="00000000">
        <w:tblPrEx>
          <w:tblCellMar>
            <w:top w:w="0" w:type="dxa"/>
            <w:bottom w:w="0" w:type="dxa"/>
          </w:tblCellMar>
        </w:tblPrEx>
        <w:trPr>
          <w:cantSplit/>
        </w:trPr>
        <w:tc>
          <w:tcPr>
            <w:tcW w:w="7937" w:type="dxa"/>
            <w:gridSpan w:val="4"/>
            <w:tcBorders>
              <w:top w:val="nil"/>
            </w:tcBorders>
          </w:tcPr>
          <w:p w:rsidR="00000000" w:rsidRDefault="00000000">
            <w:pPr>
              <w:pStyle w:val="a6"/>
              <w:jc w:val="left"/>
              <w:rPr>
                <w:b/>
                <w:i/>
                <w:u w:val="single"/>
              </w:rPr>
            </w:pPr>
            <w:r>
              <w:rPr>
                <w:b/>
              </w:rPr>
              <w:t>Генеральная комиссия</w:t>
            </w:r>
          </w:p>
        </w:tc>
        <w:tc>
          <w:tcPr>
            <w:tcW w:w="1474" w:type="dxa"/>
          </w:tcPr>
          <w:p w:rsidR="00000000" w:rsidRDefault="00000000">
            <w:pPr>
              <w:pStyle w:val="a6"/>
              <w:rPr>
                <w:b/>
                <w:i/>
                <w:u w:val="single"/>
              </w:rPr>
            </w:pPr>
          </w:p>
        </w:tc>
      </w:tr>
      <w:tr w:rsidR="00000000">
        <w:tblPrEx>
          <w:tblCellMar>
            <w:top w:w="0" w:type="dxa"/>
            <w:bottom w:w="0" w:type="dxa"/>
          </w:tblCellMar>
        </w:tblPrEx>
        <w:trPr>
          <w:cantSplit/>
        </w:trPr>
        <w:tc>
          <w:tcPr>
            <w:tcW w:w="7937" w:type="dxa"/>
            <w:gridSpan w:val="4"/>
            <w:tcBorders>
              <w:bottom w:val="single" w:sz="4" w:space="0" w:color="auto"/>
            </w:tcBorders>
          </w:tcPr>
          <w:p w:rsidR="00000000" w:rsidRDefault="00000000">
            <w:pPr>
              <w:pStyle w:val="a6"/>
              <w:rPr>
                <w:b/>
              </w:rPr>
            </w:pPr>
            <w:r>
              <w:rPr>
                <w:b/>
              </w:rPr>
              <w:t>Уполномоченный</w:t>
            </w:r>
          </w:p>
        </w:tc>
        <w:tc>
          <w:tcPr>
            <w:tcW w:w="1474" w:type="dxa"/>
          </w:tcPr>
          <w:p w:rsidR="00000000" w:rsidRDefault="00000000">
            <w:pPr>
              <w:pStyle w:val="a6"/>
              <w:rPr>
                <w:b/>
                <w:i/>
                <w:u w:val="single"/>
              </w:rPr>
            </w:pPr>
          </w:p>
        </w:tc>
      </w:tr>
      <w:tr w:rsidR="00000000">
        <w:tblPrEx>
          <w:tblCellMar>
            <w:top w:w="0" w:type="dxa"/>
            <w:bottom w:w="0" w:type="dxa"/>
          </w:tblCellMar>
        </w:tblPrEx>
        <w:trPr>
          <w:cantSplit/>
        </w:trPr>
        <w:tc>
          <w:tcPr>
            <w:tcW w:w="850" w:type="dxa"/>
            <w:tcBorders>
              <w:top w:val="single" w:sz="4" w:space="0" w:color="auto"/>
              <w:bottom w:val="single" w:sz="4" w:space="0" w:color="auto"/>
            </w:tcBorders>
          </w:tcPr>
          <w:p w:rsidR="00000000" w:rsidRDefault="00000000">
            <w:pPr>
              <w:pStyle w:val="a6"/>
              <w:rPr>
                <w:b/>
                <w:i/>
                <w:u w:val="single"/>
              </w:rPr>
            </w:pPr>
            <w:r>
              <w:rPr>
                <w:b/>
              </w:rPr>
              <w:t>Год</w:t>
            </w:r>
          </w:p>
        </w:tc>
        <w:tc>
          <w:tcPr>
            <w:tcW w:w="2268" w:type="dxa"/>
            <w:tcBorders>
              <w:top w:val="single" w:sz="4" w:space="0" w:color="auto"/>
              <w:bottom w:val="single" w:sz="4" w:space="0" w:color="auto"/>
            </w:tcBorders>
          </w:tcPr>
          <w:p w:rsidR="00000000" w:rsidRDefault="00000000">
            <w:pPr>
              <w:pStyle w:val="a6"/>
              <w:rPr>
                <w:b/>
              </w:rPr>
            </w:pPr>
            <w:r>
              <w:rPr>
                <w:b/>
              </w:rPr>
              <w:t>Штатные должности</w:t>
            </w:r>
          </w:p>
        </w:tc>
        <w:tc>
          <w:tcPr>
            <w:tcW w:w="1559" w:type="dxa"/>
            <w:tcBorders>
              <w:top w:val="single" w:sz="4" w:space="0" w:color="auto"/>
              <w:bottom w:val="single" w:sz="4" w:space="0" w:color="auto"/>
            </w:tcBorders>
          </w:tcPr>
          <w:p w:rsidR="00000000" w:rsidRDefault="00000000">
            <w:pPr>
              <w:pStyle w:val="a6"/>
              <w:rPr>
                <w:b/>
              </w:rPr>
            </w:pPr>
            <w:r>
              <w:rPr>
                <w:b/>
              </w:rPr>
              <w:t>Женщины</w:t>
            </w:r>
          </w:p>
        </w:tc>
        <w:tc>
          <w:tcPr>
            <w:tcW w:w="3260" w:type="dxa"/>
            <w:tcBorders>
              <w:top w:val="single" w:sz="4" w:space="0" w:color="auto"/>
              <w:bottom w:val="single" w:sz="4" w:space="0" w:color="auto"/>
            </w:tcBorders>
          </w:tcPr>
          <w:p w:rsidR="00000000" w:rsidRDefault="00000000">
            <w:pPr>
              <w:pStyle w:val="a6"/>
              <w:rPr>
                <w:b/>
              </w:rPr>
            </w:pPr>
            <w:r>
              <w:rPr>
                <w:b/>
              </w:rPr>
              <w:t>Доля женщин (в процентах)</w:t>
            </w:r>
          </w:p>
        </w:tc>
        <w:tc>
          <w:tcPr>
            <w:tcW w:w="1474" w:type="dxa"/>
          </w:tcPr>
          <w:p w:rsidR="00000000" w:rsidRDefault="00000000">
            <w:pPr>
              <w:pStyle w:val="a6"/>
              <w:rPr>
                <w:b/>
                <w:i/>
                <w:u w:val="single"/>
              </w:rPr>
            </w:pPr>
          </w:p>
        </w:tc>
      </w:tr>
      <w:tr w:rsidR="00000000">
        <w:tblPrEx>
          <w:tblCellMar>
            <w:top w:w="0" w:type="dxa"/>
            <w:bottom w:w="0" w:type="dxa"/>
          </w:tblCellMar>
        </w:tblPrEx>
        <w:trPr>
          <w:cantSplit/>
        </w:trPr>
        <w:tc>
          <w:tcPr>
            <w:tcW w:w="850" w:type="dxa"/>
            <w:tcBorders>
              <w:top w:val="single" w:sz="4" w:space="0" w:color="auto"/>
            </w:tcBorders>
          </w:tcPr>
          <w:p w:rsidR="00000000" w:rsidRDefault="00000000">
            <w:pPr>
              <w:pStyle w:val="a7"/>
            </w:pPr>
            <w:r>
              <w:t xml:space="preserve">2000 </w:t>
            </w:r>
          </w:p>
        </w:tc>
        <w:tc>
          <w:tcPr>
            <w:tcW w:w="2268" w:type="dxa"/>
            <w:tcBorders>
              <w:top w:val="single" w:sz="4" w:space="0" w:color="auto"/>
            </w:tcBorders>
          </w:tcPr>
          <w:p w:rsidR="00000000" w:rsidRDefault="00000000">
            <w:pPr>
              <w:pStyle w:val="a6"/>
            </w:pPr>
          </w:p>
        </w:tc>
        <w:tc>
          <w:tcPr>
            <w:tcW w:w="1559" w:type="dxa"/>
            <w:tcBorders>
              <w:top w:val="single" w:sz="4" w:space="0" w:color="auto"/>
            </w:tcBorders>
          </w:tcPr>
          <w:p w:rsidR="00000000" w:rsidRDefault="00000000">
            <w:pPr>
              <w:pStyle w:val="a6"/>
            </w:pPr>
          </w:p>
        </w:tc>
        <w:tc>
          <w:tcPr>
            <w:tcW w:w="3260" w:type="dxa"/>
            <w:tcBorders>
              <w:top w:val="single" w:sz="4" w:space="0" w:color="auto"/>
            </w:tcBorders>
          </w:tcPr>
          <w:p w:rsidR="00000000" w:rsidRDefault="00000000">
            <w:pPr>
              <w:pStyle w:val="a6"/>
            </w:pPr>
          </w:p>
        </w:tc>
        <w:tc>
          <w:tcPr>
            <w:tcW w:w="1474" w:type="dxa"/>
          </w:tcPr>
          <w:p w:rsidR="00000000" w:rsidRDefault="00000000">
            <w:pPr>
              <w:pStyle w:val="a6"/>
              <w:rPr>
                <w:i/>
                <w:u w:val="single"/>
              </w:rPr>
            </w:pPr>
          </w:p>
        </w:tc>
      </w:tr>
      <w:tr w:rsidR="00000000">
        <w:tblPrEx>
          <w:tblCellMar>
            <w:top w:w="0" w:type="dxa"/>
            <w:bottom w:w="0" w:type="dxa"/>
          </w:tblCellMar>
        </w:tblPrEx>
        <w:trPr>
          <w:cantSplit/>
        </w:trPr>
        <w:tc>
          <w:tcPr>
            <w:tcW w:w="850" w:type="dxa"/>
            <w:tcBorders>
              <w:bottom w:val="single" w:sz="4" w:space="0" w:color="auto"/>
            </w:tcBorders>
          </w:tcPr>
          <w:p w:rsidR="00000000" w:rsidRDefault="00000000">
            <w:pPr>
              <w:pStyle w:val="a7"/>
            </w:pPr>
            <w:r>
              <w:t xml:space="preserve">2004 </w:t>
            </w:r>
          </w:p>
        </w:tc>
        <w:tc>
          <w:tcPr>
            <w:tcW w:w="2268" w:type="dxa"/>
            <w:tcBorders>
              <w:bottom w:val="single" w:sz="4" w:space="0" w:color="auto"/>
            </w:tcBorders>
          </w:tcPr>
          <w:p w:rsidR="00000000" w:rsidRDefault="00000000">
            <w:pPr>
              <w:pStyle w:val="a6"/>
            </w:pPr>
            <w:r>
              <w:t>1</w:t>
            </w:r>
          </w:p>
        </w:tc>
        <w:tc>
          <w:tcPr>
            <w:tcW w:w="1559" w:type="dxa"/>
            <w:tcBorders>
              <w:bottom w:val="single" w:sz="4" w:space="0" w:color="auto"/>
            </w:tcBorders>
          </w:tcPr>
          <w:p w:rsidR="00000000" w:rsidRDefault="00000000">
            <w:pPr>
              <w:pStyle w:val="a6"/>
            </w:pPr>
            <w:r>
              <w:t>1</w:t>
            </w:r>
          </w:p>
        </w:tc>
        <w:tc>
          <w:tcPr>
            <w:tcW w:w="3260" w:type="dxa"/>
            <w:tcBorders>
              <w:bottom w:val="single" w:sz="4" w:space="0" w:color="auto"/>
            </w:tcBorders>
          </w:tcPr>
          <w:p w:rsidR="00000000" w:rsidRDefault="00000000">
            <w:pPr>
              <w:pStyle w:val="a6"/>
            </w:pPr>
            <w:r>
              <w:t>100</w:t>
            </w:r>
          </w:p>
        </w:tc>
        <w:tc>
          <w:tcPr>
            <w:tcW w:w="1474" w:type="dxa"/>
          </w:tcPr>
          <w:p w:rsidR="00000000" w:rsidRDefault="00000000">
            <w:pPr>
              <w:pStyle w:val="a6"/>
              <w:rPr>
                <w:i/>
                <w:u w:val="single"/>
              </w:rPr>
            </w:pPr>
          </w:p>
        </w:tc>
      </w:tr>
      <w:tr w:rsidR="00000000">
        <w:tblPrEx>
          <w:tblCellMar>
            <w:top w:w="0" w:type="dxa"/>
            <w:bottom w:w="0" w:type="dxa"/>
          </w:tblCellMar>
        </w:tblPrEx>
        <w:trPr>
          <w:cantSplit/>
        </w:trPr>
        <w:tc>
          <w:tcPr>
            <w:tcW w:w="7937" w:type="dxa"/>
            <w:gridSpan w:val="4"/>
            <w:tcBorders>
              <w:top w:val="single" w:sz="4" w:space="0" w:color="auto"/>
              <w:bottom w:val="single" w:sz="4" w:space="0" w:color="auto"/>
            </w:tcBorders>
          </w:tcPr>
          <w:p w:rsidR="00000000" w:rsidRDefault="00000000">
            <w:pPr>
              <w:pStyle w:val="a6"/>
              <w:spacing w:before="300"/>
              <w:rPr>
                <w:b/>
              </w:rPr>
            </w:pPr>
            <w:r>
              <w:rPr>
                <w:b/>
              </w:rPr>
              <w:t>Председатели административных апелляционных судов</w:t>
            </w:r>
          </w:p>
        </w:tc>
        <w:tc>
          <w:tcPr>
            <w:tcW w:w="1474" w:type="dxa"/>
          </w:tcPr>
          <w:p w:rsidR="00000000" w:rsidRDefault="00000000">
            <w:pPr>
              <w:pStyle w:val="a6"/>
              <w:spacing w:before="300"/>
              <w:rPr>
                <w:b/>
                <w:i/>
                <w:u w:val="single"/>
              </w:rPr>
            </w:pPr>
          </w:p>
        </w:tc>
      </w:tr>
      <w:tr w:rsidR="00000000">
        <w:tblPrEx>
          <w:tblCellMar>
            <w:top w:w="0" w:type="dxa"/>
            <w:bottom w:w="0" w:type="dxa"/>
          </w:tblCellMar>
        </w:tblPrEx>
        <w:trPr>
          <w:cantSplit/>
        </w:trPr>
        <w:tc>
          <w:tcPr>
            <w:tcW w:w="850" w:type="dxa"/>
            <w:tcBorders>
              <w:top w:val="single" w:sz="4" w:space="0" w:color="auto"/>
              <w:bottom w:val="single" w:sz="4" w:space="0" w:color="auto"/>
            </w:tcBorders>
          </w:tcPr>
          <w:p w:rsidR="00000000" w:rsidRDefault="00000000">
            <w:pPr>
              <w:pStyle w:val="a6"/>
              <w:rPr>
                <w:b/>
                <w:i/>
                <w:u w:val="single"/>
              </w:rPr>
            </w:pPr>
            <w:r>
              <w:rPr>
                <w:b/>
              </w:rPr>
              <w:t>Год</w:t>
            </w:r>
          </w:p>
        </w:tc>
        <w:tc>
          <w:tcPr>
            <w:tcW w:w="2268" w:type="dxa"/>
            <w:tcBorders>
              <w:top w:val="single" w:sz="4" w:space="0" w:color="auto"/>
              <w:bottom w:val="single" w:sz="4" w:space="0" w:color="auto"/>
            </w:tcBorders>
          </w:tcPr>
          <w:p w:rsidR="00000000" w:rsidRDefault="00000000">
            <w:pPr>
              <w:pStyle w:val="a6"/>
              <w:rPr>
                <w:b/>
              </w:rPr>
            </w:pPr>
            <w:r>
              <w:rPr>
                <w:b/>
              </w:rPr>
              <w:t>Штатные должности</w:t>
            </w:r>
          </w:p>
        </w:tc>
        <w:tc>
          <w:tcPr>
            <w:tcW w:w="1559" w:type="dxa"/>
            <w:tcBorders>
              <w:top w:val="single" w:sz="4" w:space="0" w:color="auto"/>
              <w:bottom w:val="single" w:sz="4" w:space="0" w:color="auto"/>
            </w:tcBorders>
          </w:tcPr>
          <w:p w:rsidR="00000000" w:rsidRDefault="00000000">
            <w:pPr>
              <w:pStyle w:val="a6"/>
              <w:rPr>
                <w:b/>
              </w:rPr>
            </w:pPr>
            <w:r>
              <w:rPr>
                <w:b/>
              </w:rPr>
              <w:t>Женщины</w:t>
            </w:r>
          </w:p>
        </w:tc>
        <w:tc>
          <w:tcPr>
            <w:tcW w:w="3260" w:type="dxa"/>
            <w:tcBorders>
              <w:top w:val="single" w:sz="4" w:space="0" w:color="auto"/>
              <w:bottom w:val="single" w:sz="4" w:space="0" w:color="auto"/>
            </w:tcBorders>
          </w:tcPr>
          <w:p w:rsidR="00000000" w:rsidRDefault="00000000">
            <w:pPr>
              <w:pStyle w:val="a6"/>
              <w:rPr>
                <w:b/>
              </w:rPr>
            </w:pPr>
            <w:r>
              <w:rPr>
                <w:b/>
              </w:rPr>
              <w:t>Доля женщин (в процентах)</w:t>
            </w:r>
          </w:p>
        </w:tc>
        <w:tc>
          <w:tcPr>
            <w:tcW w:w="1474" w:type="dxa"/>
          </w:tcPr>
          <w:p w:rsidR="00000000" w:rsidRDefault="00000000">
            <w:pPr>
              <w:pStyle w:val="a6"/>
              <w:rPr>
                <w:b/>
                <w:i/>
                <w:u w:val="single"/>
              </w:rPr>
            </w:pPr>
          </w:p>
        </w:tc>
      </w:tr>
      <w:tr w:rsidR="00000000">
        <w:tblPrEx>
          <w:tblCellMar>
            <w:top w:w="0" w:type="dxa"/>
            <w:bottom w:w="0" w:type="dxa"/>
          </w:tblCellMar>
        </w:tblPrEx>
        <w:trPr>
          <w:cantSplit/>
        </w:trPr>
        <w:tc>
          <w:tcPr>
            <w:tcW w:w="850" w:type="dxa"/>
            <w:tcBorders>
              <w:top w:val="single" w:sz="4" w:space="0" w:color="auto"/>
            </w:tcBorders>
          </w:tcPr>
          <w:p w:rsidR="00000000" w:rsidRDefault="00000000">
            <w:pPr>
              <w:pStyle w:val="a7"/>
            </w:pPr>
            <w:r>
              <w:t xml:space="preserve">2000 </w:t>
            </w:r>
          </w:p>
        </w:tc>
        <w:tc>
          <w:tcPr>
            <w:tcW w:w="2268" w:type="dxa"/>
            <w:tcBorders>
              <w:top w:val="single" w:sz="4" w:space="0" w:color="auto"/>
            </w:tcBorders>
          </w:tcPr>
          <w:p w:rsidR="00000000" w:rsidRDefault="00000000">
            <w:pPr>
              <w:pStyle w:val="a6"/>
            </w:pPr>
            <w:r>
              <w:t>48</w:t>
            </w:r>
          </w:p>
        </w:tc>
        <w:tc>
          <w:tcPr>
            <w:tcW w:w="1559" w:type="dxa"/>
            <w:tcBorders>
              <w:top w:val="single" w:sz="4" w:space="0" w:color="auto"/>
            </w:tcBorders>
          </w:tcPr>
          <w:p w:rsidR="00000000" w:rsidRDefault="00000000">
            <w:pPr>
              <w:pStyle w:val="a6"/>
            </w:pPr>
            <w:r>
              <w:t>6</w:t>
            </w:r>
          </w:p>
        </w:tc>
        <w:tc>
          <w:tcPr>
            <w:tcW w:w="3260" w:type="dxa"/>
            <w:tcBorders>
              <w:top w:val="single" w:sz="4" w:space="0" w:color="auto"/>
            </w:tcBorders>
          </w:tcPr>
          <w:p w:rsidR="00000000" w:rsidRDefault="00000000">
            <w:pPr>
              <w:pStyle w:val="a6"/>
            </w:pPr>
            <w:r>
              <w:t>12,5</w:t>
            </w:r>
          </w:p>
        </w:tc>
        <w:tc>
          <w:tcPr>
            <w:tcW w:w="1474" w:type="dxa"/>
          </w:tcPr>
          <w:p w:rsidR="00000000" w:rsidRDefault="00000000">
            <w:pPr>
              <w:pStyle w:val="a6"/>
              <w:rPr>
                <w:i/>
                <w:u w:val="single"/>
              </w:rPr>
            </w:pPr>
          </w:p>
        </w:tc>
      </w:tr>
      <w:tr w:rsidR="00000000">
        <w:tblPrEx>
          <w:tblCellMar>
            <w:top w:w="0" w:type="dxa"/>
            <w:bottom w:w="0" w:type="dxa"/>
          </w:tblCellMar>
        </w:tblPrEx>
        <w:trPr>
          <w:cantSplit/>
        </w:trPr>
        <w:tc>
          <w:tcPr>
            <w:tcW w:w="850" w:type="dxa"/>
            <w:tcBorders>
              <w:bottom w:val="single" w:sz="4" w:space="0" w:color="auto"/>
            </w:tcBorders>
          </w:tcPr>
          <w:p w:rsidR="00000000" w:rsidRDefault="00000000">
            <w:pPr>
              <w:pStyle w:val="a7"/>
            </w:pPr>
            <w:r>
              <w:t xml:space="preserve">2004 </w:t>
            </w:r>
          </w:p>
        </w:tc>
        <w:tc>
          <w:tcPr>
            <w:tcW w:w="2268" w:type="dxa"/>
            <w:tcBorders>
              <w:bottom w:val="single" w:sz="4" w:space="0" w:color="auto"/>
            </w:tcBorders>
          </w:tcPr>
          <w:p w:rsidR="00000000" w:rsidRDefault="00000000">
            <w:pPr>
              <w:pStyle w:val="a6"/>
            </w:pPr>
            <w:r>
              <w:t>55</w:t>
            </w:r>
          </w:p>
        </w:tc>
        <w:tc>
          <w:tcPr>
            <w:tcW w:w="1559" w:type="dxa"/>
            <w:tcBorders>
              <w:bottom w:val="single" w:sz="4" w:space="0" w:color="auto"/>
            </w:tcBorders>
          </w:tcPr>
          <w:p w:rsidR="00000000" w:rsidRDefault="00000000">
            <w:pPr>
              <w:pStyle w:val="a6"/>
            </w:pPr>
            <w:r>
              <w:t>23</w:t>
            </w:r>
          </w:p>
        </w:tc>
        <w:tc>
          <w:tcPr>
            <w:tcW w:w="3260" w:type="dxa"/>
            <w:tcBorders>
              <w:bottom w:val="single" w:sz="4" w:space="0" w:color="auto"/>
            </w:tcBorders>
          </w:tcPr>
          <w:p w:rsidR="00000000" w:rsidRDefault="00000000">
            <w:pPr>
              <w:pStyle w:val="a6"/>
            </w:pPr>
            <w:r>
              <w:t>42</w:t>
            </w:r>
          </w:p>
        </w:tc>
        <w:tc>
          <w:tcPr>
            <w:tcW w:w="1474" w:type="dxa"/>
          </w:tcPr>
          <w:p w:rsidR="00000000" w:rsidRDefault="00000000">
            <w:pPr>
              <w:pStyle w:val="a6"/>
              <w:rPr>
                <w:i/>
                <w:u w:val="single"/>
              </w:rPr>
            </w:pPr>
          </w:p>
        </w:tc>
      </w:tr>
      <w:tr w:rsidR="00000000">
        <w:tblPrEx>
          <w:tblCellMar>
            <w:top w:w="0" w:type="dxa"/>
            <w:bottom w:w="0" w:type="dxa"/>
          </w:tblCellMar>
        </w:tblPrEx>
        <w:trPr>
          <w:cantSplit/>
        </w:trPr>
        <w:tc>
          <w:tcPr>
            <w:tcW w:w="7937" w:type="dxa"/>
            <w:gridSpan w:val="4"/>
            <w:tcBorders>
              <w:top w:val="single" w:sz="4" w:space="0" w:color="auto"/>
              <w:bottom w:val="single" w:sz="4" w:space="0" w:color="auto"/>
            </w:tcBorders>
          </w:tcPr>
          <w:p w:rsidR="00000000" w:rsidRDefault="00000000">
            <w:pPr>
              <w:pStyle w:val="a6"/>
              <w:spacing w:before="300"/>
              <w:rPr>
                <w:b/>
              </w:rPr>
            </w:pPr>
            <w:r>
              <w:rPr>
                <w:b/>
              </w:rPr>
              <w:t>Судьи административных апелляционных судов</w:t>
            </w:r>
          </w:p>
        </w:tc>
        <w:tc>
          <w:tcPr>
            <w:tcW w:w="1474" w:type="dxa"/>
          </w:tcPr>
          <w:p w:rsidR="00000000" w:rsidRDefault="00000000">
            <w:pPr>
              <w:pStyle w:val="a6"/>
              <w:spacing w:before="300"/>
              <w:rPr>
                <w:b/>
                <w:i/>
                <w:u w:val="single"/>
              </w:rPr>
            </w:pPr>
          </w:p>
        </w:tc>
      </w:tr>
      <w:tr w:rsidR="00000000">
        <w:tblPrEx>
          <w:tblCellMar>
            <w:top w:w="0" w:type="dxa"/>
            <w:bottom w:w="0" w:type="dxa"/>
          </w:tblCellMar>
        </w:tblPrEx>
        <w:trPr>
          <w:cantSplit/>
        </w:trPr>
        <w:tc>
          <w:tcPr>
            <w:tcW w:w="850" w:type="dxa"/>
            <w:tcBorders>
              <w:top w:val="single" w:sz="4" w:space="0" w:color="auto"/>
              <w:bottom w:val="single" w:sz="4" w:space="0" w:color="auto"/>
            </w:tcBorders>
          </w:tcPr>
          <w:p w:rsidR="00000000" w:rsidRDefault="00000000">
            <w:pPr>
              <w:pStyle w:val="a6"/>
              <w:rPr>
                <w:b/>
                <w:i/>
                <w:u w:val="single"/>
              </w:rPr>
            </w:pPr>
            <w:r>
              <w:rPr>
                <w:b/>
              </w:rPr>
              <w:t>Год</w:t>
            </w:r>
          </w:p>
        </w:tc>
        <w:tc>
          <w:tcPr>
            <w:tcW w:w="2268" w:type="dxa"/>
            <w:tcBorders>
              <w:top w:val="single" w:sz="4" w:space="0" w:color="auto"/>
              <w:bottom w:val="single" w:sz="4" w:space="0" w:color="auto"/>
            </w:tcBorders>
          </w:tcPr>
          <w:p w:rsidR="00000000" w:rsidRDefault="00000000">
            <w:pPr>
              <w:pStyle w:val="a6"/>
              <w:rPr>
                <w:b/>
              </w:rPr>
            </w:pPr>
            <w:r>
              <w:rPr>
                <w:b/>
              </w:rPr>
              <w:t>Штатные должности</w:t>
            </w:r>
          </w:p>
        </w:tc>
        <w:tc>
          <w:tcPr>
            <w:tcW w:w="1559" w:type="dxa"/>
            <w:tcBorders>
              <w:top w:val="single" w:sz="4" w:space="0" w:color="auto"/>
              <w:bottom w:val="single" w:sz="4" w:space="0" w:color="auto"/>
            </w:tcBorders>
          </w:tcPr>
          <w:p w:rsidR="00000000" w:rsidRDefault="00000000">
            <w:pPr>
              <w:pStyle w:val="a6"/>
              <w:rPr>
                <w:b/>
              </w:rPr>
            </w:pPr>
            <w:r>
              <w:rPr>
                <w:b/>
              </w:rPr>
              <w:t>Женщины</w:t>
            </w:r>
          </w:p>
        </w:tc>
        <w:tc>
          <w:tcPr>
            <w:tcW w:w="3260" w:type="dxa"/>
            <w:tcBorders>
              <w:top w:val="single" w:sz="4" w:space="0" w:color="auto"/>
              <w:bottom w:val="single" w:sz="4" w:space="0" w:color="auto"/>
            </w:tcBorders>
          </w:tcPr>
          <w:p w:rsidR="00000000" w:rsidRDefault="00000000">
            <w:pPr>
              <w:pStyle w:val="a6"/>
              <w:rPr>
                <w:b/>
              </w:rPr>
            </w:pPr>
            <w:r>
              <w:rPr>
                <w:b/>
              </w:rPr>
              <w:t>Доля женщин (в процентах)</w:t>
            </w:r>
          </w:p>
        </w:tc>
        <w:tc>
          <w:tcPr>
            <w:tcW w:w="1474" w:type="dxa"/>
          </w:tcPr>
          <w:p w:rsidR="00000000" w:rsidRDefault="00000000">
            <w:pPr>
              <w:pStyle w:val="a6"/>
              <w:rPr>
                <w:b/>
                <w:i/>
                <w:u w:val="single"/>
              </w:rPr>
            </w:pPr>
          </w:p>
        </w:tc>
      </w:tr>
      <w:tr w:rsidR="00000000">
        <w:tblPrEx>
          <w:tblCellMar>
            <w:top w:w="0" w:type="dxa"/>
            <w:bottom w:w="0" w:type="dxa"/>
          </w:tblCellMar>
        </w:tblPrEx>
        <w:trPr>
          <w:cantSplit/>
        </w:trPr>
        <w:tc>
          <w:tcPr>
            <w:tcW w:w="850" w:type="dxa"/>
            <w:tcBorders>
              <w:top w:val="single" w:sz="4" w:space="0" w:color="auto"/>
            </w:tcBorders>
          </w:tcPr>
          <w:p w:rsidR="00000000" w:rsidRDefault="00000000">
            <w:pPr>
              <w:pStyle w:val="a7"/>
            </w:pPr>
            <w:r>
              <w:t xml:space="preserve">2000 </w:t>
            </w:r>
          </w:p>
        </w:tc>
        <w:tc>
          <w:tcPr>
            <w:tcW w:w="2268" w:type="dxa"/>
            <w:tcBorders>
              <w:top w:val="single" w:sz="4" w:space="0" w:color="auto"/>
            </w:tcBorders>
          </w:tcPr>
          <w:p w:rsidR="00000000" w:rsidRDefault="00000000">
            <w:pPr>
              <w:pStyle w:val="a6"/>
            </w:pPr>
            <w:r>
              <w:t>178</w:t>
            </w:r>
          </w:p>
        </w:tc>
        <w:tc>
          <w:tcPr>
            <w:tcW w:w="1559" w:type="dxa"/>
            <w:tcBorders>
              <w:top w:val="single" w:sz="4" w:space="0" w:color="auto"/>
            </w:tcBorders>
          </w:tcPr>
          <w:p w:rsidR="00000000" w:rsidRDefault="00000000">
            <w:pPr>
              <w:pStyle w:val="a6"/>
            </w:pPr>
            <w:r>
              <w:t>90</w:t>
            </w:r>
          </w:p>
        </w:tc>
        <w:tc>
          <w:tcPr>
            <w:tcW w:w="3260" w:type="dxa"/>
            <w:tcBorders>
              <w:top w:val="single" w:sz="4" w:space="0" w:color="auto"/>
            </w:tcBorders>
          </w:tcPr>
          <w:p w:rsidR="00000000" w:rsidRDefault="00000000">
            <w:pPr>
              <w:pStyle w:val="a6"/>
            </w:pPr>
            <w:r>
              <w:t>50,5</w:t>
            </w:r>
          </w:p>
        </w:tc>
        <w:tc>
          <w:tcPr>
            <w:tcW w:w="1474" w:type="dxa"/>
          </w:tcPr>
          <w:p w:rsidR="00000000" w:rsidRDefault="00000000">
            <w:pPr>
              <w:pStyle w:val="a6"/>
              <w:rPr>
                <w:i/>
                <w:u w:val="single"/>
              </w:rPr>
            </w:pPr>
          </w:p>
        </w:tc>
      </w:tr>
      <w:tr w:rsidR="00000000">
        <w:tblPrEx>
          <w:tblCellMar>
            <w:top w:w="0" w:type="dxa"/>
            <w:bottom w:w="0" w:type="dxa"/>
          </w:tblCellMar>
        </w:tblPrEx>
        <w:trPr>
          <w:cantSplit/>
        </w:trPr>
        <w:tc>
          <w:tcPr>
            <w:tcW w:w="850" w:type="dxa"/>
            <w:tcBorders>
              <w:bottom w:val="single" w:sz="4" w:space="0" w:color="auto"/>
            </w:tcBorders>
          </w:tcPr>
          <w:p w:rsidR="00000000" w:rsidRDefault="00000000">
            <w:pPr>
              <w:pStyle w:val="a7"/>
            </w:pPr>
            <w:r>
              <w:t xml:space="preserve">2004 </w:t>
            </w:r>
          </w:p>
        </w:tc>
        <w:tc>
          <w:tcPr>
            <w:tcW w:w="2268" w:type="dxa"/>
            <w:tcBorders>
              <w:bottom w:val="single" w:sz="4" w:space="0" w:color="auto"/>
            </w:tcBorders>
          </w:tcPr>
          <w:p w:rsidR="00000000" w:rsidRDefault="00000000">
            <w:pPr>
              <w:pStyle w:val="a6"/>
            </w:pPr>
            <w:r>
              <w:t>198</w:t>
            </w:r>
          </w:p>
        </w:tc>
        <w:tc>
          <w:tcPr>
            <w:tcW w:w="1559" w:type="dxa"/>
            <w:tcBorders>
              <w:bottom w:val="single" w:sz="4" w:space="0" w:color="auto"/>
            </w:tcBorders>
          </w:tcPr>
          <w:p w:rsidR="00000000" w:rsidRDefault="00000000">
            <w:pPr>
              <w:pStyle w:val="a6"/>
            </w:pPr>
            <w:r>
              <w:t>106</w:t>
            </w:r>
          </w:p>
        </w:tc>
        <w:tc>
          <w:tcPr>
            <w:tcW w:w="3260" w:type="dxa"/>
            <w:tcBorders>
              <w:bottom w:val="single" w:sz="4" w:space="0" w:color="auto"/>
            </w:tcBorders>
          </w:tcPr>
          <w:p w:rsidR="00000000" w:rsidRDefault="00000000">
            <w:pPr>
              <w:pStyle w:val="a6"/>
            </w:pPr>
            <w:r>
              <w:t>53</w:t>
            </w:r>
          </w:p>
        </w:tc>
        <w:tc>
          <w:tcPr>
            <w:tcW w:w="1474" w:type="dxa"/>
          </w:tcPr>
          <w:p w:rsidR="00000000" w:rsidRDefault="00000000">
            <w:pPr>
              <w:pStyle w:val="a6"/>
              <w:rPr>
                <w:i/>
                <w:u w:val="single"/>
              </w:rPr>
            </w:pPr>
          </w:p>
        </w:tc>
      </w:tr>
      <w:tr w:rsidR="00000000">
        <w:tblPrEx>
          <w:tblCellMar>
            <w:top w:w="0" w:type="dxa"/>
            <w:bottom w:w="0" w:type="dxa"/>
          </w:tblCellMar>
        </w:tblPrEx>
        <w:trPr>
          <w:cantSplit/>
        </w:trPr>
        <w:tc>
          <w:tcPr>
            <w:tcW w:w="7937" w:type="dxa"/>
            <w:gridSpan w:val="4"/>
            <w:tcBorders>
              <w:top w:val="single" w:sz="4" w:space="0" w:color="auto"/>
              <w:bottom w:val="single" w:sz="4" w:space="0" w:color="auto"/>
            </w:tcBorders>
          </w:tcPr>
          <w:p w:rsidR="00000000" w:rsidRDefault="00000000">
            <w:pPr>
              <w:pStyle w:val="a6"/>
              <w:spacing w:before="300"/>
              <w:rPr>
                <w:b/>
              </w:rPr>
            </w:pPr>
            <w:r>
              <w:rPr>
                <w:b/>
              </w:rPr>
              <w:t>Председатели административных судов первой инстанции</w:t>
            </w:r>
          </w:p>
        </w:tc>
        <w:tc>
          <w:tcPr>
            <w:tcW w:w="1474" w:type="dxa"/>
          </w:tcPr>
          <w:p w:rsidR="00000000" w:rsidRDefault="00000000">
            <w:pPr>
              <w:pStyle w:val="a6"/>
              <w:spacing w:before="300"/>
              <w:rPr>
                <w:b/>
                <w:i/>
                <w:u w:val="single"/>
              </w:rPr>
            </w:pPr>
          </w:p>
        </w:tc>
      </w:tr>
      <w:tr w:rsidR="00000000">
        <w:tblPrEx>
          <w:tblCellMar>
            <w:top w:w="0" w:type="dxa"/>
            <w:bottom w:w="0" w:type="dxa"/>
          </w:tblCellMar>
        </w:tblPrEx>
        <w:trPr>
          <w:cantSplit/>
        </w:trPr>
        <w:tc>
          <w:tcPr>
            <w:tcW w:w="850" w:type="dxa"/>
            <w:tcBorders>
              <w:top w:val="single" w:sz="4" w:space="0" w:color="auto"/>
              <w:bottom w:val="single" w:sz="4" w:space="0" w:color="auto"/>
            </w:tcBorders>
          </w:tcPr>
          <w:p w:rsidR="00000000" w:rsidRDefault="00000000">
            <w:pPr>
              <w:pStyle w:val="a6"/>
              <w:rPr>
                <w:b/>
                <w:i/>
                <w:u w:val="single"/>
              </w:rPr>
            </w:pPr>
            <w:r>
              <w:rPr>
                <w:b/>
              </w:rPr>
              <w:t>Год</w:t>
            </w:r>
          </w:p>
        </w:tc>
        <w:tc>
          <w:tcPr>
            <w:tcW w:w="2268" w:type="dxa"/>
            <w:tcBorders>
              <w:top w:val="single" w:sz="4" w:space="0" w:color="auto"/>
              <w:bottom w:val="single" w:sz="4" w:space="0" w:color="auto"/>
            </w:tcBorders>
          </w:tcPr>
          <w:p w:rsidR="00000000" w:rsidRDefault="00000000">
            <w:pPr>
              <w:pStyle w:val="a6"/>
              <w:rPr>
                <w:b/>
              </w:rPr>
            </w:pPr>
            <w:r>
              <w:rPr>
                <w:b/>
              </w:rPr>
              <w:t>Штатные должности</w:t>
            </w:r>
          </w:p>
        </w:tc>
        <w:tc>
          <w:tcPr>
            <w:tcW w:w="1559" w:type="dxa"/>
            <w:tcBorders>
              <w:top w:val="single" w:sz="4" w:space="0" w:color="auto"/>
              <w:bottom w:val="single" w:sz="4" w:space="0" w:color="auto"/>
            </w:tcBorders>
          </w:tcPr>
          <w:p w:rsidR="00000000" w:rsidRDefault="00000000">
            <w:pPr>
              <w:pStyle w:val="a6"/>
              <w:rPr>
                <w:b/>
              </w:rPr>
            </w:pPr>
            <w:r>
              <w:rPr>
                <w:b/>
              </w:rPr>
              <w:t>Женщины</w:t>
            </w:r>
          </w:p>
        </w:tc>
        <w:tc>
          <w:tcPr>
            <w:tcW w:w="3260" w:type="dxa"/>
            <w:tcBorders>
              <w:top w:val="single" w:sz="4" w:space="0" w:color="auto"/>
              <w:bottom w:val="single" w:sz="4" w:space="0" w:color="auto"/>
            </w:tcBorders>
          </w:tcPr>
          <w:p w:rsidR="00000000" w:rsidRDefault="00000000">
            <w:pPr>
              <w:pStyle w:val="a6"/>
              <w:rPr>
                <w:b/>
              </w:rPr>
            </w:pPr>
            <w:r>
              <w:rPr>
                <w:b/>
              </w:rPr>
              <w:t>Доля женщин (в процентах)</w:t>
            </w:r>
          </w:p>
        </w:tc>
        <w:tc>
          <w:tcPr>
            <w:tcW w:w="1474" w:type="dxa"/>
          </w:tcPr>
          <w:p w:rsidR="00000000" w:rsidRDefault="00000000">
            <w:pPr>
              <w:pStyle w:val="a6"/>
              <w:rPr>
                <w:b/>
                <w:i/>
                <w:u w:val="single"/>
              </w:rPr>
            </w:pPr>
          </w:p>
        </w:tc>
      </w:tr>
      <w:tr w:rsidR="00000000">
        <w:tblPrEx>
          <w:tblCellMar>
            <w:top w:w="0" w:type="dxa"/>
            <w:bottom w:w="0" w:type="dxa"/>
          </w:tblCellMar>
        </w:tblPrEx>
        <w:trPr>
          <w:cantSplit/>
        </w:trPr>
        <w:tc>
          <w:tcPr>
            <w:tcW w:w="850" w:type="dxa"/>
            <w:tcBorders>
              <w:top w:val="single" w:sz="4" w:space="0" w:color="auto"/>
            </w:tcBorders>
          </w:tcPr>
          <w:p w:rsidR="00000000" w:rsidRDefault="00000000">
            <w:pPr>
              <w:pStyle w:val="a7"/>
            </w:pPr>
            <w:r>
              <w:t xml:space="preserve">2000 </w:t>
            </w:r>
          </w:p>
        </w:tc>
        <w:tc>
          <w:tcPr>
            <w:tcW w:w="2268" w:type="dxa"/>
            <w:tcBorders>
              <w:top w:val="single" w:sz="4" w:space="0" w:color="auto"/>
            </w:tcBorders>
          </w:tcPr>
          <w:p w:rsidR="00000000" w:rsidRDefault="00000000">
            <w:pPr>
              <w:pStyle w:val="a6"/>
            </w:pPr>
            <w:r>
              <w:t>89</w:t>
            </w:r>
          </w:p>
        </w:tc>
        <w:tc>
          <w:tcPr>
            <w:tcW w:w="1559" w:type="dxa"/>
            <w:tcBorders>
              <w:top w:val="single" w:sz="4" w:space="0" w:color="auto"/>
            </w:tcBorders>
          </w:tcPr>
          <w:p w:rsidR="00000000" w:rsidRDefault="00000000">
            <w:pPr>
              <w:pStyle w:val="a6"/>
            </w:pPr>
            <w:r>
              <w:t>60</w:t>
            </w:r>
          </w:p>
        </w:tc>
        <w:tc>
          <w:tcPr>
            <w:tcW w:w="3260" w:type="dxa"/>
            <w:tcBorders>
              <w:top w:val="single" w:sz="4" w:space="0" w:color="auto"/>
            </w:tcBorders>
          </w:tcPr>
          <w:p w:rsidR="00000000" w:rsidRDefault="00000000">
            <w:pPr>
              <w:pStyle w:val="a6"/>
            </w:pPr>
            <w:r>
              <w:t>67,4</w:t>
            </w:r>
          </w:p>
        </w:tc>
        <w:tc>
          <w:tcPr>
            <w:tcW w:w="1474" w:type="dxa"/>
          </w:tcPr>
          <w:p w:rsidR="00000000" w:rsidRDefault="00000000">
            <w:pPr>
              <w:pStyle w:val="a6"/>
              <w:rPr>
                <w:i/>
                <w:u w:val="single"/>
              </w:rPr>
            </w:pPr>
          </w:p>
        </w:tc>
      </w:tr>
      <w:tr w:rsidR="00000000">
        <w:tblPrEx>
          <w:tblCellMar>
            <w:top w:w="0" w:type="dxa"/>
            <w:bottom w:w="0" w:type="dxa"/>
          </w:tblCellMar>
        </w:tblPrEx>
        <w:trPr>
          <w:cantSplit/>
        </w:trPr>
        <w:tc>
          <w:tcPr>
            <w:tcW w:w="850" w:type="dxa"/>
            <w:tcBorders>
              <w:bottom w:val="single" w:sz="4" w:space="0" w:color="auto"/>
            </w:tcBorders>
          </w:tcPr>
          <w:p w:rsidR="00000000" w:rsidRDefault="00000000">
            <w:pPr>
              <w:pStyle w:val="a7"/>
            </w:pPr>
            <w:r>
              <w:t xml:space="preserve">2004 </w:t>
            </w:r>
          </w:p>
        </w:tc>
        <w:tc>
          <w:tcPr>
            <w:tcW w:w="2268" w:type="dxa"/>
            <w:tcBorders>
              <w:bottom w:val="single" w:sz="4" w:space="0" w:color="auto"/>
            </w:tcBorders>
          </w:tcPr>
          <w:p w:rsidR="00000000" w:rsidRDefault="00000000">
            <w:pPr>
              <w:pStyle w:val="a6"/>
            </w:pPr>
            <w:r>
              <w:t>96</w:t>
            </w:r>
          </w:p>
        </w:tc>
        <w:tc>
          <w:tcPr>
            <w:tcW w:w="1559" w:type="dxa"/>
            <w:tcBorders>
              <w:bottom w:val="single" w:sz="4" w:space="0" w:color="auto"/>
            </w:tcBorders>
          </w:tcPr>
          <w:p w:rsidR="00000000" w:rsidRDefault="00000000">
            <w:pPr>
              <w:pStyle w:val="a6"/>
            </w:pPr>
            <w:r>
              <w:t>70</w:t>
            </w:r>
          </w:p>
        </w:tc>
        <w:tc>
          <w:tcPr>
            <w:tcW w:w="3260" w:type="dxa"/>
            <w:tcBorders>
              <w:bottom w:val="single" w:sz="4" w:space="0" w:color="auto"/>
            </w:tcBorders>
          </w:tcPr>
          <w:p w:rsidR="00000000" w:rsidRDefault="00000000">
            <w:pPr>
              <w:pStyle w:val="a6"/>
            </w:pPr>
            <w:r>
              <w:t>73</w:t>
            </w:r>
          </w:p>
        </w:tc>
        <w:tc>
          <w:tcPr>
            <w:tcW w:w="1474" w:type="dxa"/>
          </w:tcPr>
          <w:p w:rsidR="00000000" w:rsidRDefault="00000000">
            <w:pPr>
              <w:pStyle w:val="a6"/>
              <w:rPr>
                <w:i/>
                <w:u w:val="single"/>
              </w:rPr>
            </w:pPr>
          </w:p>
        </w:tc>
      </w:tr>
      <w:tr w:rsidR="00000000">
        <w:tblPrEx>
          <w:tblCellMar>
            <w:top w:w="0" w:type="dxa"/>
            <w:bottom w:w="0" w:type="dxa"/>
          </w:tblCellMar>
        </w:tblPrEx>
        <w:trPr>
          <w:cantSplit/>
        </w:trPr>
        <w:tc>
          <w:tcPr>
            <w:tcW w:w="7937" w:type="dxa"/>
            <w:gridSpan w:val="4"/>
            <w:tcBorders>
              <w:top w:val="single" w:sz="4" w:space="0" w:color="auto"/>
              <w:bottom w:val="single" w:sz="4" w:space="0" w:color="auto"/>
            </w:tcBorders>
          </w:tcPr>
          <w:p w:rsidR="00000000" w:rsidRDefault="00000000">
            <w:pPr>
              <w:pStyle w:val="a6"/>
              <w:spacing w:before="300"/>
            </w:pPr>
            <w:r>
              <w:rPr>
                <w:b/>
              </w:rPr>
              <w:t>Судьи и асессоры административных судов первой инстанции</w:t>
            </w:r>
          </w:p>
        </w:tc>
        <w:tc>
          <w:tcPr>
            <w:tcW w:w="1474" w:type="dxa"/>
            <w:tcBorders>
              <w:bottom w:val="single" w:sz="4" w:space="0" w:color="auto"/>
            </w:tcBorders>
          </w:tcPr>
          <w:p w:rsidR="00000000" w:rsidRDefault="00000000">
            <w:pPr>
              <w:pStyle w:val="a6"/>
              <w:spacing w:before="300"/>
              <w:rPr>
                <w:i/>
                <w:u w:val="single"/>
              </w:rPr>
            </w:pPr>
          </w:p>
        </w:tc>
      </w:tr>
      <w:tr w:rsidR="00000000">
        <w:tblPrEx>
          <w:tblCellMar>
            <w:top w:w="0" w:type="dxa"/>
            <w:bottom w:w="0" w:type="dxa"/>
          </w:tblCellMar>
        </w:tblPrEx>
        <w:trPr>
          <w:cantSplit/>
        </w:trPr>
        <w:tc>
          <w:tcPr>
            <w:tcW w:w="850" w:type="dxa"/>
            <w:tcBorders>
              <w:top w:val="single" w:sz="4" w:space="0" w:color="auto"/>
              <w:bottom w:val="single" w:sz="4" w:space="0" w:color="auto"/>
            </w:tcBorders>
          </w:tcPr>
          <w:p w:rsidR="00000000" w:rsidRDefault="00000000">
            <w:pPr>
              <w:pStyle w:val="a6"/>
              <w:rPr>
                <w:b/>
              </w:rPr>
            </w:pPr>
            <w:r>
              <w:rPr>
                <w:b/>
              </w:rPr>
              <w:t>Год</w:t>
            </w:r>
          </w:p>
        </w:tc>
        <w:tc>
          <w:tcPr>
            <w:tcW w:w="2268" w:type="dxa"/>
            <w:tcBorders>
              <w:top w:val="single" w:sz="4" w:space="0" w:color="auto"/>
              <w:bottom w:val="single" w:sz="4" w:space="0" w:color="auto"/>
            </w:tcBorders>
          </w:tcPr>
          <w:p w:rsidR="00000000" w:rsidRDefault="00000000">
            <w:pPr>
              <w:pStyle w:val="a6"/>
              <w:rPr>
                <w:b/>
              </w:rPr>
            </w:pPr>
            <w:r>
              <w:rPr>
                <w:b/>
              </w:rPr>
              <w:t>Штатные должности</w:t>
            </w:r>
          </w:p>
        </w:tc>
        <w:tc>
          <w:tcPr>
            <w:tcW w:w="1559" w:type="dxa"/>
            <w:tcBorders>
              <w:top w:val="single" w:sz="4" w:space="0" w:color="auto"/>
              <w:bottom w:val="single" w:sz="4" w:space="0" w:color="auto"/>
            </w:tcBorders>
          </w:tcPr>
          <w:p w:rsidR="00000000" w:rsidRDefault="00000000">
            <w:pPr>
              <w:pStyle w:val="a6"/>
              <w:rPr>
                <w:b/>
              </w:rPr>
            </w:pPr>
            <w:r>
              <w:rPr>
                <w:b/>
              </w:rPr>
              <w:t>Работающие</w:t>
            </w:r>
          </w:p>
        </w:tc>
        <w:tc>
          <w:tcPr>
            <w:tcW w:w="3260" w:type="dxa"/>
            <w:tcBorders>
              <w:top w:val="single" w:sz="4" w:space="0" w:color="auto"/>
              <w:bottom w:val="single" w:sz="4" w:space="0" w:color="auto"/>
            </w:tcBorders>
          </w:tcPr>
          <w:p w:rsidR="00000000" w:rsidRDefault="00000000">
            <w:pPr>
              <w:pStyle w:val="a6"/>
              <w:rPr>
                <w:b/>
              </w:rPr>
            </w:pPr>
            <w:r>
              <w:rPr>
                <w:b/>
              </w:rPr>
              <w:t>Женщины</w:t>
            </w:r>
          </w:p>
        </w:tc>
        <w:tc>
          <w:tcPr>
            <w:tcW w:w="1474" w:type="dxa"/>
            <w:tcBorders>
              <w:top w:val="single" w:sz="4" w:space="0" w:color="auto"/>
              <w:bottom w:val="single" w:sz="4" w:space="0" w:color="auto"/>
            </w:tcBorders>
          </w:tcPr>
          <w:p w:rsidR="00000000" w:rsidRDefault="00000000">
            <w:pPr>
              <w:pStyle w:val="a6"/>
              <w:rPr>
                <w:b/>
              </w:rPr>
            </w:pPr>
            <w:r>
              <w:rPr>
                <w:b/>
              </w:rPr>
              <w:t xml:space="preserve">Доля женщин </w:t>
            </w:r>
            <w:r>
              <w:rPr>
                <w:b/>
              </w:rPr>
              <w:br/>
              <w:t>(в процентах)</w:t>
            </w:r>
          </w:p>
        </w:tc>
      </w:tr>
      <w:tr w:rsidR="00000000">
        <w:tblPrEx>
          <w:tblCellMar>
            <w:top w:w="0" w:type="dxa"/>
            <w:bottom w:w="0" w:type="dxa"/>
          </w:tblCellMar>
        </w:tblPrEx>
        <w:trPr>
          <w:cantSplit/>
        </w:trPr>
        <w:tc>
          <w:tcPr>
            <w:tcW w:w="850" w:type="dxa"/>
            <w:tcBorders>
              <w:top w:val="single" w:sz="4" w:space="0" w:color="auto"/>
            </w:tcBorders>
          </w:tcPr>
          <w:p w:rsidR="00000000" w:rsidRDefault="00000000">
            <w:pPr>
              <w:pStyle w:val="a7"/>
            </w:pPr>
            <w:r>
              <w:t xml:space="preserve">2000 </w:t>
            </w:r>
          </w:p>
        </w:tc>
        <w:tc>
          <w:tcPr>
            <w:tcW w:w="2268" w:type="dxa"/>
            <w:tcBorders>
              <w:top w:val="single" w:sz="4" w:space="0" w:color="auto"/>
            </w:tcBorders>
          </w:tcPr>
          <w:p w:rsidR="00000000" w:rsidRDefault="00000000">
            <w:pPr>
              <w:pStyle w:val="a6"/>
            </w:pPr>
            <w:r>
              <w:t>373</w:t>
            </w:r>
          </w:p>
        </w:tc>
        <w:tc>
          <w:tcPr>
            <w:tcW w:w="1559" w:type="dxa"/>
            <w:tcBorders>
              <w:top w:val="single" w:sz="4" w:space="0" w:color="auto"/>
            </w:tcBorders>
          </w:tcPr>
          <w:p w:rsidR="00000000" w:rsidRDefault="00000000">
            <w:pPr>
              <w:pStyle w:val="a6"/>
            </w:pPr>
            <w:r>
              <w:t>260</w:t>
            </w:r>
          </w:p>
        </w:tc>
        <w:tc>
          <w:tcPr>
            <w:tcW w:w="3260" w:type="dxa"/>
            <w:tcBorders>
              <w:top w:val="single" w:sz="4" w:space="0" w:color="auto"/>
            </w:tcBorders>
          </w:tcPr>
          <w:p w:rsidR="00000000" w:rsidRDefault="00000000">
            <w:pPr>
              <w:pStyle w:val="a6"/>
            </w:pPr>
            <w:r>
              <w:t>206</w:t>
            </w:r>
          </w:p>
        </w:tc>
        <w:tc>
          <w:tcPr>
            <w:tcW w:w="1474" w:type="dxa"/>
            <w:tcBorders>
              <w:top w:val="single" w:sz="4" w:space="0" w:color="auto"/>
            </w:tcBorders>
          </w:tcPr>
          <w:p w:rsidR="00000000" w:rsidRDefault="00000000">
            <w:pPr>
              <w:pStyle w:val="a6"/>
            </w:pPr>
            <w:r>
              <w:t>79,2</w:t>
            </w:r>
          </w:p>
        </w:tc>
      </w:tr>
      <w:tr w:rsidR="00000000">
        <w:tblPrEx>
          <w:tblCellMar>
            <w:top w:w="0" w:type="dxa"/>
            <w:bottom w:w="0" w:type="dxa"/>
          </w:tblCellMar>
        </w:tblPrEx>
        <w:trPr>
          <w:cantSplit/>
        </w:trPr>
        <w:tc>
          <w:tcPr>
            <w:tcW w:w="850" w:type="dxa"/>
            <w:tcBorders>
              <w:bottom w:val="single" w:sz="4" w:space="0" w:color="auto"/>
            </w:tcBorders>
          </w:tcPr>
          <w:p w:rsidR="00000000" w:rsidRDefault="00000000">
            <w:pPr>
              <w:pStyle w:val="a7"/>
            </w:pPr>
            <w:r>
              <w:t xml:space="preserve">2004 </w:t>
            </w:r>
          </w:p>
        </w:tc>
        <w:tc>
          <w:tcPr>
            <w:tcW w:w="2268" w:type="dxa"/>
            <w:tcBorders>
              <w:bottom w:val="single" w:sz="4" w:space="0" w:color="auto"/>
            </w:tcBorders>
          </w:tcPr>
          <w:p w:rsidR="00000000" w:rsidRDefault="00000000">
            <w:pPr>
              <w:pStyle w:val="a6"/>
            </w:pPr>
            <w:r>
              <w:t>402</w:t>
            </w:r>
          </w:p>
        </w:tc>
        <w:tc>
          <w:tcPr>
            <w:tcW w:w="1559" w:type="dxa"/>
            <w:tcBorders>
              <w:bottom w:val="single" w:sz="4" w:space="0" w:color="auto"/>
            </w:tcBorders>
          </w:tcPr>
          <w:p w:rsidR="00000000" w:rsidRDefault="00000000">
            <w:pPr>
              <w:pStyle w:val="a6"/>
            </w:pPr>
            <w:r>
              <w:t>365</w:t>
            </w:r>
          </w:p>
        </w:tc>
        <w:tc>
          <w:tcPr>
            <w:tcW w:w="3260" w:type="dxa"/>
            <w:tcBorders>
              <w:bottom w:val="single" w:sz="4" w:space="0" w:color="auto"/>
            </w:tcBorders>
          </w:tcPr>
          <w:p w:rsidR="00000000" w:rsidRDefault="00000000">
            <w:pPr>
              <w:pStyle w:val="a6"/>
            </w:pPr>
            <w:r>
              <w:t>267</w:t>
            </w:r>
          </w:p>
        </w:tc>
        <w:tc>
          <w:tcPr>
            <w:tcW w:w="1474" w:type="dxa"/>
            <w:tcBorders>
              <w:bottom w:val="single" w:sz="4" w:space="0" w:color="auto"/>
            </w:tcBorders>
          </w:tcPr>
          <w:p w:rsidR="00000000" w:rsidRDefault="00000000">
            <w:pPr>
              <w:pStyle w:val="a6"/>
            </w:pPr>
            <w:r>
              <w:t>75</w:t>
            </w:r>
          </w:p>
        </w:tc>
      </w:tr>
    </w:tbl>
    <w:p w:rsidR="00000000" w:rsidRDefault="00000000">
      <w:pPr>
        <w:pStyle w:val="BodyText"/>
        <w:rPr>
          <w:i/>
        </w:rPr>
      </w:pPr>
    </w:p>
    <w:p w:rsidR="00000000" w:rsidRDefault="00000000">
      <w:pPr>
        <w:pStyle w:val="BodyText"/>
        <w:rPr>
          <w:b/>
          <w:i/>
        </w:rPr>
      </w:pPr>
      <w:r>
        <w:t>16</w:t>
      </w:r>
      <w:r>
        <w:rPr>
          <w:i/>
        </w:rPr>
        <w:t>.</w:t>
      </w:r>
      <w:r>
        <w:rPr>
          <w:i/>
        </w:rPr>
        <w:tab/>
      </w:r>
      <w:r>
        <w:rPr>
          <w:b/>
          <w:i/>
        </w:rPr>
        <w:t>Гражданские и уголовные суды</w:t>
      </w:r>
    </w:p>
    <w:tbl>
      <w:tblPr>
        <w:tblW w:w="0" w:type="auto"/>
        <w:tblInd w:w="3" w:type="dxa"/>
        <w:tblLayout w:type="fixed"/>
        <w:tblCellMar>
          <w:left w:w="56" w:type="dxa"/>
          <w:right w:w="56" w:type="dxa"/>
        </w:tblCellMar>
        <w:tblLook w:val="0000" w:firstRow="0" w:lastRow="0" w:firstColumn="0" w:lastColumn="0" w:noHBand="0" w:noVBand="0"/>
      </w:tblPr>
      <w:tblGrid>
        <w:gridCol w:w="850"/>
        <w:gridCol w:w="2268"/>
        <w:gridCol w:w="1559"/>
        <w:gridCol w:w="3260"/>
        <w:gridCol w:w="1474"/>
      </w:tblGrid>
      <w:tr w:rsidR="00000000">
        <w:tblPrEx>
          <w:tblCellMar>
            <w:top w:w="0" w:type="dxa"/>
            <w:bottom w:w="0" w:type="dxa"/>
          </w:tblCellMar>
        </w:tblPrEx>
        <w:trPr>
          <w:cantSplit/>
        </w:trPr>
        <w:tc>
          <w:tcPr>
            <w:tcW w:w="7937" w:type="dxa"/>
            <w:gridSpan w:val="4"/>
            <w:tcBorders>
              <w:bottom w:val="single" w:sz="4" w:space="0" w:color="auto"/>
            </w:tcBorders>
          </w:tcPr>
          <w:p w:rsidR="00000000" w:rsidRDefault="00000000">
            <w:pPr>
              <w:pStyle w:val="a6"/>
              <w:rPr>
                <w:b/>
              </w:rPr>
            </w:pPr>
            <w:r>
              <w:rPr>
                <w:b/>
              </w:rPr>
              <w:t>Судьи Верховного суда</w:t>
            </w:r>
          </w:p>
        </w:tc>
        <w:tc>
          <w:tcPr>
            <w:tcW w:w="1474" w:type="dxa"/>
          </w:tcPr>
          <w:p w:rsidR="00000000" w:rsidRDefault="00000000">
            <w:pPr>
              <w:pStyle w:val="a6"/>
              <w:rPr>
                <w:b/>
                <w:i/>
                <w:u w:val="single"/>
              </w:rPr>
            </w:pPr>
          </w:p>
        </w:tc>
      </w:tr>
      <w:tr w:rsidR="00000000">
        <w:tblPrEx>
          <w:tblCellMar>
            <w:top w:w="0" w:type="dxa"/>
            <w:bottom w:w="0" w:type="dxa"/>
          </w:tblCellMar>
        </w:tblPrEx>
        <w:trPr>
          <w:cantSplit/>
        </w:trPr>
        <w:tc>
          <w:tcPr>
            <w:tcW w:w="850" w:type="dxa"/>
            <w:tcBorders>
              <w:top w:val="single" w:sz="4" w:space="0" w:color="auto"/>
              <w:bottom w:val="single" w:sz="4" w:space="0" w:color="auto"/>
            </w:tcBorders>
          </w:tcPr>
          <w:p w:rsidR="00000000" w:rsidRDefault="00000000">
            <w:pPr>
              <w:pStyle w:val="a6"/>
              <w:rPr>
                <w:b/>
                <w:i/>
                <w:u w:val="single"/>
              </w:rPr>
            </w:pPr>
            <w:r>
              <w:rPr>
                <w:b/>
              </w:rPr>
              <w:t>Год</w:t>
            </w:r>
          </w:p>
        </w:tc>
        <w:tc>
          <w:tcPr>
            <w:tcW w:w="2268" w:type="dxa"/>
            <w:tcBorders>
              <w:top w:val="single" w:sz="4" w:space="0" w:color="auto"/>
              <w:bottom w:val="single" w:sz="4" w:space="0" w:color="auto"/>
            </w:tcBorders>
          </w:tcPr>
          <w:p w:rsidR="00000000" w:rsidRDefault="00000000">
            <w:pPr>
              <w:pStyle w:val="a6"/>
              <w:rPr>
                <w:b/>
              </w:rPr>
            </w:pPr>
            <w:r>
              <w:rPr>
                <w:b/>
              </w:rPr>
              <w:t>Штатные должности</w:t>
            </w:r>
          </w:p>
        </w:tc>
        <w:tc>
          <w:tcPr>
            <w:tcW w:w="1559" w:type="dxa"/>
            <w:tcBorders>
              <w:top w:val="single" w:sz="4" w:space="0" w:color="auto"/>
              <w:bottom w:val="single" w:sz="4" w:space="0" w:color="auto"/>
            </w:tcBorders>
          </w:tcPr>
          <w:p w:rsidR="00000000" w:rsidRDefault="00000000">
            <w:pPr>
              <w:pStyle w:val="a6"/>
              <w:rPr>
                <w:b/>
              </w:rPr>
            </w:pPr>
            <w:r>
              <w:rPr>
                <w:b/>
              </w:rPr>
              <w:t>Женщины</w:t>
            </w:r>
          </w:p>
        </w:tc>
        <w:tc>
          <w:tcPr>
            <w:tcW w:w="3260" w:type="dxa"/>
            <w:tcBorders>
              <w:top w:val="single" w:sz="4" w:space="0" w:color="auto"/>
              <w:bottom w:val="single" w:sz="4" w:space="0" w:color="auto"/>
            </w:tcBorders>
          </w:tcPr>
          <w:p w:rsidR="00000000" w:rsidRDefault="00000000">
            <w:pPr>
              <w:pStyle w:val="a6"/>
              <w:rPr>
                <w:b/>
              </w:rPr>
            </w:pPr>
            <w:r>
              <w:rPr>
                <w:b/>
              </w:rPr>
              <w:t>Доля женщин (в процентах)</w:t>
            </w:r>
          </w:p>
        </w:tc>
        <w:tc>
          <w:tcPr>
            <w:tcW w:w="1474" w:type="dxa"/>
          </w:tcPr>
          <w:p w:rsidR="00000000" w:rsidRDefault="00000000">
            <w:pPr>
              <w:pStyle w:val="a6"/>
              <w:rPr>
                <w:b/>
                <w:i/>
                <w:u w:val="single"/>
              </w:rPr>
            </w:pPr>
          </w:p>
        </w:tc>
      </w:tr>
      <w:tr w:rsidR="00000000">
        <w:tblPrEx>
          <w:tblCellMar>
            <w:top w:w="0" w:type="dxa"/>
            <w:bottom w:w="0" w:type="dxa"/>
          </w:tblCellMar>
        </w:tblPrEx>
        <w:trPr>
          <w:cantSplit/>
        </w:trPr>
        <w:tc>
          <w:tcPr>
            <w:tcW w:w="850" w:type="dxa"/>
            <w:tcBorders>
              <w:top w:val="single" w:sz="4" w:space="0" w:color="auto"/>
            </w:tcBorders>
          </w:tcPr>
          <w:p w:rsidR="00000000" w:rsidRDefault="00000000">
            <w:pPr>
              <w:pStyle w:val="a7"/>
            </w:pPr>
            <w:r>
              <w:t xml:space="preserve">2000 </w:t>
            </w:r>
          </w:p>
        </w:tc>
        <w:tc>
          <w:tcPr>
            <w:tcW w:w="2268" w:type="dxa"/>
            <w:tcBorders>
              <w:top w:val="single" w:sz="4" w:space="0" w:color="auto"/>
            </w:tcBorders>
          </w:tcPr>
          <w:p w:rsidR="00000000" w:rsidRDefault="00000000">
            <w:pPr>
              <w:pStyle w:val="a6"/>
            </w:pPr>
          </w:p>
        </w:tc>
        <w:tc>
          <w:tcPr>
            <w:tcW w:w="1559" w:type="dxa"/>
            <w:tcBorders>
              <w:top w:val="single" w:sz="4" w:space="0" w:color="auto"/>
            </w:tcBorders>
          </w:tcPr>
          <w:p w:rsidR="00000000" w:rsidRDefault="00000000">
            <w:pPr>
              <w:pStyle w:val="a6"/>
            </w:pPr>
            <w:r>
              <w:t>нет</w:t>
            </w:r>
          </w:p>
        </w:tc>
        <w:tc>
          <w:tcPr>
            <w:tcW w:w="3260" w:type="dxa"/>
            <w:tcBorders>
              <w:top w:val="single" w:sz="4" w:space="0" w:color="auto"/>
            </w:tcBorders>
          </w:tcPr>
          <w:p w:rsidR="00000000" w:rsidRDefault="00000000">
            <w:pPr>
              <w:pStyle w:val="a6"/>
            </w:pPr>
          </w:p>
        </w:tc>
        <w:tc>
          <w:tcPr>
            <w:tcW w:w="1474" w:type="dxa"/>
          </w:tcPr>
          <w:p w:rsidR="00000000" w:rsidRDefault="00000000">
            <w:pPr>
              <w:pStyle w:val="a6"/>
              <w:rPr>
                <w:i/>
                <w:u w:val="single"/>
              </w:rPr>
            </w:pPr>
          </w:p>
        </w:tc>
      </w:tr>
      <w:tr w:rsidR="00000000">
        <w:tblPrEx>
          <w:tblCellMar>
            <w:top w:w="0" w:type="dxa"/>
            <w:bottom w:w="0" w:type="dxa"/>
          </w:tblCellMar>
        </w:tblPrEx>
        <w:trPr>
          <w:cantSplit/>
        </w:trPr>
        <w:tc>
          <w:tcPr>
            <w:tcW w:w="850" w:type="dxa"/>
            <w:tcBorders>
              <w:bottom w:val="single" w:sz="4" w:space="0" w:color="auto"/>
            </w:tcBorders>
          </w:tcPr>
          <w:p w:rsidR="00000000" w:rsidRDefault="00000000">
            <w:pPr>
              <w:pStyle w:val="a7"/>
            </w:pPr>
            <w:r>
              <w:t xml:space="preserve">2004 </w:t>
            </w:r>
          </w:p>
        </w:tc>
        <w:tc>
          <w:tcPr>
            <w:tcW w:w="2268" w:type="dxa"/>
            <w:tcBorders>
              <w:bottom w:val="single" w:sz="4" w:space="0" w:color="auto"/>
            </w:tcBorders>
          </w:tcPr>
          <w:p w:rsidR="00000000" w:rsidRDefault="00000000">
            <w:pPr>
              <w:pStyle w:val="a6"/>
            </w:pPr>
            <w:r>
              <w:t>50</w:t>
            </w:r>
          </w:p>
        </w:tc>
        <w:tc>
          <w:tcPr>
            <w:tcW w:w="1559" w:type="dxa"/>
            <w:tcBorders>
              <w:bottom w:val="single" w:sz="4" w:space="0" w:color="auto"/>
            </w:tcBorders>
          </w:tcPr>
          <w:p w:rsidR="00000000" w:rsidRDefault="00000000">
            <w:pPr>
              <w:pStyle w:val="a6"/>
            </w:pPr>
            <w:r>
              <w:t>1</w:t>
            </w:r>
          </w:p>
        </w:tc>
        <w:tc>
          <w:tcPr>
            <w:tcW w:w="3260" w:type="dxa"/>
            <w:tcBorders>
              <w:bottom w:val="single" w:sz="4" w:space="0" w:color="auto"/>
            </w:tcBorders>
          </w:tcPr>
          <w:p w:rsidR="00000000" w:rsidRDefault="00000000">
            <w:pPr>
              <w:pStyle w:val="a6"/>
            </w:pPr>
            <w:r>
              <w:t>2</w:t>
            </w:r>
          </w:p>
        </w:tc>
        <w:tc>
          <w:tcPr>
            <w:tcW w:w="1474" w:type="dxa"/>
          </w:tcPr>
          <w:p w:rsidR="00000000" w:rsidRDefault="00000000">
            <w:pPr>
              <w:pStyle w:val="a6"/>
              <w:rPr>
                <w:i/>
                <w:u w:val="single"/>
              </w:rPr>
            </w:pPr>
          </w:p>
        </w:tc>
      </w:tr>
      <w:tr w:rsidR="00000000">
        <w:tblPrEx>
          <w:tblCellMar>
            <w:top w:w="0" w:type="dxa"/>
            <w:bottom w:w="0" w:type="dxa"/>
          </w:tblCellMar>
        </w:tblPrEx>
        <w:trPr>
          <w:cantSplit/>
        </w:trPr>
        <w:tc>
          <w:tcPr>
            <w:tcW w:w="7937" w:type="dxa"/>
            <w:gridSpan w:val="4"/>
            <w:tcBorders>
              <w:top w:val="single" w:sz="4" w:space="0" w:color="auto"/>
              <w:bottom w:val="single" w:sz="4" w:space="0" w:color="auto"/>
            </w:tcBorders>
          </w:tcPr>
          <w:p w:rsidR="00000000" w:rsidRDefault="00000000">
            <w:pPr>
              <w:pStyle w:val="a6"/>
              <w:spacing w:before="300"/>
              <w:rPr>
                <w:b/>
              </w:rPr>
            </w:pPr>
            <w:r>
              <w:rPr>
                <w:b/>
              </w:rPr>
              <w:t>Председатели апелляционных судов</w:t>
            </w:r>
          </w:p>
        </w:tc>
        <w:tc>
          <w:tcPr>
            <w:tcW w:w="1474" w:type="dxa"/>
          </w:tcPr>
          <w:p w:rsidR="00000000" w:rsidRDefault="00000000">
            <w:pPr>
              <w:pStyle w:val="a6"/>
              <w:spacing w:before="300"/>
              <w:rPr>
                <w:b/>
                <w:i/>
                <w:u w:val="single"/>
              </w:rPr>
            </w:pPr>
          </w:p>
        </w:tc>
      </w:tr>
      <w:tr w:rsidR="00000000">
        <w:tblPrEx>
          <w:tblCellMar>
            <w:top w:w="0" w:type="dxa"/>
            <w:bottom w:w="0" w:type="dxa"/>
          </w:tblCellMar>
        </w:tblPrEx>
        <w:trPr>
          <w:cantSplit/>
        </w:trPr>
        <w:tc>
          <w:tcPr>
            <w:tcW w:w="850" w:type="dxa"/>
            <w:tcBorders>
              <w:top w:val="single" w:sz="4" w:space="0" w:color="auto"/>
              <w:bottom w:val="single" w:sz="4" w:space="0" w:color="auto"/>
            </w:tcBorders>
          </w:tcPr>
          <w:p w:rsidR="00000000" w:rsidRDefault="00000000">
            <w:pPr>
              <w:pStyle w:val="a6"/>
              <w:rPr>
                <w:b/>
                <w:i/>
                <w:u w:val="single"/>
              </w:rPr>
            </w:pPr>
            <w:r>
              <w:rPr>
                <w:b/>
              </w:rPr>
              <w:t>Год</w:t>
            </w:r>
          </w:p>
        </w:tc>
        <w:tc>
          <w:tcPr>
            <w:tcW w:w="2268" w:type="dxa"/>
            <w:tcBorders>
              <w:top w:val="single" w:sz="4" w:space="0" w:color="auto"/>
              <w:bottom w:val="single" w:sz="4" w:space="0" w:color="auto"/>
            </w:tcBorders>
          </w:tcPr>
          <w:p w:rsidR="00000000" w:rsidRDefault="00000000">
            <w:pPr>
              <w:pStyle w:val="a6"/>
              <w:rPr>
                <w:b/>
              </w:rPr>
            </w:pPr>
            <w:r>
              <w:rPr>
                <w:b/>
              </w:rPr>
              <w:t>Штатные должности</w:t>
            </w:r>
          </w:p>
        </w:tc>
        <w:tc>
          <w:tcPr>
            <w:tcW w:w="1559" w:type="dxa"/>
            <w:tcBorders>
              <w:top w:val="single" w:sz="4" w:space="0" w:color="auto"/>
              <w:bottom w:val="single" w:sz="4" w:space="0" w:color="auto"/>
            </w:tcBorders>
          </w:tcPr>
          <w:p w:rsidR="00000000" w:rsidRDefault="00000000">
            <w:pPr>
              <w:pStyle w:val="a6"/>
              <w:rPr>
                <w:b/>
              </w:rPr>
            </w:pPr>
            <w:r>
              <w:rPr>
                <w:b/>
              </w:rPr>
              <w:t>Женщины</w:t>
            </w:r>
          </w:p>
        </w:tc>
        <w:tc>
          <w:tcPr>
            <w:tcW w:w="3260" w:type="dxa"/>
            <w:tcBorders>
              <w:top w:val="single" w:sz="4" w:space="0" w:color="auto"/>
              <w:bottom w:val="single" w:sz="4" w:space="0" w:color="auto"/>
            </w:tcBorders>
          </w:tcPr>
          <w:p w:rsidR="00000000" w:rsidRDefault="00000000">
            <w:pPr>
              <w:pStyle w:val="a6"/>
              <w:rPr>
                <w:b/>
              </w:rPr>
            </w:pPr>
            <w:r>
              <w:rPr>
                <w:b/>
              </w:rPr>
              <w:t>Доля женщин (в процентах)</w:t>
            </w:r>
          </w:p>
        </w:tc>
        <w:tc>
          <w:tcPr>
            <w:tcW w:w="1474" w:type="dxa"/>
          </w:tcPr>
          <w:p w:rsidR="00000000" w:rsidRDefault="00000000">
            <w:pPr>
              <w:pStyle w:val="a6"/>
              <w:rPr>
                <w:b/>
                <w:i/>
                <w:u w:val="single"/>
              </w:rPr>
            </w:pPr>
          </w:p>
        </w:tc>
      </w:tr>
      <w:tr w:rsidR="00000000">
        <w:tblPrEx>
          <w:tblCellMar>
            <w:top w:w="0" w:type="dxa"/>
            <w:bottom w:w="0" w:type="dxa"/>
          </w:tblCellMar>
        </w:tblPrEx>
        <w:trPr>
          <w:cantSplit/>
        </w:trPr>
        <w:tc>
          <w:tcPr>
            <w:tcW w:w="850" w:type="dxa"/>
            <w:tcBorders>
              <w:top w:val="single" w:sz="4" w:space="0" w:color="auto"/>
            </w:tcBorders>
          </w:tcPr>
          <w:p w:rsidR="00000000" w:rsidRDefault="00000000">
            <w:pPr>
              <w:pStyle w:val="a7"/>
            </w:pPr>
            <w:r>
              <w:t xml:space="preserve">2000 </w:t>
            </w:r>
          </w:p>
        </w:tc>
        <w:tc>
          <w:tcPr>
            <w:tcW w:w="2268" w:type="dxa"/>
            <w:tcBorders>
              <w:top w:val="single" w:sz="4" w:space="0" w:color="auto"/>
            </w:tcBorders>
          </w:tcPr>
          <w:p w:rsidR="00000000" w:rsidRDefault="00000000">
            <w:pPr>
              <w:pStyle w:val="a6"/>
            </w:pPr>
            <w:r>
              <w:t>84</w:t>
            </w:r>
          </w:p>
        </w:tc>
        <w:tc>
          <w:tcPr>
            <w:tcW w:w="1559" w:type="dxa"/>
            <w:tcBorders>
              <w:top w:val="single" w:sz="4" w:space="0" w:color="auto"/>
            </w:tcBorders>
          </w:tcPr>
          <w:p w:rsidR="00000000" w:rsidRDefault="00000000">
            <w:pPr>
              <w:pStyle w:val="a6"/>
            </w:pPr>
            <w:r>
              <w:t>4</w:t>
            </w:r>
          </w:p>
        </w:tc>
        <w:tc>
          <w:tcPr>
            <w:tcW w:w="3260" w:type="dxa"/>
            <w:tcBorders>
              <w:top w:val="single" w:sz="4" w:space="0" w:color="auto"/>
            </w:tcBorders>
          </w:tcPr>
          <w:p w:rsidR="00000000" w:rsidRDefault="00000000">
            <w:pPr>
              <w:pStyle w:val="a6"/>
            </w:pPr>
            <w:r>
              <w:t>5</w:t>
            </w:r>
          </w:p>
        </w:tc>
        <w:tc>
          <w:tcPr>
            <w:tcW w:w="1474" w:type="dxa"/>
          </w:tcPr>
          <w:p w:rsidR="00000000" w:rsidRDefault="00000000">
            <w:pPr>
              <w:pStyle w:val="a6"/>
              <w:rPr>
                <w:i/>
                <w:u w:val="single"/>
              </w:rPr>
            </w:pPr>
          </w:p>
        </w:tc>
      </w:tr>
      <w:tr w:rsidR="00000000">
        <w:tblPrEx>
          <w:tblCellMar>
            <w:top w:w="0" w:type="dxa"/>
            <w:bottom w:w="0" w:type="dxa"/>
          </w:tblCellMar>
        </w:tblPrEx>
        <w:trPr>
          <w:cantSplit/>
        </w:trPr>
        <w:tc>
          <w:tcPr>
            <w:tcW w:w="850" w:type="dxa"/>
            <w:tcBorders>
              <w:bottom w:val="single" w:sz="4" w:space="0" w:color="auto"/>
            </w:tcBorders>
          </w:tcPr>
          <w:p w:rsidR="00000000" w:rsidRDefault="00000000">
            <w:pPr>
              <w:pStyle w:val="a7"/>
            </w:pPr>
            <w:r>
              <w:t xml:space="preserve">2004 </w:t>
            </w:r>
          </w:p>
        </w:tc>
        <w:tc>
          <w:tcPr>
            <w:tcW w:w="2268" w:type="dxa"/>
            <w:tcBorders>
              <w:bottom w:val="single" w:sz="4" w:space="0" w:color="auto"/>
            </w:tcBorders>
          </w:tcPr>
          <w:p w:rsidR="00000000" w:rsidRDefault="00000000">
            <w:pPr>
              <w:pStyle w:val="a6"/>
            </w:pPr>
            <w:r>
              <w:t>90</w:t>
            </w:r>
          </w:p>
        </w:tc>
        <w:tc>
          <w:tcPr>
            <w:tcW w:w="1559" w:type="dxa"/>
            <w:tcBorders>
              <w:bottom w:val="single" w:sz="4" w:space="0" w:color="auto"/>
            </w:tcBorders>
          </w:tcPr>
          <w:p w:rsidR="00000000" w:rsidRDefault="00000000">
            <w:pPr>
              <w:pStyle w:val="a6"/>
            </w:pPr>
            <w:r>
              <w:t>13</w:t>
            </w:r>
          </w:p>
        </w:tc>
        <w:tc>
          <w:tcPr>
            <w:tcW w:w="3260" w:type="dxa"/>
            <w:tcBorders>
              <w:bottom w:val="single" w:sz="4" w:space="0" w:color="auto"/>
            </w:tcBorders>
          </w:tcPr>
          <w:p w:rsidR="00000000" w:rsidRDefault="00000000">
            <w:pPr>
              <w:pStyle w:val="a6"/>
            </w:pPr>
            <w:r>
              <w:t>14</w:t>
            </w:r>
          </w:p>
        </w:tc>
        <w:tc>
          <w:tcPr>
            <w:tcW w:w="1474" w:type="dxa"/>
          </w:tcPr>
          <w:p w:rsidR="00000000" w:rsidRDefault="00000000">
            <w:pPr>
              <w:pStyle w:val="a6"/>
              <w:rPr>
                <w:i/>
                <w:u w:val="single"/>
              </w:rPr>
            </w:pPr>
          </w:p>
        </w:tc>
      </w:tr>
      <w:tr w:rsidR="00000000">
        <w:tblPrEx>
          <w:tblCellMar>
            <w:top w:w="0" w:type="dxa"/>
            <w:bottom w:w="0" w:type="dxa"/>
          </w:tblCellMar>
        </w:tblPrEx>
        <w:trPr>
          <w:cantSplit/>
        </w:trPr>
        <w:tc>
          <w:tcPr>
            <w:tcW w:w="850" w:type="dxa"/>
            <w:tcBorders>
              <w:top w:val="single" w:sz="4" w:space="0" w:color="auto"/>
            </w:tcBorders>
          </w:tcPr>
          <w:p w:rsidR="00000000" w:rsidRDefault="00000000">
            <w:pPr>
              <w:pStyle w:val="a7"/>
            </w:pPr>
          </w:p>
        </w:tc>
        <w:tc>
          <w:tcPr>
            <w:tcW w:w="2268" w:type="dxa"/>
            <w:tcBorders>
              <w:top w:val="single" w:sz="4" w:space="0" w:color="auto"/>
            </w:tcBorders>
          </w:tcPr>
          <w:p w:rsidR="00000000" w:rsidRDefault="00000000">
            <w:pPr>
              <w:pStyle w:val="a6"/>
            </w:pPr>
          </w:p>
        </w:tc>
        <w:tc>
          <w:tcPr>
            <w:tcW w:w="1559" w:type="dxa"/>
            <w:tcBorders>
              <w:top w:val="single" w:sz="4" w:space="0" w:color="auto"/>
            </w:tcBorders>
          </w:tcPr>
          <w:p w:rsidR="00000000" w:rsidRDefault="00000000">
            <w:pPr>
              <w:pStyle w:val="a6"/>
            </w:pPr>
          </w:p>
        </w:tc>
        <w:tc>
          <w:tcPr>
            <w:tcW w:w="3260" w:type="dxa"/>
            <w:tcBorders>
              <w:top w:val="single" w:sz="4" w:space="0" w:color="auto"/>
            </w:tcBorders>
          </w:tcPr>
          <w:p w:rsidR="00000000" w:rsidRDefault="00000000">
            <w:pPr>
              <w:pStyle w:val="a6"/>
            </w:pPr>
          </w:p>
        </w:tc>
        <w:tc>
          <w:tcPr>
            <w:tcW w:w="1474" w:type="dxa"/>
          </w:tcPr>
          <w:p w:rsidR="00000000" w:rsidRDefault="00000000">
            <w:pPr>
              <w:pStyle w:val="a6"/>
              <w:rPr>
                <w:i/>
                <w:u w:val="single"/>
              </w:rPr>
            </w:pPr>
          </w:p>
        </w:tc>
      </w:tr>
      <w:tr w:rsidR="00000000">
        <w:tblPrEx>
          <w:tblCellMar>
            <w:top w:w="0" w:type="dxa"/>
            <w:bottom w:w="0" w:type="dxa"/>
          </w:tblCellMar>
        </w:tblPrEx>
        <w:trPr>
          <w:cantSplit/>
        </w:trPr>
        <w:tc>
          <w:tcPr>
            <w:tcW w:w="7937" w:type="dxa"/>
            <w:gridSpan w:val="4"/>
            <w:tcBorders>
              <w:bottom w:val="single" w:sz="4" w:space="0" w:color="auto"/>
            </w:tcBorders>
          </w:tcPr>
          <w:p w:rsidR="00000000" w:rsidRDefault="00000000">
            <w:pPr>
              <w:pStyle w:val="a6"/>
              <w:keepNext/>
              <w:pageBreakBefore/>
              <w:rPr>
                <w:b/>
              </w:rPr>
            </w:pPr>
            <w:r>
              <w:rPr>
                <w:b/>
              </w:rPr>
              <w:t>Судьи апелляционных судов</w:t>
            </w:r>
          </w:p>
        </w:tc>
        <w:tc>
          <w:tcPr>
            <w:tcW w:w="1474" w:type="dxa"/>
          </w:tcPr>
          <w:p w:rsidR="00000000" w:rsidRDefault="00000000">
            <w:pPr>
              <w:pStyle w:val="a6"/>
              <w:keepNext/>
              <w:pageBreakBefore/>
              <w:rPr>
                <w:b/>
                <w:i/>
                <w:u w:val="single"/>
              </w:rPr>
            </w:pPr>
          </w:p>
        </w:tc>
      </w:tr>
      <w:tr w:rsidR="00000000">
        <w:tblPrEx>
          <w:tblCellMar>
            <w:top w:w="0" w:type="dxa"/>
            <w:bottom w:w="0" w:type="dxa"/>
          </w:tblCellMar>
        </w:tblPrEx>
        <w:trPr>
          <w:cantSplit/>
        </w:trPr>
        <w:tc>
          <w:tcPr>
            <w:tcW w:w="850" w:type="dxa"/>
            <w:tcBorders>
              <w:top w:val="single" w:sz="4" w:space="0" w:color="auto"/>
              <w:bottom w:val="single" w:sz="4" w:space="0" w:color="auto"/>
            </w:tcBorders>
          </w:tcPr>
          <w:p w:rsidR="00000000" w:rsidRDefault="00000000">
            <w:pPr>
              <w:pStyle w:val="a6"/>
              <w:rPr>
                <w:b/>
                <w:i/>
                <w:u w:val="single"/>
              </w:rPr>
            </w:pPr>
            <w:r>
              <w:rPr>
                <w:b/>
              </w:rPr>
              <w:t>Год</w:t>
            </w:r>
          </w:p>
        </w:tc>
        <w:tc>
          <w:tcPr>
            <w:tcW w:w="2268" w:type="dxa"/>
            <w:tcBorders>
              <w:top w:val="single" w:sz="4" w:space="0" w:color="auto"/>
              <w:bottom w:val="single" w:sz="4" w:space="0" w:color="auto"/>
            </w:tcBorders>
          </w:tcPr>
          <w:p w:rsidR="00000000" w:rsidRDefault="00000000">
            <w:pPr>
              <w:pStyle w:val="a6"/>
              <w:rPr>
                <w:b/>
              </w:rPr>
            </w:pPr>
            <w:r>
              <w:rPr>
                <w:b/>
              </w:rPr>
              <w:t>Штатные должности</w:t>
            </w:r>
          </w:p>
        </w:tc>
        <w:tc>
          <w:tcPr>
            <w:tcW w:w="1559" w:type="dxa"/>
            <w:tcBorders>
              <w:top w:val="single" w:sz="4" w:space="0" w:color="auto"/>
              <w:bottom w:val="single" w:sz="4" w:space="0" w:color="auto"/>
            </w:tcBorders>
          </w:tcPr>
          <w:p w:rsidR="00000000" w:rsidRDefault="00000000">
            <w:pPr>
              <w:pStyle w:val="a6"/>
              <w:rPr>
                <w:b/>
              </w:rPr>
            </w:pPr>
            <w:r>
              <w:rPr>
                <w:b/>
              </w:rPr>
              <w:t>Женщины</w:t>
            </w:r>
          </w:p>
        </w:tc>
        <w:tc>
          <w:tcPr>
            <w:tcW w:w="3260" w:type="dxa"/>
            <w:tcBorders>
              <w:top w:val="single" w:sz="4" w:space="0" w:color="auto"/>
              <w:bottom w:val="single" w:sz="4" w:space="0" w:color="auto"/>
            </w:tcBorders>
          </w:tcPr>
          <w:p w:rsidR="00000000" w:rsidRDefault="00000000">
            <w:pPr>
              <w:pStyle w:val="a6"/>
              <w:rPr>
                <w:b/>
              </w:rPr>
            </w:pPr>
            <w:r>
              <w:rPr>
                <w:b/>
              </w:rPr>
              <w:t>Доля женщин (в процентах)</w:t>
            </w:r>
          </w:p>
        </w:tc>
        <w:tc>
          <w:tcPr>
            <w:tcW w:w="1474" w:type="dxa"/>
          </w:tcPr>
          <w:p w:rsidR="00000000" w:rsidRDefault="00000000">
            <w:pPr>
              <w:pStyle w:val="a6"/>
              <w:rPr>
                <w:b/>
                <w:i/>
                <w:u w:val="single"/>
              </w:rPr>
            </w:pPr>
          </w:p>
        </w:tc>
      </w:tr>
      <w:tr w:rsidR="00000000">
        <w:tblPrEx>
          <w:tblCellMar>
            <w:top w:w="0" w:type="dxa"/>
            <w:bottom w:w="0" w:type="dxa"/>
          </w:tblCellMar>
        </w:tblPrEx>
        <w:trPr>
          <w:cantSplit/>
        </w:trPr>
        <w:tc>
          <w:tcPr>
            <w:tcW w:w="850" w:type="dxa"/>
            <w:tcBorders>
              <w:top w:val="single" w:sz="4" w:space="0" w:color="auto"/>
            </w:tcBorders>
          </w:tcPr>
          <w:p w:rsidR="00000000" w:rsidRDefault="00000000">
            <w:pPr>
              <w:pStyle w:val="a7"/>
            </w:pPr>
            <w:r>
              <w:t xml:space="preserve">2000 </w:t>
            </w:r>
          </w:p>
        </w:tc>
        <w:tc>
          <w:tcPr>
            <w:tcW w:w="2268" w:type="dxa"/>
            <w:tcBorders>
              <w:top w:val="single" w:sz="4" w:space="0" w:color="auto"/>
            </w:tcBorders>
          </w:tcPr>
          <w:p w:rsidR="00000000" w:rsidRDefault="00000000">
            <w:pPr>
              <w:pStyle w:val="a6"/>
            </w:pPr>
            <w:r>
              <w:t>345</w:t>
            </w:r>
          </w:p>
        </w:tc>
        <w:tc>
          <w:tcPr>
            <w:tcW w:w="1559" w:type="dxa"/>
            <w:tcBorders>
              <w:top w:val="single" w:sz="4" w:space="0" w:color="auto"/>
            </w:tcBorders>
          </w:tcPr>
          <w:p w:rsidR="00000000" w:rsidRDefault="00000000">
            <w:pPr>
              <w:pStyle w:val="a6"/>
            </w:pPr>
            <w:r>
              <w:t>82</w:t>
            </w:r>
          </w:p>
        </w:tc>
        <w:tc>
          <w:tcPr>
            <w:tcW w:w="3260" w:type="dxa"/>
            <w:tcBorders>
              <w:top w:val="single" w:sz="4" w:space="0" w:color="auto"/>
            </w:tcBorders>
          </w:tcPr>
          <w:p w:rsidR="00000000" w:rsidRDefault="00000000">
            <w:pPr>
              <w:pStyle w:val="a6"/>
            </w:pPr>
            <w:r>
              <w:t>23,7</w:t>
            </w:r>
          </w:p>
        </w:tc>
        <w:tc>
          <w:tcPr>
            <w:tcW w:w="1474" w:type="dxa"/>
          </w:tcPr>
          <w:p w:rsidR="00000000" w:rsidRDefault="00000000">
            <w:pPr>
              <w:pStyle w:val="a6"/>
              <w:rPr>
                <w:i/>
                <w:u w:val="single"/>
              </w:rPr>
            </w:pPr>
          </w:p>
        </w:tc>
      </w:tr>
      <w:tr w:rsidR="00000000">
        <w:tblPrEx>
          <w:tblCellMar>
            <w:top w:w="0" w:type="dxa"/>
            <w:bottom w:w="0" w:type="dxa"/>
          </w:tblCellMar>
        </w:tblPrEx>
        <w:trPr>
          <w:cantSplit/>
        </w:trPr>
        <w:tc>
          <w:tcPr>
            <w:tcW w:w="850" w:type="dxa"/>
            <w:tcBorders>
              <w:bottom w:val="single" w:sz="4" w:space="0" w:color="auto"/>
            </w:tcBorders>
          </w:tcPr>
          <w:p w:rsidR="00000000" w:rsidRDefault="00000000">
            <w:pPr>
              <w:pStyle w:val="a7"/>
            </w:pPr>
            <w:r>
              <w:t xml:space="preserve">2004 </w:t>
            </w:r>
          </w:p>
        </w:tc>
        <w:tc>
          <w:tcPr>
            <w:tcW w:w="2268" w:type="dxa"/>
            <w:tcBorders>
              <w:bottom w:val="single" w:sz="4" w:space="0" w:color="auto"/>
            </w:tcBorders>
          </w:tcPr>
          <w:p w:rsidR="00000000" w:rsidRDefault="00000000">
            <w:pPr>
              <w:pStyle w:val="a6"/>
            </w:pPr>
            <w:r>
              <w:t>384</w:t>
            </w:r>
          </w:p>
        </w:tc>
        <w:tc>
          <w:tcPr>
            <w:tcW w:w="1559" w:type="dxa"/>
            <w:tcBorders>
              <w:bottom w:val="single" w:sz="4" w:space="0" w:color="auto"/>
            </w:tcBorders>
          </w:tcPr>
          <w:p w:rsidR="00000000" w:rsidRDefault="00000000">
            <w:pPr>
              <w:pStyle w:val="a6"/>
            </w:pPr>
            <w:r>
              <w:t>144</w:t>
            </w:r>
          </w:p>
        </w:tc>
        <w:tc>
          <w:tcPr>
            <w:tcW w:w="3260" w:type="dxa"/>
            <w:tcBorders>
              <w:bottom w:val="single" w:sz="4" w:space="0" w:color="auto"/>
            </w:tcBorders>
          </w:tcPr>
          <w:p w:rsidR="00000000" w:rsidRDefault="00000000">
            <w:pPr>
              <w:pStyle w:val="a6"/>
            </w:pPr>
            <w:r>
              <w:t>37</w:t>
            </w:r>
          </w:p>
        </w:tc>
        <w:tc>
          <w:tcPr>
            <w:tcW w:w="1474" w:type="dxa"/>
          </w:tcPr>
          <w:p w:rsidR="00000000" w:rsidRDefault="00000000">
            <w:pPr>
              <w:pStyle w:val="a6"/>
              <w:rPr>
                <w:i/>
                <w:u w:val="single"/>
              </w:rPr>
            </w:pPr>
          </w:p>
        </w:tc>
      </w:tr>
      <w:tr w:rsidR="00000000">
        <w:tblPrEx>
          <w:tblCellMar>
            <w:top w:w="0" w:type="dxa"/>
            <w:bottom w:w="0" w:type="dxa"/>
          </w:tblCellMar>
        </w:tblPrEx>
        <w:trPr>
          <w:cantSplit/>
        </w:trPr>
        <w:tc>
          <w:tcPr>
            <w:tcW w:w="7937" w:type="dxa"/>
            <w:gridSpan w:val="4"/>
            <w:tcBorders>
              <w:top w:val="single" w:sz="4" w:space="0" w:color="auto"/>
              <w:bottom w:val="single" w:sz="4" w:space="0" w:color="auto"/>
            </w:tcBorders>
          </w:tcPr>
          <w:p w:rsidR="00000000" w:rsidRDefault="00000000">
            <w:pPr>
              <w:pStyle w:val="a6"/>
              <w:spacing w:before="300"/>
              <w:rPr>
                <w:b/>
              </w:rPr>
            </w:pPr>
            <w:r>
              <w:rPr>
                <w:b/>
              </w:rPr>
              <w:t>Государственные обвинители в апелляционных судах</w:t>
            </w:r>
          </w:p>
        </w:tc>
        <w:tc>
          <w:tcPr>
            <w:tcW w:w="1474" w:type="dxa"/>
          </w:tcPr>
          <w:p w:rsidR="00000000" w:rsidRDefault="00000000">
            <w:pPr>
              <w:pStyle w:val="a6"/>
              <w:spacing w:before="300"/>
              <w:rPr>
                <w:b/>
                <w:i/>
                <w:u w:val="single"/>
              </w:rPr>
            </w:pPr>
          </w:p>
        </w:tc>
      </w:tr>
      <w:tr w:rsidR="00000000">
        <w:tblPrEx>
          <w:tblCellMar>
            <w:top w:w="0" w:type="dxa"/>
            <w:bottom w:w="0" w:type="dxa"/>
          </w:tblCellMar>
        </w:tblPrEx>
        <w:trPr>
          <w:cantSplit/>
        </w:trPr>
        <w:tc>
          <w:tcPr>
            <w:tcW w:w="850" w:type="dxa"/>
            <w:tcBorders>
              <w:top w:val="single" w:sz="4" w:space="0" w:color="auto"/>
              <w:bottom w:val="single" w:sz="4" w:space="0" w:color="auto"/>
            </w:tcBorders>
          </w:tcPr>
          <w:p w:rsidR="00000000" w:rsidRDefault="00000000">
            <w:pPr>
              <w:pStyle w:val="a6"/>
              <w:rPr>
                <w:b/>
                <w:i/>
                <w:u w:val="single"/>
              </w:rPr>
            </w:pPr>
            <w:r>
              <w:rPr>
                <w:b/>
              </w:rPr>
              <w:t>Год</w:t>
            </w:r>
          </w:p>
        </w:tc>
        <w:tc>
          <w:tcPr>
            <w:tcW w:w="2268" w:type="dxa"/>
            <w:tcBorders>
              <w:top w:val="single" w:sz="4" w:space="0" w:color="auto"/>
              <w:bottom w:val="single" w:sz="4" w:space="0" w:color="auto"/>
            </w:tcBorders>
          </w:tcPr>
          <w:p w:rsidR="00000000" w:rsidRDefault="00000000">
            <w:pPr>
              <w:pStyle w:val="a6"/>
              <w:rPr>
                <w:b/>
              </w:rPr>
            </w:pPr>
            <w:r>
              <w:rPr>
                <w:b/>
              </w:rPr>
              <w:t>Штатные должности</w:t>
            </w:r>
          </w:p>
        </w:tc>
        <w:tc>
          <w:tcPr>
            <w:tcW w:w="1559" w:type="dxa"/>
            <w:tcBorders>
              <w:top w:val="single" w:sz="4" w:space="0" w:color="auto"/>
              <w:bottom w:val="single" w:sz="4" w:space="0" w:color="auto"/>
            </w:tcBorders>
          </w:tcPr>
          <w:p w:rsidR="00000000" w:rsidRDefault="00000000">
            <w:pPr>
              <w:pStyle w:val="a6"/>
              <w:rPr>
                <w:b/>
              </w:rPr>
            </w:pPr>
            <w:r>
              <w:rPr>
                <w:b/>
              </w:rPr>
              <w:t>Женщины</w:t>
            </w:r>
          </w:p>
        </w:tc>
        <w:tc>
          <w:tcPr>
            <w:tcW w:w="3260" w:type="dxa"/>
            <w:tcBorders>
              <w:top w:val="single" w:sz="4" w:space="0" w:color="auto"/>
              <w:bottom w:val="single" w:sz="4" w:space="0" w:color="auto"/>
            </w:tcBorders>
          </w:tcPr>
          <w:p w:rsidR="00000000" w:rsidRDefault="00000000">
            <w:pPr>
              <w:pStyle w:val="a6"/>
              <w:rPr>
                <w:b/>
              </w:rPr>
            </w:pPr>
            <w:r>
              <w:rPr>
                <w:b/>
              </w:rPr>
              <w:t>Доля женщин (в процентах)</w:t>
            </w:r>
          </w:p>
        </w:tc>
        <w:tc>
          <w:tcPr>
            <w:tcW w:w="1474" w:type="dxa"/>
          </w:tcPr>
          <w:p w:rsidR="00000000" w:rsidRDefault="00000000">
            <w:pPr>
              <w:pStyle w:val="a6"/>
              <w:rPr>
                <w:b/>
                <w:i/>
                <w:u w:val="single"/>
              </w:rPr>
            </w:pPr>
          </w:p>
        </w:tc>
      </w:tr>
      <w:tr w:rsidR="00000000">
        <w:tblPrEx>
          <w:tblCellMar>
            <w:top w:w="0" w:type="dxa"/>
            <w:bottom w:w="0" w:type="dxa"/>
          </w:tblCellMar>
        </w:tblPrEx>
        <w:trPr>
          <w:cantSplit/>
        </w:trPr>
        <w:tc>
          <w:tcPr>
            <w:tcW w:w="850" w:type="dxa"/>
            <w:tcBorders>
              <w:top w:val="single" w:sz="4" w:space="0" w:color="auto"/>
            </w:tcBorders>
          </w:tcPr>
          <w:p w:rsidR="00000000" w:rsidRDefault="00000000">
            <w:pPr>
              <w:pStyle w:val="a7"/>
            </w:pPr>
            <w:r>
              <w:t xml:space="preserve">2000 </w:t>
            </w:r>
          </w:p>
        </w:tc>
        <w:tc>
          <w:tcPr>
            <w:tcW w:w="2268" w:type="dxa"/>
            <w:tcBorders>
              <w:top w:val="single" w:sz="4" w:space="0" w:color="auto"/>
            </w:tcBorders>
          </w:tcPr>
          <w:p w:rsidR="00000000" w:rsidRDefault="00000000">
            <w:pPr>
              <w:pStyle w:val="a6"/>
            </w:pPr>
          </w:p>
        </w:tc>
        <w:tc>
          <w:tcPr>
            <w:tcW w:w="1559" w:type="dxa"/>
            <w:tcBorders>
              <w:top w:val="single" w:sz="4" w:space="0" w:color="auto"/>
            </w:tcBorders>
          </w:tcPr>
          <w:p w:rsidR="00000000" w:rsidRDefault="00000000">
            <w:pPr>
              <w:pStyle w:val="a6"/>
            </w:pPr>
          </w:p>
        </w:tc>
        <w:tc>
          <w:tcPr>
            <w:tcW w:w="3260" w:type="dxa"/>
            <w:tcBorders>
              <w:top w:val="single" w:sz="4" w:space="0" w:color="auto"/>
            </w:tcBorders>
          </w:tcPr>
          <w:p w:rsidR="00000000" w:rsidRDefault="00000000">
            <w:pPr>
              <w:pStyle w:val="a6"/>
            </w:pPr>
          </w:p>
        </w:tc>
        <w:tc>
          <w:tcPr>
            <w:tcW w:w="1474" w:type="dxa"/>
          </w:tcPr>
          <w:p w:rsidR="00000000" w:rsidRDefault="00000000">
            <w:pPr>
              <w:pStyle w:val="a6"/>
              <w:rPr>
                <w:i/>
                <w:u w:val="single"/>
              </w:rPr>
            </w:pPr>
          </w:p>
        </w:tc>
      </w:tr>
      <w:tr w:rsidR="00000000">
        <w:tblPrEx>
          <w:tblCellMar>
            <w:top w:w="0" w:type="dxa"/>
            <w:bottom w:w="0" w:type="dxa"/>
          </w:tblCellMar>
        </w:tblPrEx>
        <w:trPr>
          <w:cantSplit/>
        </w:trPr>
        <w:tc>
          <w:tcPr>
            <w:tcW w:w="850" w:type="dxa"/>
            <w:tcBorders>
              <w:bottom w:val="single" w:sz="4" w:space="0" w:color="auto"/>
            </w:tcBorders>
          </w:tcPr>
          <w:p w:rsidR="00000000" w:rsidRDefault="00000000">
            <w:pPr>
              <w:pStyle w:val="a7"/>
            </w:pPr>
            <w:r>
              <w:t xml:space="preserve">2004 </w:t>
            </w:r>
          </w:p>
        </w:tc>
        <w:tc>
          <w:tcPr>
            <w:tcW w:w="2268" w:type="dxa"/>
            <w:tcBorders>
              <w:bottom w:val="single" w:sz="4" w:space="0" w:color="auto"/>
            </w:tcBorders>
          </w:tcPr>
          <w:p w:rsidR="00000000" w:rsidRDefault="00000000">
            <w:pPr>
              <w:pStyle w:val="a6"/>
            </w:pPr>
            <w:r>
              <w:t>39</w:t>
            </w:r>
          </w:p>
        </w:tc>
        <w:tc>
          <w:tcPr>
            <w:tcW w:w="1559" w:type="dxa"/>
            <w:tcBorders>
              <w:bottom w:val="single" w:sz="4" w:space="0" w:color="auto"/>
            </w:tcBorders>
          </w:tcPr>
          <w:p w:rsidR="00000000" w:rsidRDefault="00000000">
            <w:pPr>
              <w:pStyle w:val="a6"/>
            </w:pPr>
            <w:r>
              <w:t>1</w:t>
            </w:r>
          </w:p>
        </w:tc>
        <w:tc>
          <w:tcPr>
            <w:tcW w:w="3260" w:type="dxa"/>
            <w:tcBorders>
              <w:bottom w:val="single" w:sz="4" w:space="0" w:color="auto"/>
            </w:tcBorders>
          </w:tcPr>
          <w:p w:rsidR="00000000" w:rsidRDefault="00000000">
            <w:pPr>
              <w:pStyle w:val="a6"/>
            </w:pPr>
            <w:r>
              <w:t>2,5</w:t>
            </w:r>
          </w:p>
        </w:tc>
        <w:tc>
          <w:tcPr>
            <w:tcW w:w="1474" w:type="dxa"/>
          </w:tcPr>
          <w:p w:rsidR="00000000" w:rsidRDefault="00000000">
            <w:pPr>
              <w:pStyle w:val="a6"/>
              <w:rPr>
                <w:i/>
                <w:u w:val="single"/>
              </w:rPr>
            </w:pPr>
          </w:p>
        </w:tc>
      </w:tr>
      <w:tr w:rsidR="00000000">
        <w:tblPrEx>
          <w:tblCellMar>
            <w:top w:w="0" w:type="dxa"/>
            <w:bottom w:w="0" w:type="dxa"/>
          </w:tblCellMar>
        </w:tblPrEx>
        <w:trPr>
          <w:cantSplit/>
        </w:trPr>
        <w:tc>
          <w:tcPr>
            <w:tcW w:w="7937" w:type="dxa"/>
            <w:gridSpan w:val="4"/>
            <w:tcBorders>
              <w:top w:val="single" w:sz="4" w:space="0" w:color="auto"/>
              <w:bottom w:val="single" w:sz="4" w:space="0" w:color="auto"/>
            </w:tcBorders>
          </w:tcPr>
          <w:p w:rsidR="00000000" w:rsidRDefault="00000000">
            <w:pPr>
              <w:pStyle w:val="a6"/>
              <w:spacing w:before="300"/>
              <w:rPr>
                <w:b/>
              </w:rPr>
            </w:pPr>
            <w:r>
              <w:rPr>
                <w:b/>
              </w:rPr>
              <w:t>Помощники государственных обвинителей в апелляционных судах</w:t>
            </w:r>
          </w:p>
        </w:tc>
        <w:tc>
          <w:tcPr>
            <w:tcW w:w="1474" w:type="dxa"/>
          </w:tcPr>
          <w:p w:rsidR="00000000" w:rsidRDefault="00000000">
            <w:pPr>
              <w:pStyle w:val="a6"/>
              <w:spacing w:before="300"/>
              <w:rPr>
                <w:b/>
                <w:i/>
                <w:u w:val="single"/>
              </w:rPr>
            </w:pPr>
          </w:p>
        </w:tc>
      </w:tr>
      <w:tr w:rsidR="00000000">
        <w:tblPrEx>
          <w:tblCellMar>
            <w:top w:w="0" w:type="dxa"/>
            <w:bottom w:w="0" w:type="dxa"/>
          </w:tblCellMar>
        </w:tblPrEx>
        <w:trPr>
          <w:cantSplit/>
        </w:trPr>
        <w:tc>
          <w:tcPr>
            <w:tcW w:w="850" w:type="dxa"/>
            <w:tcBorders>
              <w:top w:val="single" w:sz="4" w:space="0" w:color="auto"/>
              <w:bottom w:val="single" w:sz="4" w:space="0" w:color="auto"/>
            </w:tcBorders>
          </w:tcPr>
          <w:p w:rsidR="00000000" w:rsidRDefault="00000000">
            <w:pPr>
              <w:pStyle w:val="a6"/>
              <w:rPr>
                <w:b/>
                <w:i/>
                <w:u w:val="single"/>
              </w:rPr>
            </w:pPr>
            <w:r>
              <w:rPr>
                <w:b/>
              </w:rPr>
              <w:t>Год</w:t>
            </w:r>
          </w:p>
        </w:tc>
        <w:tc>
          <w:tcPr>
            <w:tcW w:w="2268" w:type="dxa"/>
            <w:tcBorders>
              <w:top w:val="single" w:sz="4" w:space="0" w:color="auto"/>
              <w:bottom w:val="single" w:sz="4" w:space="0" w:color="auto"/>
            </w:tcBorders>
          </w:tcPr>
          <w:p w:rsidR="00000000" w:rsidRDefault="00000000">
            <w:pPr>
              <w:pStyle w:val="a6"/>
              <w:rPr>
                <w:b/>
              </w:rPr>
            </w:pPr>
            <w:r>
              <w:rPr>
                <w:b/>
              </w:rPr>
              <w:t>Штатные должности</w:t>
            </w:r>
          </w:p>
        </w:tc>
        <w:tc>
          <w:tcPr>
            <w:tcW w:w="1559" w:type="dxa"/>
            <w:tcBorders>
              <w:top w:val="single" w:sz="4" w:space="0" w:color="auto"/>
              <w:bottom w:val="single" w:sz="4" w:space="0" w:color="auto"/>
            </w:tcBorders>
          </w:tcPr>
          <w:p w:rsidR="00000000" w:rsidRDefault="00000000">
            <w:pPr>
              <w:pStyle w:val="a6"/>
              <w:rPr>
                <w:b/>
              </w:rPr>
            </w:pPr>
            <w:r>
              <w:rPr>
                <w:b/>
              </w:rPr>
              <w:t>Женщины</w:t>
            </w:r>
          </w:p>
        </w:tc>
        <w:tc>
          <w:tcPr>
            <w:tcW w:w="3260" w:type="dxa"/>
            <w:tcBorders>
              <w:top w:val="single" w:sz="4" w:space="0" w:color="auto"/>
              <w:bottom w:val="single" w:sz="4" w:space="0" w:color="auto"/>
            </w:tcBorders>
          </w:tcPr>
          <w:p w:rsidR="00000000" w:rsidRDefault="00000000">
            <w:pPr>
              <w:pStyle w:val="a6"/>
              <w:rPr>
                <w:b/>
              </w:rPr>
            </w:pPr>
            <w:r>
              <w:rPr>
                <w:b/>
              </w:rPr>
              <w:t>Доля женщин (в процентах)</w:t>
            </w:r>
          </w:p>
        </w:tc>
        <w:tc>
          <w:tcPr>
            <w:tcW w:w="1474" w:type="dxa"/>
          </w:tcPr>
          <w:p w:rsidR="00000000" w:rsidRDefault="00000000">
            <w:pPr>
              <w:pStyle w:val="a6"/>
              <w:rPr>
                <w:b/>
                <w:i/>
                <w:u w:val="single"/>
              </w:rPr>
            </w:pPr>
          </w:p>
        </w:tc>
      </w:tr>
      <w:tr w:rsidR="00000000">
        <w:tblPrEx>
          <w:tblCellMar>
            <w:top w:w="0" w:type="dxa"/>
            <w:bottom w:w="0" w:type="dxa"/>
          </w:tblCellMar>
        </w:tblPrEx>
        <w:trPr>
          <w:cantSplit/>
        </w:trPr>
        <w:tc>
          <w:tcPr>
            <w:tcW w:w="850" w:type="dxa"/>
            <w:tcBorders>
              <w:top w:val="single" w:sz="4" w:space="0" w:color="auto"/>
            </w:tcBorders>
          </w:tcPr>
          <w:p w:rsidR="00000000" w:rsidRDefault="00000000">
            <w:pPr>
              <w:pStyle w:val="a7"/>
            </w:pPr>
            <w:r>
              <w:t xml:space="preserve">2000 </w:t>
            </w:r>
          </w:p>
        </w:tc>
        <w:tc>
          <w:tcPr>
            <w:tcW w:w="2268" w:type="dxa"/>
            <w:tcBorders>
              <w:top w:val="single" w:sz="4" w:space="0" w:color="auto"/>
            </w:tcBorders>
          </w:tcPr>
          <w:p w:rsidR="00000000" w:rsidRDefault="00000000">
            <w:pPr>
              <w:pStyle w:val="a6"/>
            </w:pPr>
            <w:r>
              <w:t>91</w:t>
            </w:r>
          </w:p>
        </w:tc>
        <w:tc>
          <w:tcPr>
            <w:tcW w:w="1559" w:type="dxa"/>
            <w:tcBorders>
              <w:top w:val="single" w:sz="4" w:space="0" w:color="auto"/>
            </w:tcBorders>
          </w:tcPr>
          <w:p w:rsidR="00000000" w:rsidRDefault="00000000">
            <w:pPr>
              <w:pStyle w:val="a6"/>
            </w:pPr>
            <w:r>
              <w:t>3</w:t>
            </w:r>
          </w:p>
        </w:tc>
        <w:tc>
          <w:tcPr>
            <w:tcW w:w="3260" w:type="dxa"/>
            <w:tcBorders>
              <w:top w:val="single" w:sz="4" w:space="0" w:color="auto"/>
            </w:tcBorders>
          </w:tcPr>
          <w:p w:rsidR="00000000" w:rsidRDefault="00000000">
            <w:pPr>
              <w:pStyle w:val="a6"/>
            </w:pPr>
            <w:r>
              <w:t>3,2</w:t>
            </w:r>
          </w:p>
        </w:tc>
        <w:tc>
          <w:tcPr>
            <w:tcW w:w="1474" w:type="dxa"/>
          </w:tcPr>
          <w:p w:rsidR="00000000" w:rsidRDefault="00000000">
            <w:pPr>
              <w:pStyle w:val="a6"/>
              <w:rPr>
                <w:i/>
                <w:u w:val="single"/>
              </w:rPr>
            </w:pPr>
          </w:p>
        </w:tc>
      </w:tr>
      <w:tr w:rsidR="00000000">
        <w:tblPrEx>
          <w:tblCellMar>
            <w:top w:w="0" w:type="dxa"/>
            <w:bottom w:w="0" w:type="dxa"/>
          </w:tblCellMar>
        </w:tblPrEx>
        <w:trPr>
          <w:cantSplit/>
        </w:trPr>
        <w:tc>
          <w:tcPr>
            <w:tcW w:w="850" w:type="dxa"/>
            <w:tcBorders>
              <w:bottom w:val="single" w:sz="4" w:space="0" w:color="auto"/>
            </w:tcBorders>
          </w:tcPr>
          <w:p w:rsidR="00000000" w:rsidRDefault="00000000">
            <w:pPr>
              <w:pStyle w:val="a7"/>
            </w:pPr>
            <w:r>
              <w:t xml:space="preserve">2004 </w:t>
            </w:r>
          </w:p>
        </w:tc>
        <w:tc>
          <w:tcPr>
            <w:tcW w:w="2268" w:type="dxa"/>
            <w:tcBorders>
              <w:bottom w:val="single" w:sz="4" w:space="0" w:color="auto"/>
            </w:tcBorders>
          </w:tcPr>
          <w:p w:rsidR="00000000" w:rsidRDefault="00000000">
            <w:pPr>
              <w:pStyle w:val="a6"/>
            </w:pPr>
            <w:r>
              <w:t>101</w:t>
            </w:r>
          </w:p>
        </w:tc>
        <w:tc>
          <w:tcPr>
            <w:tcW w:w="1559" w:type="dxa"/>
            <w:tcBorders>
              <w:bottom w:val="single" w:sz="4" w:space="0" w:color="auto"/>
            </w:tcBorders>
          </w:tcPr>
          <w:p w:rsidR="00000000" w:rsidRDefault="00000000">
            <w:pPr>
              <w:pStyle w:val="a6"/>
            </w:pPr>
            <w:r>
              <w:t>16</w:t>
            </w:r>
          </w:p>
        </w:tc>
        <w:tc>
          <w:tcPr>
            <w:tcW w:w="3260" w:type="dxa"/>
            <w:tcBorders>
              <w:bottom w:val="single" w:sz="4" w:space="0" w:color="auto"/>
            </w:tcBorders>
          </w:tcPr>
          <w:p w:rsidR="00000000" w:rsidRDefault="00000000">
            <w:pPr>
              <w:pStyle w:val="a6"/>
            </w:pPr>
            <w:r>
              <w:t>16</w:t>
            </w:r>
          </w:p>
        </w:tc>
        <w:tc>
          <w:tcPr>
            <w:tcW w:w="1474" w:type="dxa"/>
          </w:tcPr>
          <w:p w:rsidR="00000000" w:rsidRDefault="00000000">
            <w:pPr>
              <w:pStyle w:val="a6"/>
              <w:rPr>
                <w:i/>
                <w:u w:val="single"/>
              </w:rPr>
            </w:pPr>
          </w:p>
        </w:tc>
      </w:tr>
      <w:tr w:rsidR="00000000">
        <w:tblPrEx>
          <w:tblCellMar>
            <w:top w:w="0" w:type="dxa"/>
            <w:bottom w:w="0" w:type="dxa"/>
          </w:tblCellMar>
        </w:tblPrEx>
        <w:trPr>
          <w:cantSplit/>
        </w:trPr>
        <w:tc>
          <w:tcPr>
            <w:tcW w:w="7937" w:type="dxa"/>
            <w:gridSpan w:val="4"/>
            <w:tcBorders>
              <w:top w:val="single" w:sz="4" w:space="0" w:color="auto"/>
              <w:bottom w:val="single" w:sz="4" w:space="0" w:color="auto"/>
            </w:tcBorders>
          </w:tcPr>
          <w:p w:rsidR="00000000" w:rsidRDefault="00000000">
            <w:pPr>
              <w:pStyle w:val="a6"/>
              <w:spacing w:before="300"/>
              <w:rPr>
                <w:b/>
              </w:rPr>
            </w:pPr>
            <w:r>
              <w:rPr>
                <w:b/>
              </w:rPr>
              <w:t>Председатели судов первой инстанции</w:t>
            </w:r>
          </w:p>
        </w:tc>
        <w:tc>
          <w:tcPr>
            <w:tcW w:w="1474" w:type="dxa"/>
          </w:tcPr>
          <w:p w:rsidR="00000000" w:rsidRDefault="00000000">
            <w:pPr>
              <w:pStyle w:val="a6"/>
              <w:spacing w:before="300"/>
              <w:rPr>
                <w:b/>
                <w:i/>
                <w:u w:val="single"/>
              </w:rPr>
            </w:pPr>
          </w:p>
        </w:tc>
      </w:tr>
      <w:tr w:rsidR="00000000">
        <w:tblPrEx>
          <w:tblCellMar>
            <w:top w:w="0" w:type="dxa"/>
            <w:bottom w:w="0" w:type="dxa"/>
          </w:tblCellMar>
        </w:tblPrEx>
        <w:trPr>
          <w:cantSplit/>
        </w:trPr>
        <w:tc>
          <w:tcPr>
            <w:tcW w:w="850" w:type="dxa"/>
            <w:tcBorders>
              <w:top w:val="single" w:sz="4" w:space="0" w:color="auto"/>
              <w:bottom w:val="single" w:sz="4" w:space="0" w:color="auto"/>
            </w:tcBorders>
          </w:tcPr>
          <w:p w:rsidR="00000000" w:rsidRDefault="00000000">
            <w:pPr>
              <w:pStyle w:val="a6"/>
              <w:rPr>
                <w:b/>
                <w:i/>
                <w:u w:val="single"/>
              </w:rPr>
            </w:pPr>
            <w:r>
              <w:rPr>
                <w:b/>
              </w:rPr>
              <w:t>Год</w:t>
            </w:r>
          </w:p>
        </w:tc>
        <w:tc>
          <w:tcPr>
            <w:tcW w:w="2268" w:type="dxa"/>
            <w:tcBorders>
              <w:top w:val="single" w:sz="4" w:space="0" w:color="auto"/>
              <w:bottom w:val="single" w:sz="4" w:space="0" w:color="auto"/>
            </w:tcBorders>
          </w:tcPr>
          <w:p w:rsidR="00000000" w:rsidRDefault="00000000">
            <w:pPr>
              <w:pStyle w:val="a6"/>
              <w:rPr>
                <w:b/>
              </w:rPr>
            </w:pPr>
            <w:r>
              <w:rPr>
                <w:b/>
              </w:rPr>
              <w:t>Штатные должности</w:t>
            </w:r>
          </w:p>
        </w:tc>
        <w:tc>
          <w:tcPr>
            <w:tcW w:w="1559" w:type="dxa"/>
            <w:tcBorders>
              <w:top w:val="single" w:sz="4" w:space="0" w:color="auto"/>
              <w:bottom w:val="single" w:sz="4" w:space="0" w:color="auto"/>
            </w:tcBorders>
          </w:tcPr>
          <w:p w:rsidR="00000000" w:rsidRDefault="00000000">
            <w:pPr>
              <w:pStyle w:val="a6"/>
              <w:rPr>
                <w:b/>
              </w:rPr>
            </w:pPr>
            <w:r>
              <w:rPr>
                <w:b/>
              </w:rPr>
              <w:t>Женщины</w:t>
            </w:r>
          </w:p>
        </w:tc>
        <w:tc>
          <w:tcPr>
            <w:tcW w:w="3260" w:type="dxa"/>
            <w:tcBorders>
              <w:top w:val="single" w:sz="4" w:space="0" w:color="auto"/>
              <w:bottom w:val="single" w:sz="4" w:space="0" w:color="auto"/>
            </w:tcBorders>
          </w:tcPr>
          <w:p w:rsidR="00000000" w:rsidRDefault="00000000">
            <w:pPr>
              <w:pStyle w:val="a6"/>
              <w:rPr>
                <w:b/>
              </w:rPr>
            </w:pPr>
            <w:r>
              <w:rPr>
                <w:b/>
              </w:rPr>
              <w:t>Доля женщин (в процентах)</w:t>
            </w:r>
          </w:p>
        </w:tc>
        <w:tc>
          <w:tcPr>
            <w:tcW w:w="1474" w:type="dxa"/>
          </w:tcPr>
          <w:p w:rsidR="00000000" w:rsidRDefault="00000000">
            <w:pPr>
              <w:pStyle w:val="a6"/>
              <w:rPr>
                <w:b/>
                <w:i/>
                <w:u w:val="single"/>
              </w:rPr>
            </w:pPr>
          </w:p>
        </w:tc>
      </w:tr>
      <w:tr w:rsidR="00000000">
        <w:tblPrEx>
          <w:tblCellMar>
            <w:top w:w="0" w:type="dxa"/>
            <w:bottom w:w="0" w:type="dxa"/>
          </w:tblCellMar>
        </w:tblPrEx>
        <w:trPr>
          <w:cantSplit/>
        </w:trPr>
        <w:tc>
          <w:tcPr>
            <w:tcW w:w="850" w:type="dxa"/>
            <w:tcBorders>
              <w:top w:val="single" w:sz="4" w:space="0" w:color="auto"/>
            </w:tcBorders>
          </w:tcPr>
          <w:p w:rsidR="00000000" w:rsidRDefault="00000000">
            <w:pPr>
              <w:pStyle w:val="a7"/>
            </w:pPr>
            <w:r>
              <w:t xml:space="preserve">2000 </w:t>
            </w:r>
          </w:p>
        </w:tc>
        <w:tc>
          <w:tcPr>
            <w:tcW w:w="2268" w:type="dxa"/>
            <w:tcBorders>
              <w:top w:val="single" w:sz="4" w:space="0" w:color="auto"/>
            </w:tcBorders>
          </w:tcPr>
          <w:p w:rsidR="00000000" w:rsidRDefault="00000000">
            <w:pPr>
              <w:pStyle w:val="a6"/>
            </w:pPr>
            <w:r>
              <w:t>300</w:t>
            </w:r>
          </w:p>
        </w:tc>
        <w:tc>
          <w:tcPr>
            <w:tcW w:w="1559" w:type="dxa"/>
            <w:tcBorders>
              <w:top w:val="single" w:sz="4" w:space="0" w:color="auto"/>
            </w:tcBorders>
          </w:tcPr>
          <w:p w:rsidR="00000000" w:rsidRDefault="00000000">
            <w:pPr>
              <w:pStyle w:val="a6"/>
            </w:pPr>
            <w:r>
              <w:t>160</w:t>
            </w:r>
          </w:p>
        </w:tc>
        <w:tc>
          <w:tcPr>
            <w:tcW w:w="3260" w:type="dxa"/>
            <w:tcBorders>
              <w:top w:val="single" w:sz="4" w:space="0" w:color="auto"/>
            </w:tcBorders>
          </w:tcPr>
          <w:p w:rsidR="00000000" w:rsidRDefault="00000000">
            <w:pPr>
              <w:pStyle w:val="a6"/>
            </w:pPr>
            <w:r>
              <w:t>53,3</w:t>
            </w:r>
          </w:p>
        </w:tc>
        <w:tc>
          <w:tcPr>
            <w:tcW w:w="1474" w:type="dxa"/>
          </w:tcPr>
          <w:p w:rsidR="00000000" w:rsidRDefault="00000000">
            <w:pPr>
              <w:pStyle w:val="a6"/>
              <w:rPr>
                <w:i/>
                <w:u w:val="single"/>
              </w:rPr>
            </w:pPr>
          </w:p>
        </w:tc>
      </w:tr>
      <w:tr w:rsidR="00000000">
        <w:tblPrEx>
          <w:tblCellMar>
            <w:top w:w="0" w:type="dxa"/>
            <w:bottom w:w="0" w:type="dxa"/>
          </w:tblCellMar>
        </w:tblPrEx>
        <w:trPr>
          <w:cantSplit/>
        </w:trPr>
        <w:tc>
          <w:tcPr>
            <w:tcW w:w="850" w:type="dxa"/>
            <w:tcBorders>
              <w:bottom w:val="single" w:sz="4" w:space="0" w:color="auto"/>
            </w:tcBorders>
          </w:tcPr>
          <w:p w:rsidR="00000000" w:rsidRDefault="00000000">
            <w:pPr>
              <w:pStyle w:val="a7"/>
            </w:pPr>
            <w:r>
              <w:t xml:space="preserve">2004 </w:t>
            </w:r>
          </w:p>
        </w:tc>
        <w:tc>
          <w:tcPr>
            <w:tcW w:w="2268" w:type="dxa"/>
            <w:tcBorders>
              <w:bottom w:val="single" w:sz="4" w:space="0" w:color="auto"/>
            </w:tcBorders>
          </w:tcPr>
          <w:p w:rsidR="00000000" w:rsidRDefault="00000000">
            <w:pPr>
              <w:pStyle w:val="a6"/>
            </w:pPr>
            <w:r>
              <w:t>300</w:t>
            </w:r>
          </w:p>
        </w:tc>
        <w:tc>
          <w:tcPr>
            <w:tcW w:w="1559" w:type="dxa"/>
            <w:tcBorders>
              <w:bottom w:val="single" w:sz="4" w:space="0" w:color="auto"/>
            </w:tcBorders>
          </w:tcPr>
          <w:p w:rsidR="00000000" w:rsidRDefault="00000000">
            <w:pPr>
              <w:pStyle w:val="a6"/>
            </w:pPr>
            <w:r>
              <w:t>191</w:t>
            </w:r>
          </w:p>
        </w:tc>
        <w:tc>
          <w:tcPr>
            <w:tcW w:w="3260" w:type="dxa"/>
            <w:tcBorders>
              <w:bottom w:val="single" w:sz="4" w:space="0" w:color="auto"/>
            </w:tcBorders>
          </w:tcPr>
          <w:p w:rsidR="00000000" w:rsidRDefault="00000000">
            <w:pPr>
              <w:pStyle w:val="a6"/>
            </w:pPr>
            <w:r>
              <w:t>64</w:t>
            </w:r>
          </w:p>
        </w:tc>
        <w:tc>
          <w:tcPr>
            <w:tcW w:w="1474" w:type="dxa"/>
          </w:tcPr>
          <w:p w:rsidR="00000000" w:rsidRDefault="00000000">
            <w:pPr>
              <w:pStyle w:val="a6"/>
              <w:rPr>
                <w:i/>
                <w:u w:val="single"/>
              </w:rPr>
            </w:pPr>
          </w:p>
        </w:tc>
      </w:tr>
      <w:tr w:rsidR="00000000">
        <w:tblPrEx>
          <w:tblCellMar>
            <w:top w:w="0" w:type="dxa"/>
            <w:bottom w:w="0" w:type="dxa"/>
          </w:tblCellMar>
        </w:tblPrEx>
        <w:trPr>
          <w:cantSplit/>
        </w:trPr>
        <w:tc>
          <w:tcPr>
            <w:tcW w:w="7937" w:type="dxa"/>
            <w:gridSpan w:val="4"/>
            <w:tcBorders>
              <w:top w:val="single" w:sz="4" w:space="0" w:color="auto"/>
              <w:bottom w:val="single" w:sz="4" w:space="0" w:color="auto"/>
            </w:tcBorders>
          </w:tcPr>
          <w:p w:rsidR="00000000" w:rsidRDefault="00000000">
            <w:pPr>
              <w:pStyle w:val="a6"/>
              <w:spacing w:before="300"/>
              <w:rPr>
                <w:b/>
              </w:rPr>
            </w:pPr>
            <w:r>
              <w:rPr>
                <w:b/>
              </w:rPr>
              <w:t>Государственные обвинители в судах первой инстанции</w:t>
            </w:r>
          </w:p>
        </w:tc>
        <w:tc>
          <w:tcPr>
            <w:tcW w:w="1474" w:type="dxa"/>
          </w:tcPr>
          <w:p w:rsidR="00000000" w:rsidRDefault="00000000">
            <w:pPr>
              <w:pStyle w:val="a6"/>
              <w:spacing w:before="300"/>
              <w:rPr>
                <w:b/>
                <w:i/>
                <w:u w:val="single"/>
              </w:rPr>
            </w:pPr>
          </w:p>
        </w:tc>
      </w:tr>
      <w:tr w:rsidR="00000000">
        <w:tblPrEx>
          <w:tblCellMar>
            <w:top w:w="0" w:type="dxa"/>
            <w:bottom w:w="0" w:type="dxa"/>
          </w:tblCellMar>
        </w:tblPrEx>
        <w:trPr>
          <w:cantSplit/>
        </w:trPr>
        <w:tc>
          <w:tcPr>
            <w:tcW w:w="850" w:type="dxa"/>
            <w:tcBorders>
              <w:top w:val="single" w:sz="4" w:space="0" w:color="auto"/>
              <w:bottom w:val="single" w:sz="4" w:space="0" w:color="auto"/>
            </w:tcBorders>
          </w:tcPr>
          <w:p w:rsidR="00000000" w:rsidRDefault="00000000">
            <w:pPr>
              <w:pStyle w:val="a6"/>
              <w:rPr>
                <w:b/>
                <w:i/>
                <w:u w:val="single"/>
              </w:rPr>
            </w:pPr>
            <w:r>
              <w:rPr>
                <w:b/>
              </w:rPr>
              <w:t>Год</w:t>
            </w:r>
          </w:p>
        </w:tc>
        <w:tc>
          <w:tcPr>
            <w:tcW w:w="2268" w:type="dxa"/>
            <w:tcBorders>
              <w:top w:val="single" w:sz="4" w:space="0" w:color="auto"/>
              <w:bottom w:val="single" w:sz="4" w:space="0" w:color="auto"/>
            </w:tcBorders>
          </w:tcPr>
          <w:p w:rsidR="00000000" w:rsidRDefault="00000000">
            <w:pPr>
              <w:pStyle w:val="a6"/>
              <w:rPr>
                <w:b/>
              </w:rPr>
            </w:pPr>
            <w:r>
              <w:rPr>
                <w:b/>
              </w:rPr>
              <w:t>Штатные должности</w:t>
            </w:r>
          </w:p>
        </w:tc>
        <w:tc>
          <w:tcPr>
            <w:tcW w:w="1559" w:type="dxa"/>
            <w:tcBorders>
              <w:top w:val="single" w:sz="4" w:space="0" w:color="auto"/>
              <w:bottom w:val="single" w:sz="4" w:space="0" w:color="auto"/>
            </w:tcBorders>
          </w:tcPr>
          <w:p w:rsidR="00000000" w:rsidRDefault="00000000">
            <w:pPr>
              <w:pStyle w:val="a6"/>
              <w:rPr>
                <w:b/>
              </w:rPr>
            </w:pPr>
            <w:r>
              <w:rPr>
                <w:b/>
              </w:rPr>
              <w:t>Женщины</w:t>
            </w:r>
          </w:p>
        </w:tc>
        <w:tc>
          <w:tcPr>
            <w:tcW w:w="3260" w:type="dxa"/>
            <w:tcBorders>
              <w:top w:val="single" w:sz="4" w:space="0" w:color="auto"/>
              <w:bottom w:val="single" w:sz="4" w:space="0" w:color="auto"/>
            </w:tcBorders>
          </w:tcPr>
          <w:p w:rsidR="00000000" w:rsidRDefault="00000000">
            <w:pPr>
              <w:pStyle w:val="a6"/>
              <w:rPr>
                <w:b/>
              </w:rPr>
            </w:pPr>
            <w:r>
              <w:rPr>
                <w:b/>
              </w:rPr>
              <w:t>Доля женщин (в процентах)</w:t>
            </w:r>
          </w:p>
        </w:tc>
        <w:tc>
          <w:tcPr>
            <w:tcW w:w="1474" w:type="dxa"/>
          </w:tcPr>
          <w:p w:rsidR="00000000" w:rsidRDefault="00000000">
            <w:pPr>
              <w:pStyle w:val="a6"/>
              <w:rPr>
                <w:b/>
                <w:i/>
                <w:u w:val="single"/>
              </w:rPr>
            </w:pPr>
          </w:p>
        </w:tc>
      </w:tr>
      <w:tr w:rsidR="00000000">
        <w:tblPrEx>
          <w:tblCellMar>
            <w:top w:w="0" w:type="dxa"/>
            <w:bottom w:w="0" w:type="dxa"/>
          </w:tblCellMar>
        </w:tblPrEx>
        <w:trPr>
          <w:cantSplit/>
        </w:trPr>
        <w:tc>
          <w:tcPr>
            <w:tcW w:w="850" w:type="dxa"/>
            <w:tcBorders>
              <w:top w:val="single" w:sz="4" w:space="0" w:color="auto"/>
            </w:tcBorders>
          </w:tcPr>
          <w:p w:rsidR="00000000" w:rsidRDefault="00000000">
            <w:pPr>
              <w:pStyle w:val="a7"/>
            </w:pPr>
            <w:r>
              <w:t xml:space="preserve">2000 </w:t>
            </w:r>
          </w:p>
        </w:tc>
        <w:tc>
          <w:tcPr>
            <w:tcW w:w="2268" w:type="dxa"/>
            <w:tcBorders>
              <w:top w:val="single" w:sz="4" w:space="0" w:color="auto"/>
            </w:tcBorders>
          </w:tcPr>
          <w:p w:rsidR="00000000" w:rsidRDefault="00000000">
            <w:pPr>
              <w:pStyle w:val="a6"/>
            </w:pPr>
            <w:r>
              <w:t>143</w:t>
            </w:r>
          </w:p>
        </w:tc>
        <w:tc>
          <w:tcPr>
            <w:tcW w:w="1559" w:type="dxa"/>
            <w:tcBorders>
              <w:top w:val="single" w:sz="4" w:space="0" w:color="auto"/>
            </w:tcBorders>
          </w:tcPr>
          <w:p w:rsidR="00000000" w:rsidRDefault="00000000">
            <w:pPr>
              <w:pStyle w:val="a6"/>
            </w:pPr>
            <w:r>
              <w:t>38</w:t>
            </w:r>
          </w:p>
        </w:tc>
        <w:tc>
          <w:tcPr>
            <w:tcW w:w="3260" w:type="dxa"/>
            <w:tcBorders>
              <w:top w:val="single" w:sz="4" w:space="0" w:color="auto"/>
            </w:tcBorders>
          </w:tcPr>
          <w:p w:rsidR="00000000" w:rsidRDefault="00000000">
            <w:pPr>
              <w:pStyle w:val="a6"/>
            </w:pPr>
            <w:r>
              <w:t>26,57</w:t>
            </w:r>
          </w:p>
        </w:tc>
        <w:tc>
          <w:tcPr>
            <w:tcW w:w="1474" w:type="dxa"/>
          </w:tcPr>
          <w:p w:rsidR="00000000" w:rsidRDefault="00000000">
            <w:pPr>
              <w:pStyle w:val="a6"/>
              <w:rPr>
                <w:i/>
                <w:u w:val="single"/>
              </w:rPr>
            </w:pPr>
          </w:p>
        </w:tc>
      </w:tr>
      <w:tr w:rsidR="00000000">
        <w:tblPrEx>
          <w:tblCellMar>
            <w:top w:w="0" w:type="dxa"/>
            <w:bottom w:w="0" w:type="dxa"/>
          </w:tblCellMar>
        </w:tblPrEx>
        <w:trPr>
          <w:cantSplit/>
        </w:trPr>
        <w:tc>
          <w:tcPr>
            <w:tcW w:w="850" w:type="dxa"/>
            <w:tcBorders>
              <w:bottom w:val="single" w:sz="4" w:space="0" w:color="auto"/>
            </w:tcBorders>
          </w:tcPr>
          <w:p w:rsidR="00000000" w:rsidRDefault="00000000">
            <w:pPr>
              <w:pStyle w:val="a7"/>
            </w:pPr>
            <w:r>
              <w:t xml:space="preserve">2004 </w:t>
            </w:r>
          </w:p>
        </w:tc>
        <w:tc>
          <w:tcPr>
            <w:tcW w:w="2268" w:type="dxa"/>
            <w:tcBorders>
              <w:bottom w:val="single" w:sz="4" w:space="0" w:color="auto"/>
            </w:tcBorders>
          </w:tcPr>
          <w:p w:rsidR="00000000" w:rsidRDefault="00000000">
            <w:pPr>
              <w:pStyle w:val="a6"/>
            </w:pPr>
            <w:r>
              <w:t>143</w:t>
            </w:r>
          </w:p>
        </w:tc>
        <w:tc>
          <w:tcPr>
            <w:tcW w:w="1559" w:type="dxa"/>
            <w:tcBorders>
              <w:bottom w:val="single" w:sz="4" w:space="0" w:color="auto"/>
            </w:tcBorders>
          </w:tcPr>
          <w:p w:rsidR="00000000" w:rsidRDefault="00000000">
            <w:pPr>
              <w:pStyle w:val="a6"/>
            </w:pPr>
            <w:r>
              <w:t>50</w:t>
            </w:r>
          </w:p>
        </w:tc>
        <w:tc>
          <w:tcPr>
            <w:tcW w:w="3260" w:type="dxa"/>
            <w:tcBorders>
              <w:bottom w:val="single" w:sz="4" w:space="0" w:color="auto"/>
            </w:tcBorders>
          </w:tcPr>
          <w:p w:rsidR="00000000" w:rsidRDefault="00000000">
            <w:pPr>
              <w:pStyle w:val="a6"/>
            </w:pPr>
            <w:r>
              <w:t>35</w:t>
            </w:r>
          </w:p>
        </w:tc>
        <w:tc>
          <w:tcPr>
            <w:tcW w:w="1474" w:type="dxa"/>
          </w:tcPr>
          <w:p w:rsidR="00000000" w:rsidRDefault="00000000">
            <w:pPr>
              <w:pStyle w:val="a6"/>
              <w:rPr>
                <w:i/>
                <w:u w:val="single"/>
              </w:rPr>
            </w:pPr>
          </w:p>
        </w:tc>
      </w:tr>
      <w:tr w:rsidR="00000000">
        <w:tblPrEx>
          <w:tblCellMar>
            <w:top w:w="0" w:type="dxa"/>
            <w:bottom w:w="0" w:type="dxa"/>
          </w:tblCellMar>
        </w:tblPrEx>
        <w:trPr>
          <w:cantSplit/>
        </w:trPr>
        <w:tc>
          <w:tcPr>
            <w:tcW w:w="7937" w:type="dxa"/>
            <w:gridSpan w:val="4"/>
            <w:tcBorders>
              <w:top w:val="single" w:sz="4" w:space="0" w:color="auto"/>
              <w:bottom w:val="single" w:sz="4" w:space="0" w:color="auto"/>
            </w:tcBorders>
          </w:tcPr>
          <w:p w:rsidR="00000000" w:rsidRDefault="00000000">
            <w:pPr>
              <w:pStyle w:val="a6"/>
              <w:spacing w:before="300"/>
              <w:rPr>
                <w:b/>
              </w:rPr>
            </w:pPr>
            <w:r>
              <w:rPr>
                <w:b/>
              </w:rPr>
              <w:t>Судьи и помощники судей в судах первой инстанции</w:t>
            </w:r>
          </w:p>
        </w:tc>
        <w:tc>
          <w:tcPr>
            <w:tcW w:w="1474" w:type="dxa"/>
            <w:tcBorders>
              <w:bottom w:val="single" w:sz="4" w:space="0" w:color="auto"/>
            </w:tcBorders>
          </w:tcPr>
          <w:p w:rsidR="00000000" w:rsidRDefault="00000000">
            <w:pPr>
              <w:pStyle w:val="a6"/>
              <w:spacing w:before="300"/>
              <w:rPr>
                <w:i/>
                <w:u w:val="single"/>
              </w:rPr>
            </w:pPr>
          </w:p>
        </w:tc>
      </w:tr>
      <w:tr w:rsidR="00000000">
        <w:tblPrEx>
          <w:tblCellMar>
            <w:top w:w="0" w:type="dxa"/>
            <w:bottom w:w="0" w:type="dxa"/>
          </w:tblCellMar>
        </w:tblPrEx>
        <w:trPr>
          <w:cantSplit/>
        </w:trPr>
        <w:tc>
          <w:tcPr>
            <w:tcW w:w="850" w:type="dxa"/>
            <w:tcBorders>
              <w:top w:val="single" w:sz="4" w:space="0" w:color="auto"/>
              <w:bottom w:val="single" w:sz="4" w:space="0" w:color="auto"/>
            </w:tcBorders>
          </w:tcPr>
          <w:p w:rsidR="00000000" w:rsidRDefault="00000000">
            <w:pPr>
              <w:pStyle w:val="a6"/>
              <w:rPr>
                <w:b/>
              </w:rPr>
            </w:pPr>
            <w:r>
              <w:rPr>
                <w:b/>
              </w:rPr>
              <w:t>Год</w:t>
            </w:r>
          </w:p>
        </w:tc>
        <w:tc>
          <w:tcPr>
            <w:tcW w:w="2268" w:type="dxa"/>
            <w:tcBorders>
              <w:top w:val="single" w:sz="4" w:space="0" w:color="auto"/>
              <w:bottom w:val="single" w:sz="4" w:space="0" w:color="auto"/>
            </w:tcBorders>
          </w:tcPr>
          <w:p w:rsidR="00000000" w:rsidRDefault="00000000">
            <w:pPr>
              <w:pStyle w:val="a6"/>
              <w:rPr>
                <w:b/>
              </w:rPr>
            </w:pPr>
            <w:r>
              <w:rPr>
                <w:b/>
              </w:rPr>
              <w:t>Штатные должности</w:t>
            </w:r>
          </w:p>
        </w:tc>
        <w:tc>
          <w:tcPr>
            <w:tcW w:w="1559" w:type="dxa"/>
            <w:tcBorders>
              <w:top w:val="single" w:sz="4" w:space="0" w:color="auto"/>
              <w:bottom w:val="single" w:sz="4" w:space="0" w:color="auto"/>
            </w:tcBorders>
          </w:tcPr>
          <w:p w:rsidR="00000000" w:rsidRDefault="00000000">
            <w:pPr>
              <w:pStyle w:val="a6"/>
              <w:rPr>
                <w:b/>
              </w:rPr>
            </w:pPr>
            <w:r>
              <w:rPr>
                <w:b/>
              </w:rPr>
              <w:t>Работающие</w:t>
            </w:r>
          </w:p>
        </w:tc>
        <w:tc>
          <w:tcPr>
            <w:tcW w:w="3260" w:type="dxa"/>
            <w:tcBorders>
              <w:top w:val="single" w:sz="4" w:space="0" w:color="auto"/>
              <w:bottom w:val="single" w:sz="4" w:space="0" w:color="auto"/>
            </w:tcBorders>
          </w:tcPr>
          <w:p w:rsidR="00000000" w:rsidRDefault="00000000">
            <w:pPr>
              <w:pStyle w:val="a6"/>
              <w:rPr>
                <w:b/>
              </w:rPr>
            </w:pPr>
            <w:r>
              <w:rPr>
                <w:b/>
              </w:rPr>
              <w:t>Женщины</w:t>
            </w:r>
          </w:p>
        </w:tc>
        <w:tc>
          <w:tcPr>
            <w:tcW w:w="1474" w:type="dxa"/>
            <w:tcBorders>
              <w:top w:val="single" w:sz="4" w:space="0" w:color="auto"/>
              <w:bottom w:val="single" w:sz="4" w:space="0" w:color="auto"/>
            </w:tcBorders>
          </w:tcPr>
          <w:p w:rsidR="00000000" w:rsidRDefault="00000000">
            <w:pPr>
              <w:pStyle w:val="a6"/>
              <w:rPr>
                <w:b/>
              </w:rPr>
            </w:pPr>
            <w:r>
              <w:rPr>
                <w:b/>
              </w:rPr>
              <w:t xml:space="preserve">Доля женщин </w:t>
            </w:r>
            <w:r>
              <w:rPr>
                <w:b/>
              </w:rPr>
              <w:br/>
              <w:t>(в процентах)</w:t>
            </w:r>
          </w:p>
        </w:tc>
      </w:tr>
      <w:tr w:rsidR="00000000">
        <w:tblPrEx>
          <w:tblCellMar>
            <w:top w:w="0" w:type="dxa"/>
            <w:bottom w:w="0" w:type="dxa"/>
          </w:tblCellMar>
        </w:tblPrEx>
        <w:trPr>
          <w:cantSplit/>
        </w:trPr>
        <w:tc>
          <w:tcPr>
            <w:tcW w:w="850" w:type="dxa"/>
            <w:tcBorders>
              <w:top w:val="single" w:sz="4" w:space="0" w:color="auto"/>
            </w:tcBorders>
          </w:tcPr>
          <w:p w:rsidR="00000000" w:rsidRDefault="00000000">
            <w:pPr>
              <w:pStyle w:val="a7"/>
            </w:pPr>
            <w:r>
              <w:t xml:space="preserve">2000 </w:t>
            </w:r>
          </w:p>
        </w:tc>
        <w:tc>
          <w:tcPr>
            <w:tcW w:w="2268" w:type="dxa"/>
            <w:tcBorders>
              <w:top w:val="single" w:sz="4" w:space="0" w:color="auto"/>
            </w:tcBorders>
          </w:tcPr>
          <w:p w:rsidR="00000000" w:rsidRDefault="00000000">
            <w:pPr>
              <w:pStyle w:val="a6"/>
            </w:pPr>
            <w:r>
              <w:t>790</w:t>
            </w:r>
          </w:p>
        </w:tc>
        <w:tc>
          <w:tcPr>
            <w:tcW w:w="1559" w:type="dxa"/>
            <w:tcBorders>
              <w:top w:val="single" w:sz="4" w:space="0" w:color="auto"/>
            </w:tcBorders>
          </w:tcPr>
          <w:p w:rsidR="00000000" w:rsidRDefault="00000000">
            <w:pPr>
              <w:pStyle w:val="a6"/>
            </w:pPr>
            <w:r>
              <w:t>690</w:t>
            </w:r>
          </w:p>
        </w:tc>
        <w:tc>
          <w:tcPr>
            <w:tcW w:w="3260" w:type="dxa"/>
            <w:tcBorders>
              <w:top w:val="single" w:sz="4" w:space="0" w:color="auto"/>
            </w:tcBorders>
          </w:tcPr>
          <w:p w:rsidR="00000000" w:rsidRDefault="00000000">
            <w:pPr>
              <w:pStyle w:val="a6"/>
            </w:pPr>
            <w:r>
              <w:t>475</w:t>
            </w:r>
          </w:p>
        </w:tc>
        <w:tc>
          <w:tcPr>
            <w:tcW w:w="1474" w:type="dxa"/>
            <w:tcBorders>
              <w:top w:val="single" w:sz="4" w:space="0" w:color="auto"/>
            </w:tcBorders>
          </w:tcPr>
          <w:p w:rsidR="00000000" w:rsidRDefault="00000000">
            <w:pPr>
              <w:pStyle w:val="a6"/>
            </w:pPr>
            <w:r>
              <w:t>68,80</w:t>
            </w:r>
          </w:p>
        </w:tc>
      </w:tr>
      <w:tr w:rsidR="00000000">
        <w:tblPrEx>
          <w:tblCellMar>
            <w:top w:w="0" w:type="dxa"/>
            <w:bottom w:w="0" w:type="dxa"/>
          </w:tblCellMar>
        </w:tblPrEx>
        <w:trPr>
          <w:cantSplit/>
        </w:trPr>
        <w:tc>
          <w:tcPr>
            <w:tcW w:w="850" w:type="dxa"/>
            <w:tcBorders>
              <w:bottom w:val="single" w:sz="4" w:space="0" w:color="auto"/>
            </w:tcBorders>
          </w:tcPr>
          <w:p w:rsidR="00000000" w:rsidRDefault="00000000">
            <w:pPr>
              <w:pStyle w:val="a7"/>
            </w:pPr>
            <w:r>
              <w:t xml:space="preserve">2004 </w:t>
            </w:r>
          </w:p>
        </w:tc>
        <w:tc>
          <w:tcPr>
            <w:tcW w:w="2268" w:type="dxa"/>
            <w:tcBorders>
              <w:bottom w:val="single" w:sz="4" w:space="0" w:color="auto"/>
            </w:tcBorders>
          </w:tcPr>
          <w:p w:rsidR="00000000" w:rsidRDefault="00000000">
            <w:pPr>
              <w:pStyle w:val="a6"/>
            </w:pPr>
            <w:r>
              <w:t>825</w:t>
            </w:r>
          </w:p>
        </w:tc>
        <w:tc>
          <w:tcPr>
            <w:tcW w:w="1559" w:type="dxa"/>
            <w:tcBorders>
              <w:bottom w:val="single" w:sz="4" w:space="0" w:color="auto"/>
            </w:tcBorders>
          </w:tcPr>
          <w:p w:rsidR="00000000" w:rsidRDefault="00000000">
            <w:pPr>
              <w:pStyle w:val="a6"/>
            </w:pPr>
            <w:r>
              <w:t>728</w:t>
            </w:r>
          </w:p>
        </w:tc>
        <w:tc>
          <w:tcPr>
            <w:tcW w:w="3260" w:type="dxa"/>
            <w:tcBorders>
              <w:bottom w:val="single" w:sz="4" w:space="0" w:color="auto"/>
            </w:tcBorders>
          </w:tcPr>
          <w:p w:rsidR="00000000" w:rsidRDefault="00000000">
            <w:pPr>
              <w:pStyle w:val="a6"/>
            </w:pPr>
            <w:r>
              <w:t>509</w:t>
            </w:r>
          </w:p>
        </w:tc>
        <w:tc>
          <w:tcPr>
            <w:tcW w:w="1474" w:type="dxa"/>
            <w:tcBorders>
              <w:bottom w:val="single" w:sz="4" w:space="0" w:color="auto"/>
            </w:tcBorders>
          </w:tcPr>
          <w:p w:rsidR="00000000" w:rsidRDefault="00000000">
            <w:pPr>
              <w:pStyle w:val="a6"/>
            </w:pPr>
            <w:r>
              <w:t>70</w:t>
            </w:r>
          </w:p>
        </w:tc>
      </w:tr>
      <w:tr w:rsidR="00000000">
        <w:tblPrEx>
          <w:tblCellMar>
            <w:top w:w="0" w:type="dxa"/>
            <w:bottom w:w="0" w:type="dxa"/>
          </w:tblCellMar>
        </w:tblPrEx>
        <w:trPr>
          <w:cantSplit/>
        </w:trPr>
        <w:tc>
          <w:tcPr>
            <w:tcW w:w="7937" w:type="dxa"/>
            <w:gridSpan w:val="4"/>
            <w:tcBorders>
              <w:top w:val="single" w:sz="4" w:space="0" w:color="auto"/>
              <w:bottom w:val="single" w:sz="4" w:space="0" w:color="auto"/>
            </w:tcBorders>
          </w:tcPr>
          <w:p w:rsidR="00000000" w:rsidRDefault="00000000">
            <w:pPr>
              <w:pStyle w:val="a6"/>
              <w:spacing w:before="300"/>
              <w:rPr>
                <w:b/>
              </w:rPr>
            </w:pPr>
            <w:r>
              <w:rPr>
                <w:b/>
              </w:rPr>
              <w:t xml:space="preserve">Помощники государственных обвинителей в судах первой инстанции </w:t>
            </w:r>
            <w:r>
              <w:rPr>
                <w:b/>
              </w:rPr>
              <w:br/>
              <w:t>и в канцелярии Государственного прокурора</w:t>
            </w:r>
          </w:p>
        </w:tc>
        <w:tc>
          <w:tcPr>
            <w:tcW w:w="1474" w:type="dxa"/>
            <w:tcBorders>
              <w:bottom w:val="single" w:sz="4" w:space="0" w:color="auto"/>
            </w:tcBorders>
          </w:tcPr>
          <w:p w:rsidR="00000000" w:rsidRDefault="00000000">
            <w:pPr>
              <w:pStyle w:val="a6"/>
              <w:spacing w:before="300"/>
              <w:rPr>
                <w:i/>
                <w:u w:val="single"/>
              </w:rPr>
            </w:pPr>
          </w:p>
        </w:tc>
      </w:tr>
      <w:tr w:rsidR="00000000">
        <w:tblPrEx>
          <w:tblCellMar>
            <w:top w:w="0" w:type="dxa"/>
            <w:bottom w:w="0" w:type="dxa"/>
          </w:tblCellMar>
        </w:tblPrEx>
        <w:trPr>
          <w:cantSplit/>
        </w:trPr>
        <w:tc>
          <w:tcPr>
            <w:tcW w:w="850" w:type="dxa"/>
            <w:tcBorders>
              <w:top w:val="single" w:sz="4" w:space="0" w:color="auto"/>
              <w:bottom w:val="single" w:sz="4" w:space="0" w:color="auto"/>
            </w:tcBorders>
          </w:tcPr>
          <w:p w:rsidR="00000000" w:rsidRDefault="00000000">
            <w:pPr>
              <w:pStyle w:val="a6"/>
              <w:rPr>
                <w:b/>
              </w:rPr>
            </w:pPr>
            <w:r>
              <w:rPr>
                <w:b/>
              </w:rPr>
              <w:t>Год</w:t>
            </w:r>
          </w:p>
        </w:tc>
        <w:tc>
          <w:tcPr>
            <w:tcW w:w="2268" w:type="dxa"/>
            <w:tcBorders>
              <w:top w:val="single" w:sz="4" w:space="0" w:color="auto"/>
              <w:bottom w:val="single" w:sz="4" w:space="0" w:color="auto"/>
            </w:tcBorders>
          </w:tcPr>
          <w:p w:rsidR="00000000" w:rsidRDefault="00000000">
            <w:pPr>
              <w:pStyle w:val="a6"/>
              <w:rPr>
                <w:b/>
              </w:rPr>
            </w:pPr>
            <w:r>
              <w:rPr>
                <w:b/>
              </w:rPr>
              <w:t>Штатные должности</w:t>
            </w:r>
          </w:p>
        </w:tc>
        <w:tc>
          <w:tcPr>
            <w:tcW w:w="1559" w:type="dxa"/>
            <w:tcBorders>
              <w:top w:val="single" w:sz="4" w:space="0" w:color="auto"/>
              <w:bottom w:val="single" w:sz="4" w:space="0" w:color="auto"/>
            </w:tcBorders>
          </w:tcPr>
          <w:p w:rsidR="00000000" w:rsidRDefault="00000000">
            <w:pPr>
              <w:pStyle w:val="a6"/>
              <w:rPr>
                <w:b/>
              </w:rPr>
            </w:pPr>
            <w:r>
              <w:rPr>
                <w:b/>
              </w:rPr>
              <w:t>Работающие</w:t>
            </w:r>
          </w:p>
        </w:tc>
        <w:tc>
          <w:tcPr>
            <w:tcW w:w="3260" w:type="dxa"/>
            <w:tcBorders>
              <w:top w:val="single" w:sz="4" w:space="0" w:color="auto"/>
              <w:bottom w:val="single" w:sz="4" w:space="0" w:color="auto"/>
            </w:tcBorders>
          </w:tcPr>
          <w:p w:rsidR="00000000" w:rsidRDefault="00000000">
            <w:pPr>
              <w:pStyle w:val="a6"/>
              <w:rPr>
                <w:b/>
              </w:rPr>
            </w:pPr>
            <w:r>
              <w:rPr>
                <w:b/>
              </w:rPr>
              <w:t>Женщины</w:t>
            </w:r>
          </w:p>
        </w:tc>
        <w:tc>
          <w:tcPr>
            <w:tcW w:w="1474" w:type="dxa"/>
            <w:tcBorders>
              <w:top w:val="single" w:sz="4" w:space="0" w:color="auto"/>
              <w:bottom w:val="single" w:sz="4" w:space="0" w:color="auto"/>
            </w:tcBorders>
          </w:tcPr>
          <w:p w:rsidR="00000000" w:rsidRDefault="00000000">
            <w:pPr>
              <w:pStyle w:val="a6"/>
              <w:rPr>
                <w:b/>
              </w:rPr>
            </w:pPr>
            <w:r>
              <w:rPr>
                <w:b/>
              </w:rPr>
              <w:t xml:space="preserve">Доля женщин </w:t>
            </w:r>
            <w:r>
              <w:rPr>
                <w:b/>
              </w:rPr>
              <w:br/>
              <w:t>(в процентах)</w:t>
            </w:r>
          </w:p>
        </w:tc>
      </w:tr>
      <w:tr w:rsidR="00000000">
        <w:tblPrEx>
          <w:tblCellMar>
            <w:top w:w="0" w:type="dxa"/>
            <w:bottom w:w="0" w:type="dxa"/>
          </w:tblCellMar>
        </w:tblPrEx>
        <w:trPr>
          <w:cantSplit/>
        </w:trPr>
        <w:tc>
          <w:tcPr>
            <w:tcW w:w="850" w:type="dxa"/>
            <w:tcBorders>
              <w:top w:val="single" w:sz="4" w:space="0" w:color="auto"/>
            </w:tcBorders>
          </w:tcPr>
          <w:p w:rsidR="00000000" w:rsidRDefault="00000000">
            <w:pPr>
              <w:pStyle w:val="a7"/>
            </w:pPr>
            <w:r>
              <w:t xml:space="preserve">2000 </w:t>
            </w:r>
          </w:p>
        </w:tc>
        <w:tc>
          <w:tcPr>
            <w:tcW w:w="2268" w:type="dxa"/>
            <w:tcBorders>
              <w:top w:val="single" w:sz="4" w:space="0" w:color="auto"/>
            </w:tcBorders>
          </w:tcPr>
          <w:p w:rsidR="00000000" w:rsidRDefault="00000000">
            <w:pPr>
              <w:pStyle w:val="a6"/>
            </w:pPr>
            <w:r>
              <w:t>232</w:t>
            </w:r>
          </w:p>
        </w:tc>
        <w:tc>
          <w:tcPr>
            <w:tcW w:w="1559" w:type="dxa"/>
            <w:tcBorders>
              <w:top w:val="single" w:sz="4" w:space="0" w:color="auto"/>
            </w:tcBorders>
          </w:tcPr>
          <w:p w:rsidR="00000000" w:rsidRDefault="00000000">
            <w:pPr>
              <w:pStyle w:val="a6"/>
            </w:pPr>
            <w:r>
              <w:t>184</w:t>
            </w:r>
          </w:p>
        </w:tc>
        <w:tc>
          <w:tcPr>
            <w:tcW w:w="3260" w:type="dxa"/>
            <w:tcBorders>
              <w:top w:val="single" w:sz="4" w:space="0" w:color="auto"/>
            </w:tcBorders>
          </w:tcPr>
          <w:p w:rsidR="00000000" w:rsidRDefault="00000000">
            <w:pPr>
              <w:pStyle w:val="a6"/>
            </w:pPr>
            <w:r>
              <w:t>102</w:t>
            </w:r>
          </w:p>
        </w:tc>
        <w:tc>
          <w:tcPr>
            <w:tcW w:w="1474" w:type="dxa"/>
            <w:tcBorders>
              <w:top w:val="single" w:sz="4" w:space="0" w:color="auto"/>
            </w:tcBorders>
          </w:tcPr>
          <w:p w:rsidR="00000000" w:rsidRDefault="00000000">
            <w:pPr>
              <w:pStyle w:val="a6"/>
            </w:pPr>
            <w:r>
              <w:t>55,43</w:t>
            </w:r>
          </w:p>
        </w:tc>
      </w:tr>
      <w:tr w:rsidR="00000000">
        <w:tblPrEx>
          <w:tblCellMar>
            <w:top w:w="0" w:type="dxa"/>
            <w:bottom w:w="0" w:type="dxa"/>
          </w:tblCellMar>
        </w:tblPrEx>
        <w:trPr>
          <w:cantSplit/>
        </w:trPr>
        <w:tc>
          <w:tcPr>
            <w:tcW w:w="850" w:type="dxa"/>
            <w:tcBorders>
              <w:bottom w:val="single" w:sz="4" w:space="0" w:color="auto"/>
            </w:tcBorders>
          </w:tcPr>
          <w:p w:rsidR="00000000" w:rsidRDefault="00000000">
            <w:pPr>
              <w:pStyle w:val="a7"/>
            </w:pPr>
            <w:r>
              <w:t xml:space="preserve">2004 </w:t>
            </w:r>
          </w:p>
        </w:tc>
        <w:tc>
          <w:tcPr>
            <w:tcW w:w="2268" w:type="dxa"/>
            <w:tcBorders>
              <w:bottom w:val="single" w:sz="4" w:space="0" w:color="auto"/>
            </w:tcBorders>
          </w:tcPr>
          <w:p w:rsidR="00000000" w:rsidRDefault="00000000">
            <w:pPr>
              <w:pStyle w:val="a6"/>
            </w:pPr>
            <w:r>
              <w:t>247</w:t>
            </w:r>
          </w:p>
        </w:tc>
        <w:tc>
          <w:tcPr>
            <w:tcW w:w="1559" w:type="dxa"/>
            <w:tcBorders>
              <w:bottom w:val="single" w:sz="4" w:space="0" w:color="auto"/>
            </w:tcBorders>
          </w:tcPr>
          <w:p w:rsidR="00000000" w:rsidRDefault="00000000">
            <w:pPr>
              <w:pStyle w:val="a6"/>
            </w:pPr>
            <w:r>
              <w:t>228</w:t>
            </w:r>
          </w:p>
        </w:tc>
        <w:tc>
          <w:tcPr>
            <w:tcW w:w="3260" w:type="dxa"/>
            <w:tcBorders>
              <w:bottom w:val="single" w:sz="4" w:space="0" w:color="auto"/>
            </w:tcBorders>
          </w:tcPr>
          <w:p w:rsidR="00000000" w:rsidRDefault="00000000">
            <w:pPr>
              <w:pStyle w:val="a6"/>
            </w:pPr>
            <w:r>
              <w:t>134</w:t>
            </w:r>
          </w:p>
        </w:tc>
        <w:tc>
          <w:tcPr>
            <w:tcW w:w="1474" w:type="dxa"/>
            <w:tcBorders>
              <w:bottom w:val="single" w:sz="4" w:space="0" w:color="auto"/>
            </w:tcBorders>
          </w:tcPr>
          <w:p w:rsidR="00000000" w:rsidRDefault="00000000">
            <w:pPr>
              <w:pStyle w:val="a6"/>
            </w:pPr>
            <w:r>
              <w:t>59</w:t>
            </w:r>
          </w:p>
        </w:tc>
      </w:tr>
      <w:tr w:rsidR="00000000">
        <w:tblPrEx>
          <w:tblCellMar>
            <w:top w:w="0" w:type="dxa"/>
            <w:bottom w:w="0" w:type="dxa"/>
          </w:tblCellMar>
        </w:tblPrEx>
        <w:trPr>
          <w:cantSplit/>
        </w:trPr>
        <w:tc>
          <w:tcPr>
            <w:tcW w:w="7937" w:type="dxa"/>
            <w:gridSpan w:val="4"/>
            <w:tcBorders>
              <w:top w:val="single" w:sz="4" w:space="0" w:color="auto"/>
              <w:bottom w:val="single" w:sz="4" w:space="0" w:color="auto"/>
            </w:tcBorders>
          </w:tcPr>
          <w:p w:rsidR="00000000" w:rsidRDefault="00000000">
            <w:pPr>
              <w:pStyle w:val="a6"/>
              <w:spacing w:before="300"/>
              <w:rPr>
                <w:b/>
              </w:rPr>
            </w:pPr>
            <w:r>
              <w:rPr>
                <w:b/>
              </w:rPr>
              <w:t>Мировые судьи (первого разряда)</w:t>
            </w:r>
          </w:p>
        </w:tc>
        <w:tc>
          <w:tcPr>
            <w:tcW w:w="1474" w:type="dxa"/>
          </w:tcPr>
          <w:p w:rsidR="00000000" w:rsidRDefault="00000000">
            <w:pPr>
              <w:pStyle w:val="a6"/>
              <w:spacing w:before="300"/>
              <w:rPr>
                <w:b/>
                <w:i/>
                <w:u w:val="single"/>
              </w:rPr>
            </w:pPr>
          </w:p>
        </w:tc>
      </w:tr>
      <w:tr w:rsidR="00000000">
        <w:tblPrEx>
          <w:tblCellMar>
            <w:top w:w="0" w:type="dxa"/>
            <w:bottom w:w="0" w:type="dxa"/>
          </w:tblCellMar>
        </w:tblPrEx>
        <w:trPr>
          <w:cantSplit/>
        </w:trPr>
        <w:tc>
          <w:tcPr>
            <w:tcW w:w="850" w:type="dxa"/>
            <w:tcBorders>
              <w:top w:val="single" w:sz="4" w:space="0" w:color="auto"/>
              <w:bottom w:val="single" w:sz="4" w:space="0" w:color="auto"/>
            </w:tcBorders>
          </w:tcPr>
          <w:p w:rsidR="00000000" w:rsidRDefault="00000000">
            <w:pPr>
              <w:pStyle w:val="a6"/>
              <w:rPr>
                <w:b/>
                <w:i/>
                <w:u w:val="single"/>
              </w:rPr>
            </w:pPr>
            <w:r>
              <w:rPr>
                <w:b/>
              </w:rPr>
              <w:t>Год</w:t>
            </w:r>
          </w:p>
        </w:tc>
        <w:tc>
          <w:tcPr>
            <w:tcW w:w="2268" w:type="dxa"/>
            <w:tcBorders>
              <w:top w:val="single" w:sz="4" w:space="0" w:color="auto"/>
              <w:bottom w:val="single" w:sz="4" w:space="0" w:color="auto"/>
            </w:tcBorders>
          </w:tcPr>
          <w:p w:rsidR="00000000" w:rsidRDefault="00000000">
            <w:pPr>
              <w:pStyle w:val="a6"/>
              <w:rPr>
                <w:b/>
              </w:rPr>
            </w:pPr>
            <w:r>
              <w:rPr>
                <w:b/>
              </w:rPr>
              <w:t>Штатные должности</w:t>
            </w:r>
          </w:p>
        </w:tc>
        <w:tc>
          <w:tcPr>
            <w:tcW w:w="1559" w:type="dxa"/>
            <w:tcBorders>
              <w:top w:val="single" w:sz="4" w:space="0" w:color="auto"/>
              <w:bottom w:val="single" w:sz="4" w:space="0" w:color="auto"/>
            </w:tcBorders>
          </w:tcPr>
          <w:p w:rsidR="00000000" w:rsidRDefault="00000000">
            <w:pPr>
              <w:pStyle w:val="a6"/>
              <w:rPr>
                <w:b/>
              </w:rPr>
            </w:pPr>
            <w:r>
              <w:rPr>
                <w:b/>
              </w:rPr>
              <w:t>Женщины</w:t>
            </w:r>
          </w:p>
        </w:tc>
        <w:tc>
          <w:tcPr>
            <w:tcW w:w="3260" w:type="dxa"/>
            <w:tcBorders>
              <w:top w:val="single" w:sz="4" w:space="0" w:color="auto"/>
              <w:bottom w:val="single" w:sz="4" w:space="0" w:color="auto"/>
            </w:tcBorders>
          </w:tcPr>
          <w:p w:rsidR="00000000" w:rsidRDefault="00000000">
            <w:pPr>
              <w:pStyle w:val="a6"/>
              <w:rPr>
                <w:b/>
              </w:rPr>
            </w:pPr>
            <w:r>
              <w:rPr>
                <w:b/>
              </w:rPr>
              <w:t>Доля женщин (в процентах)</w:t>
            </w:r>
          </w:p>
        </w:tc>
        <w:tc>
          <w:tcPr>
            <w:tcW w:w="1474" w:type="dxa"/>
          </w:tcPr>
          <w:p w:rsidR="00000000" w:rsidRDefault="00000000">
            <w:pPr>
              <w:pStyle w:val="a6"/>
              <w:rPr>
                <w:b/>
                <w:i/>
                <w:u w:val="single"/>
              </w:rPr>
            </w:pPr>
          </w:p>
        </w:tc>
      </w:tr>
      <w:tr w:rsidR="00000000">
        <w:tblPrEx>
          <w:tblCellMar>
            <w:top w:w="0" w:type="dxa"/>
            <w:bottom w:w="0" w:type="dxa"/>
          </w:tblCellMar>
        </w:tblPrEx>
        <w:trPr>
          <w:cantSplit/>
        </w:trPr>
        <w:tc>
          <w:tcPr>
            <w:tcW w:w="850" w:type="dxa"/>
            <w:tcBorders>
              <w:top w:val="single" w:sz="4" w:space="0" w:color="auto"/>
            </w:tcBorders>
          </w:tcPr>
          <w:p w:rsidR="00000000" w:rsidRDefault="00000000">
            <w:pPr>
              <w:pStyle w:val="a7"/>
            </w:pPr>
            <w:r>
              <w:t xml:space="preserve">2000 </w:t>
            </w:r>
          </w:p>
        </w:tc>
        <w:tc>
          <w:tcPr>
            <w:tcW w:w="2268" w:type="dxa"/>
            <w:tcBorders>
              <w:top w:val="single" w:sz="4" w:space="0" w:color="auto"/>
            </w:tcBorders>
          </w:tcPr>
          <w:p w:rsidR="00000000" w:rsidRDefault="00000000">
            <w:pPr>
              <w:pStyle w:val="a6"/>
            </w:pPr>
            <w:r>
              <w:t>135</w:t>
            </w:r>
          </w:p>
        </w:tc>
        <w:tc>
          <w:tcPr>
            <w:tcW w:w="1559" w:type="dxa"/>
            <w:tcBorders>
              <w:top w:val="single" w:sz="4" w:space="0" w:color="auto"/>
            </w:tcBorders>
          </w:tcPr>
          <w:p w:rsidR="00000000" w:rsidRDefault="00000000">
            <w:pPr>
              <w:pStyle w:val="a6"/>
            </w:pPr>
            <w:r>
              <w:t>97</w:t>
            </w:r>
          </w:p>
        </w:tc>
        <w:tc>
          <w:tcPr>
            <w:tcW w:w="3260" w:type="dxa"/>
            <w:tcBorders>
              <w:top w:val="single" w:sz="4" w:space="0" w:color="auto"/>
            </w:tcBorders>
          </w:tcPr>
          <w:p w:rsidR="00000000" w:rsidRDefault="00000000">
            <w:pPr>
              <w:pStyle w:val="a6"/>
            </w:pPr>
            <w:r>
              <w:t>71,8</w:t>
            </w:r>
          </w:p>
        </w:tc>
        <w:tc>
          <w:tcPr>
            <w:tcW w:w="1474" w:type="dxa"/>
          </w:tcPr>
          <w:p w:rsidR="00000000" w:rsidRDefault="00000000">
            <w:pPr>
              <w:pStyle w:val="a6"/>
              <w:rPr>
                <w:i/>
                <w:u w:val="single"/>
              </w:rPr>
            </w:pPr>
          </w:p>
        </w:tc>
      </w:tr>
      <w:tr w:rsidR="00000000">
        <w:tblPrEx>
          <w:tblCellMar>
            <w:top w:w="0" w:type="dxa"/>
            <w:bottom w:w="0" w:type="dxa"/>
          </w:tblCellMar>
        </w:tblPrEx>
        <w:trPr>
          <w:cantSplit/>
        </w:trPr>
        <w:tc>
          <w:tcPr>
            <w:tcW w:w="850" w:type="dxa"/>
            <w:tcBorders>
              <w:bottom w:val="single" w:sz="4" w:space="0" w:color="auto"/>
            </w:tcBorders>
          </w:tcPr>
          <w:p w:rsidR="00000000" w:rsidRDefault="00000000">
            <w:pPr>
              <w:pStyle w:val="a7"/>
            </w:pPr>
            <w:r>
              <w:t xml:space="preserve">2004 </w:t>
            </w:r>
          </w:p>
        </w:tc>
        <w:tc>
          <w:tcPr>
            <w:tcW w:w="2268" w:type="dxa"/>
            <w:tcBorders>
              <w:bottom w:val="single" w:sz="4" w:space="0" w:color="auto"/>
            </w:tcBorders>
          </w:tcPr>
          <w:p w:rsidR="00000000" w:rsidRDefault="00000000">
            <w:pPr>
              <w:pStyle w:val="a6"/>
            </w:pPr>
            <w:r>
              <w:t>265</w:t>
            </w:r>
          </w:p>
        </w:tc>
        <w:tc>
          <w:tcPr>
            <w:tcW w:w="1559" w:type="dxa"/>
            <w:tcBorders>
              <w:bottom w:val="single" w:sz="4" w:space="0" w:color="auto"/>
            </w:tcBorders>
          </w:tcPr>
          <w:p w:rsidR="00000000" w:rsidRDefault="00000000">
            <w:pPr>
              <w:pStyle w:val="a6"/>
            </w:pPr>
            <w:r>
              <w:t>194</w:t>
            </w:r>
          </w:p>
        </w:tc>
        <w:tc>
          <w:tcPr>
            <w:tcW w:w="3260" w:type="dxa"/>
            <w:tcBorders>
              <w:bottom w:val="single" w:sz="4" w:space="0" w:color="auto"/>
            </w:tcBorders>
          </w:tcPr>
          <w:p w:rsidR="00000000" w:rsidRDefault="00000000">
            <w:pPr>
              <w:pStyle w:val="a6"/>
            </w:pPr>
            <w:r>
              <w:t>73</w:t>
            </w:r>
          </w:p>
        </w:tc>
        <w:tc>
          <w:tcPr>
            <w:tcW w:w="1474" w:type="dxa"/>
          </w:tcPr>
          <w:p w:rsidR="00000000" w:rsidRDefault="00000000">
            <w:pPr>
              <w:pStyle w:val="a6"/>
              <w:rPr>
                <w:i/>
                <w:u w:val="single"/>
              </w:rPr>
            </w:pPr>
          </w:p>
        </w:tc>
      </w:tr>
      <w:tr w:rsidR="00000000">
        <w:tblPrEx>
          <w:tblCellMar>
            <w:top w:w="0" w:type="dxa"/>
            <w:bottom w:w="0" w:type="dxa"/>
          </w:tblCellMar>
        </w:tblPrEx>
        <w:trPr>
          <w:cantSplit/>
        </w:trPr>
        <w:tc>
          <w:tcPr>
            <w:tcW w:w="7937" w:type="dxa"/>
            <w:gridSpan w:val="4"/>
            <w:tcBorders>
              <w:bottom w:val="single" w:sz="4" w:space="0" w:color="auto"/>
            </w:tcBorders>
          </w:tcPr>
          <w:p w:rsidR="00000000" w:rsidRDefault="00000000">
            <w:pPr>
              <w:pStyle w:val="a6"/>
              <w:keepNext/>
              <w:rPr>
                <w:b/>
              </w:rPr>
            </w:pPr>
            <w:r>
              <w:rPr>
                <w:b/>
              </w:rPr>
              <w:t>Мировые судьи (второго разряда)</w:t>
            </w:r>
          </w:p>
        </w:tc>
        <w:tc>
          <w:tcPr>
            <w:tcW w:w="1474" w:type="dxa"/>
          </w:tcPr>
          <w:p w:rsidR="00000000" w:rsidRDefault="00000000">
            <w:pPr>
              <w:pStyle w:val="a6"/>
              <w:keepNext/>
              <w:rPr>
                <w:b/>
                <w:i/>
                <w:u w:val="single"/>
              </w:rPr>
            </w:pPr>
          </w:p>
        </w:tc>
      </w:tr>
      <w:tr w:rsidR="00000000">
        <w:tblPrEx>
          <w:tblCellMar>
            <w:top w:w="0" w:type="dxa"/>
            <w:bottom w:w="0" w:type="dxa"/>
          </w:tblCellMar>
        </w:tblPrEx>
        <w:trPr>
          <w:cantSplit/>
        </w:trPr>
        <w:tc>
          <w:tcPr>
            <w:tcW w:w="850" w:type="dxa"/>
            <w:tcBorders>
              <w:top w:val="single" w:sz="4" w:space="0" w:color="auto"/>
              <w:bottom w:val="single" w:sz="4" w:space="0" w:color="auto"/>
            </w:tcBorders>
          </w:tcPr>
          <w:p w:rsidR="00000000" w:rsidRDefault="00000000">
            <w:pPr>
              <w:pStyle w:val="a6"/>
              <w:rPr>
                <w:b/>
                <w:i/>
                <w:u w:val="single"/>
              </w:rPr>
            </w:pPr>
            <w:r>
              <w:rPr>
                <w:b/>
              </w:rPr>
              <w:t>Год</w:t>
            </w:r>
          </w:p>
        </w:tc>
        <w:tc>
          <w:tcPr>
            <w:tcW w:w="2268" w:type="dxa"/>
            <w:tcBorders>
              <w:top w:val="single" w:sz="4" w:space="0" w:color="auto"/>
              <w:bottom w:val="single" w:sz="4" w:space="0" w:color="auto"/>
            </w:tcBorders>
          </w:tcPr>
          <w:p w:rsidR="00000000" w:rsidRDefault="00000000">
            <w:pPr>
              <w:pStyle w:val="a6"/>
              <w:rPr>
                <w:b/>
              </w:rPr>
            </w:pPr>
            <w:r>
              <w:rPr>
                <w:b/>
              </w:rPr>
              <w:t>Штатные должности</w:t>
            </w:r>
          </w:p>
        </w:tc>
        <w:tc>
          <w:tcPr>
            <w:tcW w:w="1559" w:type="dxa"/>
            <w:tcBorders>
              <w:top w:val="single" w:sz="4" w:space="0" w:color="auto"/>
              <w:bottom w:val="single" w:sz="4" w:space="0" w:color="auto"/>
            </w:tcBorders>
          </w:tcPr>
          <w:p w:rsidR="00000000" w:rsidRDefault="00000000">
            <w:pPr>
              <w:pStyle w:val="a6"/>
              <w:rPr>
                <w:b/>
              </w:rPr>
            </w:pPr>
            <w:r>
              <w:rPr>
                <w:b/>
              </w:rPr>
              <w:t>Женщины</w:t>
            </w:r>
          </w:p>
        </w:tc>
        <w:tc>
          <w:tcPr>
            <w:tcW w:w="3260" w:type="dxa"/>
            <w:tcBorders>
              <w:top w:val="single" w:sz="4" w:space="0" w:color="auto"/>
              <w:bottom w:val="single" w:sz="4" w:space="0" w:color="auto"/>
            </w:tcBorders>
          </w:tcPr>
          <w:p w:rsidR="00000000" w:rsidRDefault="00000000">
            <w:pPr>
              <w:pStyle w:val="a6"/>
              <w:rPr>
                <w:b/>
              </w:rPr>
            </w:pPr>
            <w:r>
              <w:rPr>
                <w:b/>
              </w:rPr>
              <w:t>Доля женщин (в процентах)</w:t>
            </w:r>
          </w:p>
        </w:tc>
        <w:tc>
          <w:tcPr>
            <w:tcW w:w="1474" w:type="dxa"/>
          </w:tcPr>
          <w:p w:rsidR="00000000" w:rsidRDefault="00000000">
            <w:pPr>
              <w:pStyle w:val="a6"/>
              <w:rPr>
                <w:b/>
                <w:i/>
                <w:u w:val="single"/>
              </w:rPr>
            </w:pPr>
          </w:p>
        </w:tc>
      </w:tr>
      <w:tr w:rsidR="00000000">
        <w:tblPrEx>
          <w:tblCellMar>
            <w:top w:w="0" w:type="dxa"/>
            <w:bottom w:w="0" w:type="dxa"/>
          </w:tblCellMar>
        </w:tblPrEx>
        <w:trPr>
          <w:cantSplit/>
        </w:trPr>
        <w:tc>
          <w:tcPr>
            <w:tcW w:w="850" w:type="dxa"/>
            <w:tcBorders>
              <w:bottom w:val="single" w:sz="4" w:space="0" w:color="auto"/>
            </w:tcBorders>
          </w:tcPr>
          <w:p w:rsidR="00000000" w:rsidRDefault="00000000">
            <w:pPr>
              <w:pStyle w:val="a7"/>
            </w:pPr>
            <w:r>
              <w:t xml:space="preserve">2004 </w:t>
            </w:r>
          </w:p>
        </w:tc>
        <w:tc>
          <w:tcPr>
            <w:tcW w:w="2268" w:type="dxa"/>
            <w:tcBorders>
              <w:bottom w:val="single" w:sz="4" w:space="0" w:color="auto"/>
            </w:tcBorders>
          </w:tcPr>
          <w:p w:rsidR="00000000" w:rsidRDefault="00000000">
            <w:pPr>
              <w:pStyle w:val="a6"/>
            </w:pPr>
            <w:r>
              <w:t>240</w:t>
            </w:r>
          </w:p>
        </w:tc>
        <w:tc>
          <w:tcPr>
            <w:tcW w:w="1559" w:type="dxa"/>
            <w:tcBorders>
              <w:bottom w:val="single" w:sz="4" w:space="0" w:color="auto"/>
            </w:tcBorders>
          </w:tcPr>
          <w:p w:rsidR="00000000" w:rsidRDefault="00000000">
            <w:pPr>
              <w:pStyle w:val="a6"/>
            </w:pPr>
            <w:r>
              <w:t>204</w:t>
            </w:r>
          </w:p>
        </w:tc>
        <w:tc>
          <w:tcPr>
            <w:tcW w:w="3260" w:type="dxa"/>
            <w:tcBorders>
              <w:bottom w:val="single" w:sz="4" w:space="0" w:color="auto"/>
            </w:tcBorders>
          </w:tcPr>
          <w:p w:rsidR="00000000" w:rsidRDefault="00000000">
            <w:pPr>
              <w:pStyle w:val="a6"/>
            </w:pPr>
            <w:r>
              <w:t>85</w:t>
            </w:r>
          </w:p>
        </w:tc>
        <w:tc>
          <w:tcPr>
            <w:tcW w:w="1474" w:type="dxa"/>
          </w:tcPr>
          <w:p w:rsidR="00000000" w:rsidRDefault="00000000">
            <w:pPr>
              <w:pStyle w:val="a6"/>
              <w:rPr>
                <w:i/>
                <w:u w:val="single"/>
              </w:rPr>
            </w:pPr>
          </w:p>
        </w:tc>
      </w:tr>
      <w:tr w:rsidR="00000000">
        <w:tblPrEx>
          <w:tblCellMar>
            <w:top w:w="0" w:type="dxa"/>
            <w:bottom w:w="0" w:type="dxa"/>
          </w:tblCellMar>
        </w:tblPrEx>
        <w:trPr>
          <w:cantSplit/>
        </w:trPr>
        <w:tc>
          <w:tcPr>
            <w:tcW w:w="7937" w:type="dxa"/>
            <w:gridSpan w:val="4"/>
            <w:tcBorders>
              <w:top w:val="single" w:sz="4" w:space="0" w:color="auto"/>
              <w:bottom w:val="single" w:sz="4" w:space="0" w:color="auto"/>
            </w:tcBorders>
          </w:tcPr>
          <w:p w:rsidR="00000000" w:rsidRDefault="00000000">
            <w:pPr>
              <w:pStyle w:val="a6"/>
              <w:spacing w:before="240"/>
              <w:rPr>
                <w:b/>
              </w:rPr>
            </w:pPr>
            <w:r>
              <w:rPr>
                <w:b/>
              </w:rPr>
              <w:t>Мировые судьи (третьего и четвертого разрядов)</w:t>
            </w:r>
          </w:p>
        </w:tc>
        <w:tc>
          <w:tcPr>
            <w:tcW w:w="1474" w:type="dxa"/>
            <w:tcBorders>
              <w:bottom w:val="single" w:sz="4" w:space="0" w:color="auto"/>
            </w:tcBorders>
          </w:tcPr>
          <w:p w:rsidR="00000000" w:rsidRDefault="00000000">
            <w:pPr>
              <w:pStyle w:val="a6"/>
              <w:spacing w:before="240"/>
              <w:rPr>
                <w:i/>
                <w:u w:val="single"/>
              </w:rPr>
            </w:pPr>
          </w:p>
        </w:tc>
      </w:tr>
      <w:tr w:rsidR="00000000">
        <w:tblPrEx>
          <w:tblCellMar>
            <w:top w:w="0" w:type="dxa"/>
            <w:bottom w:w="0" w:type="dxa"/>
          </w:tblCellMar>
        </w:tblPrEx>
        <w:trPr>
          <w:cantSplit/>
        </w:trPr>
        <w:tc>
          <w:tcPr>
            <w:tcW w:w="850" w:type="dxa"/>
            <w:tcBorders>
              <w:top w:val="single" w:sz="4" w:space="0" w:color="auto"/>
              <w:bottom w:val="single" w:sz="4" w:space="0" w:color="auto"/>
            </w:tcBorders>
          </w:tcPr>
          <w:p w:rsidR="00000000" w:rsidRDefault="00000000">
            <w:pPr>
              <w:pStyle w:val="a6"/>
              <w:rPr>
                <w:b/>
              </w:rPr>
            </w:pPr>
            <w:r>
              <w:rPr>
                <w:b/>
              </w:rPr>
              <w:t>Год</w:t>
            </w:r>
          </w:p>
        </w:tc>
        <w:tc>
          <w:tcPr>
            <w:tcW w:w="2268" w:type="dxa"/>
            <w:tcBorders>
              <w:top w:val="single" w:sz="4" w:space="0" w:color="auto"/>
              <w:bottom w:val="single" w:sz="4" w:space="0" w:color="auto"/>
            </w:tcBorders>
          </w:tcPr>
          <w:p w:rsidR="00000000" w:rsidRDefault="00000000">
            <w:pPr>
              <w:pStyle w:val="a6"/>
              <w:rPr>
                <w:b/>
              </w:rPr>
            </w:pPr>
            <w:r>
              <w:rPr>
                <w:b/>
              </w:rPr>
              <w:t>Штатные должности</w:t>
            </w:r>
          </w:p>
        </w:tc>
        <w:tc>
          <w:tcPr>
            <w:tcW w:w="1559" w:type="dxa"/>
            <w:tcBorders>
              <w:top w:val="single" w:sz="4" w:space="0" w:color="auto"/>
              <w:bottom w:val="single" w:sz="4" w:space="0" w:color="auto"/>
            </w:tcBorders>
          </w:tcPr>
          <w:p w:rsidR="00000000" w:rsidRDefault="00000000">
            <w:pPr>
              <w:pStyle w:val="a6"/>
              <w:rPr>
                <w:b/>
              </w:rPr>
            </w:pPr>
            <w:r>
              <w:rPr>
                <w:b/>
              </w:rPr>
              <w:t>Работающие</w:t>
            </w:r>
          </w:p>
        </w:tc>
        <w:tc>
          <w:tcPr>
            <w:tcW w:w="3260" w:type="dxa"/>
            <w:tcBorders>
              <w:top w:val="single" w:sz="4" w:space="0" w:color="auto"/>
              <w:bottom w:val="single" w:sz="4" w:space="0" w:color="auto"/>
            </w:tcBorders>
          </w:tcPr>
          <w:p w:rsidR="00000000" w:rsidRDefault="00000000">
            <w:pPr>
              <w:pStyle w:val="a6"/>
              <w:rPr>
                <w:b/>
              </w:rPr>
            </w:pPr>
            <w:r>
              <w:rPr>
                <w:b/>
              </w:rPr>
              <w:t>Женщины</w:t>
            </w:r>
          </w:p>
        </w:tc>
        <w:tc>
          <w:tcPr>
            <w:tcW w:w="1474" w:type="dxa"/>
            <w:tcBorders>
              <w:top w:val="single" w:sz="4" w:space="0" w:color="auto"/>
              <w:bottom w:val="single" w:sz="4" w:space="0" w:color="auto"/>
            </w:tcBorders>
          </w:tcPr>
          <w:p w:rsidR="00000000" w:rsidRDefault="00000000">
            <w:pPr>
              <w:pStyle w:val="a6"/>
              <w:rPr>
                <w:b/>
              </w:rPr>
            </w:pPr>
            <w:r>
              <w:rPr>
                <w:b/>
              </w:rPr>
              <w:t xml:space="preserve">Доля женщин </w:t>
            </w:r>
            <w:r>
              <w:rPr>
                <w:b/>
              </w:rPr>
              <w:br/>
              <w:t>(в процентах)</w:t>
            </w:r>
          </w:p>
        </w:tc>
      </w:tr>
      <w:tr w:rsidR="00000000">
        <w:tblPrEx>
          <w:tblCellMar>
            <w:top w:w="0" w:type="dxa"/>
            <w:bottom w:w="0" w:type="dxa"/>
          </w:tblCellMar>
        </w:tblPrEx>
        <w:trPr>
          <w:cantSplit/>
        </w:trPr>
        <w:tc>
          <w:tcPr>
            <w:tcW w:w="850" w:type="dxa"/>
            <w:tcBorders>
              <w:top w:val="single" w:sz="4" w:space="0" w:color="auto"/>
              <w:bottom w:val="single" w:sz="4" w:space="0" w:color="auto"/>
            </w:tcBorders>
          </w:tcPr>
          <w:p w:rsidR="00000000" w:rsidRDefault="00000000">
            <w:pPr>
              <w:pStyle w:val="a7"/>
            </w:pPr>
            <w:r>
              <w:t xml:space="preserve">2004 </w:t>
            </w:r>
          </w:p>
        </w:tc>
        <w:tc>
          <w:tcPr>
            <w:tcW w:w="2268" w:type="dxa"/>
            <w:tcBorders>
              <w:top w:val="single" w:sz="4" w:space="0" w:color="auto"/>
              <w:bottom w:val="single" w:sz="4" w:space="0" w:color="auto"/>
            </w:tcBorders>
          </w:tcPr>
          <w:p w:rsidR="00000000" w:rsidRDefault="00000000">
            <w:pPr>
              <w:pStyle w:val="a6"/>
            </w:pPr>
            <w:r>
              <w:t>156</w:t>
            </w:r>
          </w:p>
        </w:tc>
        <w:tc>
          <w:tcPr>
            <w:tcW w:w="1559" w:type="dxa"/>
            <w:tcBorders>
              <w:top w:val="single" w:sz="4" w:space="0" w:color="auto"/>
              <w:bottom w:val="single" w:sz="4" w:space="0" w:color="auto"/>
            </w:tcBorders>
          </w:tcPr>
          <w:p w:rsidR="00000000" w:rsidRDefault="00000000">
            <w:pPr>
              <w:pStyle w:val="a6"/>
            </w:pPr>
            <w:r>
              <w:t>123</w:t>
            </w:r>
          </w:p>
        </w:tc>
        <w:tc>
          <w:tcPr>
            <w:tcW w:w="3260" w:type="dxa"/>
            <w:tcBorders>
              <w:top w:val="single" w:sz="4" w:space="0" w:color="auto"/>
              <w:bottom w:val="single" w:sz="4" w:space="0" w:color="auto"/>
            </w:tcBorders>
          </w:tcPr>
          <w:p w:rsidR="00000000" w:rsidRDefault="00000000">
            <w:pPr>
              <w:pStyle w:val="a6"/>
            </w:pPr>
            <w:r>
              <w:t>97</w:t>
            </w:r>
          </w:p>
        </w:tc>
        <w:tc>
          <w:tcPr>
            <w:tcW w:w="1474" w:type="dxa"/>
            <w:tcBorders>
              <w:top w:val="single" w:sz="4" w:space="0" w:color="auto"/>
              <w:bottom w:val="single" w:sz="4" w:space="0" w:color="auto"/>
            </w:tcBorders>
          </w:tcPr>
          <w:p w:rsidR="00000000" w:rsidRDefault="00000000">
            <w:pPr>
              <w:pStyle w:val="a6"/>
            </w:pPr>
            <w:r>
              <w:t>79</w:t>
            </w:r>
          </w:p>
        </w:tc>
      </w:tr>
    </w:tbl>
    <w:p w:rsidR="00000000" w:rsidRDefault="00000000">
      <w:pPr>
        <w:pStyle w:val="BodyText"/>
        <w:spacing w:before="120"/>
        <w:rPr>
          <w:sz w:val="20"/>
        </w:rPr>
      </w:pPr>
      <w:r>
        <w:rPr>
          <w:i/>
          <w:sz w:val="20"/>
        </w:rPr>
        <w:t>Источники:</w:t>
      </w:r>
      <w:r>
        <w:rPr>
          <w:sz w:val="20"/>
        </w:rPr>
        <w:t xml:space="preserve"> Министерство юстиции, Управление по вопросам судебной деятельности и судей.</w:t>
      </w:r>
    </w:p>
    <w:p w:rsidR="00000000" w:rsidRDefault="00000000">
      <w:pPr>
        <w:pStyle w:val="BodyText"/>
        <w:spacing w:before="240"/>
        <w:jc w:val="center"/>
        <w:rPr>
          <w:b/>
        </w:rPr>
      </w:pPr>
      <w:r>
        <w:rPr>
          <w:b/>
          <w:lang w:val="en-US"/>
        </w:rPr>
        <w:t>V</w:t>
      </w:r>
      <w:r>
        <w:rPr>
          <w:b/>
        </w:rPr>
        <w:t>.  Участие женщин в силах безопасности</w:t>
      </w:r>
    </w:p>
    <w:p w:rsidR="00000000" w:rsidRDefault="00000000">
      <w:pPr>
        <w:pStyle w:val="BodyText"/>
        <w:rPr>
          <w:i/>
        </w:rPr>
      </w:pPr>
      <w:r>
        <w:t>17</w:t>
      </w:r>
      <w:r>
        <w:rPr>
          <w:i/>
        </w:rPr>
        <w:t>.</w:t>
      </w:r>
      <w:r>
        <w:tab/>
      </w:r>
      <w:r>
        <w:rPr>
          <w:b/>
          <w:i/>
        </w:rPr>
        <w:t>Греческая полиция</w:t>
      </w:r>
    </w:p>
    <w:tbl>
      <w:tblPr>
        <w:tblW w:w="0" w:type="auto"/>
        <w:tblInd w:w="3" w:type="dxa"/>
        <w:tblLayout w:type="fixed"/>
        <w:tblCellMar>
          <w:left w:w="56" w:type="dxa"/>
          <w:right w:w="56" w:type="dxa"/>
        </w:tblCellMar>
        <w:tblLook w:val="0000" w:firstRow="0" w:lastRow="0" w:firstColumn="0" w:lastColumn="0" w:noHBand="0" w:noVBand="0"/>
      </w:tblPr>
      <w:tblGrid>
        <w:gridCol w:w="4649"/>
        <w:gridCol w:w="2381"/>
        <w:gridCol w:w="2381"/>
      </w:tblGrid>
      <w:tr w:rsidR="00000000">
        <w:tblPrEx>
          <w:tblCellMar>
            <w:top w:w="0" w:type="dxa"/>
            <w:bottom w:w="0" w:type="dxa"/>
          </w:tblCellMar>
        </w:tblPrEx>
        <w:tc>
          <w:tcPr>
            <w:tcW w:w="4649" w:type="dxa"/>
            <w:tcBorders>
              <w:top w:val="single" w:sz="4" w:space="0" w:color="auto"/>
              <w:bottom w:val="single" w:sz="4" w:space="0" w:color="auto"/>
            </w:tcBorders>
          </w:tcPr>
          <w:p w:rsidR="00000000" w:rsidRDefault="00000000">
            <w:pPr>
              <w:pStyle w:val="a7"/>
              <w:rPr>
                <w:b/>
              </w:rPr>
            </w:pPr>
          </w:p>
        </w:tc>
        <w:tc>
          <w:tcPr>
            <w:tcW w:w="2381" w:type="dxa"/>
            <w:tcBorders>
              <w:top w:val="single" w:sz="4" w:space="0" w:color="auto"/>
              <w:bottom w:val="single" w:sz="4" w:space="0" w:color="auto"/>
            </w:tcBorders>
          </w:tcPr>
          <w:p w:rsidR="00000000" w:rsidRDefault="00000000">
            <w:pPr>
              <w:pStyle w:val="a6"/>
              <w:rPr>
                <w:b/>
              </w:rPr>
            </w:pPr>
            <w:r>
              <w:rPr>
                <w:b/>
              </w:rPr>
              <w:t>2000 год</w:t>
            </w:r>
          </w:p>
        </w:tc>
        <w:tc>
          <w:tcPr>
            <w:tcW w:w="2381" w:type="dxa"/>
            <w:tcBorders>
              <w:top w:val="single" w:sz="4" w:space="0" w:color="auto"/>
              <w:bottom w:val="single" w:sz="4" w:space="0" w:color="auto"/>
            </w:tcBorders>
          </w:tcPr>
          <w:p w:rsidR="00000000" w:rsidRDefault="00000000">
            <w:pPr>
              <w:pStyle w:val="a6"/>
              <w:rPr>
                <w:b/>
              </w:rPr>
            </w:pPr>
            <w:r>
              <w:rPr>
                <w:b/>
              </w:rPr>
              <w:t>2004 год</w:t>
            </w:r>
          </w:p>
        </w:tc>
      </w:tr>
      <w:tr w:rsidR="00000000">
        <w:tblPrEx>
          <w:tblCellMar>
            <w:top w:w="0" w:type="dxa"/>
            <w:bottom w:w="0" w:type="dxa"/>
          </w:tblCellMar>
        </w:tblPrEx>
        <w:tc>
          <w:tcPr>
            <w:tcW w:w="4649" w:type="dxa"/>
            <w:tcBorders>
              <w:top w:val="single" w:sz="4" w:space="0" w:color="auto"/>
            </w:tcBorders>
          </w:tcPr>
          <w:p w:rsidR="00000000" w:rsidRDefault="00000000">
            <w:pPr>
              <w:pStyle w:val="a7"/>
              <w:spacing w:before="80"/>
              <w:rPr>
                <w:b/>
              </w:rPr>
            </w:pPr>
            <w:r>
              <w:rPr>
                <w:b/>
              </w:rPr>
              <w:t>Офицеры</w:t>
            </w:r>
          </w:p>
        </w:tc>
        <w:tc>
          <w:tcPr>
            <w:tcW w:w="2381" w:type="dxa"/>
            <w:tcBorders>
              <w:top w:val="single" w:sz="4" w:space="0" w:color="auto"/>
            </w:tcBorders>
          </w:tcPr>
          <w:p w:rsidR="00000000" w:rsidRDefault="00000000">
            <w:pPr>
              <w:pStyle w:val="a6"/>
              <w:spacing w:before="80"/>
              <w:ind w:right="851"/>
              <w:jc w:val="right"/>
            </w:pPr>
            <w:r>
              <w:t>4 282</w:t>
            </w:r>
          </w:p>
        </w:tc>
        <w:tc>
          <w:tcPr>
            <w:tcW w:w="2381" w:type="dxa"/>
            <w:tcBorders>
              <w:top w:val="single" w:sz="4" w:space="0" w:color="auto"/>
            </w:tcBorders>
          </w:tcPr>
          <w:p w:rsidR="00000000" w:rsidRDefault="00000000">
            <w:pPr>
              <w:pStyle w:val="a6"/>
              <w:spacing w:before="80"/>
              <w:ind w:right="851"/>
              <w:jc w:val="right"/>
            </w:pPr>
            <w:r>
              <w:t>4 532</w:t>
            </w:r>
          </w:p>
        </w:tc>
      </w:tr>
      <w:tr w:rsidR="00000000">
        <w:tblPrEx>
          <w:tblCellMar>
            <w:top w:w="0" w:type="dxa"/>
            <w:bottom w:w="0" w:type="dxa"/>
          </w:tblCellMar>
        </w:tblPrEx>
        <w:tc>
          <w:tcPr>
            <w:tcW w:w="4649" w:type="dxa"/>
          </w:tcPr>
          <w:p w:rsidR="00000000" w:rsidRDefault="00000000">
            <w:pPr>
              <w:pStyle w:val="a7"/>
            </w:pPr>
            <w:r>
              <w:t>Мужчины</w:t>
            </w:r>
          </w:p>
        </w:tc>
        <w:tc>
          <w:tcPr>
            <w:tcW w:w="2381" w:type="dxa"/>
          </w:tcPr>
          <w:p w:rsidR="00000000" w:rsidRDefault="00000000">
            <w:pPr>
              <w:pStyle w:val="a6"/>
              <w:ind w:right="851"/>
              <w:jc w:val="right"/>
            </w:pPr>
            <w:r>
              <w:t>4 097</w:t>
            </w:r>
          </w:p>
        </w:tc>
        <w:tc>
          <w:tcPr>
            <w:tcW w:w="2381" w:type="dxa"/>
          </w:tcPr>
          <w:p w:rsidR="00000000" w:rsidRDefault="00000000">
            <w:pPr>
              <w:pStyle w:val="a6"/>
              <w:ind w:right="851"/>
              <w:jc w:val="right"/>
            </w:pPr>
            <w:r>
              <w:t>4 210</w:t>
            </w:r>
          </w:p>
        </w:tc>
      </w:tr>
      <w:tr w:rsidR="00000000">
        <w:tblPrEx>
          <w:tblCellMar>
            <w:top w:w="0" w:type="dxa"/>
            <w:bottom w:w="0" w:type="dxa"/>
          </w:tblCellMar>
        </w:tblPrEx>
        <w:tc>
          <w:tcPr>
            <w:tcW w:w="4649" w:type="dxa"/>
            <w:tcBorders>
              <w:bottom w:val="single" w:sz="4" w:space="0" w:color="auto"/>
            </w:tcBorders>
          </w:tcPr>
          <w:p w:rsidR="00000000" w:rsidRDefault="00000000">
            <w:pPr>
              <w:pStyle w:val="a7"/>
            </w:pPr>
            <w:r>
              <w:t>Женщины</w:t>
            </w:r>
          </w:p>
        </w:tc>
        <w:tc>
          <w:tcPr>
            <w:tcW w:w="2381" w:type="dxa"/>
            <w:tcBorders>
              <w:bottom w:val="single" w:sz="4" w:space="0" w:color="auto"/>
            </w:tcBorders>
          </w:tcPr>
          <w:p w:rsidR="00000000" w:rsidRDefault="00000000">
            <w:pPr>
              <w:pStyle w:val="a6"/>
              <w:ind w:right="851"/>
              <w:jc w:val="right"/>
            </w:pPr>
            <w:r>
              <w:t>185</w:t>
            </w:r>
          </w:p>
        </w:tc>
        <w:tc>
          <w:tcPr>
            <w:tcW w:w="2381" w:type="dxa"/>
            <w:tcBorders>
              <w:bottom w:val="single" w:sz="4" w:space="0" w:color="auto"/>
            </w:tcBorders>
          </w:tcPr>
          <w:p w:rsidR="00000000" w:rsidRDefault="00000000">
            <w:pPr>
              <w:pStyle w:val="a6"/>
              <w:ind w:right="851"/>
              <w:jc w:val="right"/>
            </w:pPr>
            <w:r>
              <w:t>322</w:t>
            </w:r>
          </w:p>
        </w:tc>
      </w:tr>
      <w:tr w:rsidR="00000000">
        <w:tblPrEx>
          <w:tblCellMar>
            <w:top w:w="0" w:type="dxa"/>
            <w:bottom w:w="0" w:type="dxa"/>
          </w:tblCellMar>
        </w:tblPrEx>
        <w:tc>
          <w:tcPr>
            <w:tcW w:w="4649" w:type="dxa"/>
            <w:tcBorders>
              <w:top w:val="single" w:sz="4" w:space="0" w:color="auto"/>
            </w:tcBorders>
          </w:tcPr>
          <w:p w:rsidR="00000000" w:rsidRDefault="00000000">
            <w:pPr>
              <w:pStyle w:val="a7"/>
              <w:spacing w:before="80"/>
              <w:rPr>
                <w:b/>
              </w:rPr>
            </w:pPr>
            <w:r>
              <w:rPr>
                <w:b/>
              </w:rPr>
              <w:t>Младшие офицеры</w:t>
            </w:r>
          </w:p>
        </w:tc>
        <w:tc>
          <w:tcPr>
            <w:tcW w:w="2381" w:type="dxa"/>
            <w:tcBorders>
              <w:top w:val="single" w:sz="4" w:space="0" w:color="auto"/>
            </w:tcBorders>
          </w:tcPr>
          <w:p w:rsidR="00000000" w:rsidRDefault="00000000">
            <w:pPr>
              <w:pStyle w:val="a6"/>
              <w:spacing w:before="80"/>
              <w:ind w:right="851"/>
              <w:jc w:val="right"/>
            </w:pPr>
            <w:r>
              <w:t>40 975</w:t>
            </w:r>
          </w:p>
        </w:tc>
        <w:tc>
          <w:tcPr>
            <w:tcW w:w="2381" w:type="dxa"/>
            <w:tcBorders>
              <w:top w:val="single" w:sz="4" w:space="0" w:color="auto"/>
            </w:tcBorders>
          </w:tcPr>
          <w:p w:rsidR="00000000" w:rsidRDefault="00000000">
            <w:pPr>
              <w:pStyle w:val="a6"/>
              <w:spacing w:before="80"/>
              <w:ind w:right="851"/>
              <w:jc w:val="right"/>
            </w:pPr>
            <w:r>
              <w:t>38 284</w:t>
            </w:r>
          </w:p>
        </w:tc>
      </w:tr>
      <w:tr w:rsidR="00000000">
        <w:tblPrEx>
          <w:tblCellMar>
            <w:top w:w="0" w:type="dxa"/>
            <w:bottom w:w="0" w:type="dxa"/>
          </w:tblCellMar>
        </w:tblPrEx>
        <w:tc>
          <w:tcPr>
            <w:tcW w:w="4649" w:type="dxa"/>
          </w:tcPr>
          <w:p w:rsidR="00000000" w:rsidRDefault="00000000">
            <w:pPr>
              <w:pStyle w:val="a7"/>
            </w:pPr>
            <w:r>
              <w:t>Мужчины</w:t>
            </w:r>
          </w:p>
        </w:tc>
        <w:tc>
          <w:tcPr>
            <w:tcW w:w="2381" w:type="dxa"/>
          </w:tcPr>
          <w:p w:rsidR="00000000" w:rsidRDefault="00000000">
            <w:pPr>
              <w:pStyle w:val="a6"/>
              <w:ind w:right="851"/>
              <w:jc w:val="right"/>
            </w:pPr>
            <w:r>
              <w:t>37 195</w:t>
            </w:r>
          </w:p>
        </w:tc>
        <w:tc>
          <w:tcPr>
            <w:tcW w:w="2381" w:type="dxa"/>
          </w:tcPr>
          <w:p w:rsidR="00000000" w:rsidRDefault="00000000">
            <w:pPr>
              <w:pStyle w:val="a6"/>
              <w:ind w:right="851"/>
              <w:jc w:val="right"/>
            </w:pPr>
            <w:r>
              <w:t>34 545</w:t>
            </w:r>
          </w:p>
        </w:tc>
      </w:tr>
      <w:tr w:rsidR="00000000">
        <w:tblPrEx>
          <w:tblCellMar>
            <w:top w:w="0" w:type="dxa"/>
            <w:bottom w:w="0" w:type="dxa"/>
          </w:tblCellMar>
        </w:tblPrEx>
        <w:tc>
          <w:tcPr>
            <w:tcW w:w="4649" w:type="dxa"/>
            <w:tcBorders>
              <w:bottom w:val="single" w:sz="4" w:space="0" w:color="auto"/>
            </w:tcBorders>
          </w:tcPr>
          <w:p w:rsidR="00000000" w:rsidRDefault="00000000">
            <w:pPr>
              <w:pStyle w:val="a7"/>
            </w:pPr>
            <w:r>
              <w:t>Женщины</w:t>
            </w:r>
          </w:p>
        </w:tc>
        <w:tc>
          <w:tcPr>
            <w:tcW w:w="2381" w:type="dxa"/>
            <w:tcBorders>
              <w:bottom w:val="single" w:sz="4" w:space="0" w:color="auto"/>
            </w:tcBorders>
          </w:tcPr>
          <w:p w:rsidR="00000000" w:rsidRDefault="00000000">
            <w:pPr>
              <w:pStyle w:val="a6"/>
              <w:ind w:right="851"/>
              <w:jc w:val="right"/>
            </w:pPr>
            <w:r>
              <w:t>3 780</w:t>
            </w:r>
          </w:p>
        </w:tc>
        <w:tc>
          <w:tcPr>
            <w:tcW w:w="2381" w:type="dxa"/>
            <w:tcBorders>
              <w:bottom w:val="single" w:sz="4" w:space="0" w:color="auto"/>
            </w:tcBorders>
          </w:tcPr>
          <w:p w:rsidR="00000000" w:rsidRDefault="00000000">
            <w:pPr>
              <w:pStyle w:val="a6"/>
              <w:ind w:right="851"/>
              <w:jc w:val="right"/>
            </w:pPr>
            <w:r>
              <w:t>3 739</w:t>
            </w:r>
          </w:p>
        </w:tc>
      </w:tr>
      <w:tr w:rsidR="00000000">
        <w:tblPrEx>
          <w:tblCellMar>
            <w:top w:w="0" w:type="dxa"/>
            <w:bottom w:w="0" w:type="dxa"/>
          </w:tblCellMar>
        </w:tblPrEx>
        <w:tc>
          <w:tcPr>
            <w:tcW w:w="4649" w:type="dxa"/>
            <w:tcBorders>
              <w:top w:val="single" w:sz="4" w:space="0" w:color="auto"/>
            </w:tcBorders>
          </w:tcPr>
          <w:p w:rsidR="00000000" w:rsidRDefault="00000000">
            <w:pPr>
              <w:pStyle w:val="a7"/>
              <w:spacing w:before="80"/>
              <w:rPr>
                <w:b/>
              </w:rPr>
            </w:pPr>
            <w:r>
              <w:rPr>
                <w:b/>
              </w:rPr>
              <w:t>Кадеты-инспекторы</w:t>
            </w:r>
          </w:p>
        </w:tc>
        <w:tc>
          <w:tcPr>
            <w:tcW w:w="2381" w:type="dxa"/>
            <w:tcBorders>
              <w:top w:val="single" w:sz="4" w:space="0" w:color="auto"/>
            </w:tcBorders>
          </w:tcPr>
          <w:p w:rsidR="00000000" w:rsidRDefault="00000000">
            <w:pPr>
              <w:pStyle w:val="a6"/>
              <w:spacing w:before="80"/>
              <w:ind w:right="851"/>
              <w:jc w:val="right"/>
            </w:pPr>
          </w:p>
        </w:tc>
        <w:tc>
          <w:tcPr>
            <w:tcW w:w="2381" w:type="dxa"/>
            <w:tcBorders>
              <w:top w:val="single" w:sz="4" w:space="0" w:color="auto"/>
            </w:tcBorders>
          </w:tcPr>
          <w:p w:rsidR="00000000" w:rsidRDefault="00000000">
            <w:pPr>
              <w:pStyle w:val="a6"/>
              <w:spacing w:before="80"/>
              <w:ind w:right="851"/>
              <w:jc w:val="right"/>
            </w:pPr>
            <w:r>
              <w:t>577</w:t>
            </w:r>
          </w:p>
        </w:tc>
      </w:tr>
      <w:tr w:rsidR="00000000">
        <w:tblPrEx>
          <w:tblCellMar>
            <w:top w:w="0" w:type="dxa"/>
            <w:bottom w:w="0" w:type="dxa"/>
          </w:tblCellMar>
        </w:tblPrEx>
        <w:tc>
          <w:tcPr>
            <w:tcW w:w="4649" w:type="dxa"/>
          </w:tcPr>
          <w:p w:rsidR="00000000" w:rsidRDefault="00000000">
            <w:pPr>
              <w:pStyle w:val="a7"/>
            </w:pPr>
            <w:r>
              <w:t>Мужчины</w:t>
            </w:r>
          </w:p>
        </w:tc>
        <w:tc>
          <w:tcPr>
            <w:tcW w:w="2381" w:type="dxa"/>
          </w:tcPr>
          <w:p w:rsidR="00000000" w:rsidRDefault="00000000">
            <w:pPr>
              <w:pStyle w:val="a6"/>
              <w:ind w:right="851"/>
              <w:jc w:val="right"/>
            </w:pPr>
          </w:p>
        </w:tc>
        <w:tc>
          <w:tcPr>
            <w:tcW w:w="2381" w:type="dxa"/>
          </w:tcPr>
          <w:p w:rsidR="00000000" w:rsidRDefault="00000000">
            <w:pPr>
              <w:pStyle w:val="a6"/>
              <w:ind w:right="851"/>
              <w:jc w:val="right"/>
            </w:pPr>
            <w:r>
              <w:t>473</w:t>
            </w:r>
          </w:p>
        </w:tc>
      </w:tr>
      <w:tr w:rsidR="00000000">
        <w:tblPrEx>
          <w:tblCellMar>
            <w:top w:w="0" w:type="dxa"/>
            <w:bottom w:w="0" w:type="dxa"/>
          </w:tblCellMar>
        </w:tblPrEx>
        <w:tc>
          <w:tcPr>
            <w:tcW w:w="4649" w:type="dxa"/>
            <w:tcBorders>
              <w:bottom w:val="single" w:sz="4" w:space="0" w:color="auto"/>
            </w:tcBorders>
          </w:tcPr>
          <w:p w:rsidR="00000000" w:rsidRDefault="00000000">
            <w:pPr>
              <w:pStyle w:val="a7"/>
            </w:pPr>
            <w:r>
              <w:t>Женщины</w:t>
            </w:r>
          </w:p>
        </w:tc>
        <w:tc>
          <w:tcPr>
            <w:tcW w:w="2381" w:type="dxa"/>
            <w:tcBorders>
              <w:bottom w:val="single" w:sz="4" w:space="0" w:color="auto"/>
            </w:tcBorders>
          </w:tcPr>
          <w:p w:rsidR="00000000" w:rsidRDefault="00000000">
            <w:pPr>
              <w:pStyle w:val="a6"/>
              <w:ind w:right="851"/>
              <w:jc w:val="right"/>
            </w:pPr>
          </w:p>
        </w:tc>
        <w:tc>
          <w:tcPr>
            <w:tcW w:w="2381" w:type="dxa"/>
            <w:tcBorders>
              <w:bottom w:val="single" w:sz="4" w:space="0" w:color="auto"/>
            </w:tcBorders>
          </w:tcPr>
          <w:p w:rsidR="00000000" w:rsidRDefault="00000000">
            <w:pPr>
              <w:pStyle w:val="a6"/>
              <w:ind w:right="851"/>
              <w:jc w:val="right"/>
            </w:pPr>
            <w:r>
              <w:t>104</w:t>
            </w:r>
          </w:p>
        </w:tc>
      </w:tr>
      <w:tr w:rsidR="00000000">
        <w:tblPrEx>
          <w:tblCellMar>
            <w:top w:w="0" w:type="dxa"/>
            <w:bottom w:w="0" w:type="dxa"/>
          </w:tblCellMar>
        </w:tblPrEx>
        <w:tc>
          <w:tcPr>
            <w:tcW w:w="4649" w:type="dxa"/>
            <w:tcBorders>
              <w:top w:val="single" w:sz="4" w:space="0" w:color="auto"/>
            </w:tcBorders>
          </w:tcPr>
          <w:p w:rsidR="00000000" w:rsidRDefault="00000000">
            <w:pPr>
              <w:pStyle w:val="a7"/>
              <w:spacing w:before="80"/>
              <w:rPr>
                <w:b/>
              </w:rPr>
            </w:pPr>
            <w:r>
              <w:rPr>
                <w:b/>
              </w:rPr>
              <w:t>Кадеты-констебли</w:t>
            </w:r>
          </w:p>
        </w:tc>
        <w:tc>
          <w:tcPr>
            <w:tcW w:w="2381" w:type="dxa"/>
            <w:tcBorders>
              <w:top w:val="single" w:sz="4" w:space="0" w:color="auto"/>
            </w:tcBorders>
          </w:tcPr>
          <w:p w:rsidR="00000000" w:rsidRDefault="00000000">
            <w:pPr>
              <w:pStyle w:val="a6"/>
              <w:spacing w:before="80"/>
              <w:ind w:right="851"/>
              <w:jc w:val="right"/>
            </w:pPr>
          </w:p>
        </w:tc>
        <w:tc>
          <w:tcPr>
            <w:tcW w:w="2381" w:type="dxa"/>
            <w:tcBorders>
              <w:top w:val="single" w:sz="4" w:space="0" w:color="auto"/>
            </w:tcBorders>
          </w:tcPr>
          <w:p w:rsidR="00000000" w:rsidRDefault="00000000">
            <w:pPr>
              <w:pStyle w:val="a6"/>
              <w:spacing w:before="80"/>
              <w:ind w:right="851"/>
              <w:jc w:val="right"/>
            </w:pPr>
            <w:r>
              <w:t>2 194</w:t>
            </w:r>
          </w:p>
        </w:tc>
      </w:tr>
      <w:tr w:rsidR="00000000">
        <w:tblPrEx>
          <w:tblCellMar>
            <w:top w:w="0" w:type="dxa"/>
            <w:bottom w:w="0" w:type="dxa"/>
          </w:tblCellMar>
        </w:tblPrEx>
        <w:tc>
          <w:tcPr>
            <w:tcW w:w="4649" w:type="dxa"/>
          </w:tcPr>
          <w:p w:rsidR="00000000" w:rsidRDefault="00000000">
            <w:pPr>
              <w:pStyle w:val="a7"/>
            </w:pPr>
            <w:r>
              <w:t>Мужчины</w:t>
            </w:r>
          </w:p>
        </w:tc>
        <w:tc>
          <w:tcPr>
            <w:tcW w:w="2381" w:type="dxa"/>
          </w:tcPr>
          <w:p w:rsidR="00000000" w:rsidRDefault="00000000">
            <w:pPr>
              <w:pStyle w:val="a6"/>
              <w:ind w:right="851"/>
              <w:jc w:val="right"/>
            </w:pPr>
          </w:p>
        </w:tc>
        <w:tc>
          <w:tcPr>
            <w:tcW w:w="2381" w:type="dxa"/>
          </w:tcPr>
          <w:p w:rsidR="00000000" w:rsidRDefault="00000000">
            <w:pPr>
              <w:pStyle w:val="a6"/>
              <w:ind w:right="851"/>
              <w:jc w:val="right"/>
            </w:pPr>
            <w:r>
              <w:t>1 866</w:t>
            </w:r>
          </w:p>
        </w:tc>
      </w:tr>
      <w:tr w:rsidR="00000000">
        <w:tblPrEx>
          <w:tblCellMar>
            <w:top w:w="0" w:type="dxa"/>
            <w:bottom w:w="0" w:type="dxa"/>
          </w:tblCellMar>
        </w:tblPrEx>
        <w:tc>
          <w:tcPr>
            <w:tcW w:w="4649" w:type="dxa"/>
            <w:tcBorders>
              <w:bottom w:val="single" w:sz="4" w:space="0" w:color="auto"/>
            </w:tcBorders>
          </w:tcPr>
          <w:p w:rsidR="00000000" w:rsidRDefault="00000000">
            <w:pPr>
              <w:pStyle w:val="a7"/>
            </w:pPr>
            <w:r>
              <w:t>Женщины</w:t>
            </w:r>
          </w:p>
        </w:tc>
        <w:tc>
          <w:tcPr>
            <w:tcW w:w="2381" w:type="dxa"/>
            <w:tcBorders>
              <w:bottom w:val="single" w:sz="4" w:space="0" w:color="auto"/>
            </w:tcBorders>
          </w:tcPr>
          <w:p w:rsidR="00000000" w:rsidRDefault="00000000">
            <w:pPr>
              <w:pStyle w:val="a6"/>
              <w:ind w:right="851"/>
              <w:jc w:val="right"/>
            </w:pPr>
          </w:p>
        </w:tc>
        <w:tc>
          <w:tcPr>
            <w:tcW w:w="2381" w:type="dxa"/>
            <w:tcBorders>
              <w:bottom w:val="single" w:sz="4" w:space="0" w:color="auto"/>
            </w:tcBorders>
          </w:tcPr>
          <w:p w:rsidR="00000000" w:rsidRDefault="00000000">
            <w:pPr>
              <w:pStyle w:val="a6"/>
              <w:ind w:right="851"/>
              <w:jc w:val="right"/>
            </w:pPr>
            <w:r>
              <w:t>328</w:t>
            </w:r>
          </w:p>
        </w:tc>
      </w:tr>
      <w:tr w:rsidR="00000000">
        <w:tblPrEx>
          <w:tblCellMar>
            <w:top w:w="0" w:type="dxa"/>
            <w:bottom w:w="0" w:type="dxa"/>
          </w:tblCellMar>
        </w:tblPrEx>
        <w:tc>
          <w:tcPr>
            <w:tcW w:w="4649" w:type="dxa"/>
            <w:tcBorders>
              <w:top w:val="single" w:sz="4" w:space="0" w:color="auto"/>
            </w:tcBorders>
          </w:tcPr>
          <w:p w:rsidR="00000000" w:rsidRDefault="00000000">
            <w:pPr>
              <w:pStyle w:val="a7"/>
              <w:spacing w:before="80"/>
              <w:rPr>
                <w:b/>
              </w:rPr>
            </w:pPr>
            <w:r>
              <w:rPr>
                <w:b/>
              </w:rPr>
              <w:t>Сотрудники пограничной охраны</w:t>
            </w:r>
          </w:p>
        </w:tc>
        <w:tc>
          <w:tcPr>
            <w:tcW w:w="2381" w:type="dxa"/>
            <w:tcBorders>
              <w:top w:val="single" w:sz="4" w:space="0" w:color="auto"/>
            </w:tcBorders>
          </w:tcPr>
          <w:p w:rsidR="00000000" w:rsidRDefault="00000000">
            <w:pPr>
              <w:pStyle w:val="a6"/>
              <w:spacing w:before="80"/>
              <w:ind w:right="851"/>
              <w:jc w:val="right"/>
            </w:pPr>
            <w:r>
              <w:t>2 192</w:t>
            </w:r>
          </w:p>
        </w:tc>
        <w:tc>
          <w:tcPr>
            <w:tcW w:w="2381" w:type="dxa"/>
            <w:tcBorders>
              <w:top w:val="single" w:sz="4" w:space="0" w:color="auto"/>
            </w:tcBorders>
          </w:tcPr>
          <w:p w:rsidR="00000000" w:rsidRDefault="00000000">
            <w:pPr>
              <w:pStyle w:val="a6"/>
              <w:spacing w:before="80"/>
              <w:ind w:right="851"/>
              <w:jc w:val="right"/>
            </w:pPr>
            <w:r>
              <w:t>4 600</w:t>
            </w:r>
          </w:p>
        </w:tc>
      </w:tr>
      <w:tr w:rsidR="00000000">
        <w:tblPrEx>
          <w:tblCellMar>
            <w:top w:w="0" w:type="dxa"/>
            <w:bottom w:w="0" w:type="dxa"/>
          </w:tblCellMar>
        </w:tblPrEx>
        <w:tc>
          <w:tcPr>
            <w:tcW w:w="4649" w:type="dxa"/>
          </w:tcPr>
          <w:p w:rsidR="00000000" w:rsidRDefault="00000000">
            <w:pPr>
              <w:pStyle w:val="a7"/>
            </w:pPr>
            <w:r>
              <w:t>Мужчины</w:t>
            </w:r>
          </w:p>
        </w:tc>
        <w:tc>
          <w:tcPr>
            <w:tcW w:w="2381" w:type="dxa"/>
          </w:tcPr>
          <w:p w:rsidR="00000000" w:rsidRDefault="00000000">
            <w:pPr>
              <w:pStyle w:val="a6"/>
              <w:ind w:right="851"/>
              <w:jc w:val="right"/>
            </w:pPr>
            <w:r>
              <w:t>1 973</w:t>
            </w:r>
          </w:p>
        </w:tc>
        <w:tc>
          <w:tcPr>
            <w:tcW w:w="2381" w:type="dxa"/>
          </w:tcPr>
          <w:p w:rsidR="00000000" w:rsidRDefault="00000000">
            <w:pPr>
              <w:pStyle w:val="a6"/>
              <w:ind w:right="851"/>
              <w:jc w:val="right"/>
            </w:pPr>
            <w:r>
              <w:t>4 083</w:t>
            </w:r>
          </w:p>
        </w:tc>
      </w:tr>
      <w:tr w:rsidR="00000000">
        <w:tblPrEx>
          <w:tblCellMar>
            <w:top w:w="0" w:type="dxa"/>
            <w:bottom w:w="0" w:type="dxa"/>
          </w:tblCellMar>
        </w:tblPrEx>
        <w:tc>
          <w:tcPr>
            <w:tcW w:w="4649" w:type="dxa"/>
            <w:tcBorders>
              <w:bottom w:val="single" w:sz="4" w:space="0" w:color="auto"/>
            </w:tcBorders>
          </w:tcPr>
          <w:p w:rsidR="00000000" w:rsidRDefault="00000000">
            <w:pPr>
              <w:pStyle w:val="a7"/>
            </w:pPr>
            <w:r>
              <w:t>Женщины</w:t>
            </w:r>
          </w:p>
        </w:tc>
        <w:tc>
          <w:tcPr>
            <w:tcW w:w="2381" w:type="dxa"/>
            <w:tcBorders>
              <w:bottom w:val="single" w:sz="4" w:space="0" w:color="auto"/>
            </w:tcBorders>
          </w:tcPr>
          <w:p w:rsidR="00000000" w:rsidRDefault="00000000">
            <w:pPr>
              <w:pStyle w:val="a6"/>
              <w:ind w:right="851"/>
              <w:jc w:val="right"/>
            </w:pPr>
            <w:r>
              <w:t>219</w:t>
            </w:r>
          </w:p>
        </w:tc>
        <w:tc>
          <w:tcPr>
            <w:tcW w:w="2381" w:type="dxa"/>
            <w:tcBorders>
              <w:bottom w:val="single" w:sz="4" w:space="0" w:color="auto"/>
            </w:tcBorders>
          </w:tcPr>
          <w:p w:rsidR="00000000" w:rsidRDefault="00000000">
            <w:pPr>
              <w:pStyle w:val="a6"/>
              <w:ind w:right="851"/>
              <w:jc w:val="right"/>
            </w:pPr>
            <w:r>
              <w:t>517</w:t>
            </w:r>
          </w:p>
        </w:tc>
      </w:tr>
      <w:tr w:rsidR="00000000">
        <w:tblPrEx>
          <w:tblCellMar>
            <w:top w:w="0" w:type="dxa"/>
            <w:bottom w:w="0" w:type="dxa"/>
          </w:tblCellMar>
        </w:tblPrEx>
        <w:tc>
          <w:tcPr>
            <w:tcW w:w="4649" w:type="dxa"/>
            <w:tcBorders>
              <w:top w:val="single" w:sz="4" w:space="0" w:color="auto"/>
            </w:tcBorders>
          </w:tcPr>
          <w:p w:rsidR="00000000" w:rsidRDefault="00000000">
            <w:pPr>
              <w:pStyle w:val="a7"/>
              <w:spacing w:before="80"/>
              <w:rPr>
                <w:b/>
              </w:rPr>
            </w:pPr>
            <w:r>
              <w:rPr>
                <w:b/>
              </w:rPr>
              <w:t>Сотрудники специальной охраны</w:t>
            </w:r>
          </w:p>
        </w:tc>
        <w:tc>
          <w:tcPr>
            <w:tcW w:w="2381" w:type="dxa"/>
            <w:tcBorders>
              <w:top w:val="single" w:sz="4" w:space="0" w:color="auto"/>
            </w:tcBorders>
          </w:tcPr>
          <w:p w:rsidR="00000000" w:rsidRDefault="00000000">
            <w:pPr>
              <w:pStyle w:val="a6"/>
              <w:spacing w:before="80"/>
              <w:ind w:right="851"/>
              <w:jc w:val="right"/>
            </w:pPr>
            <w:r>
              <w:t>948</w:t>
            </w:r>
          </w:p>
        </w:tc>
        <w:tc>
          <w:tcPr>
            <w:tcW w:w="2381" w:type="dxa"/>
            <w:tcBorders>
              <w:top w:val="single" w:sz="4" w:space="0" w:color="auto"/>
            </w:tcBorders>
          </w:tcPr>
          <w:p w:rsidR="00000000" w:rsidRDefault="00000000">
            <w:pPr>
              <w:pStyle w:val="a6"/>
              <w:spacing w:before="80"/>
              <w:ind w:right="851"/>
              <w:jc w:val="right"/>
            </w:pPr>
            <w:r>
              <w:t>2 256</w:t>
            </w:r>
          </w:p>
        </w:tc>
      </w:tr>
      <w:tr w:rsidR="00000000">
        <w:tblPrEx>
          <w:tblCellMar>
            <w:top w:w="0" w:type="dxa"/>
            <w:bottom w:w="0" w:type="dxa"/>
          </w:tblCellMar>
        </w:tblPrEx>
        <w:tc>
          <w:tcPr>
            <w:tcW w:w="4649" w:type="dxa"/>
          </w:tcPr>
          <w:p w:rsidR="00000000" w:rsidRDefault="00000000">
            <w:pPr>
              <w:pStyle w:val="a7"/>
            </w:pPr>
            <w:r>
              <w:t>Мужчины</w:t>
            </w:r>
          </w:p>
        </w:tc>
        <w:tc>
          <w:tcPr>
            <w:tcW w:w="2381" w:type="dxa"/>
          </w:tcPr>
          <w:p w:rsidR="00000000" w:rsidRDefault="00000000">
            <w:pPr>
              <w:pStyle w:val="a6"/>
              <w:ind w:right="851"/>
              <w:jc w:val="right"/>
            </w:pPr>
            <w:r>
              <w:t>948</w:t>
            </w:r>
          </w:p>
        </w:tc>
        <w:tc>
          <w:tcPr>
            <w:tcW w:w="2381" w:type="dxa"/>
          </w:tcPr>
          <w:p w:rsidR="00000000" w:rsidRDefault="00000000">
            <w:pPr>
              <w:pStyle w:val="a6"/>
              <w:ind w:right="851"/>
              <w:jc w:val="right"/>
            </w:pPr>
            <w:r>
              <w:t>2 256</w:t>
            </w:r>
          </w:p>
        </w:tc>
      </w:tr>
      <w:tr w:rsidR="00000000">
        <w:tblPrEx>
          <w:tblCellMar>
            <w:top w:w="0" w:type="dxa"/>
            <w:bottom w:w="0" w:type="dxa"/>
          </w:tblCellMar>
        </w:tblPrEx>
        <w:tc>
          <w:tcPr>
            <w:tcW w:w="4649" w:type="dxa"/>
            <w:tcBorders>
              <w:bottom w:val="single" w:sz="4" w:space="0" w:color="auto"/>
            </w:tcBorders>
          </w:tcPr>
          <w:p w:rsidR="00000000" w:rsidRDefault="00000000">
            <w:pPr>
              <w:pStyle w:val="a7"/>
            </w:pPr>
            <w:r>
              <w:t>Женщины</w:t>
            </w:r>
          </w:p>
        </w:tc>
        <w:tc>
          <w:tcPr>
            <w:tcW w:w="2381" w:type="dxa"/>
            <w:tcBorders>
              <w:bottom w:val="single" w:sz="4" w:space="0" w:color="auto"/>
            </w:tcBorders>
          </w:tcPr>
          <w:p w:rsidR="00000000" w:rsidRDefault="00000000">
            <w:pPr>
              <w:pStyle w:val="a6"/>
              <w:ind w:right="851"/>
              <w:jc w:val="right"/>
            </w:pPr>
            <w:r>
              <w:t>–</w:t>
            </w:r>
          </w:p>
        </w:tc>
        <w:tc>
          <w:tcPr>
            <w:tcW w:w="2381" w:type="dxa"/>
            <w:tcBorders>
              <w:bottom w:val="single" w:sz="4" w:space="0" w:color="auto"/>
            </w:tcBorders>
          </w:tcPr>
          <w:p w:rsidR="00000000" w:rsidRDefault="00000000">
            <w:pPr>
              <w:pStyle w:val="a6"/>
              <w:ind w:right="851"/>
              <w:jc w:val="right"/>
            </w:pPr>
            <w:r>
              <w:t>–</w:t>
            </w:r>
          </w:p>
        </w:tc>
      </w:tr>
      <w:tr w:rsidR="00000000">
        <w:tblPrEx>
          <w:tblCellMar>
            <w:top w:w="0" w:type="dxa"/>
            <w:bottom w:w="0" w:type="dxa"/>
          </w:tblCellMar>
        </w:tblPrEx>
        <w:tc>
          <w:tcPr>
            <w:tcW w:w="4649" w:type="dxa"/>
            <w:tcBorders>
              <w:top w:val="single" w:sz="4" w:space="0" w:color="auto"/>
            </w:tcBorders>
          </w:tcPr>
          <w:p w:rsidR="00000000" w:rsidRDefault="00000000">
            <w:pPr>
              <w:pStyle w:val="a7"/>
              <w:spacing w:before="80"/>
              <w:rPr>
                <w:b/>
              </w:rPr>
            </w:pPr>
            <w:r>
              <w:rPr>
                <w:b/>
              </w:rPr>
              <w:t>Всего сотрудников греческой полиции</w:t>
            </w:r>
          </w:p>
        </w:tc>
        <w:tc>
          <w:tcPr>
            <w:tcW w:w="2381" w:type="dxa"/>
            <w:tcBorders>
              <w:top w:val="single" w:sz="4" w:space="0" w:color="auto"/>
            </w:tcBorders>
          </w:tcPr>
          <w:p w:rsidR="00000000" w:rsidRDefault="00000000">
            <w:pPr>
              <w:pStyle w:val="a6"/>
              <w:spacing w:before="80"/>
              <w:ind w:right="851"/>
              <w:jc w:val="right"/>
            </w:pPr>
            <w:r>
              <w:t>48 397</w:t>
            </w:r>
          </w:p>
        </w:tc>
        <w:tc>
          <w:tcPr>
            <w:tcW w:w="2381" w:type="dxa"/>
            <w:tcBorders>
              <w:top w:val="single" w:sz="4" w:space="0" w:color="auto"/>
            </w:tcBorders>
          </w:tcPr>
          <w:p w:rsidR="00000000" w:rsidRDefault="00000000">
            <w:pPr>
              <w:pStyle w:val="a6"/>
              <w:spacing w:before="80"/>
              <w:ind w:right="851"/>
              <w:jc w:val="right"/>
            </w:pPr>
            <w:r>
              <w:t>52 443</w:t>
            </w:r>
          </w:p>
        </w:tc>
      </w:tr>
      <w:tr w:rsidR="00000000">
        <w:tblPrEx>
          <w:tblCellMar>
            <w:top w:w="0" w:type="dxa"/>
            <w:bottom w:w="0" w:type="dxa"/>
          </w:tblCellMar>
        </w:tblPrEx>
        <w:tc>
          <w:tcPr>
            <w:tcW w:w="4649" w:type="dxa"/>
          </w:tcPr>
          <w:p w:rsidR="00000000" w:rsidRDefault="00000000">
            <w:pPr>
              <w:pStyle w:val="a7"/>
            </w:pPr>
            <w:r>
              <w:t>Мужчины</w:t>
            </w:r>
          </w:p>
        </w:tc>
        <w:tc>
          <w:tcPr>
            <w:tcW w:w="2381" w:type="dxa"/>
          </w:tcPr>
          <w:p w:rsidR="00000000" w:rsidRDefault="00000000">
            <w:pPr>
              <w:pStyle w:val="a6"/>
              <w:ind w:right="851"/>
              <w:jc w:val="right"/>
            </w:pPr>
            <w:r>
              <w:t>44 213</w:t>
            </w:r>
          </w:p>
        </w:tc>
        <w:tc>
          <w:tcPr>
            <w:tcW w:w="2381" w:type="dxa"/>
          </w:tcPr>
          <w:p w:rsidR="00000000" w:rsidRDefault="00000000">
            <w:pPr>
              <w:pStyle w:val="a6"/>
              <w:ind w:right="851"/>
              <w:jc w:val="right"/>
            </w:pPr>
            <w:r>
              <w:t>47 433</w:t>
            </w:r>
          </w:p>
        </w:tc>
      </w:tr>
      <w:tr w:rsidR="00000000">
        <w:tblPrEx>
          <w:tblCellMar>
            <w:top w:w="0" w:type="dxa"/>
            <w:bottom w:w="0" w:type="dxa"/>
          </w:tblCellMar>
        </w:tblPrEx>
        <w:tc>
          <w:tcPr>
            <w:tcW w:w="4649" w:type="dxa"/>
            <w:tcBorders>
              <w:bottom w:val="single" w:sz="4" w:space="0" w:color="auto"/>
            </w:tcBorders>
          </w:tcPr>
          <w:p w:rsidR="00000000" w:rsidRDefault="00000000">
            <w:pPr>
              <w:pStyle w:val="a7"/>
            </w:pPr>
            <w:r>
              <w:t>Женщины</w:t>
            </w:r>
          </w:p>
        </w:tc>
        <w:tc>
          <w:tcPr>
            <w:tcW w:w="2381" w:type="dxa"/>
            <w:tcBorders>
              <w:bottom w:val="single" w:sz="4" w:space="0" w:color="auto"/>
            </w:tcBorders>
          </w:tcPr>
          <w:p w:rsidR="00000000" w:rsidRDefault="00000000">
            <w:pPr>
              <w:pStyle w:val="a6"/>
              <w:ind w:right="851"/>
              <w:jc w:val="right"/>
            </w:pPr>
            <w:r>
              <w:t>4 184</w:t>
            </w:r>
          </w:p>
        </w:tc>
        <w:tc>
          <w:tcPr>
            <w:tcW w:w="2381" w:type="dxa"/>
            <w:tcBorders>
              <w:bottom w:val="single" w:sz="4" w:space="0" w:color="auto"/>
            </w:tcBorders>
          </w:tcPr>
          <w:p w:rsidR="00000000" w:rsidRDefault="00000000">
            <w:pPr>
              <w:pStyle w:val="a6"/>
              <w:ind w:right="851"/>
              <w:jc w:val="right"/>
            </w:pPr>
            <w:r>
              <w:t>5 010</w:t>
            </w:r>
          </w:p>
        </w:tc>
      </w:tr>
    </w:tbl>
    <w:p w:rsidR="00000000" w:rsidRDefault="00000000">
      <w:pPr>
        <w:pStyle w:val="BodyText"/>
        <w:spacing w:before="120"/>
        <w:ind w:left="0" w:firstLine="0"/>
        <w:rPr>
          <w:sz w:val="20"/>
        </w:rPr>
      </w:pPr>
      <w:r>
        <w:rPr>
          <w:i/>
          <w:sz w:val="20"/>
        </w:rPr>
        <w:t>Источники:</w:t>
      </w:r>
      <w:r>
        <w:rPr>
          <w:sz w:val="20"/>
        </w:rPr>
        <w:t xml:space="preserve"> Министерство общественного порядка, Главное полицейское управление, Административный сектор, Управление личного состава полиции, Первый департамент: офицеры.</w:t>
      </w:r>
    </w:p>
    <w:p w:rsidR="00000000" w:rsidRDefault="00000000">
      <w:pPr>
        <w:pStyle w:val="BodyText"/>
        <w:rPr>
          <w:i/>
        </w:rPr>
      </w:pPr>
      <w:r>
        <w:rPr>
          <w:b/>
        </w:rPr>
        <w:br w:type="page"/>
      </w:r>
      <w:r>
        <w:t>18.</w:t>
      </w:r>
      <w:r>
        <w:tab/>
      </w:r>
      <w:r>
        <w:rPr>
          <w:b/>
          <w:i/>
        </w:rPr>
        <w:t>Пожарная охрана</w:t>
      </w:r>
    </w:p>
    <w:tbl>
      <w:tblPr>
        <w:tblW w:w="0" w:type="auto"/>
        <w:tblInd w:w="3" w:type="dxa"/>
        <w:tblLayout w:type="fixed"/>
        <w:tblCellMar>
          <w:left w:w="56" w:type="dxa"/>
          <w:right w:w="56" w:type="dxa"/>
        </w:tblCellMar>
        <w:tblLook w:val="0000" w:firstRow="0" w:lastRow="0" w:firstColumn="0" w:lastColumn="0" w:noHBand="0" w:noVBand="0"/>
      </w:tblPr>
      <w:tblGrid>
        <w:gridCol w:w="720"/>
        <w:gridCol w:w="1134"/>
        <w:gridCol w:w="1247"/>
        <w:gridCol w:w="1247"/>
        <w:gridCol w:w="1701"/>
        <w:gridCol w:w="1247"/>
        <w:gridCol w:w="1247"/>
        <w:gridCol w:w="851"/>
      </w:tblGrid>
      <w:tr w:rsidR="00000000">
        <w:tblPrEx>
          <w:tblCellMar>
            <w:top w:w="0" w:type="dxa"/>
            <w:bottom w:w="0" w:type="dxa"/>
          </w:tblCellMar>
        </w:tblPrEx>
        <w:tc>
          <w:tcPr>
            <w:tcW w:w="720" w:type="dxa"/>
            <w:tcBorders>
              <w:top w:val="single" w:sz="4" w:space="0" w:color="auto"/>
              <w:bottom w:val="single" w:sz="4" w:space="0" w:color="auto"/>
            </w:tcBorders>
          </w:tcPr>
          <w:p w:rsidR="00000000" w:rsidRDefault="00000000">
            <w:pPr>
              <w:pStyle w:val="a7"/>
              <w:rPr>
                <w:b/>
              </w:rPr>
            </w:pPr>
            <w:r>
              <w:rPr>
                <w:b/>
              </w:rPr>
              <w:t>Год</w:t>
            </w:r>
          </w:p>
        </w:tc>
        <w:tc>
          <w:tcPr>
            <w:tcW w:w="1134" w:type="dxa"/>
            <w:tcBorders>
              <w:top w:val="single" w:sz="4" w:space="0" w:color="auto"/>
              <w:bottom w:val="single" w:sz="4" w:space="0" w:color="auto"/>
            </w:tcBorders>
          </w:tcPr>
          <w:p w:rsidR="00000000" w:rsidRDefault="00000000">
            <w:pPr>
              <w:pStyle w:val="a6"/>
              <w:rPr>
                <w:b/>
              </w:rPr>
            </w:pPr>
            <w:r>
              <w:rPr>
                <w:b/>
              </w:rPr>
              <w:t>Всего офицеров</w:t>
            </w:r>
          </w:p>
        </w:tc>
        <w:tc>
          <w:tcPr>
            <w:tcW w:w="1247" w:type="dxa"/>
            <w:tcBorders>
              <w:top w:val="single" w:sz="4" w:space="0" w:color="auto"/>
              <w:bottom w:val="single" w:sz="4" w:space="0" w:color="auto"/>
            </w:tcBorders>
          </w:tcPr>
          <w:p w:rsidR="00000000" w:rsidRDefault="00000000">
            <w:pPr>
              <w:pStyle w:val="a6"/>
              <w:rPr>
                <w:b/>
              </w:rPr>
            </w:pPr>
            <w:r>
              <w:rPr>
                <w:b/>
              </w:rPr>
              <w:t>Мужчины</w:t>
            </w:r>
          </w:p>
        </w:tc>
        <w:tc>
          <w:tcPr>
            <w:tcW w:w="1247" w:type="dxa"/>
            <w:tcBorders>
              <w:top w:val="single" w:sz="4" w:space="0" w:color="auto"/>
              <w:bottom w:val="single" w:sz="4" w:space="0" w:color="auto"/>
            </w:tcBorders>
          </w:tcPr>
          <w:p w:rsidR="00000000" w:rsidRDefault="00000000">
            <w:pPr>
              <w:pStyle w:val="a6"/>
              <w:rPr>
                <w:b/>
              </w:rPr>
            </w:pPr>
            <w:r>
              <w:rPr>
                <w:b/>
              </w:rPr>
              <w:t>Женщины</w:t>
            </w:r>
          </w:p>
        </w:tc>
        <w:tc>
          <w:tcPr>
            <w:tcW w:w="1701" w:type="dxa"/>
            <w:tcBorders>
              <w:top w:val="single" w:sz="4" w:space="0" w:color="auto"/>
              <w:bottom w:val="single" w:sz="4" w:space="0" w:color="auto"/>
            </w:tcBorders>
          </w:tcPr>
          <w:p w:rsidR="00000000" w:rsidRDefault="00000000">
            <w:pPr>
              <w:pStyle w:val="a6"/>
              <w:rPr>
                <w:b/>
              </w:rPr>
            </w:pPr>
            <w:r>
              <w:rPr>
                <w:b/>
              </w:rPr>
              <w:t>Всего младших офицеров</w:t>
            </w:r>
          </w:p>
        </w:tc>
        <w:tc>
          <w:tcPr>
            <w:tcW w:w="1247" w:type="dxa"/>
            <w:tcBorders>
              <w:top w:val="single" w:sz="4" w:space="0" w:color="auto"/>
              <w:bottom w:val="single" w:sz="4" w:space="0" w:color="auto"/>
            </w:tcBorders>
          </w:tcPr>
          <w:p w:rsidR="00000000" w:rsidRDefault="00000000">
            <w:pPr>
              <w:pStyle w:val="a6"/>
              <w:rPr>
                <w:b/>
              </w:rPr>
            </w:pPr>
            <w:r>
              <w:rPr>
                <w:b/>
              </w:rPr>
              <w:t>Мужчины</w:t>
            </w:r>
          </w:p>
        </w:tc>
        <w:tc>
          <w:tcPr>
            <w:tcW w:w="1247" w:type="dxa"/>
            <w:tcBorders>
              <w:top w:val="single" w:sz="4" w:space="0" w:color="auto"/>
              <w:bottom w:val="single" w:sz="4" w:space="0" w:color="auto"/>
            </w:tcBorders>
          </w:tcPr>
          <w:p w:rsidR="00000000" w:rsidRDefault="00000000">
            <w:pPr>
              <w:pStyle w:val="a6"/>
              <w:rPr>
                <w:b/>
              </w:rPr>
            </w:pPr>
            <w:r>
              <w:rPr>
                <w:b/>
              </w:rPr>
              <w:t>Женщины</w:t>
            </w:r>
          </w:p>
        </w:tc>
        <w:tc>
          <w:tcPr>
            <w:tcW w:w="851" w:type="dxa"/>
            <w:tcBorders>
              <w:top w:val="single" w:sz="4" w:space="0" w:color="auto"/>
              <w:bottom w:val="single" w:sz="4" w:space="0" w:color="auto"/>
            </w:tcBorders>
          </w:tcPr>
          <w:p w:rsidR="00000000" w:rsidRDefault="00000000">
            <w:pPr>
              <w:pStyle w:val="a6"/>
              <w:rPr>
                <w:b/>
              </w:rPr>
            </w:pPr>
            <w:r>
              <w:rPr>
                <w:b/>
              </w:rPr>
              <w:t>Итого</w:t>
            </w:r>
          </w:p>
        </w:tc>
      </w:tr>
      <w:tr w:rsidR="00000000">
        <w:tblPrEx>
          <w:tblCellMar>
            <w:top w:w="0" w:type="dxa"/>
            <w:bottom w:w="0" w:type="dxa"/>
          </w:tblCellMar>
        </w:tblPrEx>
        <w:tc>
          <w:tcPr>
            <w:tcW w:w="720" w:type="dxa"/>
            <w:tcBorders>
              <w:top w:val="single" w:sz="4" w:space="0" w:color="auto"/>
            </w:tcBorders>
          </w:tcPr>
          <w:p w:rsidR="00000000" w:rsidRDefault="00000000">
            <w:pPr>
              <w:pStyle w:val="a7"/>
            </w:pPr>
            <w:r>
              <w:t xml:space="preserve">2000 </w:t>
            </w:r>
          </w:p>
        </w:tc>
        <w:tc>
          <w:tcPr>
            <w:tcW w:w="1134" w:type="dxa"/>
            <w:tcBorders>
              <w:top w:val="single" w:sz="4" w:space="0" w:color="auto"/>
            </w:tcBorders>
          </w:tcPr>
          <w:p w:rsidR="00000000" w:rsidRDefault="00000000">
            <w:pPr>
              <w:pStyle w:val="a6"/>
            </w:pPr>
            <w:r>
              <w:t>850</w:t>
            </w:r>
          </w:p>
        </w:tc>
        <w:tc>
          <w:tcPr>
            <w:tcW w:w="1247" w:type="dxa"/>
            <w:tcBorders>
              <w:top w:val="single" w:sz="4" w:space="0" w:color="auto"/>
            </w:tcBorders>
          </w:tcPr>
          <w:p w:rsidR="00000000" w:rsidRDefault="00000000">
            <w:pPr>
              <w:pStyle w:val="a6"/>
              <w:tabs>
                <w:tab w:val="clear" w:pos="567"/>
                <w:tab w:val="clear" w:pos="1021"/>
              </w:tabs>
              <w:ind w:left="-210" w:right="397"/>
              <w:jc w:val="right"/>
            </w:pPr>
            <w:r>
              <w:t>848</w:t>
            </w:r>
          </w:p>
        </w:tc>
        <w:tc>
          <w:tcPr>
            <w:tcW w:w="1247" w:type="dxa"/>
            <w:tcBorders>
              <w:top w:val="single" w:sz="4" w:space="0" w:color="auto"/>
            </w:tcBorders>
          </w:tcPr>
          <w:p w:rsidR="00000000" w:rsidRDefault="00000000">
            <w:pPr>
              <w:pStyle w:val="a6"/>
            </w:pPr>
            <w:r>
              <w:t> 2</w:t>
            </w:r>
          </w:p>
        </w:tc>
        <w:tc>
          <w:tcPr>
            <w:tcW w:w="1701" w:type="dxa"/>
            <w:tcBorders>
              <w:top w:val="single" w:sz="4" w:space="0" w:color="auto"/>
            </w:tcBorders>
          </w:tcPr>
          <w:p w:rsidR="00000000" w:rsidRDefault="00000000">
            <w:pPr>
              <w:pStyle w:val="a6"/>
            </w:pPr>
            <w:r>
              <w:t>8 550</w:t>
            </w:r>
          </w:p>
        </w:tc>
        <w:tc>
          <w:tcPr>
            <w:tcW w:w="1247" w:type="dxa"/>
            <w:tcBorders>
              <w:top w:val="single" w:sz="4" w:space="0" w:color="auto"/>
            </w:tcBorders>
          </w:tcPr>
          <w:p w:rsidR="00000000" w:rsidRDefault="00000000">
            <w:pPr>
              <w:pStyle w:val="a6"/>
            </w:pPr>
            <w:r>
              <w:t>8 300</w:t>
            </w:r>
          </w:p>
        </w:tc>
        <w:tc>
          <w:tcPr>
            <w:tcW w:w="1247" w:type="dxa"/>
            <w:tcBorders>
              <w:top w:val="single" w:sz="4" w:space="0" w:color="auto"/>
            </w:tcBorders>
          </w:tcPr>
          <w:p w:rsidR="00000000" w:rsidRDefault="00000000">
            <w:pPr>
              <w:pStyle w:val="a6"/>
            </w:pPr>
            <w:r>
              <w:t>250</w:t>
            </w:r>
          </w:p>
        </w:tc>
        <w:tc>
          <w:tcPr>
            <w:tcW w:w="851" w:type="dxa"/>
            <w:tcBorders>
              <w:top w:val="single" w:sz="4" w:space="0" w:color="auto"/>
            </w:tcBorders>
          </w:tcPr>
          <w:p w:rsidR="00000000" w:rsidRDefault="00000000">
            <w:pPr>
              <w:pStyle w:val="a6"/>
            </w:pPr>
            <w:r>
              <w:t>9 400</w:t>
            </w:r>
          </w:p>
        </w:tc>
      </w:tr>
      <w:tr w:rsidR="00000000">
        <w:tblPrEx>
          <w:tblCellMar>
            <w:top w:w="0" w:type="dxa"/>
            <w:bottom w:w="0" w:type="dxa"/>
          </w:tblCellMar>
        </w:tblPrEx>
        <w:tc>
          <w:tcPr>
            <w:tcW w:w="720" w:type="dxa"/>
            <w:tcBorders>
              <w:bottom w:val="single" w:sz="4" w:space="0" w:color="auto"/>
            </w:tcBorders>
          </w:tcPr>
          <w:p w:rsidR="00000000" w:rsidRDefault="00000000">
            <w:pPr>
              <w:pStyle w:val="a7"/>
            </w:pPr>
            <w:r>
              <w:t xml:space="preserve">2004 </w:t>
            </w:r>
          </w:p>
        </w:tc>
        <w:tc>
          <w:tcPr>
            <w:tcW w:w="1134" w:type="dxa"/>
            <w:tcBorders>
              <w:bottom w:val="single" w:sz="4" w:space="0" w:color="auto"/>
            </w:tcBorders>
          </w:tcPr>
          <w:p w:rsidR="00000000" w:rsidRDefault="00000000">
            <w:pPr>
              <w:pStyle w:val="a6"/>
            </w:pPr>
            <w:r>
              <w:t>1257</w:t>
            </w:r>
          </w:p>
        </w:tc>
        <w:tc>
          <w:tcPr>
            <w:tcW w:w="1247" w:type="dxa"/>
            <w:tcBorders>
              <w:bottom w:val="single" w:sz="4" w:space="0" w:color="auto"/>
            </w:tcBorders>
          </w:tcPr>
          <w:p w:rsidR="00000000" w:rsidRDefault="00000000">
            <w:pPr>
              <w:pStyle w:val="a6"/>
              <w:tabs>
                <w:tab w:val="clear" w:pos="567"/>
                <w:tab w:val="clear" w:pos="1021"/>
              </w:tabs>
              <w:ind w:left="-210" w:right="397"/>
              <w:jc w:val="right"/>
            </w:pPr>
            <w:r>
              <w:t>1 226</w:t>
            </w:r>
          </w:p>
        </w:tc>
        <w:tc>
          <w:tcPr>
            <w:tcW w:w="1247" w:type="dxa"/>
            <w:tcBorders>
              <w:bottom w:val="single" w:sz="4" w:space="0" w:color="auto"/>
            </w:tcBorders>
          </w:tcPr>
          <w:p w:rsidR="00000000" w:rsidRDefault="00000000">
            <w:pPr>
              <w:pStyle w:val="a6"/>
            </w:pPr>
            <w:r>
              <w:t>31</w:t>
            </w:r>
          </w:p>
        </w:tc>
        <w:tc>
          <w:tcPr>
            <w:tcW w:w="1701" w:type="dxa"/>
            <w:tcBorders>
              <w:bottom w:val="single" w:sz="4" w:space="0" w:color="auto"/>
            </w:tcBorders>
          </w:tcPr>
          <w:p w:rsidR="00000000" w:rsidRDefault="00000000">
            <w:pPr>
              <w:pStyle w:val="a6"/>
            </w:pPr>
            <w:r>
              <w:t>8 387</w:t>
            </w:r>
          </w:p>
        </w:tc>
        <w:tc>
          <w:tcPr>
            <w:tcW w:w="1247" w:type="dxa"/>
            <w:tcBorders>
              <w:bottom w:val="single" w:sz="4" w:space="0" w:color="auto"/>
            </w:tcBorders>
          </w:tcPr>
          <w:p w:rsidR="00000000" w:rsidRDefault="00000000">
            <w:pPr>
              <w:pStyle w:val="a6"/>
            </w:pPr>
            <w:r>
              <w:t>8 071</w:t>
            </w:r>
          </w:p>
        </w:tc>
        <w:tc>
          <w:tcPr>
            <w:tcW w:w="1247" w:type="dxa"/>
            <w:tcBorders>
              <w:bottom w:val="single" w:sz="4" w:space="0" w:color="auto"/>
            </w:tcBorders>
          </w:tcPr>
          <w:p w:rsidR="00000000" w:rsidRDefault="00000000">
            <w:pPr>
              <w:pStyle w:val="a6"/>
            </w:pPr>
            <w:r>
              <w:t>316</w:t>
            </w:r>
          </w:p>
        </w:tc>
        <w:tc>
          <w:tcPr>
            <w:tcW w:w="851" w:type="dxa"/>
            <w:tcBorders>
              <w:bottom w:val="single" w:sz="4" w:space="0" w:color="auto"/>
            </w:tcBorders>
          </w:tcPr>
          <w:p w:rsidR="00000000" w:rsidRDefault="00000000">
            <w:pPr>
              <w:pStyle w:val="a6"/>
            </w:pPr>
            <w:r>
              <w:t>9 644</w:t>
            </w:r>
          </w:p>
        </w:tc>
      </w:tr>
    </w:tbl>
    <w:p w:rsidR="00000000" w:rsidRDefault="00000000">
      <w:pPr>
        <w:pStyle w:val="BodyText"/>
        <w:spacing w:before="120"/>
        <w:ind w:left="0" w:firstLine="0"/>
        <w:rPr>
          <w:sz w:val="20"/>
        </w:rPr>
      </w:pPr>
      <w:r>
        <w:rPr>
          <w:i/>
          <w:sz w:val="20"/>
        </w:rPr>
        <w:t>Источники:</w:t>
      </w:r>
      <w:r>
        <w:rPr>
          <w:sz w:val="20"/>
        </w:rPr>
        <w:t xml:space="preserve"> Министерство общественного порядка, Главное управление пожарной охраны, Третье управление: личный состав, Второй департамент: сержантский состав. </w:t>
      </w:r>
    </w:p>
    <w:p w:rsidR="00000000" w:rsidRDefault="00000000">
      <w:pPr>
        <w:pStyle w:val="BodyText"/>
      </w:pPr>
    </w:p>
    <w:p w:rsidR="00000000" w:rsidRDefault="00000000">
      <w:pPr>
        <w:pStyle w:val="BodyText"/>
        <w:rPr>
          <w:i/>
        </w:rPr>
      </w:pPr>
      <w:r>
        <w:t>19</w:t>
      </w:r>
      <w:r>
        <w:rPr>
          <w:i/>
        </w:rPr>
        <w:t>.</w:t>
      </w:r>
      <w:r>
        <w:rPr>
          <w:i/>
        </w:rPr>
        <w:tab/>
      </w:r>
      <w:r>
        <w:rPr>
          <w:b/>
          <w:i/>
        </w:rPr>
        <w:t>Вооруженные силы</w:t>
      </w:r>
    </w:p>
    <w:tbl>
      <w:tblPr>
        <w:tblW w:w="0" w:type="auto"/>
        <w:tblInd w:w="3" w:type="dxa"/>
        <w:tblLayout w:type="fixed"/>
        <w:tblCellMar>
          <w:left w:w="56" w:type="dxa"/>
          <w:right w:w="56" w:type="dxa"/>
        </w:tblCellMar>
        <w:tblLook w:val="0000" w:firstRow="0" w:lastRow="0" w:firstColumn="0" w:lastColumn="0" w:noHBand="0" w:noVBand="0"/>
      </w:tblPr>
      <w:tblGrid>
        <w:gridCol w:w="2409"/>
        <w:gridCol w:w="1276"/>
        <w:gridCol w:w="1985"/>
        <w:gridCol w:w="1247"/>
        <w:gridCol w:w="1247"/>
        <w:gridCol w:w="1247"/>
      </w:tblGrid>
      <w:tr w:rsidR="00000000">
        <w:tblPrEx>
          <w:tblCellMar>
            <w:top w:w="0" w:type="dxa"/>
            <w:bottom w:w="0" w:type="dxa"/>
          </w:tblCellMar>
        </w:tblPrEx>
        <w:tc>
          <w:tcPr>
            <w:tcW w:w="2409" w:type="dxa"/>
            <w:tcBorders>
              <w:top w:val="single" w:sz="4" w:space="0" w:color="auto"/>
              <w:bottom w:val="single" w:sz="4" w:space="0" w:color="auto"/>
            </w:tcBorders>
          </w:tcPr>
          <w:p w:rsidR="00000000" w:rsidRDefault="00000000">
            <w:pPr>
              <w:pStyle w:val="a7"/>
              <w:rPr>
                <w:b/>
              </w:rPr>
            </w:pPr>
          </w:p>
        </w:tc>
        <w:tc>
          <w:tcPr>
            <w:tcW w:w="1276" w:type="dxa"/>
            <w:tcBorders>
              <w:top w:val="single" w:sz="4" w:space="0" w:color="auto"/>
              <w:bottom w:val="single" w:sz="4" w:space="0" w:color="auto"/>
            </w:tcBorders>
          </w:tcPr>
          <w:p w:rsidR="00000000" w:rsidRDefault="00000000">
            <w:pPr>
              <w:pStyle w:val="a6"/>
              <w:rPr>
                <w:b/>
              </w:rPr>
            </w:pPr>
            <w:r>
              <w:rPr>
                <w:b/>
              </w:rPr>
              <w:t>Офицеры</w:t>
            </w:r>
          </w:p>
        </w:tc>
        <w:tc>
          <w:tcPr>
            <w:tcW w:w="1985" w:type="dxa"/>
            <w:tcBorders>
              <w:top w:val="single" w:sz="4" w:space="0" w:color="auto"/>
              <w:bottom w:val="single" w:sz="4" w:space="0" w:color="auto"/>
            </w:tcBorders>
          </w:tcPr>
          <w:p w:rsidR="00000000" w:rsidRDefault="00000000">
            <w:pPr>
              <w:pStyle w:val="a6"/>
              <w:rPr>
                <w:b/>
              </w:rPr>
            </w:pPr>
            <w:r>
              <w:rPr>
                <w:b/>
              </w:rPr>
              <w:t>Уорент-офицеры/</w:t>
            </w:r>
            <w:r>
              <w:rPr>
                <w:b/>
              </w:rPr>
              <w:br/>
              <w:t>сержантский состав</w:t>
            </w:r>
          </w:p>
        </w:tc>
        <w:tc>
          <w:tcPr>
            <w:tcW w:w="1247" w:type="dxa"/>
            <w:tcBorders>
              <w:top w:val="single" w:sz="4" w:space="0" w:color="auto"/>
              <w:bottom w:val="single" w:sz="4" w:space="0" w:color="auto"/>
            </w:tcBorders>
          </w:tcPr>
          <w:p w:rsidR="00000000" w:rsidRDefault="00000000">
            <w:pPr>
              <w:pStyle w:val="a6"/>
              <w:rPr>
                <w:b/>
              </w:rPr>
            </w:pPr>
            <w:r>
              <w:rPr>
                <w:b/>
              </w:rPr>
              <w:t xml:space="preserve">Всего </w:t>
            </w:r>
            <w:r>
              <w:rPr>
                <w:b/>
              </w:rPr>
              <w:br/>
              <w:t>2004 год</w:t>
            </w:r>
          </w:p>
        </w:tc>
        <w:tc>
          <w:tcPr>
            <w:tcW w:w="1247" w:type="dxa"/>
            <w:tcBorders>
              <w:top w:val="single" w:sz="4" w:space="0" w:color="auto"/>
              <w:bottom w:val="single" w:sz="4" w:space="0" w:color="auto"/>
            </w:tcBorders>
          </w:tcPr>
          <w:p w:rsidR="00000000" w:rsidRDefault="00000000">
            <w:pPr>
              <w:pStyle w:val="a6"/>
              <w:rPr>
                <w:b/>
              </w:rPr>
            </w:pPr>
            <w:r>
              <w:rPr>
                <w:b/>
              </w:rPr>
              <w:t>Всего</w:t>
            </w:r>
            <w:r>
              <w:rPr>
                <w:b/>
              </w:rPr>
              <w:br/>
              <w:t>2000 год</w:t>
            </w:r>
          </w:p>
        </w:tc>
        <w:tc>
          <w:tcPr>
            <w:tcW w:w="1247" w:type="dxa"/>
            <w:tcBorders>
              <w:top w:val="single" w:sz="4" w:space="0" w:color="auto"/>
              <w:bottom w:val="single" w:sz="4" w:space="0" w:color="auto"/>
            </w:tcBorders>
          </w:tcPr>
          <w:p w:rsidR="00000000" w:rsidRDefault="00000000">
            <w:pPr>
              <w:pStyle w:val="a6"/>
              <w:rPr>
                <w:b/>
              </w:rPr>
            </w:pPr>
            <w:r>
              <w:rPr>
                <w:b/>
              </w:rPr>
              <w:t>Всего</w:t>
            </w:r>
            <w:r>
              <w:rPr>
                <w:b/>
              </w:rPr>
              <w:br/>
              <w:t>1992 год</w:t>
            </w:r>
          </w:p>
        </w:tc>
      </w:tr>
      <w:tr w:rsidR="00000000">
        <w:tblPrEx>
          <w:tblCellMar>
            <w:top w:w="0" w:type="dxa"/>
            <w:bottom w:w="0" w:type="dxa"/>
          </w:tblCellMar>
        </w:tblPrEx>
        <w:tc>
          <w:tcPr>
            <w:tcW w:w="2409" w:type="dxa"/>
            <w:tcBorders>
              <w:top w:val="single" w:sz="4" w:space="0" w:color="auto"/>
            </w:tcBorders>
          </w:tcPr>
          <w:p w:rsidR="00000000" w:rsidRDefault="00000000">
            <w:pPr>
              <w:pStyle w:val="a7"/>
            </w:pPr>
            <w:r>
              <w:t>Сухопутные силы</w:t>
            </w:r>
          </w:p>
        </w:tc>
        <w:tc>
          <w:tcPr>
            <w:tcW w:w="1276" w:type="dxa"/>
            <w:tcBorders>
              <w:top w:val="single" w:sz="4" w:space="0" w:color="auto"/>
            </w:tcBorders>
          </w:tcPr>
          <w:p w:rsidR="00000000" w:rsidRDefault="00000000">
            <w:pPr>
              <w:pStyle w:val="a6"/>
              <w:tabs>
                <w:tab w:val="clear" w:pos="567"/>
                <w:tab w:val="clear" w:pos="1021"/>
              </w:tabs>
              <w:ind w:right="344"/>
              <w:jc w:val="right"/>
            </w:pPr>
            <w:r>
              <w:t>1 077</w:t>
            </w:r>
          </w:p>
        </w:tc>
        <w:tc>
          <w:tcPr>
            <w:tcW w:w="1985" w:type="dxa"/>
            <w:tcBorders>
              <w:top w:val="single" w:sz="4" w:space="0" w:color="auto"/>
            </w:tcBorders>
          </w:tcPr>
          <w:p w:rsidR="00000000" w:rsidRDefault="00000000">
            <w:pPr>
              <w:pStyle w:val="a6"/>
              <w:tabs>
                <w:tab w:val="clear" w:pos="567"/>
                <w:tab w:val="clear" w:pos="1021"/>
              </w:tabs>
              <w:ind w:right="653"/>
              <w:jc w:val="right"/>
            </w:pPr>
            <w:r>
              <w:t>2 745</w:t>
            </w:r>
          </w:p>
        </w:tc>
        <w:tc>
          <w:tcPr>
            <w:tcW w:w="1247" w:type="dxa"/>
            <w:tcBorders>
              <w:top w:val="single" w:sz="4" w:space="0" w:color="auto"/>
            </w:tcBorders>
          </w:tcPr>
          <w:p w:rsidR="00000000" w:rsidRDefault="00000000">
            <w:pPr>
              <w:pStyle w:val="a6"/>
              <w:tabs>
                <w:tab w:val="clear" w:pos="567"/>
                <w:tab w:val="clear" w:pos="1021"/>
              </w:tabs>
              <w:ind w:right="370"/>
              <w:jc w:val="right"/>
            </w:pPr>
            <w:r>
              <w:t>3 822</w:t>
            </w:r>
          </w:p>
        </w:tc>
        <w:tc>
          <w:tcPr>
            <w:tcW w:w="1247" w:type="dxa"/>
            <w:tcBorders>
              <w:top w:val="single" w:sz="4" w:space="0" w:color="auto"/>
            </w:tcBorders>
          </w:tcPr>
          <w:p w:rsidR="00000000" w:rsidRDefault="00000000">
            <w:pPr>
              <w:pStyle w:val="a6"/>
              <w:tabs>
                <w:tab w:val="clear" w:pos="567"/>
                <w:tab w:val="clear" w:pos="1021"/>
              </w:tabs>
              <w:ind w:right="370"/>
              <w:jc w:val="right"/>
            </w:pPr>
            <w:r>
              <w:t>3 115</w:t>
            </w:r>
          </w:p>
        </w:tc>
        <w:tc>
          <w:tcPr>
            <w:tcW w:w="1247" w:type="dxa"/>
            <w:tcBorders>
              <w:top w:val="single" w:sz="4" w:space="0" w:color="auto"/>
            </w:tcBorders>
          </w:tcPr>
          <w:p w:rsidR="00000000" w:rsidRDefault="00000000">
            <w:pPr>
              <w:pStyle w:val="a6"/>
              <w:tabs>
                <w:tab w:val="clear" w:pos="567"/>
                <w:tab w:val="clear" w:pos="1021"/>
              </w:tabs>
              <w:ind w:right="370"/>
              <w:jc w:val="right"/>
            </w:pPr>
            <w:r>
              <w:t>1 168</w:t>
            </w:r>
          </w:p>
        </w:tc>
      </w:tr>
      <w:tr w:rsidR="00000000">
        <w:tblPrEx>
          <w:tblCellMar>
            <w:top w:w="0" w:type="dxa"/>
            <w:bottom w:w="0" w:type="dxa"/>
          </w:tblCellMar>
        </w:tblPrEx>
        <w:tc>
          <w:tcPr>
            <w:tcW w:w="2409" w:type="dxa"/>
          </w:tcPr>
          <w:p w:rsidR="00000000" w:rsidRDefault="00000000">
            <w:pPr>
              <w:pStyle w:val="a7"/>
            </w:pPr>
            <w:r>
              <w:t>Военно-морские силы</w:t>
            </w:r>
          </w:p>
        </w:tc>
        <w:tc>
          <w:tcPr>
            <w:tcW w:w="1276" w:type="dxa"/>
          </w:tcPr>
          <w:p w:rsidR="00000000" w:rsidRDefault="00000000">
            <w:pPr>
              <w:pStyle w:val="a6"/>
              <w:tabs>
                <w:tab w:val="clear" w:pos="567"/>
                <w:tab w:val="clear" w:pos="1021"/>
              </w:tabs>
              <w:ind w:right="344"/>
              <w:jc w:val="right"/>
            </w:pPr>
            <w:r>
              <w:t>238</w:t>
            </w:r>
          </w:p>
        </w:tc>
        <w:tc>
          <w:tcPr>
            <w:tcW w:w="1985" w:type="dxa"/>
          </w:tcPr>
          <w:p w:rsidR="00000000" w:rsidRDefault="00000000">
            <w:pPr>
              <w:pStyle w:val="a6"/>
              <w:tabs>
                <w:tab w:val="clear" w:pos="567"/>
                <w:tab w:val="clear" w:pos="1021"/>
              </w:tabs>
              <w:ind w:right="653"/>
              <w:jc w:val="right"/>
            </w:pPr>
            <w:r>
              <w:t>1 850</w:t>
            </w:r>
          </w:p>
        </w:tc>
        <w:tc>
          <w:tcPr>
            <w:tcW w:w="1247" w:type="dxa"/>
          </w:tcPr>
          <w:p w:rsidR="00000000" w:rsidRDefault="00000000">
            <w:pPr>
              <w:pStyle w:val="a6"/>
              <w:tabs>
                <w:tab w:val="clear" w:pos="567"/>
                <w:tab w:val="clear" w:pos="1021"/>
              </w:tabs>
              <w:ind w:right="370"/>
              <w:jc w:val="right"/>
            </w:pPr>
            <w:r>
              <w:t>2 088</w:t>
            </w:r>
          </w:p>
        </w:tc>
        <w:tc>
          <w:tcPr>
            <w:tcW w:w="1247" w:type="dxa"/>
          </w:tcPr>
          <w:p w:rsidR="00000000" w:rsidRDefault="00000000">
            <w:pPr>
              <w:pStyle w:val="a6"/>
              <w:tabs>
                <w:tab w:val="clear" w:pos="567"/>
                <w:tab w:val="clear" w:pos="1021"/>
              </w:tabs>
              <w:ind w:right="370"/>
              <w:jc w:val="right"/>
            </w:pPr>
            <w:r>
              <w:t>1 756</w:t>
            </w:r>
          </w:p>
        </w:tc>
        <w:tc>
          <w:tcPr>
            <w:tcW w:w="1247" w:type="dxa"/>
          </w:tcPr>
          <w:p w:rsidR="00000000" w:rsidRDefault="00000000">
            <w:pPr>
              <w:pStyle w:val="a6"/>
              <w:tabs>
                <w:tab w:val="clear" w:pos="567"/>
                <w:tab w:val="clear" w:pos="1021"/>
              </w:tabs>
              <w:ind w:right="370"/>
              <w:jc w:val="right"/>
            </w:pPr>
            <w:r>
              <w:t>492</w:t>
            </w:r>
          </w:p>
        </w:tc>
      </w:tr>
      <w:tr w:rsidR="00000000">
        <w:tblPrEx>
          <w:tblCellMar>
            <w:top w:w="0" w:type="dxa"/>
            <w:bottom w:w="0" w:type="dxa"/>
          </w:tblCellMar>
        </w:tblPrEx>
        <w:tc>
          <w:tcPr>
            <w:tcW w:w="2409" w:type="dxa"/>
          </w:tcPr>
          <w:p w:rsidR="00000000" w:rsidRDefault="00000000">
            <w:pPr>
              <w:pStyle w:val="a7"/>
            </w:pPr>
            <w:r>
              <w:t>Военно-воздушные силы</w:t>
            </w:r>
          </w:p>
        </w:tc>
        <w:tc>
          <w:tcPr>
            <w:tcW w:w="1276" w:type="dxa"/>
          </w:tcPr>
          <w:p w:rsidR="00000000" w:rsidRDefault="00000000">
            <w:pPr>
              <w:pStyle w:val="a6"/>
              <w:tabs>
                <w:tab w:val="clear" w:pos="567"/>
                <w:tab w:val="clear" w:pos="1021"/>
              </w:tabs>
              <w:ind w:right="344"/>
              <w:jc w:val="right"/>
            </w:pPr>
            <w:r>
              <w:t>664</w:t>
            </w:r>
          </w:p>
        </w:tc>
        <w:tc>
          <w:tcPr>
            <w:tcW w:w="1985" w:type="dxa"/>
          </w:tcPr>
          <w:p w:rsidR="00000000" w:rsidRDefault="00000000">
            <w:pPr>
              <w:pStyle w:val="a6"/>
              <w:tabs>
                <w:tab w:val="clear" w:pos="567"/>
                <w:tab w:val="clear" w:pos="1021"/>
              </w:tabs>
              <w:ind w:right="653"/>
              <w:jc w:val="right"/>
            </w:pPr>
            <w:r>
              <w:t>1 427</w:t>
            </w:r>
          </w:p>
        </w:tc>
        <w:tc>
          <w:tcPr>
            <w:tcW w:w="1247" w:type="dxa"/>
          </w:tcPr>
          <w:p w:rsidR="00000000" w:rsidRDefault="00000000">
            <w:pPr>
              <w:pStyle w:val="a6"/>
              <w:tabs>
                <w:tab w:val="clear" w:pos="567"/>
                <w:tab w:val="clear" w:pos="1021"/>
              </w:tabs>
              <w:ind w:right="370"/>
              <w:jc w:val="right"/>
            </w:pPr>
            <w:r>
              <w:t>2 091</w:t>
            </w:r>
          </w:p>
        </w:tc>
        <w:tc>
          <w:tcPr>
            <w:tcW w:w="1247" w:type="dxa"/>
          </w:tcPr>
          <w:p w:rsidR="00000000" w:rsidRDefault="00000000">
            <w:pPr>
              <w:pStyle w:val="a6"/>
              <w:tabs>
                <w:tab w:val="clear" w:pos="567"/>
                <w:tab w:val="clear" w:pos="1021"/>
              </w:tabs>
              <w:ind w:right="370"/>
              <w:jc w:val="right"/>
            </w:pPr>
            <w:r>
              <w:t>1 525</w:t>
            </w:r>
          </w:p>
        </w:tc>
        <w:tc>
          <w:tcPr>
            <w:tcW w:w="1247" w:type="dxa"/>
          </w:tcPr>
          <w:p w:rsidR="00000000" w:rsidRDefault="00000000">
            <w:pPr>
              <w:pStyle w:val="a6"/>
              <w:tabs>
                <w:tab w:val="clear" w:pos="567"/>
                <w:tab w:val="clear" w:pos="1021"/>
              </w:tabs>
              <w:ind w:right="370"/>
              <w:jc w:val="right"/>
            </w:pPr>
            <w:r>
              <w:t>1 136</w:t>
            </w:r>
          </w:p>
        </w:tc>
      </w:tr>
      <w:tr w:rsidR="00000000">
        <w:tblPrEx>
          <w:tblCellMar>
            <w:top w:w="0" w:type="dxa"/>
            <w:bottom w:w="0" w:type="dxa"/>
          </w:tblCellMar>
        </w:tblPrEx>
        <w:tc>
          <w:tcPr>
            <w:tcW w:w="2409" w:type="dxa"/>
          </w:tcPr>
          <w:p w:rsidR="00000000" w:rsidRDefault="00000000">
            <w:pPr>
              <w:pStyle w:val="a7"/>
            </w:pPr>
            <w:r>
              <w:t>Объединенные войска</w:t>
            </w:r>
          </w:p>
        </w:tc>
        <w:tc>
          <w:tcPr>
            <w:tcW w:w="1276" w:type="dxa"/>
          </w:tcPr>
          <w:p w:rsidR="00000000" w:rsidRDefault="00000000">
            <w:pPr>
              <w:pStyle w:val="a6"/>
              <w:tabs>
                <w:tab w:val="clear" w:pos="567"/>
                <w:tab w:val="clear" w:pos="1021"/>
              </w:tabs>
              <w:ind w:right="344"/>
              <w:jc w:val="right"/>
            </w:pPr>
            <w:r>
              <w:t>279</w:t>
            </w:r>
          </w:p>
        </w:tc>
        <w:tc>
          <w:tcPr>
            <w:tcW w:w="1985" w:type="dxa"/>
          </w:tcPr>
          <w:p w:rsidR="00000000" w:rsidRDefault="00000000">
            <w:pPr>
              <w:pStyle w:val="a6"/>
              <w:tabs>
                <w:tab w:val="clear" w:pos="567"/>
                <w:tab w:val="clear" w:pos="1021"/>
              </w:tabs>
              <w:ind w:right="653"/>
              <w:jc w:val="right"/>
            </w:pPr>
          </w:p>
        </w:tc>
        <w:tc>
          <w:tcPr>
            <w:tcW w:w="1247" w:type="dxa"/>
          </w:tcPr>
          <w:p w:rsidR="00000000" w:rsidRDefault="00000000">
            <w:pPr>
              <w:pStyle w:val="a6"/>
              <w:tabs>
                <w:tab w:val="clear" w:pos="567"/>
                <w:tab w:val="clear" w:pos="1021"/>
              </w:tabs>
              <w:ind w:right="370"/>
              <w:jc w:val="right"/>
            </w:pPr>
            <w:r>
              <w:t>279</w:t>
            </w:r>
          </w:p>
        </w:tc>
        <w:tc>
          <w:tcPr>
            <w:tcW w:w="1247" w:type="dxa"/>
          </w:tcPr>
          <w:p w:rsidR="00000000" w:rsidRDefault="00000000">
            <w:pPr>
              <w:pStyle w:val="a6"/>
              <w:tabs>
                <w:tab w:val="clear" w:pos="567"/>
                <w:tab w:val="clear" w:pos="1021"/>
              </w:tabs>
              <w:ind w:right="370"/>
              <w:jc w:val="right"/>
            </w:pPr>
            <w:r>
              <w:t>76</w:t>
            </w:r>
          </w:p>
        </w:tc>
        <w:tc>
          <w:tcPr>
            <w:tcW w:w="1247" w:type="dxa"/>
          </w:tcPr>
          <w:p w:rsidR="00000000" w:rsidRDefault="00000000">
            <w:pPr>
              <w:pStyle w:val="a6"/>
              <w:tabs>
                <w:tab w:val="clear" w:pos="567"/>
                <w:tab w:val="clear" w:pos="1021"/>
              </w:tabs>
              <w:ind w:right="370"/>
              <w:jc w:val="right"/>
            </w:pPr>
          </w:p>
        </w:tc>
      </w:tr>
      <w:tr w:rsidR="00000000">
        <w:tblPrEx>
          <w:tblCellMar>
            <w:top w:w="0" w:type="dxa"/>
            <w:bottom w:w="0" w:type="dxa"/>
          </w:tblCellMar>
        </w:tblPrEx>
        <w:tc>
          <w:tcPr>
            <w:tcW w:w="2409" w:type="dxa"/>
            <w:tcBorders>
              <w:bottom w:val="single" w:sz="4" w:space="0" w:color="auto"/>
            </w:tcBorders>
          </w:tcPr>
          <w:p w:rsidR="00000000" w:rsidRDefault="00000000">
            <w:pPr>
              <w:pStyle w:val="a7"/>
            </w:pPr>
            <w:r>
              <w:t>Итого</w:t>
            </w:r>
          </w:p>
        </w:tc>
        <w:tc>
          <w:tcPr>
            <w:tcW w:w="1276" w:type="dxa"/>
            <w:tcBorders>
              <w:bottom w:val="single" w:sz="4" w:space="0" w:color="auto"/>
            </w:tcBorders>
          </w:tcPr>
          <w:p w:rsidR="00000000" w:rsidRDefault="00000000">
            <w:pPr>
              <w:pStyle w:val="a6"/>
              <w:tabs>
                <w:tab w:val="clear" w:pos="567"/>
                <w:tab w:val="clear" w:pos="1021"/>
              </w:tabs>
              <w:ind w:right="344"/>
              <w:jc w:val="right"/>
            </w:pPr>
            <w:r>
              <w:t>2 258</w:t>
            </w:r>
          </w:p>
        </w:tc>
        <w:tc>
          <w:tcPr>
            <w:tcW w:w="1985" w:type="dxa"/>
            <w:tcBorders>
              <w:bottom w:val="single" w:sz="4" w:space="0" w:color="auto"/>
            </w:tcBorders>
          </w:tcPr>
          <w:p w:rsidR="00000000" w:rsidRDefault="00000000">
            <w:pPr>
              <w:pStyle w:val="a6"/>
              <w:tabs>
                <w:tab w:val="clear" w:pos="567"/>
                <w:tab w:val="clear" w:pos="1021"/>
              </w:tabs>
              <w:ind w:right="653"/>
              <w:jc w:val="right"/>
            </w:pPr>
            <w:r>
              <w:t>6 022</w:t>
            </w:r>
          </w:p>
        </w:tc>
        <w:tc>
          <w:tcPr>
            <w:tcW w:w="1247" w:type="dxa"/>
            <w:tcBorders>
              <w:bottom w:val="single" w:sz="4" w:space="0" w:color="auto"/>
            </w:tcBorders>
          </w:tcPr>
          <w:p w:rsidR="00000000" w:rsidRDefault="00000000">
            <w:pPr>
              <w:pStyle w:val="a6"/>
              <w:tabs>
                <w:tab w:val="clear" w:pos="567"/>
                <w:tab w:val="clear" w:pos="1021"/>
              </w:tabs>
              <w:ind w:right="370"/>
              <w:jc w:val="right"/>
            </w:pPr>
            <w:r>
              <w:t>8 280</w:t>
            </w:r>
          </w:p>
        </w:tc>
        <w:tc>
          <w:tcPr>
            <w:tcW w:w="1247" w:type="dxa"/>
            <w:tcBorders>
              <w:bottom w:val="single" w:sz="4" w:space="0" w:color="auto"/>
            </w:tcBorders>
          </w:tcPr>
          <w:p w:rsidR="00000000" w:rsidRDefault="00000000">
            <w:pPr>
              <w:pStyle w:val="a6"/>
              <w:tabs>
                <w:tab w:val="clear" w:pos="567"/>
                <w:tab w:val="clear" w:pos="1021"/>
              </w:tabs>
              <w:ind w:right="370"/>
              <w:jc w:val="right"/>
            </w:pPr>
            <w:r>
              <w:t>6 472</w:t>
            </w:r>
          </w:p>
        </w:tc>
        <w:tc>
          <w:tcPr>
            <w:tcW w:w="1247" w:type="dxa"/>
            <w:tcBorders>
              <w:bottom w:val="single" w:sz="4" w:space="0" w:color="auto"/>
            </w:tcBorders>
          </w:tcPr>
          <w:p w:rsidR="00000000" w:rsidRDefault="00000000">
            <w:pPr>
              <w:pStyle w:val="a6"/>
              <w:tabs>
                <w:tab w:val="clear" w:pos="567"/>
                <w:tab w:val="clear" w:pos="1021"/>
              </w:tabs>
              <w:ind w:right="370"/>
              <w:jc w:val="right"/>
            </w:pPr>
            <w:r>
              <w:rPr>
                <w:lang w:val="en-US"/>
              </w:rPr>
              <w:t>2</w:t>
            </w:r>
            <w:r>
              <w:t xml:space="preserve"> 796</w:t>
            </w:r>
          </w:p>
        </w:tc>
      </w:tr>
    </w:tbl>
    <w:p w:rsidR="00000000" w:rsidRDefault="00000000">
      <w:pPr>
        <w:pStyle w:val="BodyText"/>
        <w:spacing w:before="120"/>
        <w:ind w:left="0" w:firstLine="0"/>
        <w:rPr>
          <w:sz w:val="20"/>
        </w:rPr>
      </w:pPr>
      <w:r>
        <w:rPr>
          <w:i/>
          <w:sz w:val="20"/>
        </w:rPr>
        <w:t>Источники:</w:t>
      </w:r>
      <w:r>
        <w:rPr>
          <w:sz w:val="20"/>
        </w:rPr>
        <w:t xml:space="preserve"> Министерство национальной обороны, Управление людских ресурсов, Отдел по вопросам равноправия.</w:t>
      </w:r>
    </w:p>
    <w:p w:rsidR="00000000" w:rsidRDefault="00000000">
      <w:pPr>
        <w:pStyle w:val="BodyText"/>
        <w:spacing w:before="120"/>
        <w:jc w:val="center"/>
        <w:rPr>
          <w:b/>
        </w:rPr>
      </w:pPr>
    </w:p>
    <w:p w:rsidR="00000000" w:rsidRDefault="00000000">
      <w:pPr>
        <w:pStyle w:val="BodyText"/>
        <w:spacing w:before="120"/>
        <w:jc w:val="center"/>
        <w:rPr>
          <w:b/>
        </w:rPr>
      </w:pPr>
      <w:r>
        <w:rPr>
          <w:b/>
          <w:lang w:val="en-US"/>
        </w:rPr>
        <w:t>VI</w:t>
      </w:r>
      <w:r>
        <w:rPr>
          <w:b/>
        </w:rPr>
        <w:t>.  Участие женщин в журналистике</w:t>
      </w:r>
    </w:p>
    <w:p w:rsidR="00000000" w:rsidRDefault="00000000">
      <w:pPr>
        <w:pStyle w:val="BodyText"/>
        <w:rPr>
          <w:b/>
        </w:rPr>
      </w:pPr>
    </w:p>
    <w:p w:rsidR="00000000" w:rsidRDefault="00000000">
      <w:pPr>
        <w:pStyle w:val="BodyText"/>
        <w:rPr>
          <w:i/>
        </w:rPr>
      </w:pPr>
      <w:r>
        <w:t>20</w:t>
      </w:r>
      <w:r>
        <w:rPr>
          <w:i/>
        </w:rPr>
        <w:t>.</w:t>
      </w:r>
      <w:r>
        <w:rPr>
          <w:i/>
        </w:rPr>
        <w:tab/>
      </w:r>
      <w:r>
        <w:rPr>
          <w:b/>
          <w:i/>
        </w:rPr>
        <w:t>Журналистика и сходные области</w:t>
      </w:r>
    </w:p>
    <w:tbl>
      <w:tblPr>
        <w:tblW w:w="0" w:type="auto"/>
        <w:tblInd w:w="3" w:type="dxa"/>
        <w:tblLayout w:type="fixed"/>
        <w:tblCellMar>
          <w:left w:w="56" w:type="dxa"/>
          <w:right w:w="56" w:type="dxa"/>
        </w:tblCellMar>
        <w:tblLook w:val="0000" w:firstRow="0" w:lastRow="0" w:firstColumn="0" w:lastColumn="0" w:noHBand="0" w:noVBand="0"/>
      </w:tblPr>
      <w:tblGrid>
        <w:gridCol w:w="1315"/>
        <w:gridCol w:w="1247"/>
        <w:gridCol w:w="1247"/>
        <w:gridCol w:w="1247"/>
        <w:gridCol w:w="1247"/>
        <w:gridCol w:w="1247"/>
        <w:gridCol w:w="1871"/>
      </w:tblGrid>
      <w:tr w:rsidR="00000000">
        <w:tblPrEx>
          <w:tblCellMar>
            <w:top w:w="0" w:type="dxa"/>
            <w:bottom w:w="0" w:type="dxa"/>
          </w:tblCellMar>
        </w:tblPrEx>
        <w:tc>
          <w:tcPr>
            <w:tcW w:w="1315" w:type="dxa"/>
            <w:tcBorders>
              <w:top w:val="single" w:sz="4" w:space="0" w:color="auto"/>
              <w:bottom w:val="single" w:sz="4" w:space="0" w:color="auto"/>
            </w:tcBorders>
          </w:tcPr>
          <w:p w:rsidR="00000000" w:rsidRDefault="00000000">
            <w:pPr>
              <w:pStyle w:val="a7"/>
              <w:rPr>
                <w:b/>
              </w:rPr>
            </w:pPr>
          </w:p>
        </w:tc>
        <w:tc>
          <w:tcPr>
            <w:tcW w:w="1247" w:type="dxa"/>
            <w:tcBorders>
              <w:top w:val="single" w:sz="4" w:space="0" w:color="auto"/>
              <w:bottom w:val="single" w:sz="4" w:space="0" w:color="auto"/>
            </w:tcBorders>
          </w:tcPr>
          <w:p w:rsidR="00000000" w:rsidRDefault="00000000">
            <w:pPr>
              <w:pStyle w:val="a6"/>
              <w:rPr>
                <w:b/>
              </w:rPr>
            </w:pPr>
            <w:r>
              <w:rPr>
                <w:b/>
              </w:rPr>
              <w:t>Всего</w:t>
            </w:r>
          </w:p>
        </w:tc>
        <w:tc>
          <w:tcPr>
            <w:tcW w:w="1247" w:type="dxa"/>
            <w:tcBorders>
              <w:top w:val="single" w:sz="4" w:space="0" w:color="auto"/>
              <w:bottom w:val="single" w:sz="4" w:space="0" w:color="auto"/>
            </w:tcBorders>
          </w:tcPr>
          <w:p w:rsidR="00000000" w:rsidRDefault="00000000">
            <w:pPr>
              <w:pStyle w:val="a6"/>
              <w:rPr>
                <w:b/>
              </w:rPr>
            </w:pPr>
            <w:r>
              <w:rPr>
                <w:b/>
              </w:rPr>
              <w:t>15–24 лет</w:t>
            </w:r>
          </w:p>
        </w:tc>
        <w:tc>
          <w:tcPr>
            <w:tcW w:w="1247" w:type="dxa"/>
            <w:tcBorders>
              <w:top w:val="single" w:sz="4" w:space="0" w:color="auto"/>
              <w:bottom w:val="single" w:sz="4" w:space="0" w:color="auto"/>
            </w:tcBorders>
          </w:tcPr>
          <w:p w:rsidR="00000000" w:rsidRDefault="00000000">
            <w:pPr>
              <w:pStyle w:val="a6"/>
              <w:rPr>
                <w:b/>
              </w:rPr>
            </w:pPr>
            <w:r>
              <w:rPr>
                <w:b/>
              </w:rPr>
              <w:t>25–34 лет</w:t>
            </w:r>
          </w:p>
        </w:tc>
        <w:tc>
          <w:tcPr>
            <w:tcW w:w="1247" w:type="dxa"/>
            <w:tcBorders>
              <w:top w:val="single" w:sz="4" w:space="0" w:color="auto"/>
              <w:bottom w:val="single" w:sz="4" w:space="0" w:color="auto"/>
            </w:tcBorders>
          </w:tcPr>
          <w:p w:rsidR="00000000" w:rsidRDefault="00000000">
            <w:pPr>
              <w:pStyle w:val="a6"/>
              <w:rPr>
                <w:b/>
              </w:rPr>
            </w:pPr>
            <w:r>
              <w:rPr>
                <w:b/>
              </w:rPr>
              <w:t>35–54 лет</w:t>
            </w:r>
          </w:p>
        </w:tc>
        <w:tc>
          <w:tcPr>
            <w:tcW w:w="1247" w:type="dxa"/>
            <w:tcBorders>
              <w:top w:val="single" w:sz="4" w:space="0" w:color="auto"/>
              <w:bottom w:val="single" w:sz="4" w:space="0" w:color="auto"/>
            </w:tcBorders>
          </w:tcPr>
          <w:p w:rsidR="00000000" w:rsidRDefault="00000000">
            <w:pPr>
              <w:pStyle w:val="a6"/>
              <w:rPr>
                <w:b/>
              </w:rPr>
            </w:pPr>
            <w:r>
              <w:rPr>
                <w:b/>
              </w:rPr>
              <w:t>55–74 лет</w:t>
            </w:r>
          </w:p>
        </w:tc>
        <w:tc>
          <w:tcPr>
            <w:tcW w:w="1871" w:type="dxa"/>
            <w:tcBorders>
              <w:top w:val="single" w:sz="4" w:space="0" w:color="auto"/>
              <w:bottom w:val="single" w:sz="4" w:space="0" w:color="auto"/>
            </w:tcBorders>
          </w:tcPr>
          <w:p w:rsidR="00000000" w:rsidRDefault="00000000">
            <w:pPr>
              <w:pStyle w:val="a6"/>
              <w:rPr>
                <w:b/>
              </w:rPr>
            </w:pPr>
            <w:r>
              <w:rPr>
                <w:b/>
              </w:rPr>
              <w:t>75 лет и старше</w:t>
            </w:r>
          </w:p>
        </w:tc>
      </w:tr>
      <w:tr w:rsidR="00000000">
        <w:tblPrEx>
          <w:tblCellMar>
            <w:top w:w="0" w:type="dxa"/>
            <w:bottom w:w="0" w:type="dxa"/>
          </w:tblCellMar>
        </w:tblPrEx>
        <w:tc>
          <w:tcPr>
            <w:tcW w:w="1315" w:type="dxa"/>
            <w:tcBorders>
              <w:top w:val="single" w:sz="4" w:space="0" w:color="auto"/>
            </w:tcBorders>
          </w:tcPr>
          <w:p w:rsidR="00000000" w:rsidRDefault="00000000">
            <w:pPr>
              <w:pStyle w:val="a7"/>
            </w:pPr>
            <w:r>
              <w:t>Оба пола</w:t>
            </w:r>
          </w:p>
        </w:tc>
        <w:tc>
          <w:tcPr>
            <w:tcW w:w="1247" w:type="dxa"/>
            <w:tcBorders>
              <w:top w:val="single" w:sz="4" w:space="0" w:color="auto"/>
            </w:tcBorders>
          </w:tcPr>
          <w:p w:rsidR="00000000" w:rsidRDefault="00000000">
            <w:pPr>
              <w:pStyle w:val="a6"/>
              <w:tabs>
                <w:tab w:val="clear" w:pos="567"/>
                <w:tab w:val="clear" w:pos="1021"/>
              </w:tabs>
              <w:ind w:right="340"/>
              <w:jc w:val="right"/>
            </w:pPr>
            <w:r>
              <w:t>12 421</w:t>
            </w:r>
          </w:p>
        </w:tc>
        <w:tc>
          <w:tcPr>
            <w:tcW w:w="1247" w:type="dxa"/>
            <w:tcBorders>
              <w:top w:val="single" w:sz="4" w:space="0" w:color="auto"/>
            </w:tcBorders>
          </w:tcPr>
          <w:p w:rsidR="00000000" w:rsidRDefault="00000000">
            <w:pPr>
              <w:pStyle w:val="a6"/>
              <w:tabs>
                <w:tab w:val="clear" w:pos="567"/>
                <w:tab w:val="clear" w:pos="1021"/>
              </w:tabs>
              <w:ind w:right="340"/>
              <w:jc w:val="right"/>
            </w:pPr>
            <w:r>
              <w:t>1 399</w:t>
            </w:r>
          </w:p>
        </w:tc>
        <w:tc>
          <w:tcPr>
            <w:tcW w:w="1247" w:type="dxa"/>
            <w:tcBorders>
              <w:top w:val="single" w:sz="4" w:space="0" w:color="auto"/>
            </w:tcBorders>
          </w:tcPr>
          <w:p w:rsidR="00000000" w:rsidRDefault="00000000">
            <w:pPr>
              <w:pStyle w:val="a6"/>
            </w:pPr>
            <w:r>
              <w:t>4 812</w:t>
            </w:r>
          </w:p>
        </w:tc>
        <w:tc>
          <w:tcPr>
            <w:tcW w:w="1247" w:type="dxa"/>
            <w:tcBorders>
              <w:top w:val="single" w:sz="4" w:space="0" w:color="auto"/>
            </w:tcBorders>
          </w:tcPr>
          <w:p w:rsidR="00000000" w:rsidRDefault="00000000">
            <w:pPr>
              <w:pStyle w:val="a6"/>
            </w:pPr>
            <w:r>
              <w:t>5 216</w:t>
            </w:r>
          </w:p>
        </w:tc>
        <w:tc>
          <w:tcPr>
            <w:tcW w:w="1247" w:type="dxa"/>
            <w:tcBorders>
              <w:top w:val="single" w:sz="4" w:space="0" w:color="auto"/>
            </w:tcBorders>
          </w:tcPr>
          <w:p w:rsidR="00000000" w:rsidRDefault="00000000">
            <w:pPr>
              <w:pStyle w:val="a6"/>
            </w:pPr>
            <w:r>
              <w:t>967</w:t>
            </w:r>
          </w:p>
        </w:tc>
        <w:tc>
          <w:tcPr>
            <w:tcW w:w="1871" w:type="dxa"/>
            <w:tcBorders>
              <w:top w:val="single" w:sz="4" w:space="0" w:color="auto"/>
            </w:tcBorders>
          </w:tcPr>
          <w:p w:rsidR="00000000" w:rsidRDefault="00000000">
            <w:pPr>
              <w:pStyle w:val="a6"/>
            </w:pPr>
            <w:r>
              <w:t>27</w:t>
            </w:r>
          </w:p>
        </w:tc>
      </w:tr>
      <w:tr w:rsidR="00000000">
        <w:tblPrEx>
          <w:tblCellMar>
            <w:top w:w="0" w:type="dxa"/>
            <w:bottom w:w="0" w:type="dxa"/>
          </w:tblCellMar>
        </w:tblPrEx>
        <w:tc>
          <w:tcPr>
            <w:tcW w:w="1315" w:type="dxa"/>
          </w:tcPr>
          <w:p w:rsidR="00000000" w:rsidRDefault="00000000">
            <w:pPr>
              <w:pStyle w:val="a7"/>
            </w:pPr>
            <w:r>
              <w:t>Мужчины</w:t>
            </w:r>
          </w:p>
        </w:tc>
        <w:tc>
          <w:tcPr>
            <w:tcW w:w="1247" w:type="dxa"/>
          </w:tcPr>
          <w:p w:rsidR="00000000" w:rsidRDefault="00000000">
            <w:pPr>
              <w:pStyle w:val="a6"/>
              <w:tabs>
                <w:tab w:val="clear" w:pos="567"/>
                <w:tab w:val="clear" w:pos="1021"/>
              </w:tabs>
              <w:ind w:right="340"/>
              <w:jc w:val="right"/>
            </w:pPr>
            <w:r>
              <w:t>6 745</w:t>
            </w:r>
          </w:p>
        </w:tc>
        <w:tc>
          <w:tcPr>
            <w:tcW w:w="1247" w:type="dxa"/>
          </w:tcPr>
          <w:p w:rsidR="00000000" w:rsidRDefault="00000000">
            <w:pPr>
              <w:pStyle w:val="a6"/>
              <w:tabs>
                <w:tab w:val="clear" w:pos="567"/>
                <w:tab w:val="clear" w:pos="1021"/>
              </w:tabs>
              <w:ind w:right="340"/>
              <w:jc w:val="right"/>
            </w:pPr>
            <w:r>
              <w:t>537</w:t>
            </w:r>
          </w:p>
        </w:tc>
        <w:tc>
          <w:tcPr>
            <w:tcW w:w="1247" w:type="dxa"/>
          </w:tcPr>
          <w:p w:rsidR="00000000" w:rsidRDefault="00000000">
            <w:pPr>
              <w:pStyle w:val="a6"/>
            </w:pPr>
            <w:r>
              <w:t>2 306</w:t>
            </w:r>
          </w:p>
        </w:tc>
        <w:tc>
          <w:tcPr>
            <w:tcW w:w="1247" w:type="dxa"/>
          </w:tcPr>
          <w:p w:rsidR="00000000" w:rsidRDefault="00000000">
            <w:pPr>
              <w:pStyle w:val="a6"/>
            </w:pPr>
            <w:r>
              <w:t>3 193</w:t>
            </w:r>
          </w:p>
        </w:tc>
        <w:tc>
          <w:tcPr>
            <w:tcW w:w="1247" w:type="dxa"/>
          </w:tcPr>
          <w:p w:rsidR="00000000" w:rsidRDefault="00000000">
            <w:pPr>
              <w:pStyle w:val="a6"/>
            </w:pPr>
            <w:r>
              <w:t>689</w:t>
            </w:r>
          </w:p>
        </w:tc>
        <w:tc>
          <w:tcPr>
            <w:tcW w:w="1871" w:type="dxa"/>
          </w:tcPr>
          <w:p w:rsidR="00000000" w:rsidRDefault="00000000">
            <w:pPr>
              <w:pStyle w:val="a6"/>
            </w:pPr>
            <w:r>
              <w:t>20</w:t>
            </w:r>
          </w:p>
        </w:tc>
      </w:tr>
      <w:tr w:rsidR="00000000">
        <w:tblPrEx>
          <w:tblCellMar>
            <w:top w:w="0" w:type="dxa"/>
            <w:bottom w:w="0" w:type="dxa"/>
          </w:tblCellMar>
        </w:tblPrEx>
        <w:tc>
          <w:tcPr>
            <w:tcW w:w="1315" w:type="dxa"/>
            <w:tcBorders>
              <w:bottom w:val="single" w:sz="4" w:space="0" w:color="auto"/>
            </w:tcBorders>
          </w:tcPr>
          <w:p w:rsidR="00000000" w:rsidRDefault="00000000">
            <w:pPr>
              <w:pStyle w:val="a7"/>
            </w:pPr>
            <w:r>
              <w:t>Женщины</w:t>
            </w:r>
          </w:p>
        </w:tc>
        <w:tc>
          <w:tcPr>
            <w:tcW w:w="1247" w:type="dxa"/>
            <w:tcBorders>
              <w:bottom w:val="single" w:sz="4" w:space="0" w:color="auto"/>
            </w:tcBorders>
          </w:tcPr>
          <w:p w:rsidR="00000000" w:rsidRDefault="00000000">
            <w:pPr>
              <w:pStyle w:val="a6"/>
              <w:tabs>
                <w:tab w:val="clear" w:pos="567"/>
                <w:tab w:val="clear" w:pos="1021"/>
              </w:tabs>
              <w:ind w:right="340"/>
              <w:jc w:val="right"/>
            </w:pPr>
            <w:r>
              <w:t>5 676</w:t>
            </w:r>
          </w:p>
        </w:tc>
        <w:tc>
          <w:tcPr>
            <w:tcW w:w="1247" w:type="dxa"/>
            <w:tcBorders>
              <w:bottom w:val="single" w:sz="4" w:space="0" w:color="auto"/>
            </w:tcBorders>
          </w:tcPr>
          <w:p w:rsidR="00000000" w:rsidRDefault="00000000">
            <w:pPr>
              <w:pStyle w:val="a6"/>
              <w:tabs>
                <w:tab w:val="clear" w:pos="567"/>
                <w:tab w:val="clear" w:pos="1021"/>
              </w:tabs>
              <w:ind w:right="340"/>
              <w:jc w:val="right"/>
            </w:pPr>
            <w:r>
              <w:t>862</w:t>
            </w:r>
          </w:p>
        </w:tc>
        <w:tc>
          <w:tcPr>
            <w:tcW w:w="1247" w:type="dxa"/>
            <w:tcBorders>
              <w:bottom w:val="single" w:sz="4" w:space="0" w:color="auto"/>
            </w:tcBorders>
          </w:tcPr>
          <w:p w:rsidR="00000000" w:rsidRDefault="00000000">
            <w:pPr>
              <w:pStyle w:val="a6"/>
            </w:pPr>
            <w:r>
              <w:t>2 506</w:t>
            </w:r>
          </w:p>
        </w:tc>
        <w:tc>
          <w:tcPr>
            <w:tcW w:w="1247" w:type="dxa"/>
            <w:tcBorders>
              <w:bottom w:val="single" w:sz="4" w:space="0" w:color="auto"/>
            </w:tcBorders>
          </w:tcPr>
          <w:p w:rsidR="00000000" w:rsidRDefault="00000000">
            <w:pPr>
              <w:pStyle w:val="a6"/>
            </w:pPr>
            <w:r>
              <w:t>2 023</w:t>
            </w:r>
          </w:p>
        </w:tc>
        <w:tc>
          <w:tcPr>
            <w:tcW w:w="1247" w:type="dxa"/>
            <w:tcBorders>
              <w:bottom w:val="single" w:sz="4" w:space="0" w:color="auto"/>
            </w:tcBorders>
          </w:tcPr>
          <w:p w:rsidR="00000000" w:rsidRDefault="00000000">
            <w:pPr>
              <w:pStyle w:val="a6"/>
            </w:pPr>
            <w:r>
              <w:t>278</w:t>
            </w:r>
          </w:p>
        </w:tc>
        <w:tc>
          <w:tcPr>
            <w:tcW w:w="1871" w:type="dxa"/>
            <w:tcBorders>
              <w:bottom w:val="single" w:sz="4" w:space="0" w:color="auto"/>
            </w:tcBorders>
          </w:tcPr>
          <w:p w:rsidR="00000000" w:rsidRDefault="00000000">
            <w:pPr>
              <w:pStyle w:val="a6"/>
            </w:pPr>
            <w:r>
              <w:t> 7</w:t>
            </w:r>
          </w:p>
        </w:tc>
      </w:tr>
      <w:tr w:rsidR="00000000">
        <w:tblPrEx>
          <w:tblCellMar>
            <w:top w:w="0" w:type="dxa"/>
            <w:bottom w:w="0" w:type="dxa"/>
          </w:tblCellMar>
        </w:tblPrEx>
        <w:trPr>
          <w:cantSplit/>
        </w:trPr>
        <w:tc>
          <w:tcPr>
            <w:tcW w:w="9421" w:type="dxa"/>
            <w:gridSpan w:val="7"/>
            <w:tcBorders>
              <w:top w:val="single" w:sz="4" w:space="0" w:color="auto"/>
              <w:bottom w:val="single" w:sz="4" w:space="0" w:color="auto"/>
            </w:tcBorders>
          </w:tcPr>
          <w:p w:rsidR="00000000" w:rsidRDefault="00000000">
            <w:pPr>
              <w:pStyle w:val="a6"/>
              <w:jc w:val="left"/>
            </w:pPr>
            <w:r>
              <w:t>Включая писателей, журналистов и специалистов в сходных областях</w:t>
            </w:r>
          </w:p>
        </w:tc>
      </w:tr>
    </w:tbl>
    <w:p w:rsidR="00000000" w:rsidRDefault="00000000">
      <w:pPr>
        <w:pStyle w:val="-0"/>
      </w:pPr>
      <w:r>
        <w:rPr>
          <w:i/>
        </w:rPr>
        <w:t>Источник:</w:t>
      </w:r>
      <w:r>
        <w:t xml:space="preserve"> Национальная статистическая служба Греции (2001 год)</w:t>
      </w:r>
    </w:p>
    <w:p w:rsidR="00000000" w:rsidRDefault="00000000">
      <w:pPr>
        <w:pStyle w:val="Heading2"/>
      </w:pPr>
      <w:r>
        <w:br w:type="page"/>
      </w:r>
      <w:bookmarkStart w:id="10" w:name="_Toc116466874"/>
      <w:r>
        <w:t>Статья 8</w:t>
      </w:r>
      <w:bookmarkEnd w:id="10"/>
    </w:p>
    <w:p w:rsidR="00000000" w:rsidRDefault="00000000">
      <w:pPr>
        <w:pStyle w:val="a4"/>
      </w:pPr>
      <w:r>
        <w:t>Государства-участники принимают все соответствующие меры, чтобы обеспечить женщинам возможность на равных условиях с мужчинами и без какой-либо дискриминации представлять свои правительства на международном уровне и участвовать в работе международных организаций.</w:t>
      </w:r>
    </w:p>
    <w:p w:rsidR="00000000" w:rsidRDefault="00000000">
      <w:pPr>
        <w:pStyle w:val="BodyText"/>
      </w:pPr>
      <w:r>
        <w:t>1.</w:t>
      </w:r>
      <w:r>
        <w:tab/>
        <w:t>Согласно представленным ниже данным, доля женщин в составе дипломатического корпуса постоянно растет. Однако доля женщин на должностях высшего звена невелика. Следует отметить, что в рангах полномочного посланника А и В работают всего несколько женщин, и ни одна женщина не имеет ранга посла. Общее число женщин в дипломатическом корпусе – 130 против 411 мужчин.</w:t>
      </w:r>
    </w:p>
    <w:p w:rsidR="00000000" w:rsidRDefault="00000000">
      <w:pPr>
        <w:pStyle w:val="BodyText"/>
        <w:spacing w:after="0"/>
      </w:pPr>
    </w:p>
    <w:tbl>
      <w:tblPr>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2976"/>
        <w:gridCol w:w="1559"/>
        <w:gridCol w:w="1701"/>
        <w:gridCol w:w="1560"/>
        <w:gridCol w:w="1559"/>
      </w:tblGrid>
      <w:tr w:rsidR="00000000">
        <w:tblPrEx>
          <w:tblCellMar>
            <w:top w:w="0" w:type="dxa"/>
            <w:bottom w:w="0" w:type="dxa"/>
          </w:tblCellMar>
        </w:tblPrEx>
        <w:trPr>
          <w:cantSplit/>
        </w:trPr>
        <w:tc>
          <w:tcPr>
            <w:tcW w:w="9355" w:type="dxa"/>
            <w:gridSpan w:val="5"/>
            <w:tcBorders>
              <w:top w:val="single" w:sz="4" w:space="0" w:color="auto"/>
              <w:left w:val="nil"/>
              <w:bottom w:val="single" w:sz="4" w:space="0" w:color="auto"/>
              <w:right w:val="nil"/>
            </w:tcBorders>
          </w:tcPr>
          <w:p w:rsidR="00000000" w:rsidRDefault="00000000">
            <w:pPr>
              <w:pStyle w:val="a6"/>
              <w:rPr>
                <w:b/>
              </w:rPr>
            </w:pPr>
            <w:r>
              <w:rPr>
                <w:b/>
              </w:rPr>
              <w:t>Дипломатический корпус</w:t>
            </w:r>
          </w:p>
        </w:tc>
      </w:tr>
      <w:tr w:rsidR="00000000">
        <w:tblPrEx>
          <w:tblCellMar>
            <w:top w:w="0" w:type="dxa"/>
            <w:bottom w:w="0" w:type="dxa"/>
          </w:tblCellMar>
        </w:tblPrEx>
        <w:trPr>
          <w:cantSplit/>
        </w:trPr>
        <w:tc>
          <w:tcPr>
            <w:tcW w:w="2976" w:type="dxa"/>
            <w:tcBorders>
              <w:top w:val="single" w:sz="4" w:space="0" w:color="auto"/>
              <w:left w:val="nil"/>
              <w:bottom w:val="single" w:sz="4" w:space="0" w:color="auto"/>
              <w:right w:val="nil"/>
            </w:tcBorders>
          </w:tcPr>
          <w:p w:rsidR="00000000" w:rsidRDefault="00000000">
            <w:pPr>
              <w:pStyle w:val="a6"/>
              <w:rPr>
                <w:b/>
              </w:rPr>
            </w:pPr>
          </w:p>
        </w:tc>
        <w:tc>
          <w:tcPr>
            <w:tcW w:w="3260" w:type="dxa"/>
            <w:gridSpan w:val="2"/>
            <w:tcBorders>
              <w:top w:val="single" w:sz="4" w:space="0" w:color="auto"/>
              <w:left w:val="nil"/>
              <w:bottom w:val="single" w:sz="4" w:space="0" w:color="auto"/>
              <w:right w:val="nil"/>
            </w:tcBorders>
          </w:tcPr>
          <w:p w:rsidR="00000000" w:rsidRDefault="00000000">
            <w:pPr>
              <w:pStyle w:val="a6"/>
              <w:rPr>
                <w:b/>
              </w:rPr>
            </w:pPr>
            <w:r>
              <w:rPr>
                <w:b/>
              </w:rPr>
              <w:t>центральный аппарат</w:t>
            </w:r>
          </w:p>
        </w:tc>
        <w:tc>
          <w:tcPr>
            <w:tcW w:w="3119" w:type="dxa"/>
            <w:gridSpan w:val="2"/>
            <w:tcBorders>
              <w:top w:val="single" w:sz="4" w:space="0" w:color="auto"/>
              <w:left w:val="nil"/>
              <w:bottom w:val="single" w:sz="4" w:space="0" w:color="auto"/>
              <w:right w:val="nil"/>
            </w:tcBorders>
          </w:tcPr>
          <w:p w:rsidR="00000000" w:rsidRDefault="00000000">
            <w:pPr>
              <w:pStyle w:val="a6"/>
              <w:rPr>
                <w:b/>
              </w:rPr>
            </w:pPr>
            <w:r>
              <w:rPr>
                <w:b/>
              </w:rPr>
              <w:t>работа за рубежом</w:t>
            </w:r>
          </w:p>
        </w:tc>
      </w:tr>
      <w:tr w:rsidR="00000000">
        <w:tblPrEx>
          <w:tblCellMar>
            <w:top w:w="0" w:type="dxa"/>
            <w:bottom w:w="0" w:type="dxa"/>
          </w:tblCellMar>
        </w:tblPrEx>
        <w:tc>
          <w:tcPr>
            <w:tcW w:w="2976" w:type="dxa"/>
            <w:tcBorders>
              <w:top w:val="single" w:sz="4" w:space="0" w:color="auto"/>
              <w:left w:val="nil"/>
              <w:bottom w:val="single" w:sz="4" w:space="0" w:color="auto"/>
              <w:right w:val="nil"/>
            </w:tcBorders>
          </w:tcPr>
          <w:p w:rsidR="00000000" w:rsidRDefault="00000000">
            <w:pPr>
              <w:pStyle w:val="a6"/>
              <w:rPr>
                <w:b/>
              </w:rPr>
            </w:pPr>
            <w:r>
              <w:rPr>
                <w:b/>
              </w:rPr>
              <w:t>ранг</w:t>
            </w:r>
          </w:p>
        </w:tc>
        <w:tc>
          <w:tcPr>
            <w:tcW w:w="1559" w:type="dxa"/>
            <w:tcBorders>
              <w:top w:val="single" w:sz="4" w:space="0" w:color="auto"/>
              <w:left w:val="nil"/>
              <w:bottom w:val="single" w:sz="4" w:space="0" w:color="auto"/>
              <w:right w:val="nil"/>
            </w:tcBorders>
          </w:tcPr>
          <w:p w:rsidR="00000000" w:rsidRDefault="00000000">
            <w:pPr>
              <w:pStyle w:val="a6"/>
              <w:rPr>
                <w:b/>
              </w:rPr>
            </w:pPr>
            <w:r>
              <w:rPr>
                <w:b/>
              </w:rPr>
              <w:t>мужчины</w:t>
            </w:r>
          </w:p>
        </w:tc>
        <w:tc>
          <w:tcPr>
            <w:tcW w:w="1701" w:type="dxa"/>
            <w:tcBorders>
              <w:top w:val="single" w:sz="4" w:space="0" w:color="auto"/>
              <w:left w:val="nil"/>
              <w:bottom w:val="single" w:sz="4" w:space="0" w:color="auto"/>
              <w:right w:val="nil"/>
            </w:tcBorders>
          </w:tcPr>
          <w:p w:rsidR="00000000" w:rsidRDefault="00000000">
            <w:pPr>
              <w:pStyle w:val="a6"/>
              <w:rPr>
                <w:b/>
              </w:rPr>
            </w:pPr>
            <w:r>
              <w:rPr>
                <w:b/>
              </w:rPr>
              <w:t>женщины</w:t>
            </w:r>
          </w:p>
        </w:tc>
        <w:tc>
          <w:tcPr>
            <w:tcW w:w="1560" w:type="dxa"/>
            <w:tcBorders>
              <w:top w:val="single" w:sz="4" w:space="0" w:color="auto"/>
              <w:left w:val="nil"/>
              <w:bottom w:val="single" w:sz="4" w:space="0" w:color="auto"/>
              <w:right w:val="nil"/>
            </w:tcBorders>
          </w:tcPr>
          <w:p w:rsidR="00000000" w:rsidRDefault="00000000">
            <w:pPr>
              <w:pStyle w:val="a6"/>
              <w:rPr>
                <w:b/>
              </w:rPr>
            </w:pPr>
            <w:r>
              <w:rPr>
                <w:b/>
              </w:rPr>
              <w:t>мужчины</w:t>
            </w:r>
          </w:p>
        </w:tc>
        <w:tc>
          <w:tcPr>
            <w:tcW w:w="1559" w:type="dxa"/>
            <w:tcBorders>
              <w:top w:val="single" w:sz="4" w:space="0" w:color="auto"/>
              <w:left w:val="nil"/>
              <w:bottom w:val="single" w:sz="4" w:space="0" w:color="auto"/>
              <w:right w:val="nil"/>
            </w:tcBorders>
          </w:tcPr>
          <w:p w:rsidR="00000000" w:rsidRDefault="00000000">
            <w:pPr>
              <w:pStyle w:val="a6"/>
              <w:rPr>
                <w:b/>
              </w:rPr>
            </w:pPr>
            <w:r>
              <w:rPr>
                <w:b/>
              </w:rPr>
              <w:t>женщины</w:t>
            </w:r>
          </w:p>
        </w:tc>
      </w:tr>
      <w:tr w:rsidR="00000000">
        <w:tblPrEx>
          <w:tblCellMar>
            <w:top w:w="0" w:type="dxa"/>
            <w:bottom w:w="0" w:type="dxa"/>
          </w:tblCellMar>
        </w:tblPrEx>
        <w:tc>
          <w:tcPr>
            <w:tcW w:w="2976" w:type="dxa"/>
            <w:tcBorders>
              <w:top w:val="single" w:sz="4" w:space="0" w:color="auto"/>
              <w:left w:val="nil"/>
              <w:bottom w:val="nil"/>
              <w:right w:val="nil"/>
            </w:tcBorders>
          </w:tcPr>
          <w:p w:rsidR="00000000" w:rsidRDefault="00000000">
            <w:pPr>
              <w:pStyle w:val="a7"/>
            </w:pPr>
            <w:r>
              <w:t>Посол</w:t>
            </w:r>
          </w:p>
        </w:tc>
        <w:tc>
          <w:tcPr>
            <w:tcW w:w="1559" w:type="dxa"/>
            <w:tcBorders>
              <w:top w:val="single" w:sz="4" w:space="0" w:color="auto"/>
              <w:left w:val="nil"/>
              <w:bottom w:val="nil"/>
              <w:right w:val="nil"/>
            </w:tcBorders>
          </w:tcPr>
          <w:p w:rsidR="00000000" w:rsidRDefault="00000000">
            <w:pPr>
              <w:pStyle w:val="a6"/>
              <w:tabs>
                <w:tab w:val="clear" w:pos="567"/>
                <w:tab w:val="clear" w:pos="1021"/>
              </w:tabs>
              <w:ind w:right="627"/>
              <w:jc w:val="right"/>
            </w:pPr>
            <w:r>
              <w:t>4</w:t>
            </w:r>
          </w:p>
        </w:tc>
        <w:tc>
          <w:tcPr>
            <w:tcW w:w="1701" w:type="dxa"/>
            <w:tcBorders>
              <w:top w:val="single" w:sz="4" w:space="0" w:color="auto"/>
              <w:left w:val="nil"/>
              <w:bottom w:val="nil"/>
              <w:right w:val="nil"/>
            </w:tcBorders>
          </w:tcPr>
          <w:p w:rsidR="00000000" w:rsidRDefault="00000000">
            <w:pPr>
              <w:pStyle w:val="a6"/>
              <w:tabs>
                <w:tab w:val="clear" w:pos="567"/>
                <w:tab w:val="clear" w:pos="1021"/>
              </w:tabs>
              <w:ind w:right="627"/>
              <w:jc w:val="right"/>
            </w:pPr>
            <w:r>
              <w:t>0</w:t>
            </w:r>
          </w:p>
        </w:tc>
        <w:tc>
          <w:tcPr>
            <w:tcW w:w="1560" w:type="dxa"/>
            <w:tcBorders>
              <w:top w:val="single" w:sz="4" w:space="0" w:color="auto"/>
              <w:left w:val="nil"/>
              <w:bottom w:val="nil"/>
              <w:right w:val="nil"/>
            </w:tcBorders>
          </w:tcPr>
          <w:p w:rsidR="00000000" w:rsidRDefault="00000000">
            <w:pPr>
              <w:pStyle w:val="a6"/>
              <w:tabs>
                <w:tab w:val="clear" w:pos="567"/>
                <w:tab w:val="clear" w:pos="1021"/>
              </w:tabs>
              <w:ind w:right="627"/>
              <w:jc w:val="right"/>
            </w:pPr>
            <w:r>
              <w:t>5</w:t>
            </w:r>
          </w:p>
        </w:tc>
        <w:tc>
          <w:tcPr>
            <w:tcW w:w="1559" w:type="dxa"/>
            <w:tcBorders>
              <w:top w:val="single" w:sz="4" w:space="0" w:color="auto"/>
              <w:left w:val="nil"/>
              <w:bottom w:val="nil"/>
              <w:right w:val="nil"/>
            </w:tcBorders>
          </w:tcPr>
          <w:p w:rsidR="00000000" w:rsidRDefault="00000000">
            <w:pPr>
              <w:pStyle w:val="a6"/>
              <w:tabs>
                <w:tab w:val="clear" w:pos="567"/>
                <w:tab w:val="clear" w:pos="1021"/>
              </w:tabs>
              <w:ind w:right="627"/>
              <w:jc w:val="right"/>
            </w:pPr>
            <w:r>
              <w:t>0</w:t>
            </w:r>
          </w:p>
        </w:tc>
      </w:tr>
      <w:tr w:rsidR="00000000">
        <w:tblPrEx>
          <w:tblCellMar>
            <w:top w:w="0" w:type="dxa"/>
            <w:bottom w:w="0" w:type="dxa"/>
          </w:tblCellMar>
        </w:tblPrEx>
        <w:tc>
          <w:tcPr>
            <w:tcW w:w="2976" w:type="dxa"/>
            <w:tcBorders>
              <w:top w:val="nil"/>
              <w:left w:val="nil"/>
              <w:bottom w:val="nil"/>
              <w:right w:val="nil"/>
            </w:tcBorders>
          </w:tcPr>
          <w:p w:rsidR="00000000" w:rsidRDefault="00000000">
            <w:pPr>
              <w:pStyle w:val="a7"/>
            </w:pPr>
            <w:r>
              <w:t>Полномочный посланник А</w:t>
            </w:r>
          </w:p>
        </w:tc>
        <w:tc>
          <w:tcPr>
            <w:tcW w:w="1559" w:type="dxa"/>
            <w:tcBorders>
              <w:top w:val="nil"/>
              <w:left w:val="nil"/>
              <w:bottom w:val="nil"/>
              <w:right w:val="nil"/>
            </w:tcBorders>
          </w:tcPr>
          <w:p w:rsidR="00000000" w:rsidRDefault="00000000">
            <w:pPr>
              <w:pStyle w:val="a6"/>
              <w:tabs>
                <w:tab w:val="clear" w:pos="567"/>
                <w:tab w:val="clear" w:pos="1021"/>
              </w:tabs>
              <w:ind w:right="627"/>
              <w:jc w:val="right"/>
            </w:pPr>
            <w:r>
              <w:t>36</w:t>
            </w:r>
          </w:p>
        </w:tc>
        <w:tc>
          <w:tcPr>
            <w:tcW w:w="1701" w:type="dxa"/>
            <w:tcBorders>
              <w:top w:val="nil"/>
              <w:left w:val="nil"/>
              <w:bottom w:val="nil"/>
              <w:right w:val="nil"/>
            </w:tcBorders>
          </w:tcPr>
          <w:p w:rsidR="00000000" w:rsidRDefault="00000000">
            <w:pPr>
              <w:pStyle w:val="a6"/>
              <w:tabs>
                <w:tab w:val="clear" w:pos="567"/>
                <w:tab w:val="clear" w:pos="1021"/>
              </w:tabs>
              <w:ind w:right="627"/>
              <w:jc w:val="right"/>
            </w:pPr>
            <w:r>
              <w:t>2</w:t>
            </w:r>
          </w:p>
        </w:tc>
        <w:tc>
          <w:tcPr>
            <w:tcW w:w="1560" w:type="dxa"/>
            <w:tcBorders>
              <w:top w:val="nil"/>
              <w:left w:val="nil"/>
              <w:bottom w:val="nil"/>
              <w:right w:val="nil"/>
            </w:tcBorders>
          </w:tcPr>
          <w:p w:rsidR="00000000" w:rsidRDefault="00000000">
            <w:pPr>
              <w:pStyle w:val="a6"/>
              <w:tabs>
                <w:tab w:val="clear" w:pos="567"/>
                <w:tab w:val="clear" w:pos="1021"/>
              </w:tabs>
              <w:ind w:right="627"/>
              <w:jc w:val="right"/>
            </w:pPr>
            <w:r>
              <w:t>62</w:t>
            </w:r>
          </w:p>
        </w:tc>
        <w:tc>
          <w:tcPr>
            <w:tcW w:w="1559" w:type="dxa"/>
            <w:tcBorders>
              <w:top w:val="nil"/>
              <w:left w:val="nil"/>
              <w:bottom w:val="nil"/>
              <w:right w:val="nil"/>
            </w:tcBorders>
          </w:tcPr>
          <w:p w:rsidR="00000000" w:rsidRDefault="00000000">
            <w:pPr>
              <w:pStyle w:val="a6"/>
              <w:tabs>
                <w:tab w:val="clear" w:pos="567"/>
                <w:tab w:val="clear" w:pos="1021"/>
              </w:tabs>
              <w:ind w:right="627"/>
              <w:jc w:val="right"/>
            </w:pPr>
            <w:r>
              <w:t>2</w:t>
            </w:r>
          </w:p>
        </w:tc>
      </w:tr>
      <w:tr w:rsidR="00000000">
        <w:tblPrEx>
          <w:tblCellMar>
            <w:top w:w="0" w:type="dxa"/>
            <w:bottom w:w="0" w:type="dxa"/>
          </w:tblCellMar>
        </w:tblPrEx>
        <w:tc>
          <w:tcPr>
            <w:tcW w:w="2976" w:type="dxa"/>
            <w:tcBorders>
              <w:top w:val="nil"/>
              <w:left w:val="nil"/>
              <w:bottom w:val="nil"/>
              <w:right w:val="nil"/>
            </w:tcBorders>
          </w:tcPr>
          <w:p w:rsidR="00000000" w:rsidRDefault="00000000">
            <w:pPr>
              <w:pStyle w:val="a7"/>
            </w:pPr>
            <w:r>
              <w:t>Полномочный посланник В</w:t>
            </w:r>
          </w:p>
        </w:tc>
        <w:tc>
          <w:tcPr>
            <w:tcW w:w="1559" w:type="dxa"/>
            <w:tcBorders>
              <w:top w:val="nil"/>
              <w:left w:val="nil"/>
              <w:bottom w:val="nil"/>
              <w:right w:val="nil"/>
            </w:tcBorders>
          </w:tcPr>
          <w:p w:rsidR="00000000" w:rsidRDefault="00000000">
            <w:pPr>
              <w:pStyle w:val="a6"/>
              <w:tabs>
                <w:tab w:val="clear" w:pos="567"/>
                <w:tab w:val="clear" w:pos="1021"/>
              </w:tabs>
              <w:ind w:right="627"/>
              <w:jc w:val="right"/>
            </w:pPr>
            <w:r>
              <w:t>13</w:t>
            </w:r>
          </w:p>
        </w:tc>
        <w:tc>
          <w:tcPr>
            <w:tcW w:w="1701" w:type="dxa"/>
            <w:tcBorders>
              <w:top w:val="nil"/>
              <w:left w:val="nil"/>
              <w:bottom w:val="nil"/>
              <w:right w:val="nil"/>
            </w:tcBorders>
          </w:tcPr>
          <w:p w:rsidR="00000000" w:rsidRDefault="00000000">
            <w:pPr>
              <w:pStyle w:val="a6"/>
              <w:tabs>
                <w:tab w:val="clear" w:pos="567"/>
                <w:tab w:val="clear" w:pos="1021"/>
              </w:tabs>
              <w:ind w:right="627"/>
              <w:jc w:val="right"/>
            </w:pPr>
            <w:r>
              <w:t>6</w:t>
            </w:r>
          </w:p>
        </w:tc>
        <w:tc>
          <w:tcPr>
            <w:tcW w:w="1560" w:type="dxa"/>
            <w:tcBorders>
              <w:top w:val="nil"/>
              <w:left w:val="nil"/>
              <w:bottom w:val="nil"/>
              <w:right w:val="nil"/>
            </w:tcBorders>
          </w:tcPr>
          <w:p w:rsidR="00000000" w:rsidRDefault="00000000">
            <w:pPr>
              <w:pStyle w:val="a6"/>
              <w:tabs>
                <w:tab w:val="clear" w:pos="567"/>
                <w:tab w:val="clear" w:pos="1021"/>
              </w:tabs>
              <w:ind w:right="627"/>
              <w:jc w:val="right"/>
            </w:pPr>
            <w:r>
              <w:t>17</w:t>
            </w:r>
          </w:p>
        </w:tc>
        <w:tc>
          <w:tcPr>
            <w:tcW w:w="1559" w:type="dxa"/>
            <w:tcBorders>
              <w:top w:val="nil"/>
              <w:left w:val="nil"/>
              <w:bottom w:val="nil"/>
              <w:right w:val="nil"/>
            </w:tcBorders>
          </w:tcPr>
          <w:p w:rsidR="00000000" w:rsidRDefault="00000000">
            <w:pPr>
              <w:pStyle w:val="a6"/>
              <w:tabs>
                <w:tab w:val="clear" w:pos="567"/>
                <w:tab w:val="clear" w:pos="1021"/>
              </w:tabs>
              <w:ind w:right="627"/>
              <w:jc w:val="right"/>
            </w:pPr>
            <w:r>
              <w:t>2</w:t>
            </w:r>
          </w:p>
        </w:tc>
      </w:tr>
      <w:tr w:rsidR="00000000">
        <w:tblPrEx>
          <w:tblCellMar>
            <w:top w:w="0" w:type="dxa"/>
            <w:bottom w:w="0" w:type="dxa"/>
          </w:tblCellMar>
        </w:tblPrEx>
        <w:tc>
          <w:tcPr>
            <w:tcW w:w="2976" w:type="dxa"/>
            <w:tcBorders>
              <w:top w:val="nil"/>
              <w:left w:val="nil"/>
              <w:bottom w:val="nil"/>
              <w:right w:val="nil"/>
            </w:tcBorders>
          </w:tcPr>
          <w:p w:rsidR="00000000" w:rsidRDefault="00000000">
            <w:pPr>
              <w:pStyle w:val="a7"/>
            </w:pPr>
            <w:r>
              <w:t>Советник-посланник А</w:t>
            </w:r>
          </w:p>
        </w:tc>
        <w:tc>
          <w:tcPr>
            <w:tcW w:w="1559" w:type="dxa"/>
            <w:tcBorders>
              <w:top w:val="nil"/>
              <w:left w:val="nil"/>
              <w:bottom w:val="nil"/>
              <w:right w:val="nil"/>
            </w:tcBorders>
          </w:tcPr>
          <w:p w:rsidR="00000000" w:rsidRDefault="00000000">
            <w:pPr>
              <w:pStyle w:val="a6"/>
              <w:tabs>
                <w:tab w:val="clear" w:pos="567"/>
                <w:tab w:val="clear" w:pos="1021"/>
              </w:tabs>
              <w:ind w:right="627"/>
              <w:jc w:val="right"/>
            </w:pPr>
            <w:r>
              <w:t>66</w:t>
            </w:r>
          </w:p>
        </w:tc>
        <w:tc>
          <w:tcPr>
            <w:tcW w:w="1701" w:type="dxa"/>
            <w:tcBorders>
              <w:top w:val="nil"/>
              <w:left w:val="nil"/>
              <w:bottom w:val="nil"/>
              <w:right w:val="nil"/>
            </w:tcBorders>
          </w:tcPr>
          <w:p w:rsidR="00000000" w:rsidRDefault="00000000">
            <w:pPr>
              <w:pStyle w:val="a6"/>
              <w:tabs>
                <w:tab w:val="clear" w:pos="567"/>
                <w:tab w:val="clear" w:pos="1021"/>
              </w:tabs>
              <w:ind w:right="627"/>
              <w:jc w:val="right"/>
            </w:pPr>
            <w:r>
              <w:t>25</w:t>
            </w:r>
          </w:p>
        </w:tc>
        <w:tc>
          <w:tcPr>
            <w:tcW w:w="1560" w:type="dxa"/>
            <w:tcBorders>
              <w:top w:val="nil"/>
              <w:left w:val="nil"/>
              <w:bottom w:val="nil"/>
              <w:right w:val="nil"/>
            </w:tcBorders>
          </w:tcPr>
          <w:p w:rsidR="00000000" w:rsidRDefault="00000000">
            <w:pPr>
              <w:pStyle w:val="a6"/>
              <w:tabs>
                <w:tab w:val="clear" w:pos="567"/>
                <w:tab w:val="clear" w:pos="1021"/>
              </w:tabs>
              <w:ind w:right="627"/>
              <w:jc w:val="right"/>
            </w:pPr>
            <w:r>
              <w:t>87</w:t>
            </w:r>
          </w:p>
        </w:tc>
        <w:tc>
          <w:tcPr>
            <w:tcW w:w="1559" w:type="dxa"/>
            <w:tcBorders>
              <w:top w:val="nil"/>
              <w:left w:val="nil"/>
              <w:bottom w:val="nil"/>
              <w:right w:val="nil"/>
            </w:tcBorders>
          </w:tcPr>
          <w:p w:rsidR="00000000" w:rsidRDefault="00000000">
            <w:pPr>
              <w:pStyle w:val="a6"/>
              <w:tabs>
                <w:tab w:val="clear" w:pos="567"/>
                <w:tab w:val="clear" w:pos="1021"/>
              </w:tabs>
              <w:ind w:right="627"/>
              <w:jc w:val="right"/>
            </w:pPr>
            <w:r>
              <w:t>27</w:t>
            </w:r>
          </w:p>
        </w:tc>
      </w:tr>
      <w:tr w:rsidR="00000000">
        <w:tblPrEx>
          <w:tblCellMar>
            <w:top w:w="0" w:type="dxa"/>
            <w:bottom w:w="0" w:type="dxa"/>
          </w:tblCellMar>
        </w:tblPrEx>
        <w:tc>
          <w:tcPr>
            <w:tcW w:w="2976" w:type="dxa"/>
            <w:tcBorders>
              <w:top w:val="nil"/>
              <w:left w:val="nil"/>
              <w:bottom w:val="nil"/>
              <w:right w:val="nil"/>
            </w:tcBorders>
          </w:tcPr>
          <w:p w:rsidR="00000000" w:rsidRDefault="00000000">
            <w:pPr>
              <w:pStyle w:val="a7"/>
            </w:pPr>
            <w:r>
              <w:t>Советник-посланник В</w:t>
            </w:r>
          </w:p>
        </w:tc>
        <w:tc>
          <w:tcPr>
            <w:tcW w:w="1559" w:type="dxa"/>
            <w:tcBorders>
              <w:top w:val="nil"/>
              <w:left w:val="nil"/>
              <w:bottom w:val="nil"/>
              <w:right w:val="nil"/>
            </w:tcBorders>
          </w:tcPr>
          <w:p w:rsidR="00000000" w:rsidRDefault="00000000">
            <w:pPr>
              <w:pStyle w:val="a6"/>
              <w:tabs>
                <w:tab w:val="clear" w:pos="567"/>
                <w:tab w:val="clear" w:pos="1021"/>
              </w:tabs>
              <w:ind w:right="627"/>
              <w:jc w:val="right"/>
            </w:pPr>
            <w:r>
              <w:t>10</w:t>
            </w:r>
          </w:p>
        </w:tc>
        <w:tc>
          <w:tcPr>
            <w:tcW w:w="1701" w:type="dxa"/>
            <w:tcBorders>
              <w:top w:val="nil"/>
              <w:left w:val="nil"/>
              <w:bottom w:val="nil"/>
              <w:right w:val="nil"/>
            </w:tcBorders>
          </w:tcPr>
          <w:p w:rsidR="00000000" w:rsidRDefault="00000000">
            <w:pPr>
              <w:pStyle w:val="a6"/>
              <w:tabs>
                <w:tab w:val="clear" w:pos="567"/>
                <w:tab w:val="clear" w:pos="1021"/>
              </w:tabs>
              <w:ind w:right="627"/>
              <w:jc w:val="right"/>
            </w:pPr>
            <w:r>
              <w:t>4</w:t>
            </w:r>
          </w:p>
        </w:tc>
        <w:tc>
          <w:tcPr>
            <w:tcW w:w="1560" w:type="dxa"/>
            <w:tcBorders>
              <w:top w:val="nil"/>
              <w:left w:val="nil"/>
              <w:bottom w:val="nil"/>
              <w:right w:val="nil"/>
            </w:tcBorders>
          </w:tcPr>
          <w:p w:rsidR="00000000" w:rsidRDefault="00000000">
            <w:pPr>
              <w:pStyle w:val="a6"/>
              <w:tabs>
                <w:tab w:val="clear" w:pos="567"/>
                <w:tab w:val="clear" w:pos="1021"/>
              </w:tabs>
              <w:ind w:right="627"/>
              <w:jc w:val="right"/>
            </w:pPr>
            <w:r>
              <w:t>4</w:t>
            </w:r>
          </w:p>
        </w:tc>
        <w:tc>
          <w:tcPr>
            <w:tcW w:w="1559" w:type="dxa"/>
            <w:tcBorders>
              <w:top w:val="nil"/>
              <w:left w:val="nil"/>
              <w:bottom w:val="nil"/>
              <w:right w:val="nil"/>
            </w:tcBorders>
          </w:tcPr>
          <w:p w:rsidR="00000000" w:rsidRDefault="00000000">
            <w:pPr>
              <w:pStyle w:val="a6"/>
              <w:tabs>
                <w:tab w:val="clear" w:pos="567"/>
                <w:tab w:val="clear" w:pos="1021"/>
              </w:tabs>
              <w:ind w:right="627"/>
              <w:jc w:val="right"/>
            </w:pPr>
            <w:r>
              <w:t>1</w:t>
            </w:r>
          </w:p>
        </w:tc>
      </w:tr>
      <w:tr w:rsidR="00000000">
        <w:tblPrEx>
          <w:tblCellMar>
            <w:top w:w="0" w:type="dxa"/>
            <w:bottom w:w="0" w:type="dxa"/>
          </w:tblCellMar>
        </w:tblPrEx>
        <w:tc>
          <w:tcPr>
            <w:tcW w:w="2976" w:type="dxa"/>
            <w:tcBorders>
              <w:top w:val="nil"/>
              <w:left w:val="nil"/>
              <w:bottom w:val="nil"/>
              <w:right w:val="nil"/>
            </w:tcBorders>
          </w:tcPr>
          <w:p w:rsidR="00000000" w:rsidRDefault="00000000">
            <w:pPr>
              <w:pStyle w:val="a7"/>
            </w:pPr>
            <w:r>
              <w:t>Секретарь посольства А</w:t>
            </w:r>
          </w:p>
        </w:tc>
        <w:tc>
          <w:tcPr>
            <w:tcW w:w="1559" w:type="dxa"/>
            <w:tcBorders>
              <w:top w:val="nil"/>
              <w:left w:val="nil"/>
              <w:bottom w:val="nil"/>
              <w:right w:val="nil"/>
            </w:tcBorders>
          </w:tcPr>
          <w:p w:rsidR="00000000" w:rsidRDefault="00000000">
            <w:pPr>
              <w:pStyle w:val="a6"/>
              <w:tabs>
                <w:tab w:val="clear" w:pos="567"/>
                <w:tab w:val="clear" w:pos="1021"/>
              </w:tabs>
              <w:ind w:right="627"/>
              <w:jc w:val="right"/>
            </w:pPr>
            <w:r>
              <w:t>9</w:t>
            </w:r>
          </w:p>
        </w:tc>
        <w:tc>
          <w:tcPr>
            <w:tcW w:w="1701" w:type="dxa"/>
            <w:tcBorders>
              <w:top w:val="nil"/>
              <w:left w:val="nil"/>
              <w:bottom w:val="nil"/>
              <w:right w:val="nil"/>
            </w:tcBorders>
          </w:tcPr>
          <w:p w:rsidR="00000000" w:rsidRDefault="00000000">
            <w:pPr>
              <w:pStyle w:val="a6"/>
              <w:tabs>
                <w:tab w:val="clear" w:pos="567"/>
                <w:tab w:val="clear" w:pos="1021"/>
              </w:tabs>
              <w:ind w:right="627"/>
              <w:jc w:val="right"/>
            </w:pPr>
            <w:r>
              <w:t>4</w:t>
            </w:r>
          </w:p>
        </w:tc>
        <w:tc>
          <w:tcPr>
            <w:tcW w:w="1560" w:type="dxa"/>
            <w:tcBorders>
              <w:top w:val="nil"/>
              <w:left w:val="nil"/>
              <w:bottom w:val="nil"/>
              <w:right w:val="nil"/>
            </w:tcBorders>
          </w:tcPr>
          <w:p w:rsidR="00000000" w:rsidRDefault="00000000">
            <w:pPr>
              <w:pStyle w:val="a6"/>
              <w:tabs>
                <w:tab w:val="clear" w:pos="567"/>
                <w:tab w:val="clear" w:pos="1021"/>
              </w:tabs>
              <w:ind w:right="627"/>
              <w:jc w:val="right"/>
            </w:pPr>
            <w:r>
              <w:t>6</w:t>
            </w:r>
          </w:p>
        </w:tc>
        <w:tc>
          <w:tcPr>
            <w:tcW w:w="1559" w:type="dxa"/>
            <w:tcBorders>
              <w:top w:val="nil"/>
              <w:left w:val="nil"/>
              <w:bottom w:val="nil"/>
              <w:right w:val="nil"/>
            </w:tcBorders>
          </w:tcPr>
          <w:p w:rsidR="00000000" w:rsidRDefault="00000000">
            <w:pPr>
              <w:pStyle w:val="a6"/>
              <w:tabs>
                <w:tab w:val="clear" w:pos="567"/>
                <w:tab w:val="clear" w:pos="1021"/>
              </w:tabs>
              <w:ind w:right="627"/>
              <w:jc w:val="right"/>
            </w:pPr>
            <w:r>
              <w:t>1</w:t>
            </w:r>
          </w:p>
        </w:tc>
      </w:tr>
      <w:tr w:rsidR="00000000">
        <w:tblPrEx>
          <w:tblCellMar>
            <w:top w:w="0" w:type="dxa"/>
            <w:bottom w:w="0" w:type="dxa"/>
          </w:tblCellMar>
        </w:tblPrEx>
        <w:tc>
          <w:tcPr>
            <w:tcW w:w="2976" w:type="dxa"/>
            <w:tcBorders>
              <w:top w:val="nil"/>
              <w:left w:val="nil"/>
              <w:bottom w:val="nil"/>
              <w:right w:val="nil"/>
            </w:tcBorders>
          </w:tcPr>
          <w:p w:rsidR="00000000" w:rsidRDefault="00000000">
            <w:pPr>
              <w:pStyle w:val="a7"/>
            </w:pPr>
            <w:r>
              <w:t>Секретарь посольства В</w:t>
            </w:r>
          </w:p>
        </w:tc>
        <w:tc>
          <w:tcPr>
            <w:tcW w:w="1559" w:type="dxa"/>
            <w:tcBorders>
              <w:top w:val="nil"/>
              <w:left w:val="nil"/>
              <w:bottom w:val="nil"/>
              <w:right w:val="nil"/>
            </w:tcBorders>
          </w:tcPr>
          <w:p w:rsidR="00000000" w:rsidRDefault="00000000">
            <w:pPr>
              <w:pStyle w:val="a6"/>
              <w:tabs>
                <w:tab w:val="clear" w:pos="567"/>
                <w:tab w:val="clear" w:pos="1021"/>
              </w:tabs>
              <w:ind w:right="627"/>
              <w:jc w:val="right"/>
            </w:pPr>
            <w:r>
              <w:t>5</w:t>
            </w:r>
          </w:p>
        </w:tc>
        <w:tc>
          <w:tcPr>
            <w:tcW w:w="1701" w:type="dxa"/>
            <w:tcBorders>
              <w:top w:val="nil"/>
              <w:left w:val="nil"/>
              <w:bottom w:val="nil"/>
              <w:right w:val="nil"/>
            </w:tcBorders>
          </w:tcPr>
          <w:p w:rsidR="00000000" w:rsidRDefault="00000000">
            <w:pPr>
              <w:pStyle w:val="a6"/>
              <w:tabs>
                <w:tab w:val="clear" w:pos="567"/>
                <w:tab w:val="clear" w:pos="1021"/>
              </w:tabs>
              <w:ind w:right="627"/>
              <w:jc w:val="right"/>
            </w:pPr>
            <w:r>
              <w:t>7</w:t>
            </w:r>
          </w:p>
        </w:tc>
        <w:tc>
          <w:tcPr>
            <w:tcW w:w="1560" w:type="dxa"/>
            <w:tcBorders>
              <w:top w:val="nil"/>
              <w:left w:val="nil"/>
              <w:bottom w:val="nil"/>
              <w:right w:val="nil"/>
            </w:tcBorders>
          </w:tcPr>
          <w:p w:rsidR="00000000" w:rsidRDefault="00000000">
            <w:pPr>
              <w:pStyle w:val="a6"/>
              <w:tabs>
                <w:tab w:val="clear" w:pos="567"/>
                <w:tab w:val="clear" w:pos="1021"/>
              </w:tabs>
              <w:ind w:right="627"/>
              <w:jc w:val="right"/>
            </w:pPr>
            <w:r>
              <w:t>29</w:t>
            </w:r>
          </w:p>
        </w:tc>
        <w:tc>
          <w:tcPr>
            <w:tcW w:w="1559" w:type="dxa"/>
            <w:tcBorders>
              <w:top w:val="nil"/>
              <w:left w:val="nil"/>
              <w:bottom w:val="nil"/>
              <w:right w:val="nil"/>
            </w:tcBorders>
          </w:tcPr>
          <w:p w:rsidR="00000000" w:rsidRDefault="00000000">
            <w:pPr>
              <w:pStyle w:val="a6"/>
              <w:tabs>
                <w:tab w:val="clear" w:pos="567"/>
                <w:tab w:val="clear" w:pos="1021"/>
              </w:tabs>
              <w:ind w:right="627"/>
              <w:jc w:val="right"/>
            </w:pPr>
            <w:r>
              <w:t>13</w:t>
            </w:r>
          </w:p>
        </w:tc>
      </w:tr>
      <w:tr w:rsidR="00000000">
        <w:tblPrEx>
          <w:tblCellMar>
            <w:top w:w="0" w:type="dxa"/>
            <w:bottom w:w="0" w:type="dxa"/>
          </w:tblCellMar>
        </w:tblPrEx>
        <w:tc>
          <w:tcPr>
            <w:tcW w:w="2976" w:type="dxa"/>
            <w:tcBorders>
              <w:top w:val="nil"/>
              <w:left w:val="nil"/>
              <w:bottom w:val="nil"/>
              <w:right w:val="nil"/>
            </w:tcBorders>
          </w:tcPr>
          <w:p w:rsidR="00000000" w:rsidRDefault="00000000">
            <w:pPr>
              <w:pStyle w:val="a7"/>
            </w:pPr>
            <w:r>
              <w:t>Секретарь посольства С</w:t>
            </w:r>
          </w:p>
        </w:tc>
        <w:tc>
          <w:tcPr>
            <w:tcW w:w="1559" w:type="dxa"/>
            <w:tcBorders>
              <w:top w:val="nil"/>
              <w:left w:val="nil"/>
              <w:bottom w:val="nil"/>
              <w:right w:val="nil"/>
            </w:tcBorders>
          </w:tcPr>
          <w:p w:rsidR="00000000" w:rsidRDefault="00000000">
            <w:pPr>
              <w:pStyle w:val="a6"/>
              <w:tabs>
                <w:tab w:val="clear" w:pos="567"/>
                <w:tab w:val="clear" w:pos="1021"/>
              </w:tabs>
              <w:ind w:right="627"/>
              <w:jc w:val="right"/>
            </w:pPr>
            <w:r>
              <w:t>16</w:t>
            </w:r>
          </w:p>
        </w:tc>
        <w:tc>
          <w:tcPr>
            <w:tcW w:w="1701" w:type="dxa"/>
            <w:tcBorders>
              <w:top w:val="nil"/>
              <w:left w:val="nil"/>
              <w:bottom w:val="nil"/>
              <w:right w:val="nil"/>
            </w:tcBorders>
          </w:tcPr>
          <w:p w:rsidR="00000000" w:rsidRDefault="00000000">
            <w:pPr>
              <w:pStyle w:val="a6"/>
              <w:tabs>
                <w:tab w:val="clear" w:pos="567"/>
                <w:tab w:val="clear" w:pos="1021"/>
              </w:tabs>
              <w:ind w:right="627"/>
              <w:jc w:val="right"/>
            </w:pPr>
            <w:r>
              <w:t>13</w:t>
            </w:r>
          </w:p>
        </w:tc>
        <w:tc>
          <w:tcPr>
            <w:tcW w:w="1560" w:type="dxa"/>
            <w:tcBorders>
              <w:top w:val="nil"/>
              <w:left w:val="nil"/>
              <w:bottom w:val="nil"/>
              <w:right w:val="nil"/>
            </w:tcBorders>
          </w:tcPr>
          <w:p w:rsidR="00000000" w:rsidRDefault="00000000">
            <w:pPr>
              <w:pStyle w:val="a6"/>
              <w:tabs>
                <w:tab w:val="clear" w:pos="567"/>
                <w:tab w:val="clear" w:pos="1021"/>
              </w:tabs>
              <w:ind w:right="627"/>
              <w:jc w:val="right"/>
            </w:pPr>
            <w:r>
              <w:t>29</w:t>
            </w:r>
          </w:p>
        </w:tc>
        <w:tc>
          <w:tcPr>
            <w:tcW w:w="1559" w:type="dxa"/>
            <w:tcBorders>
              <w:top w:val="nil"/>
              <w:left w:val="nil"/>
              <w:bottom w:val="nil"/>
              <w:right w:val="nil"/>
            </w:tcBorders>
          </w:tcPr>
          <w:p w:rsidR="00000000" w:rsidRDefault="00000000">
            <w:pPr>
              <w:pStyle w:val="a6"/>
              <w:tabs>
                <w:tab w:val="clear" w:pos="567"/>
                <w:tab w:val="clear" w:pos="1021"/>
              </w:tabs>
              <w:ind w:right="627"/>
              <w:jc w:val="right"/>
            </w:pPr>
            <w:r>
              <w:t>15</w:t>
            </w:r>
          </w:p>
        </w:tc>
      </w:tr>
      <w:tr w:rsidR="00000000">
        <w:tblPrEx>
          <w:tblCellMar>
            <w:top w:w="0" w:type="dxa"/>
            <w:bottom w:w="0" w:type="dxa"/>
          </w:tblCellMar>
        </w:tblPrEx>
        <w:tc>
          <w:tcPr>
            <w:tcW w:w="2976" w:type="dxa"/>
            <w:tcBorders>
              <w:top w:val="nil"/>
              <w:left w:val="nil"/>
              <w:bottom w:val="nil"/>
              <w:right w:val="nil"/>
            </w:tcBorders>
          </w:tcPr>
          <w:p w:rsidR="00000000" w:rsidRDefault="00000000">
            <w:pPr>
              <w:pStyle w:val="a7"/>
            </w:pPr>
            <w:r>
              <w:t>Атташе</w:t>
            </w:r>
          </w:p>
        </w:tc>
        <w:tc>
          <w:tcPr>
            <w:tcW w:w="1559" w:type="dxa"/>
            <w:tcBorders>
              <w:top w:val="nil"/>
              <w:left w:val="nil"/>
              <w:bottom w:val="nil"/>
              <w:right w:val="nil"/>
            </w:tcBorders>
          </w:tcPr>
          <w:p w:rsidR="00000000" w:rsidRDefault="00000000">
            <w:pPr>
              <w:pStyle w:val="a6"/>
              <w:tabs>
                <w:tab w:val="clear" w:pos="567"/>
                <w:tab w:val="clear" w:pos="1021"/>
              </w:tabs>
              <w:ind w:right="627"/>
              <w:jc w:val="right"/>
            </w:pPr>
            <w:r>
              <w:t>13</w:t>
            </w:r>
          </w:p>
        </w:tc>
        <w:tc>
          <w:tcPr>
            <w:tcW w:w="1701" w:type="dxa"/>
            <w:tcBorders>
              <w:top w:val="nil"/>
              <w:left w:val="nil"/>
              <w:bottom w:val="nil"/>
              <w:right w:val="nil"/>
            </w:tcBorders>
          </w:tcPr>
          <w:p w:rsidR="00000000" w:rsidRDefault="00000000">
            <w:pPr>
              <w:pStyle w:val="a6"/>
              <w:tabs>
                <w:tab w:val="clear" w:pos="567"/>
                <w:tab w:val="clear" w:pos="1021"/>
              </w:tabs>
              <w:ind w:right="627"/>
              <w:jc w:val="right"/>
            </w:pPr>
            <w:r>
              <w:t>8</w:t>
            </w:r>
          </w:p>
        </w:tc>
        <w:tc>
          <w:tcPr>
            <w:tcW w:w="1560" w:type="dxa"/>
            <w:tcBorders>
              <w:top w:val="nil"/>
              <w:left w:val="nil"/>
              <w:bottom w:val="nil"/>
              <w:right w:val="nil"/>
            </w:tcBorders>
          </w:tcPr>
          <w:p w:rsidR="00000000" w:rsidRDefault="00000000">
            <w:pPr>
              <w:pStyle w:val="a6"/>
              <w:tabs>
                <w:tab w:val="clear" w:pos="567"/>
                <w:tab w:val="clear" w:pos="1021"/>
              </w:tabs>
              <w:ind w:right="627"/>
              <w:jc w:val="right"/>
            </w:pPr>
            <w:r>
              <w:t>0</w:t>
            </w:r>
          </w:p>
        </w:tc>
        <w:tc>
          <w:tcPr>
            <w:tcW w:w="1559" w:type="dxa"/>
            <w:tcBorders>
              <w:top w:val="nil"/>
              <w:left w:val="nil"/>
              <w:bottom w:val="nil"/>
              <w:right w:val="nil"/>
            </w:tcBorders>
          </w:tcPr>
          <w:p w:rsidR="00000000" w:rsidRDefault="00000000">
            <w:pPr>
              <w:pStyle w:val="a6"/>
              <w:tabs>
                <w:tab w:val="clear" w:pos="567"/>
                <w:tab w:val="clear" w:pos="1021"/>
              </w:tabs>
              <w:ind w:right="627"/>
              <w:jc w:val="right"/>
            </w:pPr>
            <w:r>
              <w:t>0</w:t>
            </w:r>
          </w:p>
        </w:tc>
      </w:tr>
      <w:tr w:rsidR="00000000">
        <w:tblPrEx>
          <w:tblCellMar>
            <w:top w:w="0" w:type="dxa"/>
            <w:bottom w:w="0" w:type="dxa"/>
          </w:tblCellMar>
        </w:tblPrEx>
        <w:tc>
          <w:tcPr>
            <w:tcW w:w="2976" w:type="dxa"/>
            <w:tcBorders>
              <w:top w:val="nil"/>
              <w:left w:val="nil"/>
              <w:bottom w:val="single" w:sz="4" w:space="0" w:color="auto"/>
              <w:right w:val="nil"/>
            </w:tcBorders>
          </w:tcPr>
          <w:p w:rsidR="00000000" w:rsidRDefault="00000000">
            <w:pPr>
              <w:pStyle w:val="a7"/>
              <w:spacing w:before="120"/>
              <w:jc w:val="right"/>
            </w:pPr>
            <w:r>
              <w:t>Итого</w:t>
            </w:r>
          </w:p>
        </w:tc>
        <w:tc>
          <w:tcPr>
            <w:tcW w:w="1559" w:type="dxa"/>
            <w:tcBorders>
              <w:top w:val="nil"/>
              <w:left w:val="nil"/>
              <w:bottom w:val="single" w:sz="4" w:space="0" w:color="auto"/>
              <w:right w:val="nil"/>
            </w:tcBorders>
          </w:tcPr>
          <w:p w:rsidR="00000000" w:rsidRDefault="00000000">
            <w:pPr>
              <w:pStyle w:val="a6"/>
              <w:tabs>
                <w:tab w:val="clear" w:pos="567"/>
                <w:tab w:val="clear" w:pos="1021"/>
              </w:tabs>
              <w:spacing w:before="120"/>
              <w:ind w:right="627"/>
              <w:jc w:val="right"/>
            </w:pPr>
            <w:r>
              <w:t>172</w:t>
            </w:r>
          </w:p>
        </w:tc>
        <w:tc>
          <w:tcPr>
            <w:tcW w:w="1701" w:type="dxa"/>
            <w:tcBorders>
              <w:top w:val="nil"/>
              <w:left w:val="nil"/>
              <w:bottom w:val="single" w:sz="4" w:space="0" w:color="auto"/>
              <w:right w:val="nil"/>
            </w:tcBorders>
          </w:tcPr>
          <w:p w:rsidR="00000000" w:rsidRDefault="00000000">
            <w:pPr>
              <w:pStyle w:val="a6"/>
              <w:tabs>
                <w:tab w:val="clear" w:pos="567"/>
                <w:tab w:val="clear" w:pos="1021"/>
              </w:tabs>
              <w:spacing w:before="120"/>
              <w:ind w:right="627"/>
              <w:jc w:val="right"/>
            </w:pPr>
            <w:r>
              <w:t>69</w:t>
            </w:r>
          </w:p>
        </w:tc>
        <w:tc>
          <w:tcPr>
            <w:tcW w:w="1560" w:type="dxa"/>
            <w:tcBorders>
              <w:top w:val="nil"/>
              <w:left w:val="nil"/>
              <w:bottom w:val="single" w:sz="4" w:space="0" w:color="auto"/>
              <w:right w:val="nil"/>
            </w:tcBorders>
          </w:tcPr>
          <w:p w:rsidR="00000000" w:rsidRDefault="00000000">
            <w:pPr>
              <w:pStyle w:val="a6"/>
              <w:tabs>
                <w:tab w:val="clear" w:pos="567"/>
                <w:tab w:val="clear" w:pos="1021"/>
              </w:tabs>
              <w:spacing w:before="120"/>
              <w:ind w:right="627"/>
              <w:jc w:val="right"/>
            </w:pPr>
            <w:r>
              <w:t>239</w:t>
            </w:r>
          </w:p>
        </w:tc>
        <w:tc>
          <w:tcPr>
            <w:tcW w:w="1559" w:type="dxa"/>
            <w:tcBorders>
              <w:top w:val="nil"/>
              <w:left w:val="nil"/>
              <w:bottom w:val="single" w:sz="4" w:space="0" w:color="auto"/>
              <w:right w:val="nil"/>
            </w:tcBorders>
          </w:tcPr>
          <w:p w:rsidR="00000000" w:rsidRDefault="00000000">
            <w:pPr>
              <w:pStyle w:val="a6"/>
              <w:tabs>
                <w:tab w:val="clear" w:pos="567"/>
                <w:tab w:val="clear" w:pos="1021"/>
              </w:tabs>
              <w:spacing w:before="120"/>
              <w:ind w:right="627"/>
              <w:jc w:val="right"/>
            </w:pPr>
            <w:r>
              <w:t>61</w:t>
            </w:r>
          </w:p>
        </w:tc>
      </w:tr>
    </w:tbl>
    <w:p w:rsidR="00000000" w:rsidRDefault="00000000">
      <w:pPr>
        <w:pStyle w:val="BodyText"/>
      </w:pPr>
    </w:p>
    <w:p w:rsidR="00000000" w:rsidRDefault="00000000">
      <w:pPr>
        <w:pStyle w:val="BodyText"/>
      </w:pPr>
      <w:r>
        <w:t>2.</w:t>
      </w:r>
      <w:r>
        <w:tab/>
        <w:t>В 2000–2004 годы одна женщина – представитель Греции занимала пост комиссара в Европейском союзе и ведала вопросами социальной сферы и занятости.</w:t>
      </w:r>
    </w:p>
    <w:p w:rsidR="00000000" w:rsidRDefault="00000000">
      <w:pPr>
        <w:pStyle w:val="Heading2"/>
        <w:spacing w:before="240"/>
        <w:rPr>
          <w:rFonts w:eastAsia="Times"/>
        </w:rPr>
      </w:pPr>
      <w:bookmarkStart w:id="11" w:name="_Toc116466875"/>
      <w:r>
        <w:rPr>
          <w:rFonts w:eastAsia="Times"/>
        </w:rPr>
        <w:t>Статья 9</w:t>
      </w:r>
      <w:bookmarkEnd w:id="11"/>
    </w:p>
    <w:p w:rsidR="00000000" w:rsidRDefault="00000000">
      <w:pPr>
        <w:pStyle w:val="a4"/>
        <w:rPr>
          <w:rFonts w:eastAsia="Times"/>
        </w:rPr>
      </w:pPr>
      <w:r>
        <w:rPr>
          <w:rFonts w:eastAsia="Times"/>
        </w:rPr>
        <w:tab/>
        <w:t>1.</w:t>
      </w:r>
      <w:r>
        <w:rPr>
          <w:rFonts w:eastAsia="Times"/>
        </w:rPr>
        <w:tab/>
        <w:t xml:space="preserve">Государства-участники предоставляют женщинам равные с мужчинами права в отношении приобретения, изменения или сохранения их гражданства. Они, в частности, обеспечивают, что ни вступление в брак с иностранцем, ни изменение гражданства мужа во время брака не влекут за собой автоматического изменения гражданства жены, не превращают ее в лицо без гражданства и не могут заставить ее принять гражданство мужа. </w:t>
      </w:r>
    </w:p>
    <w:p w:rsidR="00000000" w:rsidRDefault="00000000">
      <w:pPr>
        <w:pStyle w:val="a4"/>
      </w:pPr>
      <w:r>
        <w:rPr>
          <w:rFonts w:eastAsia="Times"/>
        </w:rPr>
        <w:tab/>
        <w:t>2.</w:t>
      </w:r>
      <w:r>
        <w:rPr>
          <w:rFonts w:eastAsia="Times"/>
        </w:rPr>
        <w:tab/>
        <w:t>Государства-участники предоставляют женщинам равные с мужчинами права в отношении гражданства их детей.</w:t>
      </w:r>
    </w:p>
    <w:p w:rsidR="00000000" w:rsidRDefault="00000000">
      <w:pPr>
        <w:pStyle w:val="BodyText"/>
      </w:pPr>
      <w:r>
        <w:tab/>
        <w:t xml:space="preserve">Статьи Гражданского кодекса Греции, прежде содержавшие дискриминационные положения, основанные на превосходстве одного пола над другим, были изменены законом 1438/84. Впоследствии статьей 69 Закона 2910/2001 были отменены положения о предельных сроках, применявшиеся в соответствии с законом 1438/84, в отношении женщин с греческим или иностранным гражданством при приобретении или утрате ими греческого гражданства вследствие их брака с иностранным или греческим гражданином, соответственно. Недавняя редакция Гражданского кодекса Греции (закон 3284/2004, Greek Official Gazette, </w:t>
      </w:r>
      <w:r>
        <w:rPr>
          <w:lang w:val="en-GB"/>
        </w:rPr>
        <w:t>F</w:t>
      </w:r>
      <w:r>
        <w:t>.</w:t>
      </w:r>
      <w:r>
        <w:rPr>
          <w:lang w:val="en-GB"/>
        </w:rPr>
        <w:t>E</w:t>
      </w:r>
      <w:r>
        <w:t>.</w:t>
      </w:r>
      <w:r>
        <w:rPr>
          <w:lang w:val="en-GB"/>
        </w:rPr>
        <w:t>K</w:t>
      </w:r>
      <w:r>
        <w:t xml:space="preserve">. </w:t>
      </w:r>
      <w:r>
        <w:rPr>
          <w:lang w:val="en-GB"/>
        </w:rPr>
        <w:t>A</w:t>
      </w:r>
      <w:r>
        <w:t>’217) также привела к изменениям в отношении гендерного равенства, а именно:</w:t>
      </w:r>
    </w:p>
    <w:p w:rsidR="00000000" w:rsidRDefault="00000000">
      <w:pPr>
        <w:pStyle w:val="18-8"/>
      </w:pPr>
      <w:r>
        <w:sym w:font="Symbol" w:char="F0B7"/>
      </w:r>
      <w:r>
        <w:tab/>
        <w:t>Иностранная гражданка, получившая греческое гражданство вследствие брака с гражданином Греции и сохраняющая гражданство, которое она имела до брака, может быть лишена греческого гражданства при направлении соответствующего пожелания в адрес Генерального секретаря региона или консульских властей Греции по месту ее постоянного или временного проживания. Лишение греческого гражданства удостоверяется решением Генерального секретаря соответствующего региона (статья 21)</w:t>
      </w:r>
      <w:r>
        <w:rPr>
          <w:rStyle w:val="FootnoteReference"/>
        </w:rPr>
        <w:footnoteReference w:id="29"/>
      </w:r>
      <w:r>
        <w:t>.</w:t>
      </w:r>
    </w:p>
    <w:p w:rsidR="00000000" w:rsidRDefault="00000000">
      <w:pPr>
        <w:pStyle w:val="18-8"/>
      </w:pPr>
      <w:r>
        <w:sym w:font="Symbol" w:char="F0B7"/>
      </w:r>
      <w:r>
        <w:tab/>
        <w:t>Гражданка Греции, лишившаяся греческого гражданства в результате брака с иностранцем, может восстановить его, если обратится с соответствующим пожеланием в адрес Генерального секретаря региона или консульских властей Греции по месту ее постоянного или временного проживания (статья 22)</w:t>
      </w:r>
      <w:r>
        <w:rPr>
          <w:rStyle w:val="FootnoteReference"/>
        </w:rPr>
        <w:footnoteReference w:id="30"/>
      </w:r>
      <w:r>
        <w:t>.</w:t>
      </w:r>
    </w:p>
    <w:p w:rsidR="00000000" w:rsidRDefault="00000000">
      <w:pPr>
        <w:pStyle w:val="18-8"/>
      </w:pPr>
      <w:r>
        <w:sym w:font="Symbol" w:char="F0B7"/>
      </w:r>
      <w:r>
        <w:tab/>
        <w:t>Ребенок, рожденный до 8 мая 1984 года, от матери, имевшей греческое гражданство на момент родов или в период брака, в котором был рожден данный ребенок, может получить греческое гражданство, если он/она выразит соответствующее пожелание в адрес Генерального секретаря региона или консульских властей Греции по месту его/ее постоянного или временного проживания (пункт 1 статьи 14)</w:t>
      </w:r>
      <w:r>
        <w:rPr>
          <w:rStyle w:val="FootnoteReference"/>
        </w:rPr>
        <w:footnoteReference w:id="31"/>
      </w:r>
      <w:r>
        <w:t>.</w:t>
      </w:r>
    </w:p>
    <w:p w:rsidR="00000000" w:rsidRDefault="00000000">
      <w:pPr>
        <w:pStyle w:val="18-8"/>
      </w:pPr>
      <w:r>
        <w:sym w:font="Symbol" w:char="F0B7"/>
      </w:r>
      <w:r>
        <w:tab/>
        <w:t>Ребенок, рожденный от отца-грека и матери-иностранки до вступления в силу закона 1250/1982, при том условии что он был признан законным в соответствии с положением пункта 3 статьи 7 вышеупомянутого закона, получает греческое гражданство, при направлении соответствующего пожелания в адрес Генерального секретаря региона или консульских властей Греции по месту ее/его постоянного или временного проживания (пункт 2 статьи 14)</w:t>
      </w:r>
      <w:r>
        <w:rPr>
          <w:rStyle w:val="FootnoteReference"/>
        </w:rPr>
        <w:footnoteReference w:id="32"/>
      </w:r>
      <w:r>
        <w:t>.</w:t>
      </w:r>
    </w:p>
    <w:p w:rsidR="00000000" w:rsidRDefault="00000000">
      <w:pPr>
        <w:pStyle w:val="18-8"/>
      </w:pPr>
      <w:r>
        <w:sym w:font="Symbol" w:char="F0B7"/>
      </w:r>
      <w:r>
        <w:tab/>
        <w:t>В соответствии с настоящей статьей дети лиц, имеющих греческое гражданство, получают греческое гражданство без дальнейших процедур, при условии что они являются несовершеннолетними и не состоят в браке на момент подачи заявления (пункт 4 статьи 14)</w:t>
      </w:r>
      <w:r>
        <w:rPr>
          <w:rStyle w:val="FootnoteReference"/>
        </w:rPr>
        <w:footnoteReference w:id="33"/>
      </w:r>
      <w:r>
        <w:t>.</w:t>
      </w:r>
    </w:p>
    <w:p w:rsidR="00000000" w:rsidRDefault="00000000">
      <w:pPr>
        <w:pStyle w:val="Heading2"/>
        <w:spacing w:after="220"/>
      </w:pPr>
      <w:bookmarkStart w:id="12" w:name="_Toc116466876"/>
      <w:r>
        <w:t>Статья 10</w:t>
      </w:r>
      <w:bookmarkEnd w:id="12"/>
    </w:p>
    <w:p w:rsidR="00000000" w:rsidRDefault="00000000">
      <w:pPr>
        <w:pStyle w:val="a4"/>
        <w:spacing w:after="220"/>
      </w:pPr>
      <w:r>
        <w:t xml:space="preserve">Государства-участники принимают все соответствующие меры для того, чтобы ликвидировать дискриминацию в отношении женщин, с тем чтобы обеспечить им равные права с мужчинами в области образования и, в частности, обеспечить на основе равноправия мужчин и женщин: </w:t>
      </w:r>
    </w:p>
    <w:p w:rsidR="00000000" w:rsidRDefault="00000000">
      <w:pPr>
        <w:pStyle w:val="a4"/>
        <w:spacing w:after="220"/>
      </w:pPr>
      <w:r>
        <w:tab/>
        <w:t>а)</w:t>
      </w:r>
      <w:r>
        <w:tab/>
        <w:t>одинаковые условия для ориентации в выборе профессии или специальности, для доступа к образованию и получению дипломов в учебных заведениях всех категорий как в сельских, так и в городских районах; это равенство обеспечивается в дошкольном, общем, специальном и высшем техническом образовании, а также во всех видах профессиональной подготовки;</w:t>
      </w:r>
    </w:p>
    <w:p w:rsidR="00000000" w:rsidRDefault="00000000">
      <w:pPr>
        <w:pStyle w:val="a4"/>
        <w:spacing w:after="220"/>
      </w:pPr>
      <w:r>
        <w:tab/>
        <w:t>b)</w:t>
      </w:r>
      <w:r>
        <w:tab/>
        <w:t xml:space="preserve">доступ к одинаковым программам обучения, одинаковым экзаменам, преподавательскому составу одинаковой квалификации, школьным помещениям и оборудованию равного качества;  </w:t>
      </w:r>
    </w:p>
    <w:p w:rsidR="00000000" w:rsidRDefault="00000000">
      <w:pPr>
        <w:pStyle w:val="a4"/>
        <w:spacing w:after="220"/>
      </w:pPr>
      <w:r>
        <w:tab/>
        <w:t>с)</w:t>
      </w:r>
      <w:r>
        <w:tab/>
        <w:t>устранение любой стереотипной концепции роли мужчин и женщин на всех уровнях и во всех формах обучения путем поощрения совместного обучения и других видов обучения, которые будут содействовать достижению этой цели, и, в частности, путем пересмотра учебных пособий и школьных программ и адаптации методов обучения;</w:t>
      </w:r>
    </w:p>
    <w:p w:rsidR="00000000" w:rsidRDefault="00000000">
      <w:pPr>
        <w:pStyle w:val="a4"/>
        <w:spacing w:after="220"/>
      </w:pPr>
      <w:r>
        <w:tab/>
        <w:t>d)</w:t>
      </w:r>
      <w:r>
        <w:tab/>
        <w:t>одинаковые возможности получения стипендий и других пособий на образование;</w:t>
      </w:r>
    </w:p>
    <w:p w:rsidR="00000000" w:rsidRDefault="00000000">
      <w:pPr>
        <w:pStyle w:val="a4"/>
        <w:spacing w:after="220"/>
      </w:pPr>
      <w:r>
        <w:tab/>
        <w:t>е)</w:t>
      </w:r>
      <w:r>
        <w:tab/>
        <w:t>одинаковые возможности доступа к программам продолжения образования, включая программы распространения грамотности среди взрослых и программы функциональной грамотности, направленные, в частности, на сокращение как можно скорее любого разрыва в знаниях мужчин и женщин;</w:t>
      </w:r>
    </w:p>
    <w:p w:rsidR="00000000" w:rsidRDefault="00000000">
      <w:pPr>
        <w:pStyle w:val="a4"/>
        <w:spacing w:after="220"/>
      </w:pPr>
      <w:r>
        <w:tab/>
        <w:t>f)</w:t>
      </w:r>
      <w:r>
        <w:tab/>
        <w:t xml:space="preserve">сокращение числа девушек, не заканчивающих школу, и разработку программ для девушек и женщин, преждевременно покинувших школу;  </w:t>
      </w:r>
    </w:p>
    <w:p w:rsidR="00000000" w:rsidRDefault="00000000">
      <w:pPr>
        <w:pStyle w:val="a4"/>
        <w:spacing w:after="220"/>
      </w:pPr>
      <w:r>
        <w:tab/>
        <w:t>g)</w:t>
      </w:r>
      <w:r>
        <w:tab/>
        <w:t xml:space="preserve">одинаковые возможности активно участвовать в занятиях спортом и физической подготовкой;  </w:t>
      </w:r>
    </w:p>
    <w:p w:rsidR="00000000" w:rsidRDefault="00000000">
      <w:pPr>
        <w:pStyle w:val="a4"/>
        <w:spacing w:after="220"/>
      </w:pPr>
      <w:r>
        <w:tab/>
        <w:t>h)</w:t>
      </w:r>
      <w:r>
        <w:tab/>
        <w:t>доступ к специальной информации образовательного характера в целях содействия обеспечению здоровья и благосостояния семей, включая информацию и консультации о планировании размера семьи.</w:t>
      </w:r>
    </w:p>
    <w:p w:rsidR="00000000" w:rsidRDefault="00000000">
      <w:pPr>
        <w:pStyle w:val="BodyText"/>
      </w:pPr>
      <w:r>
        <w:t>1.</w:t>
      </w:r>
      <w:r>
        <w:tab/>
        <w:t>Греческое государство подготовило план скоординированных действий по борьбе с дискриминацией и обеспечению равных прав для мужчин и женщин в рамках школьного обучения и непрерывного образования на протяжении всей жизни. Первые результаты данного плана уже отражены в статистике (приложение D).</w:t>
      </w:r>
    </w:p>
    <w:p w:rsidR="00000000" w:rsidRDefault="00000000">
      <w:pPr>
        <w:pStyle w:val="BodyText"/>
        <w:jc w:val="center"/>
        <w:rPr>
          <w:b/>
        </w:rPr>
      </w:pPr>
      <w:r>
        <w:rPr>
          <w:b/>
          <w:lang w:val="en-US"/>
        </w:rPr>
        <w:t>I</w:t>
      </w:r>
      <w:r>
        <w:rPr>
          <w:b/>
        </w:rPr>
        <w:t>.  Профессиональная ориентация в школе</w:t>
      </w:r>
    </w:p>
    <w:p w:rsidR="00000000" w:rsidRDefault="00000000">
      <w:pPr>
        <w:pStyle w:val="BodyText"/>
      </w:pPr>
      <w:r>
        <w:t>2.</w:t>
      </w:r>
      <w:r>
        <w:tab/>
        <w:t>Исследовательский центр по вопросам гендерного равенства (K.E.TH.I.) в сотрудничестве с департаментами образования, экологического образования и профессиональной ориентации в школе, осуществили на протяжении 2003–2004 годов программы воздействия с целью достижения равноправия в области профессиональной ориентации в школе.</w:t>
      </w:r>
    </w:p>
    <w:p w:rsidR="00000000" w:rsidRDefault="00000000">
      <w:pPr>
        <w:pStyle w:val="BodyText"/>
      </w:pPr>
      <w:r>
        <w:tab/>
        <w:t>В рамках этих программ:</w:t>
      </w:r>
    </w:p>
    <w:p w:rsidR="00000000" w:rsidRDefault="00000000">
      <w:pPr>
        <w:pStyle w:val="18-8"/>
      </w:pPr>
      <w:r>
        <w:sym w:font="Symbol" w:char="F0B7"/>
      </w:r>
      <w:r>
        <w:tab/>
        <w:t>профессиональную подготовку получили 511 мужчин и 1510 женщин – преподавателей средних общеобразовательных школ и технических училищ;</w:t>
      </w:r>
    </w:p>
    <w:p w:rsidR="00000000" w:rsidRDefault="00000000">
      <w:pPr>
        <w:pStyle w:val="18-8"/>
      </w:pPr>
      <w:r>
        <w:sym w:font="Symbol" w:char="F0B7"/>
      </w:r>
      <w:r>
        <w:tab/>
        <w:t>оказана поддержка 16 864 юношам и 20 209 девушкам, получающим среднее общее и техническое образование.</w:t>
      </w:r>
    </w:p>
    <w:p w:rsidR="00000000" w:rsidRDefault="00000000">
      <w:pPr>
        <w:pStyle w:val="BodyText"/>
      </w:pPr>
      <w:r>
        <w:t>3.</w:t>
      </w:r>
      <w:r>
        <w:tab/>
        <w:t>KETHI также осуществил программу (2002–2006 годы) с целью содействия гендерному равенству среди юношей и девушек, получающих среднее образование, а также проходящих начальное профессиональное обучение, с помощью мероприятий по развитию критического мышления, исследовательских и организаторских способностей и опыта, умения сотрудничать и заниматься совместным творчеством. Это научит юношей и девушек:</w:t>
      </w:r>
    </w:p>
    <w:p w:rsidR="00000000" w:rsidRDefault="00000000">
      <w:pPr>
        <w:pStyle w:val="18-8"/>
      </w:pPr>
      <w:r>
        <w:sym w:font="Symbol" w:char="F0B7"/>
      </w:r>
      <w:r>
        <w:tab/>
        <w:t>распознавать гендерное неравенство в образовательной системе, проявляющееся как в их собственных отношениях и поведении, так и среди преподавателей;</w:t>
      </w:r>
    </w:p>
    <w:p w:rsidR="00000000" w:rsidRDefault="00000000">
      <w:pPr>
        <w:pStyle w:val="18-8"/>
      </w:pPr>
      <w:r>
        <w:sym w:font="Symbol" w:char="F0B7"/>
      </w:r>
      <w:r>
        <w:tab/>
        <w:t>критически подходить к тому, как представлены оба пола в учебных пособиях и программах, а также в СМИ;</w:t>
      </w:r>
    </w:p>
    <w:p w:rsidR="00000000" w:rsidRDefault="00000000">
      <w:pPr>
        <w:pStyle w:val="18-8"/>
      </w:pPr>
      <w:r>
        <w:sym w:font="Symbol" w:char="F0B7"/>
      </w:r>
      <w:r>
        <w:tab/>
        <w:t>осознавать патриархальность общественной структуры и ущемленное положение женщин в современных демократиях;</w:t>
      </w:r>
    </w:p>
    <w:p w:rsidR="00000000" w:rsidRDefault="00000000">
      <w:pPr>
        <w:pStyle w:val="18-8"/>
      </w:pPr>
      <w:r>
        <w:sym w:font="Symbol" w:char="F0B7"/>
      </w:r>
      <w:r>
        <w:tab/>
        <w:t>осознавать различия в подходе школы и семьи к формированию гендерной идентичности в подростковый период;</w:t>
      </w:r>
    </w:p>
    <w:p w:rsidR="00000000" w:rsidRDefault="00000000">
      <w:pPr>
        <w:pStyle w:val="18-8"/>
      </w:pPr>
      <w:r>
        <w:sym w:font="Symbol" w:char="F0B7"/>
      </w:r>
      <w:r>
        <w:tab/>
        <w:t>развить в себе осознанный подход к гражданскому статусу мужчины и женщины, ведущий к признанию принципов гендерного равенства как неотъемлемого элемента демократии, и к следованию этому принципу;</w:t>
      </w:r>
    </w:p>
    <w:p w:rsidR="00000000" w:rsidRDefault="00000000">
      <w:pPr>
        <w:pStyle w:val="18-8"/>
      </w:pPr>
      <w:r>
        <w:sym w:font="Symbol" w:char="F0B7"/>
      </w:r>
      <w:r>
        <w:tab/>
        <w:t>при определении своей учебной и профессиональной специализации преодолевать стереотипное восприятие, порождающее вертикальную и горизонтальную профессиональную сегрегацию на рынке труда.</w:t>
      </w:r>
    </w:p>
    <w:p w:rsidR="00000000" w:rsidRDefault="00000000">
      <w:pPr>
        <w:pStyle w:val="BodyText"/>
      </w:pPr>
      <w:r>
        <w:tab/>
        <w:t>В целом программа включает 52 курса подготовки для преподавателей и 700 программ воздействия.</w:t>
      </w:r>
    </w:p>
    <w:p w:rsidR="00000000" w:rsidRDefault="00000000">
      <w:pPr>
        <w:pStyle w:val="BodyText"/>
        <w:jc w:val="center"/>
        <w:rPr>
          <w:b/>
        </w:rPr>
      </w:pPr>
      <w:r>
        <w:rPr>
          <w:b/>
        </w:rPr>
        <w:br w:type="page"/>
      </w:r>
      <w:r>
        <w:rPr>
          <w:b/>
          <w:lang w:val="en-GB"/>
        </w:rPr>
        <w:t>II</w:t>
      </w:r>
      <w:r>
        <w:rPr>
          <w:b/>
        </w:rPr>
        <w:t>.  Пересмотр учебный пособий</w:t>
      </w:r>
    </w:p>
    <w:p w:rsidR="00000000" w:rsidRDefault="00000000">
      <w:pPr>
        <w:pStyle w:val="BodyText"/>
      </w:pPr>
      <w:r>
        <w:t>4.</w:t>
      </w:r>
      <w:r>
        <w:rPr>
          <w:b/>
        </w:rPr>
        <w:tab/>
      </w:r>
      <w:r>
        <w:t>Педагогический институт как учреждение, ответственное за используемые в школах учебные пособия:</w:t>
      </w:r>
    </w:p>
    <w:p w:rsidR="00000000" w:rsidRDefault="00000000">
      <w:pPr>
        <w:pStyle w:val="18-8"/>
      </w:pPr>
      <w:r>
        <w:sym w:font="Symbol" w:char="F0B7"/>
      </w:r>
      <w:r>
        <w:tab/>
        <w:t xml:space="preserve">предпринял шаги по недопущению оскорбительных стереотипов в отношении женщин в установках тематического комплексного учебного плана (2004 год); </w:t>
      </w:r>
    </w:p>
    <w:p w:rsidR="00000000" w:rsidRDefault="00000000">
      <w:pPr>
        <w:pStyle w:val="18-8"/>
      </w:pPr>
      <w:r>
        <w:sym w:font="Symbol" w:char="F0B7"/>
      </w:r>
      <w:r>
        <w:tab/>
        <w:t>учредил Комитет по проблемам равноправия, состоящий из представителей самого Института (2001 год);</w:t>
      </w:r>
    </w:p>
    <w:p w:rsidR="00000000" w:rsidRDefault="00000000">
      <w:pPr>
        <w:pStyle w:val="18-8"/>
      </w:pPr>
      <w:r>
        <w:sym w:font="Symbol" w:char="F0B7"/>
      </w:r>
      <w:r>
        <w:tab/>
        <w:t>уже с 2000 года ввел в общеобразовательную программу равноценный подход в отношении обоих полов.</w:t>
      </w:r>
    </w:p>
    <w:p w:rsidR="00000000" w:rsidRDefault="00000000">
      <w:pPr>
        <w:pStyle w:val="BodyText"/>
        <w:jc w:val="center"/>
        <w:rPr>
          <w:b/>
        </w:rPr>
      </w:pPr>
    </w:p>
    <w:p w:rsidR="00000000" w:rsidRDefault="00000000">
      <w:pPr>
        <w:pStyle w:val="BodyText"/>
        <w:jc w:val="center"/>
        <w:rPr>
          <w:b/>
        </w:rPr>
      </w:pPr>
      <w:r>
        <w:rPr>
          <w:b/>
          <w:lang w:val="en-GB"/>
        </w:rPr>
        <w:t>III</w:t>
      </w:r>
      <w:r>
        <w:rPr>
          <w:b/>
        </w:rPr>
        <w:t>.  Подготовка родителей</w:t>
      </w:r>
    </w:p>
    <w:p w:rsidR="00000000" w:rsidRDefault="00000000">
      <w:pPr>
        <w:pStyle w:val="BodyText"/>
      </w:pPr>
      <w:r>
        <w:t>5.</w:t>
      </w:r>
      <w:r>
        <w:tab/>
        <w:t>В рамках специальной программы "Консультация для родителей" были открыты 40-часовые подготовительные курсы для групп, состоящих из 20 человек. Квалифицированные преподаватели, используя соответствующие методические материалы, предлагают к рассмотрению проблемы и предоставляют родителям возможность активно участвовать в образовательном процессе, не только обмениваясь опытом, но и участвуя в практических тренингах.</w:t>
      </w:r>
    </w:p>
    <w:p w:rsidR="00000000" w:rsidRDefault="00000000">
      <w:pPr>
        <w:pStyle w:val="BodyText"/>
      </w:pPr>
      <w:r>
        <w:tab/>
        <w:t>Основные проблемы, предлагаемые к ознакомлению родителям, которые посещают эти курсы:</w:t>
      </w:r>
    </w:p>
    <w:p w:rsidR="00000000" w:rsidRDefault="00000000">
      <w:pPr>
        <w:pStyle w:val="BodyText"/>
      </w:pPr>
      <w:r>
        <w:tab/>
        <w:t>–</w:t>
      </w:r>
      <w:r>
        <w:tab/>
        <w:t>Семья как группа</w:t>
      </w:r>
    </w:p>
    <w:p w:rsidR="00000000" w:rsidRDefault="00000000">
      <w:pPr>
        <w:pStyle w:val="BodyText"/>
      </w:pPr>
      <w:r>
        <w:tab/>
        <w:t>–</w:t>
      </w:r>
      <w:r>
        <w:tab/>
        <w:t>Общение как межличностные взаимоотношения</w:t>
      </w:r>
    </w:p>
    <w:p w:rsidR="00000000" w:rsidRDefault="00000000">
      <w:pPr>
        <w:pStyle w:val="BodyText"/>
      </w:pPr>
      <w:r>
        <w:tab/>
        <w:t>–</w:t>
      </w:r>
      <w:r>
        <w:tab/>
        <w:t>Рост и развитие детей и подростков</w:t>
      </w:r>
    </w:p>
    <w:p w:rsidR="00000000" w:rsidRDefault="00000000">
      <w:pPr>
        <w:pStyle w:val="BodyText"/>
      </w:pPr>
      <w:r>
        <w:tab/>
        <w:t>–</w:t>
      </w:r>
      <w:r>
        <w:tab/>
        <w:t>Семья и школа</w:t>
      </w:r>
    </w:p>
    <w:p w:rsidR="00000000" w:rsidRDefault="00000000">
      <w:pPr>
        <w:pStyle w:val="BodyText"/>
      </w:pPr>
      <w:r>
        <w:tab/>
        <w:t>На первом этапе осуществления программы (2003–2004 годы) было организовано 238 курсов в 14 префектурах. На втором этапе (2004–2005 годы) планируется организация 254 консультативных курсов в 51 префектуре.</w:t>
      </w:r>
    </w:p>
    <w:p w:rsidR="00000000" w:rsidRDefault="00000000">
      <w:pPr>
        <w:pStyle w:val="BodyText"/>
        <w:jc w:val="center"/>
        <w:rPr>
          <w:b/>
        </w:rPr>
      </w:pPr>
    </w:p>
    <w:p w:rsidR="00000000" w:rsidRDefault="00000000">
      <w:pPr>
        <w:pStyle w:val="BodyText"/>
        <w:jc w:val="center"/>
        <w:rPr>
          <w:b/>
        </w:rPr>
      </w:pPr>
      <w:r>
        <w:rPr>
          <w:b/>
          <w:lang w:val="en-GB"/>
        </w:rPr>
        <w:t>IV</w:t>
      </w:r>
      <w:r>
        <w:rPr>
          <w:b/>
        </w:rPr>
        <w:t>.  Профессиональная подготовка преподавателей в области новых технологий</w:t>
      </w:r>
    </w:p>
    <w:p w:rsidR="00000000" w:rsidRDefault="00000000">
      <w:pPr>
        <w:pStyle w:val="BodyText"/>
      </w:pPr>
      <w:r>
        <w:t>6.</w:t>
      </w:r>
      <w:r>
        <w:tab/>
        <w:t>В рамках проекта "Профессиональная подготовка преподавателей по применению новых информационных и коммуникационных технологий в образовании" были подготовлены 76 000 преподавателей, 59 процентов из которых составили женщины и 41 процент – мужчины.</w:t>
      </w:r>
    </w:p>
    <w:p w:rsidR="00000000" w:rsidRDefault="00000000">
      <w:pPr>
        <w:pStyle w:val="BodyText"/>
        <w:jc w:val="center"/>
        <w:rPr>
          <w:b/>
        </w:rPr>
      </w:pPr>
      <w:r>
        <w:rPr>
          <w:b/>
        </w:rPr>
        <w:br w:type="page"/>
      </w:r>
      <w:r>
        <w:rPr>
          <w:b/>
          <w:lang w:val="en-GB"/>
        </w:rPr>
        <w:t>V</w:t>
      </w:r>
      <w:r>
        <w:rPr>
          <w:b/>
        </w:rPr>
        <w:t>.  Непрерывное образование</w:t>
      </w:r>
    </w:p>
    <w:p w:rsidR="00000000" w:rsidRDefault="00000000">
      <w:pPr>
        <w:pStyle w:val="BodyText"/>
      </w:pPr>
      <w:r>
        <w:t>7.</w:t>
      </w:r>
      <w:r>
        <w:tab/>
        <w:t>"Школы второго шанса" – гибкая новаторская образовательная программа по предотвращению социальной отчужденности лиц, не обладающих требуемыми навыками и умениями и потому не удовлетворяющих современным требованиям рынка труда. Эта программа предлагает лицам старше 18 лет, не завершившим обязательного девятилетнего образования, возможность получить соответствующий сертификат и беспрепятственно влиться в общественную, экономическую и трудовую жизнь. В частности, основными целями программы являются:</w:t>
      </w:r>
    </w:p>
    <w:p w:rsidR="00000000" w:rsidRDefault="00000000">
      <w:pPr>
        <w:pStyle w:val="18-8"/>
      </w:pPr>
      <w:r>
        <w:sym w:font="Symbol" w:char="F0B7"/>
      </w:r>
      <w:r>
        <w:tab/>
        <w:t>восстановление образовательного процесса для прервавших обязательное образование;</w:t>
      </w:r>
    </w:p>
    <w:p w:rsidR="00000000" w:rsidRDefault="00000000">
      <w:pPr>
        <w:pStyle w:val="18-8"/>
      </w:pPr>
      <w:r>
        <w:sym w:font="Symbol" w:char="F0B7"/>
      </w:r>
      <w:r>
        <w:tab/>
        <w:t>установление сотрудничества между школой, местным обществом, деловым миром и системой образования.</w:t>
      </w:r>
    </w:p>
    <w:p w:rsidR="00000000" w:rsidRDefault="00000000">
      <w:pPr>
        <w:pStyle w:val="BodyText"/>
      </w:pPr>
      <w:r>
        <w:tab/>
        <w:t>Учебный план охватывает три тематических раздела:</w:t>
      </w:r>
    </w:p>
    <w:p w:rsidR="00000000" w:rsidRDefault="00000000">
      <w:pPr>
        <w:pStyle w:val="18-8"/>
      </w:pPr>
      <w:r>
        <w:sym w:font="Symbol" w:char="F0B7"/>
      </w:r>
      <w:r>
        <w:tab/>
        <w:t>развитие навыков и умений в области языкознания, математики и коммуникаций, с особым упором на иностранные языки и информатику;</w:t>
      </w:r>
    </w:p>
    <w:p w:rsidR="00000000" w:rsidRDefault="00000000">
      <w:pPr>
        <w:pStyle w:val="18-8"/>
      </w:pPr>
      <w:r>
        <w:sym w:font="Symbol" w:char="F0B7"/>
      </w:r>
      <w:r>
        <w:tab/>
        <w:t>базовое обучение и подготовка к трудовой деятельности в сотрудничестве с местными органами власти;</w:t>
      </w:r>
    </w:p>
    <w:p w:rsidR="00000000" w:rsidRDefault="00000000">
      <w:pPr>
        <w:pStyle w:val="18-8"/>
      </w:pPr>
      <w:r>
        <w:sym w:font="Symbol" w:char="F0B7"/>
      </w:r>
      <w:r>
        <w:tab/>
        <w:t>развитие навыков и умений с учетом индивидуальных способностей учащихся, например, в спорте, музыке, театральном деле и т. д.</w:t>
      </w:r>
    </w:p>
    <w:p w:rsidR="00000000" w:rsidRDefault="00000000">
      <w:pPr>
        <w:pStyle w:val="BodyText"/>
      </w:pPr>
      <w:r>
        <w:tab/>
        <w:t>Общая продолжительность программы – 18 месяцев (два 9-месячных семестра).</w:t>
      </w:r>
    </w:p>
    <w:p w:rsidR="00000000" w:rsidRDefault="00000000">
      <w:pPr>
        <w:pStyle w:val="BodyText"/>
      </w:pPr>
      <w:r>
        <w:tab/>
        <w:t>В настоящее время в Греции функционируют 18 "школ второго шанса" в следующих префектурах:</w:t>
      </w:r>
    </w:p>
    <w:p w:rsidR="00000000" w:rsidRDefault="00000000">
      <w:pPr>
        <w:pStyle w:val="BodyText"/>
      </w:pPr>
      <w:r>
        <w:tab/>
        <w:t>Этоллия и Карнания (Агринион), Аттика (Ахарнес, Коридаллос, Перистери, Каллифея), Ахея (Патра), Эврос (Александруполис), Драма (Драма), Янина (Янина), Элида (Пиргос), Ираклион (Тилиссос), Салоники (Салоники, Неаполис), Лариса (Лариса), Ласитион (Иерапетра), Лесбос (Митилини), Пелла (Гианница).</w:t>
      </w:r>
    </w:p>
    <w:p w:rsidR="00000000" w:rsidRDefault="00000000">
      <w:pPr>
        <w:pStyle w:val="BodyText"/>
      </w:pPr>
      <w:r>
        <w:tab/>
        <w:t>В процессе становления находятся "школы второго шанса" в следующих префектурах: Аттика (Св. Анаргиры, Пирей), Беотия (Орхоменос), Эвбея (Аливери), Кардица (Кардица), Кастория (Кастория), Лариса (Институт коррекции), Магнисия (Волос), Ксанти (Ксанти), Сере (Сере), Трикала (Трикала), Фтиотида (Ламия), Флорина (Флорина), Фокида (Амфиса).</w:t>
      </w:r>
    </w:p>
    <w:p w:rsidR="00000000" w:rsidRDefault="00000000">
      <w:pPr>
        <w:pStyle w:val="BodyText"/>
      </w:pPr>
      <w:r>
        <w:tab/>
        <w:t>Греческие "школы второго шанса" входят в Европейскую сеть "школ второго шанса" (</w:t>
      </w:r>
      <w:r>
        <w:rPr>
          <w:lang w:val="en-GB"/>
        </w:rPr>
        <w:t>www</w:t>
      </w:r>
      <w:r>
        <w:t>.</w:t>
      </w:r>
      <w:r>
        <w:rPr>
          <w:lang w:val="en-GB"/>
        </w:rPr>
        <w:t>e</w:t>
      </w:r>
      <w:r>
        <w:t>2</w:t>
      </w:r>
      <w:r>
        <w:rPr>
          <w:lang w:val="en-GB"/>
        </w:rPr>
        <w:t>c</w:t>
      </w:r>
      <w:r>
        <w:noBreakHyphen/>
      </w:r>
      <w:r>
        <w:rPr>
          <w:lang w:val="en-GB"/>
        </w:rPr>
        <w:t>europe</w:t>
      </w:r>
      <w:r>
        <w:t>.</w:t>
      </w:r>
      <w:r>
        <w:rPr>
          <w:lang w:val="en-GB"/>
        </w:rPr>
        <w:t>org</w:t>
      </w:r>
      <w:r>
        <w:t>).</w:t>
      </w:r>
    </w:p>
    <w:p w:rsidR="00000000" w:rsidRDefault="00000000">
      <w:pPr>
        <w:pStyle w:val="BodyText"/>
      </w:pPr>
      <w:r>
        <w:br w:type="page"/>
        <w:t>8.</w:t>
      </w:r>
      <w:r>
        <w:rPr>
          <w:b/>
        </w:rPr>
        <w:tab/>
      </w:r>
      <w:r>
        <w:t>Институты профессиональной подготовки (V.T.I.) не включены в официальную систему образования. Эти институты являются дополнением к образовательной системе и помогают молодым людям интегрироваться на рынке труда. Их цель – обеспечивать любой вид профессионального обучения, начального или дополнительного, чтобы упростить профессиональную интеграцию молодых людей в общество и обеспечить их адаптацию к изменяющимся требованиям производственного процесса.</w:t>
      </w:r>
    </w:p>
    <w:p w:rsidR="00000000" w:rsidRDefault="00000000">
      <w:pPr>
        <w:pStyle w:val="BodyText"/>
      </w:pPr>
      <w:r>
        <w:tab/>
        <w:t>Статистические данные (Приложение D) свидетельствуют о том, что число женщин в институтах профессиональной подготовки выше числа мужчин (9776 женщин и 7681 мужчина).</w:t>
      </w:r>
    </w:p>
    <w:p w:rsidR="00000000" w:rsidRDefault="00000000">
      <w:pPr>
        <w:pStyle w:val="BodyText"/>
        <w:jc w:val="center"/>
        <w:rPr>
          <w:b/>
        </w:rPr>
      </w:pPr>
      <w:r>
        <w:rPr>
          <w:b/>
          <w:lang w:val="en-GB"/>
        </w:rPr>
        <w:t>VI</w:t>
      </w:r>
      <w:r>
        <w:rPr>
          <w:b/>
        </w:rPr>
        <w:t>.  Межкультурное образование</w:t>
      </w:r>
    </w:p>
    <w:p w:rsidR="00000000" w:rsidRDefault="00000000">
      <w:pPr>
        <w:pStyle w:val="BodyText"/>
      </w:pPr>
      <w:r>
        <w:t>9.</w:t>
      </w:r>
      <w:r>
        <w:tab/>
        <w:t>Министерство образования осуществляет специальные программы межкультурного образования, ориентированные на:</w:t>
      </w:r>
    </w:p>
    <w:p w:rsidR="00000000" w:rsidRDefault="00000000">
      <w:pPr>
        <w:pStyle w:val="BodyText"/>
      </w:pPr>
      <w:r>
        <w:tab/>
        <w:t>–</w:t>
      </w:r>
      <w:r>
        <w:tab/>
        <w:t>учащихся из числа цыган (юношей и девушек)</w:t>
      </w:r>
    </w:p>
    <w:p w:rsidR="00000000" w:rsidRDefault="00000000">
      <w:pPr>
        <w:pStyle w:val="BodyText"/>
      </w:pPr>
      <w:r>
        <w:tab/>
        <w:t>–</w:t>
      </w:r>
      <w:r>
        <w:tab/>
        <w:t>учащихся из числа иностранцев и греческих репатриантов (юношей и девушек).</w:t>
      </w:r>
    </w:p>
    <w:p w:rsidR="00000000" w:rsidRDefault="00000000">
      <w:pPr>
        <w:pStyle w:val="BodyText"/>
      </w:pPr>
      <w:r>
        <w:tab/>
        <w:t>Для учащихся из числа цыган проводятся специальные программы подготовки; для этой цели создано 100 постоянных мест работы для преподавателей, и такое же число преподавателей было назначено на соответствующие должности. В то же время для упрощения доступа в школу детей из числа цыган введена специальная карточка посещаемости, которая дает им возможность посещать любую школу, минуя официальную процедуру регистрации в случае, если их родители поменяют место жительства.</w:t>
      </w:r>
    </w:p>
    <w:p w:rsidR="00000000" w:rsidRDefault="00000000">
      <w:pPr>
        <w:pStyle w:val="BodyText"/>
      </w:pPr>
      <w:r>
        <w:tab/>
        <w:t>Для греческих репатриантов и учащихся-иностранцев проводятся специальные программы в 12 элементарных школах межкультурного образования, действующих в нескольких регионах страны. Специальные программы также осуществляются в значительном количестве обычных элементарных школах страны, где много греческих репатриантов и учащихся из числа иностранцев. С этой целью в прошлом году было организовано около 500 приемных классов и 700 преподавательских курсов. Для работы в приемных классах было создано 257 постоянных мест работы в расчете на учителей начальной школы, остальные вакансии были укомплектованы внештатными учителями</w:t>
      </w:r>
      <w:r>
        <w:rPr>
          <w:rStyle w:val="FootnoteReference"/>
        </w:rPr>
        <w:footnoteReference w:id="34"/>
      </w:r>
      <w:r>
        <w:t>.</w:t>
      </w:r>
    </w:p>
    <w:p w:rsidR="00000000" w:rsidRDefault="00000000">
      <w:pPr>
        <w:pStyle w:val="BodyText"/>
      </w:pPr>
      <w:r>
        <w:tab/>
        <w:t>Генеральный секретариат по вопросам гендерного равенства и Исследовательский центр по вопросам гендерного равенства (K.E.TH.I.) провели исследования в отношении социально изолированных групп:</w:t>
      </w:r>
    </w:p>
    <w:p w:rsidR="00000000" w:rsidRDefault="00000000">
      <w:pPr>
        <w:pStyle w:val="18-8"/>
      </w:pPr>
      <w:r>
        <w:sym w:font="Symbol" w:char="F0B7"/>
      </w:r>
      <w:r>
        <w:tab/>
        <w:t>"Группы, изолированные по гендерному и социальному признаку: обзор литературы", Афины 2001 год;</w:t>
      </w:r>
    </w:p>
    <w:p w:rsidR="00000000" w:rsidRDefault="00000000">
      <w:pPr>
        <w:pStyle w:val="18-8"/>
      </w:pPr>
      <w:r>
        <w:sym w:font="Symbol" w:char="F0B7"/>
      </w:r>
      <w:r>
        <w:tab/>
        <w:t>"Семейное право греческих мусульман", Салоники 2001 год;</w:t>
      </w:r>
    </w:p>
    <w:p w:rsidR="00000000" w:rsidRDefault="00000000">
      <w:pPr>
        <w:pStyle w:val="18-8"/>
      </w:pPr>
      <w:r>
        <w:sym w:font="Symbol" w:char="F0B7"/>
      </w:r>
      <w:r>
        <w:tab/>
        <w:t xml:space="preserve">"Мусульманская женщина: исследование, перечень потребностей и выработка предложений", исследование. </w:t>
      </w:r>
    </w:p>
    <w:p w:rsidR="00000000" w:rsidRDefault="00000000">
      <w:pPr>
        <w:pStyle w:val="Heading2"/>
      </w:pPr>
      <w:bookmarkStart w:id="13" w:name="_Toc116466877"/>
      <w:r>
        <w:t>Статья 11</w:t>
      </w:r>
      <w:bookmarkEnd w:id="13"/>
    </w:p>
    <w:p w:rsidR="00000000" w:rsidRDefault="00000000">
      <w:pPr>
        <w:pStyle w:val="a4"/>
      </w:pPr>
      <w:r>
        <w:tab/>
        <w:t>1.</w:t>
      </w:r>
      <w:r>
        <w:rPr>
          <w:b/>
        </w:rPr>
        <w:tab/>
      </w:r>
      <w:r>
        <w:t>Государства-участники принимают все соответствующие меры для ликвидации дискриминации в отношении женщин в области занятости, с тем чтобы обеспечить на основе равенства мужчин и женщин равные права, в частности:</w:t>
      </w:r>
    </w:p>
    <w:p w:rsidR="00000000" w:rsidRDefault="00000000">
      <w:pPr>
        <w:pStyle w:val="a4"/>
        <w:ind w:left="2041" w:hanging="340"/>
      </w:pPr>
      <w:r>
        <w:t>а)</w:t>
      </w:r>
      <w:r>
        <w:tab/>
        <w:t>право на труд как неотъемлемое право всех людей;</w:t>
      </w:r>
    </w:p>
    <w:p w:rsidR="00000000" w:rsidRDefault="00000000">
      <w:pPr>
        <w:pStyle w:val="a4"/>
        <w:ind w:left="2041" w:hanging="340"/>
      </w:pPr>
      <w:r>
        <w:t>b)</w:t>
      </w:r>
      <w:r>
        <w:tab/>
        <w:t>право на одинаковые возможности при найме на работу, в том числе применение одинаковых критериев отбора при найме;</w:t>
      </w:r>
    </w:p>
    <w:p w:rsidR="00000000" w:rsidRDefault="00000000">
      <w:pPr>
        <w:pStyle w:val="a4"/>
        <w:ind w:left="2041" w:hanging="340"/>
      </w:pPr>
      <w:r>
        <w:t>с)</w:t>
      </w:r>
      <w:r>
        <w:tab/>
        <w:t>право на свободный выбор профессии или рода работы, на продвижение в должности и гарантию занятости, а также на пользование всеми льготами и условиями работы, на получение профессиональной подготовки и переподготовки, включая ученичество, профессиональную подготовку повышенного уровня и регулярную переподготовку;</w:t>
      </w:r>
    </w:p>
    <w:p w:rsidR="00000000" w:rsidRDefault="00000000">
      <w:pPr>
        <w:pStyle w:val="a4"/>
        <w:ind w:left="2041" w:hanging="340"/>
      </w:pPr>
      <w:r>
        <w:t>d)</w:t>
      </w:r>
      <w:r>
        <w:tab/>
        <w:t>право на равное вознаграждение, включая получение льгот, на равные условия в отношении труда равной ценности, а также на равный подход к оценке качества работы;</w:t>
      </w:r>
    </w:p>
    <w:p w:rsidR="00000000" w:rsidRDefault="00000000">
      <w:pPr>
        <w:pStyle w:val="a4"/>
        <w:ind w:left="2041" w:hanging="340"/>
      </w:pPr>
      <w:r>
        <w:t>е)</w:t>
      </w:r>
      <w:r>
        <w:tab/>
        <w:t>право на социальное обеспечение, в частности в случае ухода на пенсию, безработицы, болезни, инвалидности, по старости и в других случаях потери трудоспособности, а также право на оплачиваемый отпуск;</w:t>
      </w:r>
    </w:p>
    <w:p w:rsidR="00000000" w:rsidRDefault="00000000">
      <w:pPr>
        <w:pStyle w:val="a4"/>
        <w:ind w:left="2041" w:hanging="340"/>
      </w:pPr>
      <w:r>
        <w:t>f)</w:t>
      </w:r>
      <w:r>
        <w:tab/>
        <w:t>право на охрану здоровья и безопасные условия труда, в том числе по сохранению функции продолжения рода.</w:t>
      </w:r>
    </w:p>
    <w:p w:rsidR="00000000" w:rsidRDefault="00000000">
      <w:pPr>
        <w:pStyle w:val="a4"/>
      </w:pPr>
      <w:r>
        <w:tab/>
        <w:t>2.</w:t>
      </w:r>
      <w:r>
        <w:tab/>
        <w:t xml:space="preserve">Для предупреждения дискриминации в отношении женщин по причине замужества или материнства и гарантирования им эффективного права на труд государства-участники принимают соответствующие меры для того, чтобы: </w:t>
      </w:r>
    </w:p>
    <w:p w:rsidR="00000000" w:rsidRDefault="00000000">
      <w:pPr>
        <w:pStyle w:val="a4"/>
        <w:ind w:left="2041" w:hanging="340"/>
      </w:pPr>
      <w:r>
        <w:t>а)</w:t>
      </w:r>
      <w:r>
        <w:tab/>
        <w:t xml:space="preserve">запретить, под угрозой применения санкций, увольнение с работы на основании беременности или отпуска по беременности и родам или дискриминацию ввиду семейного положения при увольнении; </w:t>
      </w:r>
    </w:p>
    <w:p w:rsidR="00000000" w:rsidRDefault="00000000">
      <w:pPr>
        <w:pStyle w:val="a4"/>
        <w:ind w:left="2041" w:hanging="340"/>
      </w:pPr>
      <w:r>
        <w:t>b)</w:t>
      </w:r>
      <w:r>
        <w:tab/>
        <w:t xml:space="preserve">ввести оплачиваемые отпуска или отпуска с сопоставимыми социальными пособиями по беременности и родам без утраты прежнего места работы, старшинства или социальных пособий; </w:t>
      </w:r>
    </w:p>
    <w:p w:rsidR="00000000" w:rsidRDefault="00000000">
      <w:pPr>
        <w:pStyle w:val="a4"/>
        <w:ind w:left="2041" w:hanging="340"/>
      </w:pPr>
      <w:r>
        <w:br w:type="page"/>
        <w:t>с)</w:t>
      </w:r>
      <w:r>
        <w:tab/>
        <w:t xml:space="preserve">поощрять предоставление необходимых дополнительных социальных услуг, с тем чтобы позволить родителям совмещать выполнение семейных обязанностей с трудовой деятельностью и участием в общественной жизни, в частности посредством создания и расширения сети учреждений по уходу за детьми; </w:t>
      </w:r>
    </w:p>
    <w:p w:rsidR="00000000" w:rsidRDefault="00000000">
      <w:pPr>
        <w:pStyle w:val="a4"/>
        <w:ind w:left="2041" w:hanging="340"/>
      </w:pPr>
      <w:r>
        <w:t>d)</w:t>
      </w:r>
      <w:r>
        <w:tab/>
        <w:t>обеспечивать женщинам особую защиту в период беременности на тех видах работ, вредность которых для их здоровья доказана.</w:t>
      </w:r>
    </w:p>
    <w:p w:rsidR="00000000" w:rsidRDefault="00000000">
      <w:pPr>
        <w:pStyle w:val="a4"/>
      </w:pPr>
      <w:r>
        <w:tab/>
        <w:t>3.</w:t>
      </w:r>
      <w:r>
        <w:rPr>
          <w:b/>
        </w:rPr>
        <w:tab/>
      </w:r>
      <w:r>
        <w:t>Законодательство, касающееся защиты прав, затрагиваемых в настоящей статье, периодически рассматривается в свете научно-технических знаний, а также пересматривается, отменяется или расширяется, насколько это необходимо.</w:t>
      </w:r>
    </w:p>
    <w:p w:rsidR="00000000" w:rsidRDefault="00000000">
      <w:pPr>
        <w:pStyle w:val="BodyText"/>
        <w:jc w:val="center"/>
        <w:rPr>
          <w:b/>
          <w:color w:val="000000"/>
        </w:rPr>
      </w:pPr>
    </w:p>
    <w:p w:rsidR="00000000" w:rsidRDefault="00000000">
      <w:pPr>
        <w:pStyle w:val="BodyText"/>
        <w:jc w:val="center"/>
        <w:rPr>
          <w:b/>
          <w:color w:val="000000"/>
        </w:rPr>
      </w:pPr>
      <w:r>
        <w:rPr>
          <w:b/>
          <w:color w:val="000000"/>
          <w:lang w:val="en-US"/>
        </w:rPr>
        <w:t>I</w:t>
      </w:r>
      <w:r>
        <w:rPr>
          <w:b/>
          <w:color w:val="000000"/>
        </w:rPr>
        <w:t>.  Данные по женской безработице и занятости</w:t>
      </w:r>
    </w:p>
    <w:p w:rsidR="00000000" w:rsidRDefault="00000000">
      <w:pPr>
        <w:pStyle w:val="BodyText"/>
        <w:rPr>
          <w:color w:val="000000"/>
        </w:rPr>
      </w:pPr>
      <w:r>
        <w:rPr>
          <w:color w:val="000000"/>
        </w:rPr>
        <w:t>1.</w:t>
      </w:r>
      <w:r>
        <w:rPr>
          <w:color w:val="000000"/>
        </w:rPr>
        <w:tab/>
        <w:t>Национальные стратегии по обеспечению всеобщей занятости отражены в действовавшем в отчетный период Национальном плане действий в области занятости и Национальном плане действий по социальной интеграции; в финансировании этих стратегий участвует Европейский социальный фонд (ЕСФ).</w:t>
      </w:r>
    </w:p>
    <w:p w:rsidR="00000000" w:rsidRDefault="00000000">
      <w:pPr>
        <w:pStyle w:val="BodyText"/>
        <w:rPr>
          <w:color w:val="000000"/>
        </w:rPr>
      </w:pPr>
      <w:r>
        <w:rPr>
          <w:color w:val="000000"/>
        </w:rPr>
        <w:tab/>
      </w:r>
      <w:r>
        <w:rPr>
          <w:color w:val="000000"/>
        </w:rPr>
        <w:tab/>
        <w:t>ЕСФ, главный механизм по внедрению Европейской стратегии занятости, поддерживает меры и политику, способствующие реализации стратегических приоритетов, среди которых:</w:t>
      </w:r>
    </w:p>
    <w:p w:rsidR="00000000" w:rsidRDefault="00000000">
      <w:pPr>
        <w:pStyle w:val="BodyText"/>
        <w:rPr>
          <w:color w:val="000000"/>
        </w:rPr>
      </w:pPr>
      <w:r>
        <w:rPr>
          <w:color w:val="000000"/>
        </w:rPr>
        <w:tab/>
        <w:t>–</w:t>
      </w:r>
      <w:r>
        <w:rPr>
          <w:color w:val="000000"/>
        </w:rPr>
        <w:tab/>
        <w:t>социальная интеграция на рынке труда;</w:t>
      </w:r>
    </w:p>
    <w:p w:rsidR="00000000" w:rsidRDefault="00000000">
      <w:pPr>
        <w:pStyle w:val="BodyText"/>
        <w:rPr>
          <w:color w:val="000000"/>
        </w:rPr>
      </w:pPr>
      <w:r>
        <w:tab/>
        <w:t>–</w:t>
      </w:r>
      <w:r>
        <w:tab/>
        <w:t>г</w:t>
      </w:r>
      <w:r>
        <w:rPr>
          <w:color w:val="000000"/>
        </w:rPr>
        <w:t>ендерное равенство.</w:t>
      </w:r>
    </w:p>
    <w:p w:rsidR="00000000" w:rsidRDefault="00000000">
      <w:pPr>
        <w:pStyle w:val="BodyText"/>
        <w:rPr>
          <w:color w:val="000000"/>
        </w:rPr>
      </w:pPr>
      <w:r>
        <w:rPr>
          <w:color w:val="000000"/>
        </w:rPr>
        <w:tab/>
      </w:r>
      <w:r>
        <w:rPr>
          <w:color w:val="000000"/>
        </w:rPr>
        <w:tab/>
        <w:t>Для достижения Лиссабонских целей (2000 год) все государства – члены Европейского союза (ЕС) и, следовательно, Греция должны выработать и осуществлять политику, в которой особое внимание уделяется:</w:t>
      </w:r>
    </w:p>
    <w:p w:rsidR="00000000" w:rsidRDefault="00000000">
      <w:pPr>
        <w:pStyle w:val="BodyText"/>
        <w:rPr>
          <w:color w:val="000000"/>
        </w:rPr>
      </w:pPr>
      <w:r>
        <w:rPr>
          <w:color w:val="000000"/>
        </w:rPr>
        <w:tab/>
        <w:t>1.</w:t>
      </w:r>
      <w:r>
        <w:rPr>
          <w:color w:val="000000"/>
        </w:rPr>
        <w:tab/>
      </w:r>
      <w:r>
        <w:rPr>
          <w:caps/>
          <w:color w:val="000000"/>
        </w:rPr>
        <w:t>ц</w:t>
      </w:r>
      <w:r>
        <w:rPr>
          <w:color w:val="000000"/>
        </w:rPr>
        <w:t>ифровому обществу, экономике, основанной на знаниях, и переходу к этим реалиям.</w:t>
      </w:r>
    </w:p>
    <w:p w:rsidR="00000000" w:rsidRDefault="00000000">
      <w:pPr>
        <w:pStyle w:val="BodyText"/>
        <w:rPr>
          <w:color w:val="000000"/>
        </w:rPr>
      </w:pPr>
      <w:r>
        <w:rPr>
          <w:color w:val="000000"/>
        </w:rPr>
        <w:tab/>
        <w:t>2.</w:t>
      </w:r>
      <w:r>
        <w:rPr>
          <w:color w:val="000000"/>
        </w:rPr>
        <w:tab/>
      </w:r>
      <w:r>
        <w:rPr>
          <w:caps/>
          <w:color w:val="000000"/>
        </w:rPr>
        <w:t>и</w:t>
      </w:r>
      <w:r>
        <w:rPr>
          <w:color w:val="000000"/>
        </w:rPr>
        <w:t>нвестированию в людей, построению устойчиво процветающего государства путем модернизации европейской социальной модели, на основе всеобщей занятости и сплоченности.</w:t>
      </w:r>
    </w:p>
    <w:p w:rsidR="00000000" w:rsidRDefault="00000000">
      <w:pPr>
        <w:pStyle w:val="BodyText"/>
        <w:rPr>
          <w:color w:val="000000"/>
        </w:rPr>
      </w:pPr>
      <w:r>
        <w:rPr>
          <w:color w:val="000000"/>
        </w:rPr>
        <w:t>2.</w:t>
      </w:r>
      <w:r>
        <w:rPr>
          <w:color w:val="000000"/>
        </w:rPr>
        <w:tab/>
        <w:t>Национальный план действий в области занятости является основным инструментом для планирования и осуществления политики в области занятости.</w:t>
      </w:r>
    </w:p>
    <w:p w:rsidR="00000000" w:rsidRDefault="00000000">
      <w:pPr>
        <w:pStyle w:val="BodyText"/>
        <w:rPr>
          <w:b/>
          <w:color w:val="000000"/>
        </w:rPr>
      </w:pPr>
      <w:r>
        <w:rPr>
          <w:color w:val="000000"/>
        </w:rPr>
        <w:br w:type="page"/>
      </w:r>
      <w:bookmarkStart w:id="14" w:name="_MON_1190122813"/>
      <w:bookmarkStart w:id="15" w:name="_MON_1190122918"/>
      <w:bookmarkStart w:id="16" w:name="_MON_1190123327"/>
      <w:bookmarkStart w:id="17" w:name="_MON_1190123874"/>
      <w:bookmarkStart w:id="18" w:name="_MON_1190123978"/>
      <w:bookmarkStart w:id="19" w:name="_MON_1190124004"/>
      <w:bookmarkStart w:id="20" w:name="_MON_1190124051"/>
      <w:bookmarkStart w:id="21" w:name="_MON_1190124102"/>
      <w:bookmarkEnd w:id="14"/>
      <w:bookmarkEnd w:id="15"/>
      <w:bookmarkEnd w:id="16"/>
      <w:bookmarkEnd w:id="17"/>
      <w:bookmarkEnd w:id="18"/>
      <w:bookmarkEnd w:id="19"/>
      <w:bookmarkEnd w:id="20"/>
      <w:bookmarkEnd w:id="21"/>
      <w:r>
        <w:object w:dxaOrig="8601" w:dyaOrig="4454">
          <v:shape id="_x0000_i1026" type="#_x0000_t75" style="width:362.25pt;height:214.5pt" o:ole="">
            <v:imagedata r:id="rId16" o:title="" cropbottom="2533f" cropright="10327f"/>
          </v:shape>
          <o:OLEObject Type="Embed" ProgID="Word.Picture.8" ShapeID="_x0000_i1026" DrawAspect="Content" ObjectID="_1395239572" r:id="rId17"/>
        </w:object>
      </w:r>
    </w:p>
    <w:p w:rsidR="00000000" w:rsidRDefault="00000000">
      <w:pPr>
        <w:pStyle w:val="BodyText"/>
        <w:spacing w:after="200"/>
      </w:pPr>
      <w:r>
        <w:rPr>
          <w:color w:val="000000"/>
        </w:rPr>
        <w:t>3.</w:t>
      </w:r>
      <w:r>
        <w:rPr>
          <w:color w:val="000000"/>
        </w:rPr>
        <w:tab/>
      </w:r>
      <w:r>
        <w:rPr>
          <w:b/>
          <w:i/>
          <w:color w:val="000000"/>
        </w:rPr>
        <w:t>Диаграмма:</w:t>
      </w:r>
    </w:p>
    <w:p w:rsidR="00000000" w:rsidRDefault="00000000">
      <w:pPr>
        <w:pStyle w:val="BodyText"/>
        <w:spacing w:after="200"/>
      </w:pPr>
      <w:r>
        <w:tab/>
        <w:t>Данная диаграмма наглядно демонстрирует три разные тенденции:</w:t>
      </w:r>
    </w:p>
    <w:p w:rsidR="00000000" w:rsidRDefault="00000000">
      <w:pPr>
        <w:pStyle w:val="18-8"/>
        <w:spacing w:after="200"/>
      </w:pPr>
      <w:r>
        <w:sym w:font="Symbol" w:char="F0B7"/>
      </w:r>
      <w:r>
        <w:tab/>
      </w:r>
      <w:r>
        <w:rPr>
          <w:i/>
        </w:rPr>
        <w:t>во-первых,</w:t>
      </w:r>
      <w:r>
        <w:t xml:space="preserve"> процент участия мужчин в занятости за пятилетний период возрастает на 1,6 процентных пункта (от 70,9 до 72,5 процента), в то время как у женщин этот рост составляет 3,3 процентных пункта (от 40,7 процента до 44 процентов);</w:t>
      </w:r>
    </w:p>
    <w:p w:rsidR="00000000" w:rsidRDefault="00000000">
      <w:pPr>
        <w:pStyle w:val="18-8"/>
        <w:spacing w:after="200"/>
      </w:pPr>
      <w:r>
        <w:sym w:font="Symbol" w:char="F0B7"/>
      </w:r>
      <w:r>
        <w:tab/>
      </w:r>
      <w:r>
        <w:rPr>
          <w:i/>
        </w:rPr>
        <w:t>во-вторых,</w:t>
      </w:r>
      <w:r>
        <w:t xml:space="preserve"> уровень роста соответствующих показателей у женщин в два раза больше, чем у мужчин;</w:t>
      </w:r>
    </w:p>
    <w:p w:rsidR="00000000" w:rsidRDefault="00000000">
      <w:pPr>
        <w:pStyle w:val="18-8"/>
        <w:spacing w:after="200"/>
      </w:pPr>
      <w:r>
        <w:sym w:font="Symbol" w:char="F0B7"/>
      </w:r>
      <w:r>
        <w:tab/>
      </w:r>
      <w:r>
        <w:rPr>
          <w:i/>
        </w:rPr>
        <w:t>в третьих,</w:t>
      </w:r>
      <w:r>
        <w:t xml:space="preserve"> исходные позиции различаются: уровень мужского участия в занятости составляет трое из четырех человек в 2003 году, в то время как у женщин он немного ниже – каждая вторая. Пятилетний период оказался недостаточным для радикальных изменений в уровнях мужского и женского участия в занятости.</w:t>
      </w:r>
    </w:p>
    <w:bookmarkStart w:id="22" w:name="_MON_1190124763"/>
    <w:bookmarkStart w:id="23" w:name="_MON_1190125135"/>
    <w:bookmarkStart w:id="24" w:name="_MON_1190125599"/>
    <w:bookmarkStart w:id="25" w:name="_MON_1190125617"/>
    <w:bookmarkStart w:id="26" w:name="_MON_1190125642"/>
    <w:bookmarkEnd w:id="22"/>
    <w:bookmarkEnd w:id="23"/>
    <w:bookmarkEnd w:id="24"/>
    <w:bookmarkEnd w:id="25"/>
    <w:bookmarkEnd w:id="26"/>
    <w:p w:rsidR="00000000" w:rsidRDefault="00000000">
      <w:pPr>
        <w:pStyle w:val="BodyText"/>
      </w:pPr>
      <w:r>
        <w:object w:dxaOrig="9735" w:dyaOrig="4397">
          <v:shape id="_x0000_i1027" type="#_x0000_t75" style="width:366.75pt;height:212.25pt" o:ole="">
            <v:imagedata r:id="rId18" o:title="" cropbottom="2266f" cropright="16081f"/>
          </v:shape>
          <o:OLEObject Type="Embed" ProgID="Word.Picture.8" ShapeID="_x0000_i1027" DrawAspect="Content" ObjectID="_1395239573" r:id="rId19"/>
        </w:object>
      </w:r>
    </w:p>
    <w:p w:rsidR="00000000" w:rsidRDefault="00000000">
      <w:pPr>
        <w:pStyle w:val="BodyText"/>
      </w:pPr>
      <w:r>
        <w:t>4.</w:t>
      </w:r>
      <w:r>
        <w:tab/>
        <w:t>Сравнительные показатели мужской и женской безработицы подтверждают тенденции предыдущих лет: хотя уровень женской безработицы уменьшается, разрыв по-прежнему значителен.</w:t>
      </w:r>
    </w:p>
    <w:p w:rsidR="00000000" w:rsidRDefault="00000000">
      <w:pPr>
        <w:pStyle w:val="BodyText"/>
        <w:spacing w:before="240"/>
        <w:jc w:val="center"/>
        <w:rPr>
          <w:b/>
        </w:rPr>
      </w:pPr>
      <w:r>
        <w:rPr>
          <w:b/>
          <w:lang w:val="en-US"/>
        </w:rPr>
        <w:t>II</w:t>
      </w:r>
      <w:r>
        <w:t>.  </w:t>
      </w:r>
      <w:r>
        <w:rPr>
          <w:b/>
        </w:rPr>
        <w:t xml:space="preserve">Меры по борьбе с безработицей и по повышению уровня занятости женщин </w:t>
      </w:r>
      <w:r>
        <w:rPr>
          <w:b/>
        </w:rPr>
        <w:br/>
        <w:t>(2000–2004 годы)</w:t>
      </w:r>
    </w:p>
    <w:p w:rsidR="00000000" w:rsidRDefault="00000000">
      <w:pPr>
        <w:pStyle w:val="BodyText"/>
      </w:pPr>
      <w:r>
        <w:t>5.</w:t>
      </w:r>
      <w:r>
        <w:tab/>
      </w:r>
      <w:r>
        <w:rPr>
          <w:b/>
          <w:i/>
        </w:rPr>
        <w:t>Меры по борьбе с безработицей и по повышению уровня занятости, принятые в отчетный период:</w:t>
      </w:r>
    </w:p>
    <w:p w:rsidR="00000000" w:rsidRDefault="00000000">
      <w:pPr>
        <w:pStyle w:val="18-8"/>
      </w:pPr>
      <w:r>
        <w:sym w:font="Symbol" w:char="F0B7"/>
      </w:r>
      <w:r>
        <w:tab/>
        <w:t xml:space="preserve">Участие организаций местных предприятий (групп А и </w:t>
      </w:r>
      <w:r>
        <w:rPr>
          <w:lang w:val="en-US"/>
        </w:rPr>
        <w:t>B</w:t>
      </w:r>
      <w:r>
        <w:t>) в проектах по созданию новых рабочих мест.</w:t>
      </w:r>
    </w:p>
    <w:p w:rsidR="00000000" w:rsidRDefault="00000000">
      <w:pPr>
        <w:pStyle w:val="18-8"/>
      </w:pPr>
      <w:r>
        <w:sym w:font="Symbol" w:char="F0B7"/>
      </w:r>
      <w:r>
        <w:tab/>
        <w:t>Неполная занятость в учреждениях социального характера. Закон 3174/2003 впервые обеспечил возможность занятости лиц из уязвимых групп населения по контрактам с фиксированными сроками в течение неполного рабочего дня в учреждениях государственного сектора с целью удовлетворить потребности социального характера. В соответствии с законом 3250/2004 были повторно определены категории людей, отвечающих требованиям для найма соответствующего персонала, к которым были дополнительно отнесены члены больших семей (10-процентная квота) и расширенная категория матерей с несовершеннолетними детьми (ранее в эту категорию входили только матери с детьми до 12 лет), для которых квота также составила 10 процентов. Одновременно предусматривается, что до 60 процентов безработных из различных возрастных категорий (моложе 30 лет, старше 30 лет, лица, которым до пенсионного возраста остается 5 лет), на которых рассчитаны подобные рабочие места, составят женщины, о чем можно судить из поданных соответствующих заявлений.</w:t>
      </w:r>
    </w:p>
    <w:p w:rsidR="00000000" w:rsidRDefault="00000000">
      <w:pPr>
        <w:pStyle w:val="18-8"/>
      </w:pPr>
      <w:r>
        <w:sym w:font="Symbol" w:char="F0B7"/>
      </w:r>
      <w:r>
        <w:tab/>
        <w:t>Преобразование пассивных мер по борьбе с безработицей (денежное пособие) в активные стратегии в отношении безработных как мужчин, так и женщин.</w:t>
      </w:r>
    </w:p>
    <w:p w:rsidR="00000000" w:rsidRDefault="00000000">
      <w:pPr>
        <w:pStyle w:val="18-8"/>
      </w:pPr>
      <w:r>
        <w:sym w:font="Symbol" w:char="F0B7"/>
      </w:r>
      <w:r>
        <w:tab/>
        <w:t>Меры по обеспечению субсидирования профессиональной подготовки безработных.</w:t>
      </w:r>
    </w:p>
    <w:p w:rsidR="00000000" w:rsidRDefault="00000000">
      <w:pPr>
        <w:pStyle w:val="18-8"/>
        <w:spacing w:after="0"/>
      </w:pPr>
      <w:r>
        <w:sym w:font="Symbol" w:char="F0B7"/>
      </w:r>
      <w:r>
        <w:tab/>
        <w:t xml:space="preserve">Расширение категорий лиц, имеющих право на пособия по безработице. Безработные мужчины и женщины, застрахованные на случай безработицы, которые являются или становятся вдовцами/вдовами, имеют право на получение пособия по безработице, несмотря на получение ими пенсии на дожитие (до последнего времени вдовы сталкивались с трудностями в том плане, что, если они оказывались безработными, они таковыми не считались согласно греческой Организации по вопросам занятости, а также были лишены права на пособия по безработице, поскольку получали пенсии на дожитие, несмотря на то, что они были охвачены страхованием на случай безработицы в отличие от тех женщин, чьи мужья были живы, независимо от того, состояли они в браке или были в разводе, потому что действующее законодательство не включало вышедших на пенсию). </w:t>
      </w:r>
      <w:r>
        <w:br/>
        <w:t>В новом положении безработным как мужчинам, так и женщинам гарантируется не только право на пособие, но также и право на получение работы с помощью предусмотренных мер.</w:t>
      </w:r>
    </w:p>
    <w:p w:rsidR="00000000" w:rsidRDefault="00000000">
      <w:pPr>
        <w:pStyle w:val="18-8"/>
      </w:pPr>
      <w:r>
        <w:br w:type="page"/>
      </w:r>
      <w:r>
        <w:sym w:font="Symbol" w:char="F0B7"/>
      </w:r>
      <w:r>
        <w:tab/>
        <w:t>Расширение категорий лиц, имеющих право участвовать в программах.</w:t>
      </w:r>
    </w:p>
    <w:p w:rsidR="00000000" w:rsidRDefault="00000000">
      <w:pPr>
        <w:pStyle w:val="26-8"/>
      </w:pPr>
      <w:r>
        <w:t>–</w:t>
      </w:r>
      <w:r>
        <w:tab/>
        <w:t>Участие выпускников Ликео (объединенных лицеев) в программах по приобретению профессиональных навыков (</w:t>
      </w:r>
      <w:r>
        <w:rPr>
          <w:lang w:val="en-US"/>
        </w:rPr>
        <w:t>STAGE</w:t>
      </w:r>
      <w:r>
        <w:t>).</w:t>
      </w:r>
    </w:p>
    <w:p w:rsidR="00000000" w:rsidRDefault="00000000">
      <w:pPr>
        <w:pStyle w:val="26-8"/>
      </w:pPr>
      <w:r>
        <w:t>–</w:t>
      </w:r>
      <w:r>
        <w:tab/>
        <w:t>Участие научных работников в программах для новых самозанятых специалистов (ранее инженеры, адвокаты, врачи и т. д. не имели права на такое участие).</w:t>
      </w:r>
    </w:p>
    <w:p w:rsidR="00000000" w:rsidRDefault="00000000">
      <w:pPr>
        <w:pStyle w:val="18-8"/>
      </w:pPr>
      <w:r>
        <w:sym w:font="Symbol" w:char="F0B7"/>
      </w:r>
      <w:r>
        <w:tab/>
        <w:t>Стимулы для увеличения женской занятости.</w:t>
      </w:r>
    </w:p>
    <w:p w:rsidR="00000000" w:rsidRDefault="00000000">
      <w:pPr>
        <w:pStyle w:val="26-8"/>
      </w:pPr>
      <w:r>
        <w:t>–</w:t>
      </w:r>
      <w:r>
        <w:tab/>
        <w:t>Субсидия для работодателя, равная объему затрат работодателя на страхование новых работников, является основным стимулом для найма безработных матерей по крайней мере с двумя детьми.</w:t>
      </w:r>
    </w:p>
    <w:p w:rsidR="00000000" w:rsidRDefault="00000000">
      <w:pPr>
        <w:pStyle w:val="26-8"/>
      </w:pPr>
      <w:r>
        <w:t>–</w:t>
      </w:r>
      <w:r>
        <w:tab/>
        <w:t>Работодатели, принимающие на временную работу как мужчин, так и женщин, с целью заменить трудящихся, находящихся в отпусках по беременности и родам, на все время такого отпуска получают субсидию в размере страховых взносов за каждое нанятое лицо.</w:t>
      </w:r>
    </w:p>
    <w:p w:rsidR="00000000" w:rsidRDefault="00000000">
      <w:pPr>
        <w:pStyle w:val="26-8"/>
      </w:pPr>
      <w:r>
        <w:t>–</w:t>
      </w:r>
      <w:r>
        <w:tab/>
        <w:t>За каждого рожденного ребенка женщины-фермеры освобождаются от взносов в Сельскохозяйственную страховую организацию в течение года после родов.</w:t>
      </w:r>
    </w:p>
    <w:p w:rsidR="00000000" w:rsidRDefault="00000000">
      <w:pPr>
        <w:pStyle w:val="18-8"/>
      </w:pPr>
      <w:r>
        <w:sym w:font="Symbol" w:char="F0B7"/>
      </w:r>
      <w:r>
        <w:tab/>
        <w:t>Уменьшение страховых взносов работодателей за каждое нанятое лицо при том, что ежемесячное жалованье вышеупомянутых работников не превышает 200 тыс. драхм (600 евро). Такая мера действовала с 1 апреля 2001 года по 31 декабря 2003 года. Она обеспечила снижение (на 2 процентных пункта) взносов работодателей в главную пенсионную службу Института социального обеспечения (</w:t>
      </w:r>
      <w:r>
        <w:rPr>
          <w:lang w:val="en-US"/>
        </w:rPr>
        <w:t>I</w:t>
      </w:r>
      <w:r>
        <w:t>.</w:t>
      </w:r>
      <w:r>
        <w:rPr>
          <w:lang w:val="en-US"/>
        </w:rPr>
        <w:t>K</w:t>
      </w:r>
      <w:r>
        <w:t>.</w:t>
      </w:r>
      <w:r>
        <w:rPr>
          <w:lang w:val="en-US"/>
        </w:rPr>
        <w:t>A</w:t>
      </w:r>
      <w:r>
        <w:t>.) за каждое занятое полный рабочий день лицо, чье жалованье не превышало 200 тыс. драхм (600 евро).</w:t>
      </w:r>
    </w:p>
    <w:p w:rsidR="00000000" w:rsidRDefault="00000000">
      <w:pPr>
        <w:pStyle w:val="BodyText"/>
        <w:rPr>
          <w:b/>
        </w:rPr>
      </w:pPr>
      <w:r>
        <w:t>6.</w:t>
      </w:r>
      <w:r>
        <w:tab/>
      </w:r>
      <w:r>
        <w:rPr>
          <w:b/>
          <w:i/>
        </w:rPr>
        <w:t>Гибкая система занятости</w:t>
      </w:r>
    </w:p>
    <w:p w:rsidR="00000000" w:rsidRDefault="00000000">
      <w:pPr>
        <w:pStyle w:val="BodyText"/>
      </w:pPr>
      <w:r>
        <w:tab/>
        <w:t>Законы 2639/98 и 2874/2000:</w:t>
      </w:r>
    </w:p>
    <w:p w:rsidR="00000000" w:rsidRDefault="00000000">
      <w:pPr>
        <w:pStyle w:val="18-8"/>
      </w:pPr>
      <w:r>
        <w:sym w:font="Symbol" w:char="F0B7"/>
      </w:r>
      <w:r>
        <w:tab/>
        <w:t>положения, касающиеся условий освобождения от обязательств по коллективным трудовым соглашениям (территориальным пактам занятости);</w:t>
      </w:r>
    </w:p>
    <w:p w:rsidR="00000000" w:rsidRDefault="00000000">
      <w:pPr>
        <w:pStyle w:val="18-8"/>
      </w:pPr>
      <w:r>
        <w:sym w:font="Symbol" w:char="F0B7"/>
      </w:r>
      <w:r>
        <w:tab/>
        <w:t>содействие расширению системы занятости неполный рабочий день и ограничений, касающихся сверхурочной работы;</w:t>
      </w:r>
    </w:p>
    <w:p w:rsidR="00000000" w:rsidRDefault="00000000">
      <w:pPr>
        <w:pStyle w:val="18-8"/>
      </w:pPr>
      <w:r>
        <w:sym w:font="Symbol" w:char="F0B7"/>
      </w:r>
      <w:r>
        <w:tab/>
        <w:t>создание неформальной занятости (конкретнее, временная посредническая деятельность в соответствии с законом 2956/2001);</w:t>
      </w:r>
    </w:p>
    <w:p w:rsidR="00000000" w:rsidRDefault="00000000">
      <w:pPr>
        <w:pStyle w:val="18-8"/>
      </w:pPr>
      <w:r>
        <w:sym w:font="Symbol" w:char="F0B7"/>
      </w:r>
      <w:r>
        <w:tab/>
        <w:t>увеличение вознаграждения для трудящихся, занятых неполный рабочий день на 7,5 процента, если они получают минимальную заработную плату и их рабочий день – менее 4 часов.</w:t>
      </w:r>
    </w:p>
    <w:p w:rsidR="00000000" w:rsidRDefault="00000000">
      <w:pPr>
        <w:pStyle w:val="BodyText"/>
      </w:pPr>
    </w:p>
    <w:p w:rsidR="00000000" w:rsidRDefault="00000000">
      <w:pPr>
        <w:pStyle w:val="BodyText"/>
        <w:rPr>
          <w:i/>
        </w:rPr>
      </w:pPr>
      <w:r>
        <w:t>7.</w:t>
      </w:r>
      <w:r>
        <w:tab/>
      </w:r>
      <w:r>
        <w:rPr>
          <w:b/>
          <w:i/>
        </w:rPr>
        <w:t>Увеличение ресурсов рабочей силы и продолжительности трудовой деятельности</w:t>
      </w:r>
    </w:p>
    <w:p w:rsidR="00000000" w:rsidRDefault="00000000">
      <w:pPr>
        <w:pStyle w:val="BodyText"/>
      </w:pPr>
      <w:r>
        <w:tab/>
        <w:t>Занятость неполный рабочий день – женский феномен в том смысле, что во всех странах большое число (которое имеет тенденцию к росту) трудящихся, занятых неполный рабочий день, составляют женщины.</w:t>
      </w:r>
    </w:p>
    <w:p w:rsidR="00000000" w:rsidRDefault="00000000">
      <w:pPr>
        <w:pStyle w:val="BodyText"/>
      </w:pPr>
      <w:r>
        <w:tab/>
      </w:r>
      <w:r>
        <w:tab/>
        <w:t>В Греции в 2002 среди таких трудящихся 68,3 процента составляли женщины и 31,7 процента мужчины, в то время как в целом в структуре занятости среди занятых неполный рабочий день было 38,1 процента женщин и 61,9 процента мужчин.</w:t>
      </w:r>
    </w:p>
    <w:p w:rsidR="00000000" w:rsidRDefault="00000000">
      <w:pPr>
        <w:pStyle w:val="BodyText"/>
      </w:pPr>
      <w:r>
        <w:tab/>
      </w:r>
      <w:r>
        <w:tab/>
        <w:t xml:space="preserve">Кроме того, 7,2 процента женщин и 2,2 процента мужчин, работающих по найму, заняты неполный рабочий день. </w:t>
      </w:r>
    </w:p>
    <w:p w:rsidR="00000000" w:rsidRDefault="00000000">
      <w:pPr>
        <w:pStyle w:val="BodyText"/>
      </w:pPr>
      <w:r>
        <w:tab/>
      </w:r>
      <w:r>
        <w:tab/>
        <w:t>Низкий уровень участия женщин в занятости объясняется как ограниченными возможностями в области неполной занятости, так и небольшими различиями в уровнях заработной платы.</w:t>
      </w:r>
    </w:p>
    <w:p w:rsidR="00000000" w:rsidRDefault="00000000">
      <w:pPr>
        <w:pStyle w:val="BodyText"/>
      </w:pPr>
      <w:r>
        <w:t>8.</w:t>
      </w:r>
      <w:r>
        <w:tab/>
      </w:r>
      <w:r>
        <w:rPr>
          <w:b/>
          <w:i/>
        </w:rPr>
        <w:t>Гендерное равенство</w:t>
      </w:r>
    </w:p>
    <w:p w:rsidR="00000000" w:rsidRDefault="00000000">
      <w:pPr>
        <w:pStyle w:val="BodyText"/>
      </w:pPr>
      <w:r>
        <w:tab/>
        <w:t>Стратегии в отношении женщин можно подразделить на следующие категории:</w:t>
      </w:r>
    </w:p>
    <w:p w:rsidR="00000000" w:rsidRDefault="00000000">
      <w:pPr>
        <w:pStyle w:val="18-8"/>
      </w:pPr>
      <w:r>
        <w:sym w:font="Symbol" w:char="F0B7"/>
      </w:r>
      <w:r>
        <w:tab/>
        <w:t>Пропаганда занятости и предпринимательства. Данная стратегия включает программы по созданию новых рабочих мест для женщин и нацелена на обучение профессиональным навыкам безработных женщин в возрасте от 18 до 65 лет и обеспечение для них возможности участвовать в занятости.</w:t>
      </w:r>
    </w:p>
    <w:p w:rsidR="00000000" w:rsidRDefault="00000000">
      <w:pPr>
        <w:pStyle w:val="18-8"/>
      </w:pPr>
      <w:r>
        <w:sym w:font="Symbol" w:char="F0B7"/>
      </w:r>
      <w:r>
        <w:tab/>
        <w:t>Совмещение семейных обязанностей и производственной деятельности. Позитивные действия с целью создания возможностей для совмещения женщинами их семейных обязанностей и производственной деятельности, а также содействия их интеграции на рынке труда достигли определенного прогресса. Такие действия осуществляются местными органами власти повсюду в стране и финансируются из общинных и национальных средств</w:t>
      </w:r>
      <w:r>
        <w:rPr>
          <w:rStyle w:val="FootnoteReference"/>
        </w:rPr>
        <w:footnoteReference w:id="35"/>
      </w:r>
      <w:r>
        <w:t>.</w:t>
      </w:r>
    </w:p>
    <w:p w:rsidR="00000000" w:rsidRDefault="00000000">
      <w:pPr>
        <w:pStyle w:val="BodyText"/>
      </w:pPr>
      <w:r>
        <w:t>9.</w:t>
      </w:r>
      <w:r>
        <w:tab/>
      </w:r>
      <w:r>
        <w:rPr>
          <w:b/>
          <w:i/>
        </w:rPr>
        <w:t>Содействие интеграции на рынке труда лиц, находящихся в неблагоприятных условиях, и борьба с дискриминацией в отношении таких лиц</w:t>
      </w:r>
      <w:r>
        <w:rPr>
          <w:b/>
        </w:rPr>
        <w:t>.</w:t>
      </w:r>
    </w:p>
    <w:p w:rsidR="00000000" w:rsidRDefault="00000000">
      <w:pPr>
        <w:pStyle w:val="BodyText"/>
      </w:pPr>
      <w:r>
        <w:tab/>
        <w:t>Согласно национальному плану действий в области интеграции 2003 года, основная  стратегия содействия социальной интеграции тесно связана с облегчением доступа к занятости для групп, которые рискуют оказаться в социальной изоляции.</w:t>
      </w:r>
    </w:p>
    <w:p w:rsidR="00000000" w:rsidRDefault="00000000">
      <w:pPr>
        <w:pStyle w:val="BodyText"/>
      </w:pPr>
      <w:r>
        <w:tab/>
        <w:t>В контексте содействия занятости наиболее важными являются четыре группы населения, среди которых женщины стоят на первом месте.</w:t>
      </w:r>
    </w:p>
    <w:p w:rsidR="00000000" w:rsidRDefault="00000000">
      <w:pPr>
        <w:pStyle w:val="BodyText"/>
      </w:pPr>
      <w:r>
        <w:tab/>
        <w:t xml:space="preserve">Обеспечение женской занятости в целом и занятости женщин, имеющих детей, в частности, это задача стратегической важности как с точки зрения развития, так и в социальном плане. В связи с этим проблема неполных семей, когда женщины одни воспитывают своих детей, оказывается исключительно сложной, и придание ей приоритетности в рамках соответствующей политики полностью оправданно. Меры принимаются в следующих направлениях: а) совмещение семейных и служебных обязанностей – забота о детях, поддержка семьи и </w:t>
      </w:r>
      <w:r>
        <w:rPr>
          <w:lang w:val="en-US"/>
        </w:rPr>
        <w:t>b</w:t>
      </w:r>
      <w:r>
        <w:t>) специальные меры в интересах женщин в рамках программы поддержки общин.</w:t>
      </w:r>
    </w:p>
    <w:p w:rsidR="00000000" w:rsidRDefault="00000000">
      <w:pPr>
        <w:pStyle w:val="Heading2"/>
      </w:pPr>
      <w:bookmarkStart w:id="27" w:name="_Toc116466878"/>
      <w:r>
        <w:t>Статья 12</w:t>
      </w:r>
      <w:bookmarkEnd w:id="27"/>
    </w:p>
    <w:p w:rsidR="00000000" w:rsidRDefault="00000000">
      <w:pPr>
        <w:pStyle w:val="a4"/>
      </w:pPr>
      <w:r>
        <w:tab/>
        <w:t>1.</w:t>
      </w:r>
      <w:r>
        <w:tab/>
        <w:t xml:space="preserve">Государства-участники принимают все соответствующие меры для ликвидации дискриминации в отношении женщин в области здравоохранения, с тем чтобы обеспечить на основе равенства мужчин и женщин доступ к медицинскому обслуживанию, в частности в том, что касается планирования размера семьи. </w:t>
      </w:r>
    </w:p>
    <w:p w:rsidR="00000000" w:rsidRDefault="00000000">
      <w:pPr>
        <w:pStyle w:val="a4"/>
      </w:pPr>
      <w:r>
        <w:tab/>
        <w:t>2.</w:t>
      </w:r>
      <w:r>
        <w:tab/>
        <w:t xml:space="preserve">Независимо от положений пункта 1 настоящей статьи, государства-участники обеспечивают женщинам соответствующее обслуживание в период беременности, родов и послеродовой период, предоставляя, когда это необходимо, бесплатные услуги, а также соответствующее питание в период беременности и кормления. </w:t>
      </w:r>
    </w:p>
    <w:p w:rsidR="00000000" w:rsidRDefault="00000000">
      <w:pPr>
        <w:pStyle w:val="BodyText"/>
        <w:rPr>
          <w:b/>
        </w:rPr>
      </w:pPr>
    </w:p>
    <w:p w:rsidR="00000000" w:rsidRDefault="00000000">
      <w:pPr>
        <w:pStyle w:val="BodyText"/>
        <w:jc w:val="center"/>
        <w:rPr>
          <w:b/>
        </w:rPr>
      </w:pPr>
      <w:r>
        <w:rPr>
          <w:b/>
        </w:rPr>
        <w:t>А.  </w:t>
      </w:r>
      <w:r>
        <w:rPr>
          <w:b/>
          <w:caps/>
        </w:rPr>
        <w:t>Женщины и здравоохранение</w:t>
      </w:r>
    </w:p>
    <w:p w:rsidR="00000000" w:rsidRDefault="00000000">
      <w:pPr>
        <w:pStyle w:val="BodyText"/>
        <w:jc w:val="center"/>
        <w:rPr>
          <w:b/>
        </w:rPr>
      </w:pPr>
      <w:r>
        <w:rPr>
          <w:b/>
          <w:lang w:val="en-US"/>
        </w:rPr>
        <w:t>I</w:t>
      </w:r>
      <w:r>
        <w:rPr>
          <w:b/>
        </w:rPr>
        <w:t>.  Усилия по реформированию</w:t>
      </w:r>
    </w:p>
    <w:p w:rsidR="00000000" w:rsidRDefault="00000000">
      <w:pPr>
        <w:pStyle w:val="BodyText"/>
      </w:pPr>
      <w:r>
        <w:t>1.</w:t>
      </w:r>
      <w:r>
        <w:tab/>
        <w:t>С 2000 года началась реализация широкой программы реформ в области здравоохранения, охраны психического здоровья, социального обеспечения и развития людских ресурсов с помощью программы действий "Здравоохранение – социальное обеспечение, 2000–2006 годы", осуществляемой Министерством здравоохранения и социального обеспечения. Ее основные цели:</w:t>
      </w:r>
    </w:p>
    <w:p w:rsidR="00000000" w:rsidRDefault="00000000">
      <w:pPr>
        <w:pStyle w:val="110"/>
      </w:pPr>
      <w:r>
        <w:t>–</w:t>
      </w:r>
      <w:r>
        <w:tab/>
        <w:t>полная реформа национальной системы здравоохранения с точки зрения ее функционирования и организации;</w:t>
      </w:r>
    </w:p>
    <w:p w:rsidR="00000000" w:rsidRDefault="00000000">
      <w:pPr>
        <w:pStyle w:val="110"/>
      </w:pPr>
      <w:r>
        <w:t>–</w:t>
      </w:r>
      <w:r>
        <w:tab/>
        <w:t>завершение реформы системы психиатрической помощи в области психического здоровья;</w:t>
      </w:r>
    </w:p>
    <w:p w:rsidR="00000000" w:rsidRDefault="00000000">
      <w:pPr>
        <w:pStyle w:val="110"/>
      </w:pPr>
      <w:r>
        <w:t>–</w:t>
      </w:r>
      <w:r>
        <w:tab/>
        <w:t>реформа и улучшение работы служб социального обеспечения;</w:t>
      </w:r>
    </w:p>
    <w:p w:rsidR="00000000" w:rsidRDefault="00000000">
      <w:pPr>
        <w:pStyle w:val="110"/>
      </w:pPr>
      <w:r>
        <w:t>–</w:t>
      </w:r>
      <w:r>
        <w:tab/>
        <w:t>повышение качества предоставляемых услуг посредством непрерывного обучения.</w:t>
      </w:r>
    </w:p>
    <w:p w:rsidR="00000000" w:rsidRDefault="00000000">
      <w:pPr>
        <w:pStyle w:val="BodyText"/>
      </w:pPr>
      <w:r>
        <w:tab/>
      </w:r>
      <w:r>
        <w:tab/>
        <w:t xml:space="preserve">Программа действий "Здравоохранение – социальное обеспечение, 2000–2006 годы" способствует обеспечению гендерного равенства в области здравоохранения и социального обеспечения и включает меры, касающиеся: а) доступа на рынок труда; </w:t>
      </w:r>
      <w:r>
        <w:rPr>
          <w:lang w:val="en-US"/>
        </w:rPr>
        <w:t>b</w:t>
      </w:r>
      <w:r>
        <w:t>)</w:t>
      </w:r>
      <w:r>
        <w:rPr>
          <w:lang w:val="en-US"/>
        </w:rPr>
        <w:t> </w:t>
      </w:r>
      <w:r>
        <w:t xml:space="preserve">образования и профессиональной подготовки; </w:t>
      </w:r>
      <w:r>
        <w:rPr>
          <w:lang w:val="en-US"/>
        </w:rPr>
        <w:t>c</w:t>
      </w:r>
      <w:r>
        <w:t xml:space="preserve">) предпринимательства; </w:t>
      </w:r>
      <w:r>
        <w:rPr>
          <w:lang w:val="en-US"/>
        </w:rPr>
        <w:t>d</w:t>
      </w:r>
      <w:r>
        <w:t>)</w:t>
      </w:r>
      <w:r>
        <w:rPr>
          <w:lang w:val="en-US"/>
        </w:rPr>
        <w:t> </w:t>
      </w:r>
      <w:r>
        <w:t>совмещения семейных обязанностей и производственной деятельности, а также мер в отношении уязвимых групп населения.</w:t>
      </w:r>
    </w:p>
    <w:p w:rsidR="00000000" w:rsidRDefault="00000000">
      <w:pPr>
        <w:pStyle w:val="BodyText"/>
      </w:pPr>
      <w:r>
        <w:tab/>
      </w:r>
      <w:r>
        <w:tab/>
        <w:t>В частности, в соответствии с Мерой 4.1 приоритет отдается осуществлению работы по профессиональной подготовке персонала Национального центра чрезвычайной помощи (</w:t>
      </w:r>
      <w:r>
        <w:rPr>
          <w:lang w:val="en-US"/>
        </w:rPr>
        <w:t>EKAV</w:t>
      </w:r>
      <w:r>
        <w:t>) и национальной системы здравоохранения в таких областях, как охрана здоровья женского населения страны (например: обследование молочных желез, остеопороз, а также последствия насилия, грудное вскармливание и т. д.).</w:t>
      </w:r>
    </w:p>
    <w:p w:rsidR="00000000" w:rsidRDefault="00000000">
      <w:pPr>
        <w:pStyle w:val="BodyText"/>
        <w:jc w:val="center"/>
        <w:rPr>
          <w:b/>
        </w:rPr>
      </w:pPr>
      <w:r>
        <w:rPr>
          <w:b/>
          <w:lang w:val="en-US"/>
        </w:rPr>
        <w:t>II</w:t>
      </w:r>
      <w:r>
        <w:rPr>
          <w:b/>
        </w:rPr>
        <w:t>.  Планирование семьи</w:t>
      </w:r>
    </w:p>
    <w:p w:rsidR="00000000" w:rsidRDefault="00000000">
      <w:pPr>
        <w:pStyle w:val="BodyText"/>
      </w:pPr>
      <w:r>
        <w:t>2.</w:t>
      </w:r>
      <w:r>
        <w:tab/>
        <w:t>Несмотря на некоторые организационные и операционные трудности, в числе которых нехватка персонала, задача создания сети для предоставления услуг в области планирования семьи в Греции, поставленная Министерством здравоохранения и социального обеспечения и осуществляемая путем формирования системы планирования семьи (закон 1036/80) и национальной системы здравоохранения (статья 22 закона 1397/83), в целом выполняется удовлетворительно.</w:t>
      </w:r>
    </w:p>
    <w:p w:rsidR="00000000" w:rsidRDefault="00000000">
      <w:pPr>
        <w:pStyle w:val="BodyText"/>
      </w:pPr>
      <w:r>
        <w:tab/>
      </w:r>
      <w:r>
        <w:tab/>
        <w:t>В медицинских учреждениях профессиональный медицинский персонал предоставляет услуги и консультации по вопросам планирования семьи с целью информировать в данной области и соответственно ориентировать как можно большее число жителей территорий, находящихся в ведении этих учреждений, и, кроме того, экономических беженцев, цыган. Данные учреждения также сотрудничают с другими органами, а именно с местной администрацией, образовательными заведениями, различными ассоциациями, женскими организациями и т. д. Информирование и ориентирование местных жителей достигается благодаря работе медицинских специалистов, способных в соответствии с местными потребностями разработать собственные подходы для работы с общинами, организуя различные кампании, читая лекции, произнося речи, распространяя печатный материал, демонстрируя диапозитивы, публикуя те или иные статьи в местной прессе и т. д.</w:t>
      </w:r>
    </w:p>
    <w:p w:rsidR="00000000" w:rsidRDefault="00000000">
      <w:pPr>
        <w:pStyle w:val="BodyText"/>
      </w:pPr>
      <w:r>
        <w:t>3.</w:t>
      </w:r>
      <w:r>
        <w:tab/>
        <w:t>Министерство образования отвечает за распространение в школах информации о последствиях абортов и соответствующих мерах для предотвращения нежелательной беременности, а также о гигиене половой жизни и профилактике болезней, передаваемых половым путем. Следует отметить, что хотя, как правило, вышеупомянутые медицинские специалисты контактируют со школами по собственной инициативе через лицо, ответственное за санитарное просвещение в школах, они всегда доступны для школ всех уровней, если необходимо предоставить какую-либо информацию.</w:t>
      </w:r>
    </w:p>
    <w:p w:rsidR="00000000" w:rsidRDefault="00000000">
      <w:pPr>
        <w:pStyle w:val="BodyText"/>
      </w:pPr>
      <w:r>
        <w:t>4.</w:t>
      </w:r>
      <w:r>
        <w:tab/>
        <w:t>Сбор данных о количестве абортов очень сложен, поскольку, хотя квалифицирование аборта как уголовно наказуемого деяния было отменено законом 1609/86, сделавшие аборт женщины по-прежнему просят о сохранении врачебной тайны даже в государственных акушерских клиниках. До сих пор не существует законодательной нормы о распространении контрацептивов страховыми фондами. Распространение контрацептивов частными организациями делает невозможным сбор соответствующей информации в стране.</w:t>
      </w:r>
    </w:p>
    <w:p w:rsidR="00000000" w:rsidRDefault="00000000">
      <w:pPr>
        <w:pStyle w:val="BodyText"/>
      </w:pPr>
      <w:r>
        <w:t>5.</w:t>
      </w:r>
      <w:r>
        <w:tab/>
        <w:t>В настоящее время функционирует 41 Центр планирования семьи. Некоторые из них действуют через медицинские учреждения в рамках Института социального обеспечения (</w:t>
      </w:r>
      <w:r>
        <w:rPr>
          <w:lang w:val="en-US"/>
        </w:rPr>
        <w:t>I</w:t>
      </w:r>
      <w:r>
        <w:t>.</w:t>
      </w:r>
      <w:r>
        <w:rPr>
          <w:lang w:val="en-US"/>
        </w:rPr>
        <w:t>K</w:t>
      </w:r>
      <w:r>
        <w:t>.</w:t>
      </w:r>
      <w:r>
        <w:rPr>
          <w:lang w:val="en-US"/>
        </w:rPr>
        <w:t>A</w:t>
      </w:r>
      <w:r>
        <w:t>); в то же время медицинские центры консультируют по вопросам планирования семьи. Там, где центров планирования семьи нет, информацию, консультации и печатный материал по этим вопросам можно получить в отделениях акушерства и гинекологии государственных больниц.</w:t>
      </w:r>
    </w:p>
    <w:p w:rsidR="00000000" w:rsidRDefault="00000000">
      <w:pPr>
        <w:pStyle w:val="BodyText"/>
      </w:pPr>
      <w:r>
        <w:t>6.</w:t>
      </w:r>
      <w:r>
        <w:tab/>
        <w:t xml:space="preserve">Управление первичной медико-санитарной помощи Министерства здравоохранения и социального обеспечения в сотрудничестве с Управлением санитарного просвещения и информации приступили к выпуску следующих буклетов: а) "Методы контрацепции и деторождение", </w:t>
      </w:r>
      <w:r>
        <w:rPr>
          <w:lang w:val="en-US"/>
        </w:rPr>
        <w:t>b</w:t>
      </w:r>
      <w:r>
        <w:t>)</w:t>
      </w:r>
      <w:r>
        <w:rPr>
          <w:lang w:val="en-US"/>
        </w:rPr>
        <w:t> </w:t>
      </w:r>
      <w:r>
        <w:t xml:space="preserve">"Как избежать аборта? Узнайте о контрацепции", а также возобновило выпуск а) слайдов по теме "Планирование семьи", </w:t>
      </w:r>
      <w:r>
        <w:rPr>
          <w:lang w:val="en-US"/>
        </w:rPr>
        <w:t>b</w:t>
      </w:r>
      <w:r>
        <w:t>)</w:t>
      </w:r>
      <w:r>
        <w:rPr>
          <w:lang w:val="en-US"/>
        </w:rPr>
        <w:t> </w:t>
      </w:r>
      <w:r>
        <w:t>слайдов по теме "Охрана психологического здоровья", с) короткометражного фильма "Контрацепция".</w:t>
      </w:r>
    </w:p>
    <w:p w:rsidR="00000000" w:rsidRDefault="00000000">
      <w:pPr>
        <w:pStyle w:val="BodyText"/>
        <w:jc w:val="center"/>
        <w:rPr>
          <w:b/>
        </w:rPr>
      </w:pPr>
    </w:p>
    <w:p w:rsidR="00000000" w:rsidRDefault="00000000">
      <w:pPr>
        <w:pStyle w:val="BodyText"/>
        <w:jc w:val="center"/>
        <w:rPr>
          <w:b/>
        </w:rPr>
      </w:pPr>
      <w:r>
        <w:rPr>
          <w:b/>
          <w:lang w:val="en-US"/>
        </w:rPr>
        <w:t>III</w:t>
      </w:r>
      <w:r>
        <w:rPr>
          <w:b/>
        </w:rPr>
        <w:t>.  Искусственное оплодотворение</w:t>
      </w:r>
    </w:p>
    <w:p w:rsidR="00000000" w:rsidRDefault="00000000">
      <w:pPr>
        <w:pStyle w:val="BodyText"/>
      </w:pPr>
      <w:r>
        <w:t>7.</w:t>
      </w:r>
      <w:r>
        <w:rPr>
          <w:b/>
        </w:rPr>
        <w:tab/>
      </w:r>
      <w:r>
        <w:t>В законе 3089/2002 о медицинской поддержке репродуктивной функции человека содержатся условия и требования в отношении искусственного оплодотворения, с помощью которого незамужним женщинам позволяется заводить детей.</w:t>
      </w:r>
    </w:p>
    <w:p w:rsidR="00000000" w:rsidRDefault="00000000">
      <w:pPr>
        <w:pStyle w:val="BodyText"/>
        <w:jc w:val="center"/>
        <w:rPr>
          <w:b/>
        </w:rPr>
      </w:pPr>
    </w:p>
    <w:p w:rsidR="00000000" w:rsidRDefault="00000000">
      <w:pPr>
        <w:pStyle w:val="BodyText"/>
        <w:jc w:val="center"/>
        <w:rPr>
          <w:b/>
        </w:rPr>
      </w:pPr>
      <w:r>
        <w:rPr>
          <w:b/>
          <w:lang w:val="en-US"/>
        </w:rPr>
        <w:t>IV</w:t>
      </w:r>
      <w:r>
        <w:rPr>
          <w:b/>
        </w:rPr>
        <w:t>.  Болезни, передаваемые половым путем/СПИД</w:t>
      </w:r>
    </w:p>
    <w:p w:rsidR="00000000" w:rsidRDefault="00000000">
      <w:pPr>
        <w:pStyle w:val="BodyText"/>
      </w:pPr>
      <w:r>
        <w:t>8.</w:t>
      </w:r>
      <w:r>
        <w:tab/>
        <w:t>В соответствии с актом об учреждении Греческого центра эпидемиологии инфекционных заболеваний (</w:t>
      </w:r>
      <w:r>
        <w:rPr>
          <w:lang w:val="en-US"/>
        </w:rPr>
        <w:t>K</w:t>
      </w:r>
      <w:r>
        <w:t>.</w:t>
      </w:r>
      <w:r>
        <w:rPr>
          <w:lang w:val="en-US"/>
        </w:rPr>
        <w:t>E</w:t>
      </w:r>
      <w:r>
        <w:t>.</w:t>
      </w:r>
      <w:r>
        <w:rPr>
          <w:lang w:val="en-US"/>
        </w:rPr>
        <w:t>E</w:t>
      </w:r>
      <w:r>
        <w:t>.</w:t>
      </w:r>
      <w:r>
        <w:rPr>
          <w:lang w:val="en-US"/>
        </w:rPr>
        <w:t>L</w:t>
      </w:r>
      <w:r>
        <w:t>.) (статья 26 закона 2071/1992), эта организация уполномочена осуществлять деятельность в области сексуального просвещения, а также предоставлять первичную и вторичную помощь тем, кто страдает заболеваниями, передаваемыми половым путем, СПИДом/ВИЧ. Именно в этом направлении Центр осуществляет свою работу.</w:t>
      </w:r>
    </w:p>
    <w:p w:rsidR="00000000" w:rsidRDefault="00000000">
      <w:pPr>
        <w:pStyle w:val="BodyText"/>
      </w:pPr>
      <w:r>
        <w:t>9.</w:t>
      </w:r>
      <w:r>
        <w:tab/>
        <w:t>Учет случаев положительной реакции на ВИЧ и случаев заболевания СПИДом в Греции обязателен. Общее число лиц с положительной реакцией на ВИЧ на 30 июня 2003 года составляло примерно 6521. Доля женщин среди них была 19,04 процента. Болезнь имела тенденцию к росту как среди мужчин, так и среди женщин, но с 2000 года ситуация стабилизировалась, то есть ежегодно число зафиксированных новых случаев инфицирования остается на том же уровне. Из 1214 инфицированных при гетеросексуальных контактах 756 (62,27 процента) – женщины. Это единственная категория инфицированных, в которой женщины по числу опережают мужчин. Общее число случаев заболевания СПИДом в Греции – 2394, из которых 339 (14,2 процента) – женщины. Снижение с 1996 года количества случаев заболевания СПИДом и смертельных исходов объясняется применением новой антиретровирусной терапии. Из 458 заболевших СПИДом через гетеросексуальные контакты 241 (52,6 процента) – женщины.</w:t>
      </w:r>
    </w:p>
    <w:p w:rsidR="00000000" w:rsidRDefault="00000000">
      <w:pPr>
        <w:pStyle w:val="BodyText"/>
      </w:pPr>
      <w:r>
        <w:t>10.</w:t>
      </w:r>
      <w:r>
        <w:tab/>
        <w:t>Центр эпидемиологии особых видов инфекций, ориентирующийся на женщин как на целевую группу, предоставляет информацию по профилактике и борьбе со СПИДом и заболеваниями, передаваемыми половым путем, при помощи пропаганды здорового сексуального поведения и использования женских презервативов, а также оказывает поддержку своим подразделениям в больницах. К тому же, Центр эпидемиологии особых видов инфекций участвовал в качестве партнера в европейской межгосударственной программе "Средиземноморская сеть для женщин, которые подвергаются риску ВИЧ</w:t>
      </w:r>
      <w:r>
        <w:noBreakHyphen/>
        <w:t>инфицирования", финансировавшейся ЕС. Первый этап программы продолжался с октября 1999 года по март 2001 года и координировался Службой информации по СПИДу (Франция). После возобновления ЕС данной программы начался ее второй этап, продлившийся с октября 2001 года по октябрь 2002 года.</w:t>
      </w:r>
    </w:p>
    <w:p w:rsidR="00000000" w:rsidRDefault="00000000">
      <w:pPr>
        <w:pStyle w:val="BodyText"/>
      </w:pPr>
      <w:r>
        <w:t>11.</w:t>
      </w:r>
      <w:r>
        <w:tab/>
        <w:t>В рамках работы Центра эпидемиологии особых видов инфекций, который в качестве партнера нес административную ответственность за выполнение программы (Бюро по связям с общественностью и международным отношениям), координация и реализация конкретных действий были поручены научным работникам Службы консультативной телефонной помощи по инфекционным заболеваниям и СПИДу. В программе приняли участие соответствующие службы/организации консультативной телефонной помощи по СПИДу пяти средиземноморских стран. Целью программы было создание в странах Южной Европы сети по проблемам женщин в связи с ВИЧ-инфекцией и другими болезнями, передаваемыми половым путем (БППП), а также повышение качества и степени координации услуг, предоставляемых в сфере информации, профилактики, медицинской и социально-психологической помощи. Цели программы можно суммировать следующим образом:</w:t>
      </w:r>
    </w:p>
    <w:p w:rsidR="00000000" w:rsidRDefault="00000000">
      <w:pPr>
        <w:pStyle w:val="18-8"/>
      </w:pPr>
      <w:r>
        <w:sym w:font="Symbol" w:char="F0B7"/>
      </w:r>
      <w:r>
        <w:tab/>
        <w:t>Создание национального наблюдательного центра для регистрации предоставляемых женщинам услуг и определения эффективных способов реагирования.</w:t>
      </w:r>
    </w:p>
    <w:p w:rsidR="00000000" w:rsidRDefault="00000000">
      <w:pPr>
        <w:pStyle w:val="18-8"/>
      </w:pPr>
      <w:r>
        <w:sym w:font="Symbol" w:char="F0B7"/>
      </w:r>
      <w:r>
        <w:tab/>
        <w:t>Информирование государственных учреждений и неправительственных организаций, занимающихся проблемами ВИЧ и других болезней, передаваемых половым путем, которые затрагивают женское население, и мобилизация их деятельности.</w:t>
      </w:r>
    </w:p>
    <w:p w:rsidR="00000000" w:rsidRDefault="00000000">
      <w:pPr>
        <w:pStyle w:val="18-8"/>
      </w:pPr>
      <w:r>
        <w:sym w:font="Symbol" w:char="F0B7"/>
      </w:r>
      <w:r>
        <w:tab/>
        <w:t>Содействие в сотрудничестве на европейском и национальном уровнях, а также в создании национальных сетей по проблемам женщин.</w:t>
      </w:r>
    </w:p>
    <w:p w:rsidR="00000000" w:rsidRDefault="00000000">
      <w:pPr>
        <w:pStyle w:val="BodyText"/>
      </w:pPr>
      <w:r>
        <w:t>12.</w:t>
      </w:r>
      <w:r>
        <w:tab/>
        <w:t>Отделение по работе с мигрантами Центра эпидемиологии особых видов инфекций осуществляет свою деятельность непосредственно в местах расселения иммигрантов и беженцев, а также работает по ориентированной на иммигрантов программе "Улица". В сотрудничестве с Управлением социального обеспечения Министерства здравоохранения и социального обеспечения отделение также реализует экспериментальную программу "Защита греческих цыган и содействие их социальной интеграции". 1500 человек, половина из которых – женщины, прошли медицинский осмотр. Они получили консультации по контрацепции, правилам гигиены и вопросам планирования семьи.</w:t>
      </w:r>
    </w:p>
    <w:p w:rsidR="00000000" w:rsidRDefault="00000000">
      <w:pPr>
        <w:pStyle w:val="BodyText"/>
      </w:pPr>
      <w:r>
        <w:t>13.</w:t>
      </w:r>
      <w:r>
        <w:tab/>
        <w:t xml:space="preserve">Помимо Центра эпидемиологии особых видов инфекций в европейских программах </w:t>
      </w:r>
      <w:r>
        <w:rPr>
          <w:lang w:val="en-US"/>
        </w:rPr>
        <w:t>EUROPAP</w:t>
      </w:r>
      <w:r>
        <w:t xml:space="preserve"> и </w:t>
      </w:r>
      <w:r>
        <w:rPr>
          <w:lang w:val="en-US"/>
        </w:rPr>
        <w:t>TAMPEP</w:t>
      </w:r>
      <w:r>
        <w:t xml:space="preserve">, а также в Комплексном проекте Министерства здравоохранения и социального обеспечения принимает участие Секция эпидемиологии и биостатистики Национального института здравоохранения. </w:t>
      </w:r>
      <w:r>
        <w:rPr>
          <w:lang w:val="en-US"/>
        </w:rPr>
        <w:t>EUROPAP</w:t>
      </w:r>
      <w:r>
        <w:t xml:space="preserve"> – это европейская сеть проектов по профилактике СПИДа/БППП среди проституток. Целью этих проектов является развитие и поддержка деятельности по уменьшению числа случаев ВИЧ-инфицирования, заболевания БППП и другими инфекционными болезнями среди проституток, а также выявление наиболее эффективных и подходящих методов работы с проститутками.</w:t>
      </w:r>
    </w:p>
    <w:p w:rsidR="00000000" w:rsidRDefault="00000000">
      <w:pPr>
        <w:pStyle w:val="BodyText"/>
      </w:pPr>
      <w:r>
        <w:t>14.</w:t>
      </w:r>
      <w:r>
        <w:tab/>
        <w:t xml:space="preserve">Целью </w:t>
      </w:r>
      <w:r>
        <w:rPr>
          <w:lang w:val="en-US"/>
        </w:rPr>
        <w:t>TAMPEP</w:t>
      </w:r>
      <w:r>
        <w:t xml:space="preserve"> (Транснационального проекта профилактики СПИДа/БППП среди иностранных проституток в Европе) является проведение в жизнь и распространение новых стратегий и методик профилактики ВИЧ-инфицирования и БППП среди иностранных проституток в Европе. Действие программы </w:t>
      </w:r>
      <w:r>
        <w:rPr>
          <w:lang w:val="en-US"/>
        </w:rPr>
        <w:t>TAMPEP</w:t>
      </w:r>
      <w:r>
        <w:t xml:space="preserve"> распространяется на проституток из стран, не входящих в ЕС. Для информирования женщин-проституток были выпущены специальные буклеты на греческом, албанском и русском языках. Цель Комплексного проекта в Греции – контроль, изучение и регистрация эпидемиологических данных по СПИДу и БППП среди иностранных проституток в районах вдоль греко-албанской границы и в таких крупных городах, как Афины и Салоники. Для реализации программы были изданы специальные буклеты на трех языках (греческом, албанском и болгарском), которые распространяются вместе с презервативами и лубрикантами. Ежемесячно проститутки получают информационные бюллетени по данной теме. Соответствующие акции среди проституток проводились группой специально подготовленных посредников (система обучения "равный – равному")</w:t>
      </w:r>
    </w:p>
    <w:p w:rsidR="00000000" w:rsidRDefault="00000000">
      <w:pPr>
        <w:pStyle w:val="BodyText"/>
        <w:spacing w:before="120"/>
        <w:jc w:val="center"/>
        <w:rPr>
          <w:b/>
        </w:rPr>
      </w:pPr>
      <w:r>
        <w:rPr>
          <w:b/>
          <w:lang w:val="en-US"/>
        </w:rPr>
        <w:t>V</w:t>
      </w:r>
      <w:r>
        <w:rPr>
          <w:b/>
        </w:rPr>
        <w:t>.  Медико-санитарное просвещение (информирование – обучение)</w:t>
      </w:r>
    </w:p>
    <w:p w:rsidR="00000000" w:rsidRDefault="00000000">
      <w:pPr>
        <w:pStyle w:val="BodyText"/>
      </w:pPr>
      <w:r>
        <w:t>15.</w:t>
      </w:r>
      <w:r>
        <w:tab/>
        <w:t>В 2000–2004 годах в связи с необходимостью информировать общественность, и особенно женщин, по проблем здоровья Управление санитарного просвещения и информации Министерства здравоохранения и социального обеспечения распространяло печатные и аудиовизуальные материалы по ряду вопросов, касающихся женского здоровья.</w:t>
      </w:r>
    </w:p>
    <w:p w:rsidR="00000000" w:rsidRDefault="00000000">
      <w:pPr>
        <w:pStyle w:val="BodyText"/>
        <w:spacing w:before="120"/>
        <w:jc w:val="center"/>
        <w:rPr>
          <w:b/>
        </w:rPr>
      </w:pPr>
      <w:r>
        <w:rPr>
          <w:b/>
          <w:lang w:val="en-US"/>
        </w:rPr>
        <w:t>VI</w:t>
      </w:r>
      <w:r>
        <w:rPr>
          <w:b/>
        </w:rPr>
        <w:t>.  Подготовка специалистов в области здравоохранения</w:t>
      </w:r>
    </w:p>
    <w:p w:rsidR="00000000" w:rsidRDefault="00000000">
      <w:pPr>
        <w:pStyle w:val="BodyText"/>
      </w:pPr>
      <w:r>
        <w:t>16.</w:t>
      </w:r>
      <w:r>
        <w:tab/>
        <w:t>В учебных программах по вопросам здравоохранения, по которым в Национальном институте здравоохранения, а именно на отделении эпидемиологии и биостатистики, каждый год обучаются дипломированные врачи, административный персонал медицинских учреждений и организаций здравоохранения, представлены вопросы об эпидемических болезнях, а также болезнях, распространенных среди женщин. Вопросы, которые рассматриваются в рамках различных научных исследований или библиографических обзоров, учебных программ, представляют преподаватели или студенты в форме исследований в области образования по темам: 1) Болезни, принимающие форму эпидемий среди женщин, на международном, европейском и национальном уровнях; 2) Проблемы физического здоровья женщин, а именно рак, болезни сердца, СПИД; 3) Проблемы психического здоровья женщин, а именно депрессия, анорексия; 4) Проблемы социального характера, а именно положение женских меньшинств, женщин из числа цыган, женщин-иммигрантов.</w:t>
      </w:r>
    </w:p>
    <w:p w:rsidR="00000000" w:rsidRDefault="00000000">
      <w:pPr>
        <w:pStyle w:val="BodyText"/>
        <w:spacing w:before="120"/>
        <w:jc w:val="center"/>
        <w:rPr>
          <w:b/>
        </w:rPr>
      </w:pPr>
      <w:r>
        <w:rPr>
          <w:b/>
          <w:lang w:val="en-US"/>
        </w:rPr>
        <w:t>VII</w:t>
      </w:r>
      <w:r>
        <w:rPr>
          <w:b/>
        </w:rPr>
        <w:t>.  Уязвимые социальные группы</w:t>
      </w:r>
    </w:p>
    <w:p w:rsidR="00000000" w:rsidRDefault="00000000">
      <w:pPr>
        <w:pStyle w:val="BodyText"/>
      </w:pPr>
      <w:r>
        <w:t>17.</w:t>
      </w:r>
      <w:r>
        <w:tab/>
        <w:t>В соответствии с Мерой 3.1 программы действий "Здравоохранение – социальное обеспечение" Третьей рамочной программы поддержки общин, муниципалитеты с помощью социальных работников создают сеть социальных служб, которые должны предоставлять услуги по социально-экономической интеграции главным образом лиц, которые могут оказаться или уже оказались невостребованными на рынке труда, а также тех, кто не имеет доступа к службам и неспособен самостоятельно справиться со своими проблемами. Данную Меру планируется осуществить в 150 муниципалитетах; её реализация уже началась и продолжается в 75 муниципалитетах.</w:t>
      </w:r>
    </w:p>
    <w:p w:rsidR="00000000" w:rsidRDefault="00000000">
      <w:pPr>
        <w:pStyle w:val="BodyText"/>
        <w:rPr>
          <w:b/>
          <w:i/>
        </w:rPr>
      </w:pPr>
      <w:r>
        <w:rPr>
          <w:b/>
          <w:i/>
        </w:rPr>
        <w:t>Цыгане</w:t>
      </w:r>
    </w:p>
    <w:p w:rsidR="00000000" w:rsidRDefault="00000000">
      <w:pPr>
        <w:pStyle w:val="BodyText"/>
      </w:pPr>
      <w:r>
        <w:t>18.</w:t>
      </w:r>
      <w:r>
        <w:tab/>
        <w:t>В рамках своей компетенции Министерство внутренних дел, государственной администрации и децентрализации осуществляет деятельность по поддержке греческих цыган, как мужчин, так и женщин, с целью их интеграции в жизнь общества (см. соответствующий доклад под названием "Первый доклад Греции для Комитета Организации Объединенных Наций по экономическим, социальным и культурным правам).</w:t>
      </w:r>
    </w:p>
    <w:p w:rsidR="00000000" w:rsidRDefault="00000000">
      <w:pPr>
        <w:pStyle w:val="BodyText"/>
      </w:pPr>
      <w:r>
        <w:t>19.</w:t>
      </w:r>
      <w:r>
        <w:tab/>
        <w:t>Министерство здравоохранения и социального обеспечения реализует программу "Охрана греческих цыган и содействие их социальной интеграции", включающую создание 50 социально-медицинских центров и 2 передвижных медицинских подразделений для проведения профилактических медицинских осмотров (анализы крови, рентген, тесты по Папаниколау и т. д.). На сегодняшний день два передвижных медицинских подразделения побывали в 53 поселениях цыган.</w:t>
      </w:r>
    </w:p>
    <w:p w:rsidR="00000000" w:rsidRDefault="00000000">
      <w:pPr>
        <w:pStyle w:val="BodyText"/>
        <w:rPr>
          <w:b/>
          <w:i/>
        </w:rPr>
      </w:pPr>
      <w:r>
        <w:rPr>
          <w:b/>
          <w:i/>
        </w:rPr>
        <w:t>Лица с инвалидностью</w:t>
      </w:r>
    </w:p>
    <w:p w:rsidR="00000000" w:rsidRDefault="00000000">
      <w:pPr>
        <w:pStyle w:val="BodyText"/>
      </w:pPr>
      <w:r>
        <w:t>20.</w:t>
      </w:r>
      <w:r>
        <w:tab/>
        <w:t>Цель политики социального обеспечения лиц с инвалидностью – предоставление им права удовлетворять свои возникшие в связи с инвалидностью особые потребности, а также их интеграция в общество с помощью программ физической и социальной реабилитации.</w:t>
      </w:r>
    </w:p>
    <w:p w:rsidR="00000000" w:rsidRDefault="00000000">
      <w:pPr>
        <w:pStyle w:val="BodyText"/>
      </w:pPr>
      <w:r>
        <w:tab/>
      </w:r>
      <w:r>
        <w:tab/>
        <w:t>В связи с тем, что выплата социальных пособий носит вспомогательный, второстепенный характер по сравнению со страховыми пособиями, размер которых зависит от вида и степени нетрудоспособности, вида страхования и т. д., осуществляется 11 программ финансовой поддержки этих категорий граждан. Данные программы охватывают все категории лиц с инвалидностью (незрячих, лиц с нарушением слуха, двигательных функций и т. д.). Согласно оценкам, помощь по программам Министерства здравоохранения и социального обеспечения получают 165 тыс. человек.</w:t>
      </w:r>
    </w:p>
    <w:p w:rsidR="00000000" w:rsidRDefault="00000000">
      <w:pPr>
        <w:pStyle w:val="BodyText"/>
      </w:pPr>
      <w:r>
        <w:t>21.</w:t>
      </w:r>
      <w:r>
        <w:tab/>
        <w:t>В рамках реабилитации по всей стране работают различные реабилитационные центры (учреждения публичного права), с тем чтобы обеспечивать физическую, функциональную и социальную реабилитацию, предоставлять услуги в области образования и профессиональной подготовки, а также разрабатывать и осуществлять программы помощи инвалидам. Ярким примером могут служить 3 крупных центра в Афинах с отделениями по всей стране, занимающиеся всеми видами нарушений двигательной и сенсорной функций (Центр образования и реабилитации для незрячих, Национальный фонд для лиц с нарушением слуха, Национальный фонд реабилитации лиц с физическими и психическими недостатками).</w:t>
      </w:r>
    </w:p>
    <w:p w:rsidR="00000000" w:rsidRDefault="00000000">
      <w:pPr>
        <w:pStyle w:val="BodyText"/>
      </w:pPr>
      <w:r>
        <w:t>22.</w:t>
      </w:r>
      <w:r>
        <w:tab/>
        <w:t>В Греции также работают 4 центра физической и социальной реабилитации, а также Центр восстановления, реабилитации и социальной поддержки инвалидов. Кроме того, было завершено строительство зданий для 3 центров физической и социальной реабилитации, а также для Центра восстановления, реабилитации и социальной поддержки инвалидов в городе Арта. В настоящее время осуществляется поставка оборудования и набор персонала, что является завершающим этапом реализации проекта перед открытием центров. Деятельность этих центров направлена на функциональную реабилитацию и социальную интеграцию инвалидов при помощи специальных программ, в рамках которых услуги предоставляются квалифицированным персоналом.</w:t>
      </w:r>
    </w:p>
    <w:p w:rsidR="00000000" w:rsidRDefault="00000000">
      <w:pPr>
        <w:pStyle w:val="BodyText"/>
      </w:pPr>
      <w:r>
        <w:t>23.</w:t>
      </w:r>
      <w:r>
        <w:tab/>
        <w:t>Кроме того, в каждой из 24 префектур работает экспериментальный центр образования, социальной поддержки и профессиональной подготовки инвалидов. Эти центры открылись совсем недавно, и их цель – обеспечение равных возможностей для инвалидов, их социальная интеграция и предотвращение их помещения в специализированные лечебные заведения. Для этого оказываются следующие услуги:</w:t>
      </w:r>
    </w:p>
    <w:p w:rsidR="00000000" w:rsidRDefault="00000000">
      <w:pPr>
        <w:pStyle w:val="110"/>
      </w:pPr>
      <w:r>
        <w:t>–</w:t>
      </w:r>
      <w:r>
        <w:tab/>
        <w:t>социально-психологическая и консультационная поддержка,</w:t>
      </w:r>
    </w:p>
    <w:p w:rsidR="00000000" w:rsidRDefault="00000000">
      <w:pPr>
        <w:pStyle w:val="110"/>
      </w:pPr>
      <w:r>
        <w:t>–</w:t>
      </w:r>
      <w:r>
        <w:tab/>
        <w:t>функциональная реабилитация,</w:t>
      </w:r>
    </w:p>
    <w:p w:rsidR="00000000" w:rsidRDefault="00000000">
      <w:pPr>
        <w:pStyle w:val="110"/>
        <w:spacing w:after="220"/>
      </w:pPr>
      <w:r>
        <w:t>–</w:t>
      </w:r>
      <w:r>
        <w:tab/>
        <w:t>профессиональная ориентация и соответствующая подготовка,</w:t>
      </w:r>
    </w:p>
    <w:p w:rsidR="00000000" w:rsidRDefault="00000000">
      <w:pPr>
        <w:pStyle w:val="110"/>
        <w:spacing w:after="220"/>
      </w:pPr>
      <w:r>
        <w:t>–</w:t>
      </w:r>
      <w:r>
        <w:tab/>
        <w:t>образование, помощь в достижении самостоятельности, организация досуга, занятия спортом.</w:t>
      </w:r>
    </w:p>
    <w:p w:rsidR="00000000" w:rsidRDefault="00000000">
      <w:pPr>
        <w:pStyle w:val="BodyText"/>
        <w:spacing w:after="220"/>
      </w:pPr>
      <w:r>
        <w:t>24.</w:t>
      </w:r>
      <w:r>
        <w:tab/>
        <w:t xml:space="preserve">Программы, реализуемые в отчетный период на уровне общин, перечислены в Приложении </w:t>
      </w:r>
      <w:r>
        <w:rPr>
          <w:lang w:val="en-US"/>
        </w:rPr>
        <w:t>F</w:t>
      </w:r>
      <w:r>
        <w:t xml:space="preserve"> настоящего доклада.</w:t>
      </w:r>
    </w:p>
    <w:p w:rsidR="00000000" w:rsidRDefault="00000000">
      <w:pPr>
        <w:pStyle w:val="BodyText"/>
        <w:spacing w:after="220"/>
        <w:jc w:val="center"/>
        <w:rPr>
          <w:b/>
        </w:rPr>
      </w:pPr>
      <w:r>
        <w:rPr>
          <w:b/>
          <w:lang w:val="en-US"/>
        </w:rPr>
        <w:t>VIII</w:t>
      </w:r>
      <w:r>
        <w:rPr>
          <w:b/>
        </w:rPr>
        <w:t>.  Специальные услуги для наркозависимых женщин</w:t>
      </w:r>
    </w:p>
    <w:p w:rsidR="00000000" w:rsidRDefault="00000000">
      <w:pPr>
        <w:pStyle w:val="BodyText"/>
        <w:spacing w:after="220"/>
      </w:pPr>
      <w:r>
        <w:t>25.</w:t>
      </w:r>
      <w:r>
        <w:tab/>
        <w:t>В связи с предоставлением специальных услуг лицам с наркотической и алкогольной зависимостью Министерство здравоохранения и социального обеспечения разрабатывает программы по профилактике, реабилитации и социальной интеграции. Эти услуги также предоставляются тем, кто не желает проходить процесс детоксикации, с целью решения, насколько это возможно, проблем со здоровьем отдельных наркозависимых и общества в целом, с одной стороны, и проблемы преступности – с другой. Для этого была создана многопрофильная служба, занимающаяся проблемами, связанными с разного рода</w:t>
      </w:r>
      <w:r>
        <w:rPr>
          <w:spacing w:val="-3"/>
        </w:rPr>
        <w:t xml:space="preserve"> зависимостью среди некоторых групп населения, например бездомных, женщин-проституток, </w:t>
      </w:r>
      <w:r>
        <w:t>иммигрантов и т. д. Все услуги предоставляются бесплатно и на добровольной основе.</w:t>
      </w:r>
    </w:p>
    <w:p w:rsidR="00000000" w:rsidRDefault="00000000">
      <w:pPr>
        <w:pStyle w:val="BodyText"/>
        <w:spacing w:after="220"/>
      </w:pPr>
      <w:r>
        <w:t>26.</w:t>
      </w:r>
      <w:r>
        <w:tab/>
        <w:t>Женщинам предоставляются следующие специальные услуги:</w:t>
      </w:r>
    </w:p>
    <w:p w:rsidR="00000000" w:rsidRDefault="00000000">
      <w:pPr>
        <w:pStyle w:val="--0"/>
        <w:spacing w:after="220"/>
      </w:pPr>
      <w:r>
        <w:rPr>
          <w:lang w:val="en-US"/>
        </w:rPr>
        <w:t>A</w:t>
      </w:r>
      <w:r>
        <w:t>)</w:t>
      </w:r>
      <w:r>
        <w:tab/>
        <w:t>Здравоохранение и иммигранты-беженцы</w:t>
      </w:r>
    </w:p>
    <w:p w:rsidR="00000000" w:rsidRDefault="00000000">
      <w:pPr>
        <w:pStyle w:val="18-8"/>
        <w:spacing w:after="220"/>
      </w:pPr>
      <w:r>
        <w:t>1.</w:t>
      </w:r>
      <w:r>
        <w:tab/>
        <w:t>Межкультурная терапевтическая программа Восточной Македонии и Фракии "</w:t>
      </w:r>
      <w:r>
        <w:rPr>
          <w:lang w:val="en-US"/>
        </w:rPr>
        <w:t>KIVOTOS</w:t>
      </w:r>
      <w:r>
        <w:t>". "</w:t>
      </w:r>
      <w:r>
        <w:rPr>
          <w:lang w:val="en-US"/>
        </w:rPr>
        <w:t>KIVOTOS</w:t>
      </w:r>
      <w:r>
        <w:t>" – это первая сеть, предоставляющая комплекс услуг по лечению наркотической зависимости, которая создана в данных районах и имеет подразделения в восточной Македонии (Кавала) и Фракии (Александруполис).</w:t>
      </w:r>
    </w:p>
    <w:p w:rsidR="00000000" w:rsidRDefault="00000000">
      <w:pPr>
        <w:pStyle w:val="18-8"/>
        <w:spacing w:after="220"/>
      </w:pPr>
      <w:r>
        <w:t>2.</w:t>
      </w:r>
      <w:r>
        <w:tab/>
        <w:t>Промежуточный центр интеграции для особых социальных групп "</w:t>
      </w:r>
      <w:r>
        <w:rPr>
          <w:lang w:val="en-US"/>
        </w:rPr>
        <w:t>MOSAIC</w:t>
      </w:r>
      <w:r>
        <w:t>". Он расположен в Афинах и ориентирован на особые социальные группы, такие как репатриированные эмигранты, беженцы, иммигранты, столкнувшиеся с проблемой употребления психоактивных веществ. Центр оказывает первичную медицинскую помощь, направленную на уменьшение вреда в связи с употреблением психоактивных веществ, предоставляет услуги по лечению психологической зависимости от наркотиков, по интеграции в общество и в трудовой процесс, оказанию поддержки семье.</w:t>
      </w:r>
    </w:p>
    <w:p w:rsidR="00000000" w:rsidRDefault="00000000">
      <w:pPr>
        <w:pStyle w:val="--0"/>
        <w:spacing w:after="220"/>
      </w:pPr>
      <w:r>
        <w:rPr>
          <w:lang w:val="en-US"/>
        </w:rPr>
        <w:t>B</w:t>
      </w:r>
      <w:r>
        <w:t>)</w:t>
      </w:r>
      <w:r>
        <w:tab/>
        <w:t>Медико-санитарное просвещение в школах в связи с употреблением – производством психоактивных веществ</w:t>
      </w:r>
    </w:p>
    <w:p w:rsidR="00000000" w:rsidRDefault="00000000">
      <w:pPr>
        <w:pStyle w:val="18-8"/>
        <w:spacing w:after="220"/>
      </w:pPr>
      <w:r>
        <w:t xml:space="preserve">1. </w:t>
      </w:r>
      <w:r>
        <w:tab/>
        <w:t>Количество профилактических центров, сотрудничающих с Организацией по борьбе с наркотиками (</w:t>
      </w:r>
      <w:r>
        <w:rPr>
          <w:lang w:val="en-US"/>
        </w:rPr>
        <w:t>O</w:t>
      </w:r>
      <w:r>
        <w:t>.</w:t>
      </w:r>
      <w:r>
        <w:rPr>
          <w:lang w:val="en-US"/>
        </w:rPr>
        <w:t>KA</w:t>
      </w:r>
      <w:r>
        <w:t>.</w:t>
      </w:r>
      <w:r>
        <w:rPr>
          <w:lang w:val="en-US"/>
        </w:rPr>
        <w:t>NA</w:t>
      </w:r>
      <w:r>
        <w:t>.) и местными органами власти достигает 63; они действуют в 46 из 52 префектур страны. Эти центры ориентированы на учащихся, родителей, военнослужащих, преподавателей и т. д.</w:t>
      </w:r>
    </w:p>
    <w:p w:rsidR="00000000" w:rsidRDefault="00000000">
      <w:pPr>
        <w:pStyle w:val="18-8"/>
      </w:pPr>
      <w:r>
        <w:t xml:space="preserve">2. </w:t>
      </w:r>
      <w:r>
        <w:tab/>
        <w:t>Центр по лечению наркозависимых (</w:t>
      </w:r>
      <w:r>
        <w:rPr>
          <w:lang w:val="en-US"/>
        </w:rPr>
        <w:t>KE</w:t>
      </w:r>
      <w:r>
        <w:t>.</w:t>
      </w:r>
      <w:r>
        <w:rPr>
          <w:lang w:val="en-US"/>
        </w:rPr>
        <w:t>THE</w:t>
      </w:r>
      <w:r>
        <w:t>.</w:t>
      </w:r>
      <w:r>
        <w:rPr>
          <w:lang w:val="en-US"/>
        </w:rPr>
        <w:t>A</w:t>
      </w:r>
      <w:r>
        <w:t>) продолжает предоставлять свои услуги с помощью передвижного информационного подразделения "</w:t>
      </w:r>
      <w:r>
        <w:rPr>
          <w:lang w:val="en-US"/>
        </w:rPr>
        <w:t>PEGASUS</w:t>
      </w:r>
      <w:r>
        <w:t>", а также через комплексные программы первичной профилактики, осуществляемые в учебных заведениях и за их пределами в сотрудничестве с местными органами власти.</w:t>
      </w:r>
    </w:p>
    <w:p w:rsidR="00000000" w:rsidRDefault="00000000">
      <w:pPr>
        <w:pStyle w:val="BodyText"/>
        <w:rPr>
          <w:i/>
        </w:rPr>
      </w:pPr>
      <w:r>
        <w:tab/>
      </w:r>
      <w:r>
        <w:rPr>
          <w:i/>
        </w:rPr>
        <w:t>С)</w:t>
      </w:r>
      <w:r>
        <w:rPr>
          <w:i/>
        </w:rPr>
        <w:tab/>
        <w:t>Лечение наркозависимых женщин</w:t>
      </w:r>
    </w:p>
    <w:p w:rsidR="00000000" w:rsidRDefault="00000000">
      <w:pPr>
        <w:pStyle w:val="BodyText"/>
      </w:pPr>
      <w:r>
        <w:rPr>
          <w:i/>
        </w:rPr>
        <w:tab/>
        <w:t>Специальные программы для наркозависимых матерей.</w:t>
      </w:r>
      <w:r>
        <w:t xml:space="preserve"> Важная роль отводится недавно разработанным программам лечения матерей с наркотической зависимостью. С 2000 года Центр по лечению наркозависимых проводит специальную программу для наркозависимых матерей в городе Салоники, где проходящим лечение женщинам предоставляется возможность жить вместе со своими детьми и не быть изолированными от общества. Подразделение "18 </w:t>
      </w:r>
      <w:r>
        <w:rPr>
          <w:lang w:val="en-US"/>
        </w:rPr>
        <w:t>ANO</w:t>
      </w:r>
      <w:r>
        <w:t>" психиатрической больницы Аттики реализует в Афинах сходную программу для наркозависимых матерей, которые параллельно с лечением осуществляют уход за своими детьми.</w:t>
      </w:r>
    </w:p>
    <w:p w:rsidR="00000000" w:rsidRDefault="00000000">
      <w:pPr>
        <w:pStyle w:val="BodyText"/>
      </w:pPr>
      <w:r>
        <w:tab/>
      </w:r>
      <w:r>
        <w:tab/>
        <w:t>В рамках программ замещения наркотиков, реализуемых в Греции Организацией по борьбе с наркотиками (</w:t>
      </w:r>
      <w:r>
        <w:rPr>
          <w:lang w:val="en-US"/>
        </w:rPr>
        <w:t>OKANA</w:t>
      </w:r>
      <w:r>
        <w:t>), в первую очередь лечение проходят наркозависимые женщины, находящиеся по меньшей мере на третьем месяце беременности. Матери с детьми в возрасте до трех лет также пользуются преимущественными правами.</w:t>
      </w:r>
    </w:p>
    <w:p w:rsidR="00000000" w:rsidRDefault="00000000">
      <w:pPr>
        <w:pStyle w:val="BodyText"/>
      </w:pPr>
      <w:r>
        <w:tab/>
      </w:r>
      <w:r>
        <w:tab/>
        <w:t>В 1995 году в Афинах началось осуществление программы для наркозависимых женщин. Это первая в своем роде программа в Греции. Первоначально она состояла из 10 позиций, однако полученные положительные результаты позволили в настоящее время увеличить число таких позиций до 16. Программа была создана с целью привлечения наркозависимых женщин, особенно молодых, к прохождению курса лечения наркозависимости.</w:t>
      </w:r>
    </w:p>
    <w:p w:rsidR="00000000" w:rsidRDefault="00000000">
      <w:pPr>
        <w:pStyle w:val="--0"/>
      </w:pPr>
      <w:r>
        <w:rPr>
          <w:caps/>
          <w:lang w:val="en-US"/>
        </w:rPr>
        <w:t>d</w:t>
      </w:r>
      <w:r>
        <w:t>)</w:t>
      </w:r>
      <w:r>
        <w:tab/>
        <w:t>Уязвимые группы населения и группы, находящиеся в критическом положении</w:t>
      </w:r>
    </w:p>
    <w:p w:rsidR="00000000" w:rsidRDefault="00000000">
      <w:pPr>
        <w:pStyle w:val="BodyText"/>
      </w:pPr>
      <w:r>
        <w:tab/>
      </w:r>
      <w:r>
        <w:rPr>
          <w:i/>
        </w:rPr>
        <w:t>Программа лечения "</w:t>
      </w:r>
      <w:r>
        <w:rPr>
          <w:i/>
          <w:lang w:val="en-US"/>
        </w:rPr>
        <w:t>EN</w:t>
      </w:r>
      <w:r>
        <w:rPr>
          <w:i/>
        </w:rPr>
        <w:t xml:space="preserve"> </w:t>
      </w:r>
      <w:r>
        <w:rPr>
          <w:i/>
          <w:lang w:val="en-US"/>
        </w:rPr>
        <w:t>DRASI</w:t>
      </w:r>
      <w:r>
        <w:rPr>
          <w:i/>
        </w:rPr>
        <w:t>".</w:t>
      </w:r>
      <w:r>
        <w:t xml:space="preserve"> Это первая программа по борьбе с наркозависимостью в рамках греческой системы исправительных учреждений. Программа осуществляется на базе лечебного отделения женской тюрьмы Коридаллос, носящего то же название, и приемника-распределителя для освободившихся из тюрьмы, расположенного в центре Афин. Кроме того, в нескольких тюрьмах Аттики проводятся программы самопомощи.</w:t>
      </w:r>
    </w:p>
    <w:p w:rsidR="00000000" w:rsidRDefault="00000000">
      <w:pPr>
        <w:pStyle w:val="--0"/>
        <w:rPr>
          <w:u w:val="single"/>
        </w:rPr>
      </w:pPr>
      <w:r>
        <w:rPr>
          <w:caps/>
        </w:rPr>
        <w:t>е</w:t>
      </w:r>
      <w:r>
        <w:t>)</w:t>
      </w:r>
      <w:r>
        <w:tab/>
        <w:t>Уход за детьми (наркозависимых матерей)</w:t>
      </w:r>
    </w:p>
    <w:p w:rsidR="00000000" w:rsidRDefault="00000000">
      <w:pPr>
        <w:pStyle w:val="BodyText"/>
      </w:pPr>
      <w:r>
        <w:rPr>
          <w:i/>
        </w:rPr>
        <w:tab/>
        <w:t>Программа ухода "</w:t>
      </w:r>
      <w:r>
        <w:rPr>
          <w:i/>
          <w:lang w:val="en-US"/>
        </w:rPr>
        <w:t>ITHACA</w:t>
      </w:r>
      <w:r>
        <w:rPr>
          <w:i/>
        </w:rPr>
        <w:t xml:space="preserve">" Центра по лечению наркозависимых. </w:t>
      </w:r>
      <w:r>
        <w:t xml:space="preserve">Если дети живут отдельно от своих матерей, то лечебное отделение </w:t>
      </w:r>
      <w:r>
        <w:rPr>
          <w:lang w:val="en-US"/>
        </w:rPr>
        <w:t>ITHACA</w:t>
      </w:r>
      <w:r>
        <w:t xml:space="preserve"> предоставляет специально оборудованные помещения для проживания детей и их творческого развития, а также игровые площадки на открытом воздухе; с детьми работают профессиональная няня и детский психолог.</w:t>
      </w:r>
    </w:p>
    <w:p w:rsidR="00000000" w:rsidRDefault="00000000">
      <w:pPr>
        <w:pStyle w:val="--0"/>
      </w:pPr>
      <w:r>
        <w:rPr>
          <w:caps/>
          <w:lang w:val="en-US"/>
        </w:rPr>
        <w:t>f</w:t>
      </w:r>
      <w:r>
        <w:t>)</w:t>
      </w:r>
      <w:r>
        <w:tab/>
        <w:t>Меры по поддержке семьи</w:t>
      </w:r>
    </w:p>
    <w:p w:rsidR="00000000" w:rsidRDefault="00000000">
      <w:pPr>
        <w:pStyle w:val="BodyText"/>
      </w:pPr>
      <w:r>
        <w:tab/>
      </w:r>
      <w:r>
        <w:rPr>
          <w:i/>
        </w:rPr>
        <w:t xml:space="preserve">Центры поддержки семьи: </w:t>
      </w:r>
      <w:r>
        <w:t>сотрудничество Центра по лечению наркозависимых с семьями лиц, проходящих лечение.</w:t>
      </w:r>
    </w:p>
    <w:p w:rsidR="00000000" w:rsidRDefault="00000000">
      <w:pPr>
        <w:pStyle w:val="BodyText"/>
      </w:pPr>
      <w:r>
        <w:tab/>
        <w:t>Участие семьи в программе по борьбе с наркозависимостью положительно сказывается на результатах лечения. Все лечебные программы в Центре по лечению наркозависимых реализуются параллельно с программами поддержки семьи, ориентированными на ближайших родственников больного (родителей, братьев и сестер, детей, сожителей/мужей); их продолжительность примерно равна продолжительности лечебного курса.</w:t>
      </w:r>
    </w:p>
    <w:p w:rsidR="00000000" w:rsidRDefault="00000000">
      <w:pPr>
        <w:pStyle w:val="--0"/>
      </w:pPr>
      <w:r>
        <w:rPr>
          <w:caps/>
          <w:lang w:val="en-US"/>
        </w:rPr>
        <w:t>g</w:t>
      </w:r>
      <w:r>
        <w:t>)</w:t>
      </w:r>
      <w:r>
        <w:tab/>
        <w:t>Болезни, передаваемые половым путем/СПИД. Лечение инфекционных болезней у наркозависимых</w:t>
      </w:r>
    </w:p>
    <w:p w:rsidR="00000000" w:rsidRDefault="00000000">
      <w:pPr>
        <w:pStyle w:val="BodyText"/>
      </w:pPr>
      <w:r>
        <w:tab/>
        <w:t>С 1996 года в Афинах (</w:t>
      </w:r>
      <w:r>
        <w:rPr>
          <w:lang w:val="en-US"/>
        </w:rPr>
        <w:t>Exarcheia</w:t>
      </w:r>
      <w:r>
        <w:t>) осуществляется программа для наркозависимых, живущих на улицах и, как правило, лишенных социальной поддержки и заботы. Во время регулярных утренних и вечерних акций, которые проводятся в установленных местах, реализующий программу персонал общается с наркоманами и 1) предоставляет им психологическую помощь, 2) рассказывает об опасностях, связанных с употреблением наркотиков, и консультирует по вопросам злоупотребления наркотиками и сексуального поведения. Участвующие в программе работники раздают наркозависимым женщинам-проституткам презервативы с целью предотвращения распространения инфекционных болезней (гепатита, СПИДа и др.). 3) Участвующие в программе работники организуют диагностические обследования наркозависимых в медицинских учреждениях. 4) Во время семинаров по проблемам здоровья проводятся групповые встречи наркоманов с врачами. В Афинах среди наркозависимых распространяется брошюра "Руководство по выживанию", в которой содержатся инструкции по менее безопасному употреблению наркотиков, первой помощи и полезным адресам в случаях крайней необходимости.</w:t>
      </w:r>
    </w:p>
    <w:p w:rsidR="00000000" w:rsidRDefault="00000000">
      <w:pPr>
        <w:pStyle w:val="BodyText"/>
        <w:jc w:val="center"/>
        <w:rPr>
          <w:b/>
        </w:rPr>
      </w:pPr>
      <w:r>
        <w:rPr>
          <w:b/>
          <w:lang w:val="en-US"/>
        </w:rPr>
        <w:t>IX</w:t>
      </w:r>
      <w:r>
        <w:rPr>
          <w:b/>
        </w:rPr>
        <w:t>.  Психическое здоровье</w:t>
      </w:r>
    </w:p>
    <w:p w:rsidR="00000000" w:rsidRDefault="00000000">
      <w:pPr>
        <w:pStyle w:val="BodyText"/>
      </w:pPr>
      <w:r>
        <w:t>27.</w:t>
      </w:r>
      <w:r>
        <w:tab/>
        <w:t>Шаги, предпринятые в 2000–2004 годах под контролем Управления Министерства здравоохранения и социального обеспечения (подразделения по проблемам психического здоровья для лиц с психическими нарушениями, в частности среди беженцев, цыган, для лиц, страдающих старческим слабоумием, аутизмом, умственной неполноценностью, вторичными психическими недостатками, психо-гериатрическими болезнями), были ориентированы не только на женщин, но на пациентов-мужчин.</w:t>
      </w:r>
    </w:p>
    <w:p w:rsidR="00000000" w:rsidRDefault="00000000">
      <w:pPr>
        <w:pStyle w:val="BodyText"/>
        <w:rPr>
          <w:b/>
          <w:i/>
        </w:rPr>
      </w:pPr>
      <w:r>
        <w:rPr>
          <w:b/>
          <w:i/>
        </w:rPr>
        <w:t>Программа "</w:t>
      </w:r>
      <w:r>
        <w:rPr>
          <w:b/>
          <w:i/>
          <w:lang w:val="en-US"/>
        </w:rPr>
        <w:t>Psychargos</w:t>
      </w:r>
      <w:r>
        <w:rPr>
          <w:b/>
          <w:i/>
        </w:rPr>
        <w:t>"</w:t>
      </w:r>
    </w:p>
    <w:p w:rsidR="00000000" w:rsidRDefault="00000000">
      <w:pPr>
        <w:pStyle w:val="BodyText"/>
      </w:pPr>
      <w:r>
        <w:t>28.</w:t>
      </w:r>
      <w:r>
        <w:tab/>
        <w:t>В 1983 году была разработана политика в области психического здоровья; с 1997 года она реализуется в рамках 10-летнего плана (</w:t>
      </w:r>
      <w:r>
        <w:rPr>
          <w:lang w:val="en-US"/>
        </w:rPr>
        <w:t>Psychargos</w:t>
      </w:r>
      <w:r>
        <w:t xml:space="preserve">), пересматриваемого каждые 5 лет. В ходе первого этапа программы </w:t>
      </w:r>
      <w:r>
        <w:rPr>
          <w:lang w:val="en-US"/>
        </w:rPr>
        <w:t>Psychargos</w:t>
      </w:r>
      <w:r>
        <w:t xml:space="preserve"> (2000–2001 годы) было создано 55 общежитий и школ-интернатов для выписанных на амбулаторный режим пациентов с психическими нарушениями (в течение вышеупомянутого периода 600 хронических больных покинули 8 психиатрических клиник). В ходе второго этапа реализации политики (2002–2006 годы) были намечены следующие задачи: а) продолжение процесса перевода пациентов из специализированных стационарных учреждений на амбулаторный режим и дестигматизация, </w:t>
      </w:r>
      <w:r>
        <w:rPr>
          <w:lang w:val="en-US"/>
        </w:rPr>
        <w:t>b</w:t>
      </w:r>
      <w:r>
        <w:t xml:space="preserve">) создание отделений психиатрических служб по всей стране, </w:t>
      </w:r>
      <w:r>
        <w:rPr>
          <w:lang w:val="en-US"/>
        </w:rPr>
        <w:t>c</w:t>
      </w:r>
      <w:r>
        <w:t>) выработка подробных гарантий и процедур защиты прав пациентов. Выполнение этих задач предполагает закрытие 4 психиатрических клиник к началу 2006 года (их замену общественными структурами) и сокращение числа больничных коек на 40–50 процентов еще в 4 психиатрических клиниках, которые должны быть также закрыты к 2015 году.</w:t>
      </w:r>
    </w:p>
    <w:p w:rsidR="00000000" w:rsidRDefault="00000000">
      <w:pPr>
        <w:pStyle w:val="BodyText"/>
      </w:pPr>
      <w:r>
        <w:t>29.</w:t>
      </w:r>
      <w:r>
        <w:tab/>
        <w:t>Попытка реформирования системы психического здоровья, особенно перевод хронических пациентов на амбулаторный режим, сопровождается действиями по дестигматизации страдающих психическими недостатками. Среди наиболее существенных действий, особенно с 2001 года, который Всемирная организация здравоохранения (ВОЗ) назвала "Годом психического здоровья", можно назвать следующие:</w:t>
      </w:r>
    </w:p>
    <w:p w:rsidR="00000000" w:rsidRDefault="00000000">
      <w:pPr>
        <w:pStyle w:val="18-8"/>
      </w:pPr>
      <w:r>
        <w:sym w:font="Symbol" w:char="F0B7"/>
      </w:r>
      <w:r>
        <w:tab/>
        <w:t>Декларация о психическом здоровье (апрель 2001 года), подписанная президентом Греческой Республики и касающаяся проблем дестигматизации.</w:t>
      </w:r>
    </w:p>
    <w:p w:rsidR="00000000" w:rsidRDefault="00000000">
      <w:pPr>
        <w:pStyle w:val="18-8"/>
      </w:pPr>
      <w:r>
        <w:sym w:font="Symbol" w:char="F0B7"/>
      </w:r>
      <w:r>
        <w:tab/>
        <w:t>Афинская декларация (июнь 2001 года) о психическом здоровье, антропогенных катастрофах, стигматизации и общественной психиатрической помощи. Эта декларация была подписана во время первой сессии ВОЗ по странам южной и юго-восточной Европы, была принята 51-ой региональной сессией ВОЗ/Европы (сентябрь 2001 года) и 55-ой Всемирной ассамблеей здравоохранения ВОЗ (май 2002 года);</w:t>
      </w:r>
    </w:p>
    <w:p w:rsidR="00000000" w:rsidRDefault="00000000">
      <w:pPr>
        <w:pStyle w:val="18-8"/>
      </w:pPr>
      <w:r>
        <w:sym w:font="Symbol" w:char="F0B7"/>
      </w:r>
      <w:r>
        <w:tab/>
        <w:t>Принятие на ежегодной конференции Центральной ассоциации муниципалитетов и общин Греции (декабрь 2002 года) резолюции по борьбе со стигматизацией и созданию общественных служб психического здоровья.</w:t>
      </w:r>
    </w:p>
    <w:p w:rsidR="00000000" w:rsidRDefault="00000000">
      <w:pPr>
        <w:pStyle w:val="18-8"/>
      </w:pPr>
      <w:r>
        <w:sym w:font="Symbol" w:char="F0B7"/>
      </w:r>
      <w:r>
        <w:tab/>
        <w:t>Организация по всей стране ряда мероприятий по проблемам психического здоровья, направленных на модернизацию психиатрических служб, в результате чего сократится количество устаревших психиатрических клиник, которые будут заменены общественными службами психического здоровья. Эти мероприятия также были направлены на преодоление негативного отношения общества к данной проблеме.</w:t>
      </w:r>
    </w:p>
    <w:p w:rsidR="00000000" w:rsidRDefault="00000000">
      <w:pPr>
        <w:pStyle w:val="18-8"/>
      </w:pPr>
      <w:r>
        <w:sym w:font="Symbol" w:char="F0B7"/>
      </w:r>
      <w:r>
        <w:tab/>
        <w:t>Публикация на греческом языке доклада ВОЗ о состоянии здравоохранения в мире, 2001 год под названием: "Психическое здоровье: новое понимание, новая надежда", который был распространен среди организаций по вопросам здравоохранения и психического здоровья, СМИ, местных органов власти муниципалитетов и префектур, центральной администрации, большого числа других организаций, ведомств и операторов.</w:t>
      </w:r>
    </w:p>
    <w:p w:rsidR="00000000" w:rsidRDefault="00000000">
      <w:pPr>
        <w:pStyle w:val="18-8"/>
      </w:pPr>
      <w:r>
        <w:sym w:font="Symbol" w:char="F0B7"/>
      </w:r>
      <w:r>
        <w:tab/>
        <w:t>Наконец, 27–29 марта 2003 года в контексте председательства Греции в ЕС Министерство здравоохранения и социального обеспечения организовало конференцию "Психические недостатки и стигматизация в Европе: проблемы социальной интеграции и равноправия". Предварительные выводы Конференции после их доработки и одобрения секторами здравоохранения постоянных представителей в ЕС переданы для одобрения Совету министров занятости, социальной политики, здравоохранения и защиты прав потребителей. Предполагается, что все это будет содействовать значительному улучшению медицинского обслуживания и социальной интеграции лиц с психическими недостатками.</w:t>
      </w:r>
    </w:p>
    <w:p w:rsidR="00000000" w:rsidRDefault="00000000">
      <w:pPr>
        <w:pStyle w:val="BodyText"/>
      </w:pPr>
      <w:r>
        <w:t>30.</w:t>
      </w:r>
      <w:r>
        <w:rPr>
          <w:b/>
        </w:rPr>
        <w:tab/>
      </w:r>
      <w:r>
        <w:t>В том, что касается облегчения доступа к службам психического здоровья в сельских районах, то из многих таких районов относительно легко добраться до ближайших городских центров, где имеются службы психического здоровья. В горных и островных районах уже функционируют 4 передвижных подразделения, и планируется создание еще 17 подобных подразделений для предоставления всех необходимых и требуемых услуг во время посещений на местах. Эти подразделения совместно с дополнительными психиатрическими отделениями в главных больницах и центрах психического здоровья, создание которых запланировано в рамках программы "</w:t>
      </w:r>
      <w:r>
        <w:rPr>
          <w:lang w:val="en-US"/>
        </w:rPr>
        <w:t>Psychargos</w:t>
      </w:r>
      <w:r>
        <w:t>", в значительной степени облегчат предоставление услуг в области психического здоровья заинтересованным лицам.</w:t>
      </w:r>
    </w:p>
    <w:p w:rsidR="00000000" w:rsidRDefault="00000000">
      <w:pPr>
        <w:pStyle w:val="BodyText"/>
        <w:keepNext/>
        <w:ind w:left="0" w:firstLine="0"/>
        <w:jc w:val="center"/>
        <w:rPr>
          <w:b/>
        </w:rPr>
      </w:pPr>
      <w:r>
        <w:rPr>
          <w:b/>
          <w:lang w:val="en-US"/>
        </w:rPr>
        <w:t>X</w:t>
      </w:r>
      <w:r>
        <w:rPr>
          <w:b/>
        </w:rPr>
        <w:t xml:space="preserve">.  Деятельность неправительственных организаций и </w:t>
      </w:r>
      <w:r>
        <w:rPr>
          <w:b/>
          <w:lang w:val="en-US"/>
        </w:rPr>
        <w:t>K</w:t>
      </w:r>
      <w:r>
        <w:rPr>
          <w:b/>
        </w:rPr>
        <w:t>.</w:t>
      </w:r>
      <w:r>
        <w:rPr>
          <w:b/>
          <w:lang w:val="en-US"/>
        </w:rPr>
        <w:t>E</w:t>
      </w:r>
      <w:r>
        <w:rPr>
          <w:b/>
        </w:rPr>
        <w:t>.</w:t>
      </w:r>
      <w:r>
        <w:rPr>
          <w:b/>
          <w:lang w:val="en-US"/>
        </w:rPr>
        <w:t>TH</w:t>
      </w:r>
      <w:r>
        <w:rPr>
          <w:b/>
        </w:rPr>
        <w:t>.</w:t>
      </w:r>
      <w:r>
        <w:rPr>
          <w:b/>
          <w:lang w:val="en-US"/>
        </w:rPr>
        <w:t>I</w:t>
      </w:r>
      <w:r>
        <w:rPr>
          <w:b/>
        </w:rPr>
        <w:t xml:space="preserve">. </w:t>
      </w:r>
      <w:r>
        <w:rPr>
          <w:b/>
        </w:rPr>
        <w:br/>
        <w:t>(Исследовательского центра гендерного равенства)</w:t>
      </w:r>
    </w:p>
    <w:p w:rsidR="00000000" w:rsidRDefault="00000000">
      <w:pPr>
        <w:pStyle w:val="BodyText"/>
        <w:spacing w:after="200"/>
      </w:pPr>
      <w:r>
        <w:t>31.</w:t>
      </w:r>
      <w:r>
        <w:tab/>
        <w:t>В распространении информации по вопросам здоровья значительную роль играют неправительственные организации, а именно:</w:t>
      </w:r>
    </w:p>
    <w:p w:rsidR="00000000" w:rsidRDefault="00000000">
      <w:pPr>
        <w:pStyle w:val="18-8"/>
        <w:spacing w:after="200"/>
      </w:pPr>
      <w:r>
        <w:sym w:font="Symbol" w:char="F0B7"/>
      </w:r>
      <w:r>
        <w:tab/>
      </w:r>
      <w:r>
        <w:rPr>
          <w:spacing w:val="-2"/>
        </w:rPr>
        <w:t>Группы сороптимистов, предоставляющие информационные открытки и буклеты по профилактической медицине, а также осуществляющие практические программы.</w:t>
      </w:r>
    </w:p>
    <w:p w:rsidR="00000000" w:rsidRDefault="00000000">
      <w:pPr>
        <w:pStyle w:val="18-8"/>
        <w:spacing w:after="200"/>
      </w:pPr>
      <w:r>
        <w:sym w:font="Symbol" w:char="F0B7"/>
      </w:r>
      <w:r>
        <w:tab/>
        <w:t>Лига в защиту прав женщин, организовавшая 28 ноября 2002 года общественную дискуссию по теме "Проблемы населения, планирование семьи, искусственное оплодотворение". Кроме того, в 2002 году в журнале "Борьба женщин" ("</w:t>
      </w:r>
      <w:r>
        <w:rPr>
          <w:lang w:val="en-US"/>
        </w:rPr>
        <w:t>Women</w:t>
      </w:r>
      <w:r>
        <w:t>’</w:t>
      </w:r>
      <w:r>
        <w:rPr>
          <w:lang w:val="en-US"/>
        </w:rPr>
        <w:t>s</w:t>
      </w:r>
      <w:r>
        <w:t xml:space="preserve"> </w:t>
      </w:r>
      <w:r>
        <w:rPr>
          <w:lang w:val="en-US"/>
        </w:rPr>
        <w:t>Struggle</w:t>
      </w:r>
      <w:r>
        <w:t>") она опубликовала статью "Низкий уровень рождаемости в контексте глобальных проблем населения".</w:t>
      </w:r>
    </w:p>
    <w:p w:rsidR="00000000" w:rsidRDefault="00000000">
      <w:pPr>
        <w:pStyle w:val="18-8"/>
        <w:spacing w:after="200"/>
      </w:pPr>
      <w:r>
        <w:sym w:font="Symbol" w:char="F0B7"/>
      </w:r>
      <w:r>
        <w:tab/>
        <w:t>Греческое общество по борьбе с раком, крупнейшая организация в Греции, занимающаяся социальными и медицинскими проблемами и имеющая 34 отделения по всей стране. Цели общества: 1) информирование населения, 2) информирование работников служб здравоохранения, 3) ранняя диагностика заболеваний, 4) социально-психологическая поддержка пациентов и их родственников, и 5) реабилитация и послелечебный уход за онкологическими больными. В ходе деятельности в последние 3 года Греческое общество по борьбе с раком предложило объявить октябрь "месяцем профилактики рака молочной железы", привлекая тем самым внимание греков к данной проблеме. Кроме того, Греческое общество по борьбе с раком организовало и продолжает осуществлять программу по вопросам ухода за молочными железами, которая включает предоставление новейшей комплексной информации и услуг по поддержке женщин в вопросах здоровья молочной железы и, в особенности, в случае рака молочной железы. В данной программе ключевым является телефон доверия (а в ближайшем будущем и интернет-сайт).</w:t>
      </w:r>
    </w:p>
    <w:p w:rsidR="00000000" w:rsidRDefault="00000000">
      <w:pPr>
        <w:pStyle w:val="18-8"/>
        <w:spacing w:after="200"/>
      </w:pPr>
      <w:r>
        <w:sym w:font="Symbol" w:char="F0B7"/>
      </w:r>
      <w:r>
        <w:tab/>
        <w:t>В марте 2002 года Греческое общество по мастологии организовало Центр социально-психологической поддержки "Элли Ламбети" для женщин, страдающих раком молочной железы, и членов их семей. Центр предоставляет бесплатные услуги всем женщинам с недавно поставленным диагнозом рак молочной железы, женщинам, проходящим соответствующее лечение, а также людям из ближайшего окружения этих женщин, контактирующим с больной и берущим на себя часть ухода за ней. Кроме того, Греческое общество по мастологии проводит информационные мероприятия "Как уберечь себя от рака молочной железы, угрожающего здоровью и жизни" в Афинах и по всей стране, а также выпускает буклеты с медицинской информацией по данной проблематике.</w:t>
      </w:r>
    </w:p>
    <w:p w:rsidR="00000000" w:rsidRDefault="00000000">
      <w:pPr>
        <w:pStyle w:val="BodyText"/>
      </w:pPr>
      <w:r>
        <w:t>32.</w:t>
      </w:r>
      <w:r>
        <w:tab/>
        <w:t>10 июля 2002 года передвижное подразделение города Ираклион Критского отделения Исследовательского центра гендерного равенства провело информационное мероприятие по вопросам планирования семьи, контрацепции, менопаузы и остеопороза. 4 и 5 января 2001 года был организован семинар по ознакомлению девушек с гендерной проблематикой в подростковый период. В период с сентября 2000 года по май 2001 года в качестве эксперимента начало работу передвижное информационное подразделение, предоставляющее информацию по ряду вопросов, среди которых вопросы женского здоровья. Наряду с этим, в декабре 2001 года Исследовательский центр гендерного равенства подготовил исследование по теме: "Умение справляться с психическими заболеваниями".</w:t>
      </w:r>
    </w:p>
    <w:p w:rsidR="00000000" w:rsidRDefault="00000000">
      <w:pPr>
        <w:pStyle w:val="BodyText"/>
        <w:keepNext/>
        <w:ind w:left="0" w:firstLine="0"/>
        <w:jc w:val="center"/>
        <w:rPr>
          <w:b/>
        </w:rPr>
      </w:pPr>
      <w:r>
        <w:rPr>
          <w:b/>
        </w:rPr>
        <w:t>В.  </w:t>
      </w:r>
      <w:r>
        <w:rPr>
          <w:b/>
          <w:caps/>
        </w:rPr>
        <w:t>Женщины и социальное обеспечение</w:t>
      </w:r>
    </w:p>
    <w:p w:rsidR="00000000" w:rsidRDefault="00000000">
      <w:pPr>
        <w:pStyle w:val="BodyText"/>
        <w:keepNext/>
        <w:ind w:left="0" w:firstLine="0"/>
        <w:jc w:val="center"/>
        <w:rPr>
          <w:b/>
        </w:rPr>
      </w:pPr>
      <w:r>
        <w:rPr>
          <w:b/>
          <w:lang w:val="en-US"/>
        </w:rPr>
        <w:t>I</w:t>
      </w:r>
      <w:r>
        <w:rPr>
          <w:b/>
        </w:rPr>
        <w:t>.  Борьба с бедностью и социальной изоляцией</w:t>
      </w:r>
    </w:p>
    <w:p w:rsidR="00000000" w:rsidRDefault="00000000">
      <w:pPr>
        <w:pStyle w:val="BodyText"/>
      </w:pPr>
      <w:r>
        <w:t>33.</w:t>
      </w:r>
      <w:r>
        <w:tab/>
        <w:t>Мера 3.1 Программы действий "Здравоохранение и социальное обеспечение,</w:t>
      </w:r>
      <w:r>
        <w:br/>
        <w:t xml:space="preserve">2000–2006 годы" третьей Рамочной программы поддержки общин (2000–2006 годы) направлена на развитие первичной социальной помощи путем предоставления услуг на местном уровне. Реализация Меры напрямую связана с созданием сети социальных служб и будет осуществлена примерно в 150 муниципалитетах страны. В рамках </w:t>
      </w:r>
      <w:r>
        <w:rPr>
          <w:caps/>
        </w:rPr>
        <w:t>м</w:t>
      </w:r>
      <w:r>
        <w:t>еры 3.1 станут доступны услуги по предоставлению помощи, направленные на борьбу с бедностью и социальной изоляцией. Одним из приоритетных видов деятельности сети социальных служб является предоставление помощи в преодолении прямого и косвенного вытеснения с рынка труда.</w:t>
      </w:r>
    </w:p>
    <w:p w:rsidR="00000000" w:rsidRDefault="00000000">
      <w:pPr>
        <w:pStyle w:val="BodyText"/>
        <w:jc w:val="center"/>
        <w:rPr>
          <w:b/>
        </w:rPr>
      </w:pPr>
      <w:r>
        <w:rPr>
          <w:b/>
          <w:lang w:val="en-US"/>
        </w:rPr>
        <w:t>II</w:t>
      </w:r>
      <w:r>
        <w:rPr>
          <w:b/>
        </w:rPr>
        <w:t>.  Отделения служб социальной поддержки</w:t>
      </w:r>
    </w:p>
    <w:p w:rsidR="00000000" w:rsidRDefault="00000000">
      <w:pPr>
        <w:pStyle w:val="BodyText"/>
      </w:pPr>
      <w:r>
        <w:t>34.</w:t>
      </w:r>
      <w:r>
        <w:tab/>
        <w:t>Отделения служб социальной поддержки работают с каждым, кому грозит изоляция и на кого не распространяются услуги системы социального обеспечения или служб по вопросам занятости и профессиональной подготовки. Получающие помощь относятся к следующим категориям: лица с инвалидностью, лица, осуществляющие уход за членами их семей-иждивенцами, в связи с чем они испытывают трудности с устройством на работу и закреплением на рынке труда, неполные семьи, женщины, подвергшиеся насилию, репатриированные эмигранты, иммигранты, ищущие убежище, беженцы, цыгане, лица, испытывающие трудности в связи с языковым барьером или из-за своих религиозных убеждений, бывшие заключенные, бывшие наркоманы, бездомные, безработные и другие категории людей, оказавшиеся в социальной изоляции и вытесненные с рынка труда или подвергающиеся подобному риску. Научный персонал отделений служб социальной поддержки предоставляет следующие услуги:</w:t>
      </w:r>
    </w:p>
    <w:p w:rsidR="00000000" w:rsidRDefault="00000000">
      <w:pPr>
        <w:pStyle w:val="110"/>
      </w:pPr>
      <w:r>
        <w:t>–</w:t>
      </w:r>
      <w:r>
        <w:tab/>
        <w:t>социально-психологическая поддержка и консультирование;</w:t>
      </w:r>
    </w:p>
    <w:p w:rsidR="00000000" w:rsidRDefault="00000000">
      <w:pPr>
        <w:pStyle w:val="110"/>
      </w:pPr>
      <w:r>
        <w:t>–</w:t>
      </w:r>
      <w:r>
        <w:tab/>
        <w:t>предоставление полномочий заинтересованным сторонам и их активизация;</w:t>
      </w:r>
    </w:p>
    <w:p w:rsidR="00000000" w:rsidRDefault="00000000">
      <w:pPr>
        <w:pStyle w:val="110"/>
      </w:pPr>
      <w:r>
        <w:t>–</w:t>
      </w:r>
      <w:r>
        <w:tab/>
        <w:t>информирование служащих и руководителей предприятий;</w:t>
      </w:r>
    </w:p>
    <w:p w:rsidR="00000000" w:rsidRDefault="00000000">
      <w:pPr>
        <w:pStyle w:val="110"/>
      </w:pPr>
      <w:r>
        <w:t>–</w:t>
      </w:r>
      <w:r>
        <w:tab/>
        <w:t>поддержка и укрепление семей тех, кто обратился за помощью;</w:t>
      </w:r>
    </w:p>
    <w:p w:rsidR="00000000" w:rsidRDefault="00000000">
      <w:pPr>
        <w:pStyle w:val="110"/>
      </w:pPr>
      <w:r>
        <w:t>–</w:t>
      </w:r>
      <w:r>
        <w:tab/>
        <w:t>развитие сотрудничества с социальными органами местных общин;</w:t>
      </w:r>
    </w:p>
    <w:p w:rsidR="00000000" w:rsidRDefault="00000000">
      <w:pPr>
        <w:pStyle w:val="110"/>
      </w:pPr>
      <w:r>
        <w:t>–</w:t>
      </w:r>
      <w:r>
        <w:tab/>
        <w:t>оценка результатов деятельности по обеспечению занятости и по социальной интеграции и реинтеграции лиц, обратившихся за помощью.</w:t>
      </w:r>
    </w:p>
    <w:p w:rsidR="00000000" w:rsidRDefault="00000000">
      <w:pPr>
        <w:pStyle w:val="BodyText"/>
        <w:keepNext/>
        <w:ind w:left="0" w:firstLine="0"/>
        <w:jc w:val="center"/>
        <w:rPr>
          <w:b/>
        </w:rPr>
      </w:pPr>
      <w:r>
        <w:rPr>
          <w:b/>
          <w:lang w:val="en-US"/>
        </w:rPr>
        <w:t>III</w:t>
      </w:r>
      <w:r>
        <w:rPr>
          <w:b/>
        </w:rPr>
        <w:t>. Национальный центр неотложной социальной помощи</w:t>
      </w:r>
    </w:p>
    <w:p w:rsidR="00000000" w:rsidRDefault="00000000">
      <w:pPr>
        <w:pStyle w:val="BodyText"/>
      </w:pPr>
      <w:r>
        <w:t>35.</w:t>
      </w:r>
      <w:r>
        <w:rPr>
          <w:b/>
        </w:rPr>
        <w:tab/>
      </w:r>
      <w:r>
        <w:t>Национальный центр неотложной социальной помощи был создан как децентрализованное отделение Национальной организации социальной помощи (ЕОК</w:t>
      </w:r>
      <w:r>
        <w:rPr>
          <w:lang w:val="en-US"/>
        </w:rPr>
        <w:t>F</w:t>
      </w:r>
      <w:r>
        <w:t>) на основании статьи 13 закона 2646/98, а позднее преобразован в независимую организацию публичного права (закон 3106/2003). Он расположен в Афинах и работает под надзором и контролем Министерства здравоохранения и социального обеспечения. Национальный центр чрезвычайной социальный помощи ориентирован на нуждающихся в срочной социальной помощи и поддержке, а конкретнее на взрослых лиц, оказавшихся в кризисной ситуации, детей и молодых людей, лишенных поддержки семьи, жертв насилия и безнадзорности, женщин – жертв насилия, одиноких пожилых людей. Предлагаемые услуги включают:</w:t>
      </w:r>
    </w:p>
    <w:p w:rsidR="00000000" w:rsidRDefault="00000000">
      <w:pPr>
        <w:pStyle w:val="110"/>
      </w:pPr>
      <w:r>
        <w:t>а)</w:t>
      </w:r>
      <w:r>
        <w:tab/>
        <w:t>социальные меры в критической ситуации,</w:t>
      </w:r>
    </w:p>
    <w:p w:rsidR="00000000" w:rsidRDefault="00000000">
      <w:pPr>
        <w:pStyle w:val="110"/>
      </w:pPr>
      <w:r>
        <w:rPr>
          <w:lang w:val="en-US"/>
        </w:rPr>
        <w:t>b</w:t>
      </w:r>
      <w:r>
        <w:t>)</w:t>
      </w:r>
      <w:r>
        <w:tab/>
        <w:t>предоставление временного убежища, еды и одежды,</w:t>
      </w:r>
    </w:p>
    <w:p w:rsidR="00000000" w:rsidRDefault="00000000">
      <w:pPr>
        <w:pStyle w:val="110"/>
      </w:pPr>
      <w:r>
        <w:rPr>
          <w:lang w:val="en-US"/>
        </w:rPr>
        <w:t>c</w:t>
      </w:r>
      <w:r>
        <w:t>)</w:t>
      </w:r>
      <w:r>
        <w:tab/>
        <w:t>информирование по вопросам социального обеспечения,</w:t>
      </w:r>
    </w:p>
    <w:p w:rsidR="00000000" w:rsidRDefault="00000000">
      <w:pPr>
        <w:pStyle w:val="110"/>
      </w:pPr>
      <w:r>
        <w:rPr>
          <w:lang w:val="en-US"/>
        </w:rPr>
        <w:t>d</w:t>
      </w:r>
      <w:r>
        <w:t>)</w:t>
      </w:r>
      <w:r>
        <w:tab/>
        <w:t>консультирование на индивидуальном, групповом и общинном уровнях,</w:t>
      </w:r>
    </w:p>
    <w:p w:rsidR="00000000" w:rsidRDefault="00000000">
      <w:pPr>
        <w:pStyle w:val="110"/>
      </w:pPr>
      <w:r>
        <w:rPr>
          <w:lang w:val="en-US"/>
        </w:rPr>
        <w:t>e</w:t>
      </w:r>
      <w:r>
        <w:t>)</w:t>
      </w:r>
      <w:r>
        <w:tab/>
        <w:t>координация и осуществление программ социальной солидарности и привлечение добровольцев для помощи в преодолении критических ситуаций,</w:t>
      </w:r>
    </w:p>
    <w:p w:rsidR="00000000" w:rsidRDefault="00000000">
      <w:pPr>
        <w:pStyle w:val="110"/>
      </w:pPr>
      <w:r>
        <w:rPr>
          <w:lang w:val="en-US"/>
        </w:rPr>
        <w:t>f</w:t>
      </w:r>
      <w:r>
        <w:t>)</w:t>
      </w:r>
      <w:r>
        <w:tab/>
        <w:t>краткосрочная психологическая помощь отдельным лицам, семьям и группам населения.</w:t>
      </w:r>
    </w:p>
    <w:p w:rsidR="00000000" w:rsidRDefault="00000000">
      <w:pPr>
        <w:pStyle w:val="BodyText"/>
      </w:pPr>
      <w:r>
        <w:t>36.</w:t>
      </w:r>
      <w:r>
        <w:tab/>
        <w:t>Национальный центр неотложной социальной помощи состоит из следующих организационных подразделений:</w:t>
      </w:r>
    </w:p>
    <w:p w:rsidR="00000000" w:rsidRDefault="00000000">
      <w:pPr>
        <w:pStyle w:val="110"/>
      </w:pPr>
      <w:r>
        <w:t>–</w:t>
      </w:r>
      <w:r>
        <w:tab/>
        <w:t>Координационный центр</w:t>
      </w:r>
    </w:p>
    <w:p w:rsidR="00000000" w:rsidRDefault="00000000">
      <w:pPr>
        <w:pStyle w:val="110"/>
      </w:pPr>
      <w:r>
        <w:t>–</w:t>
      </w:r>
      <w:r>
        <w:tab/>
        <w:t>региональные подразделения, предоставляющие в соответствующих случаях услуги социального обеспечения:</w:t>
      </w:r>
    </w:p>
    <w:p w:rsidR="00000000" w:rsidRDefault="00000000">
      <w:pPr>
        <w:pStyle w:val="18-8"/>
      </w:pPr>
      <w:r>
        <w:t>а.</w:t>
      </w:r>
      <w:r>
        <w:tab/>
        <w:t>центры социальной поддержки, предоставляющие консультационные услуги и психологическую поддержку обратившимся к ним лицам,</w:t>
      </w:r>
    </w:p>
    <w:p w:rsidR="00000000" w:rsidRDefault="00000000">
      <w:pPr>
        <w:pStyle w:val="18-8"/>
      </w:pPr>
      <w:r>
        <w:rPr>
          <w:lang w:val="en-US"/>
        </w:rPr>
        <w:t>b</w:t>
      </w:r>
      <w:r>
        <w:t>.</w:t>
      </w:r>
      <w:r>
        <w:tab/>
        <w:t>убежища для краткосрочного (на несколько часов) размещения, принимающие срочно нуждающихся в жилье людей для обеспечения их последующего доступа к социальной помощи.</w:t>
      </w:r>
    </w:p>
    <w:p w:rsidR="00000000" w:rsidRDefault="00000000">
      <w:pPr>
        <w:pStyle w:val="18-8"/>
      </w:pPr>
      <w:r>
        <w:t>с.</w:t>
      </w:r>
      <w:r>
        <w:tab/>
        <w:t>убежища для краткосрочного и среднесрочного пребывания лиц из уязвимых групп (женщины, матери, подростки, лица с инвалидностью) и находящихся в критическом положении (насилие, безнадзорность, эксплуатация, отсутствие жилья и еды).</w:t>
      </w:r>
    </w:p>
    <w:p w:rsidR="00000000" w:rsidRDefault="00000000">
      <w:pPr>
        <w:pStyle w:val="BodyText"/>
      </w:pPr>
      <w:r>
        <w:t>37.</w:t>
      </w:r>
      <w:r>
        <w:tab/>
        <w:t>Для пропаганды оказываемых Национальным центром неотложной социальной помощи услуг в СМИ была организована общественная кампания, включающая распространение различных печатных материалов. Одновременно в рамках программы действий "Информационное общество" был создан соответствующий проект для определения спроса на эти услуги, их регистрации и контроля их эффективности.</w:t>
      </w:r>
    </w:p>
    <w:p w:rsidR="00000000" w:rsidRDefault="00000000">
      <w:pPr>
        <w:pStyle w:val="BodyText"/>
        <w:ind w:left="0" w:firstLine="0"/>
        <w:jc w:val="center"/>
        <w:rPr>
          <w:b/>
        </w:rPr>
      </w:pPr>
      <w:r>
        <w:rPr>
          <w:b/>
        </w:rPr>
        <w:br w:type="page"/>
      </w:r>
      <w:r>
        <w:rPr>
          <w:b/>
          <w:lang w:val="en-US"/>
        </w:rPr>
        <w:t>IV</w:t>
      </w:r>
      <w:r>
        <w:rPr>
          <w:b/>
        </w:rPr>
        <w:t>.  Привлечение добровольцев: неправительственные организации и социальная поддержка</w:t>
      </w:r>
    </w:p>
    <w:p w:rsidR="00000000" w:rsidRDefault="00000000">
      <w:pPr>
        <w:pStyle w:val="BodyText"/>
      </w:pPr>
      <w:r>
        <w:t>38.</w:t>
      </w:r>
      <w:r>
        <w:tab/>
        <w:t>Министерство здравоохранения и социального обеспечения, особо подчеркивая роль добровольцев, некоммерческих и неправительственных организаций в предоставлении социальной помощи и здравоохранении, в ноябре 2000 года создало для содействия их сотрудничеству с государственным сектором департамент добровольческих услуг и аккредитации операторов при Управлении социального обеспечения и солидарности. Помимо прочего, департамент наделен следующими полномочиями:</w:t>
      </w:r>
    </w:p>
    <w:p w:rsidR="00000000" w:rsidRDefault="00000000">
      <w:pPr>
        <w:pStyle w:val="110"/>
      </w:pPr>
      <w:r>
        <w:t>–</w:t>
      </w:r>
      <w:r>
        <w:tab/>
        <w:t>разработка соответствующей законодательной базы,</w:t>
      </w:r>
    </w:p>
    <w:p w:rsidR="00000000" w:rsidRDefault="00000000">
      <w:pPr>
        <w:pStyle w:val="110"/>
      </w:pPr>
      <w:r>
        <w:t>–</w:t>
      </w:r>
      <w:r>
        <w:tab/>
        <w:t>регистрация частных некоммерческих операторов социальной помощи на национальном уровне и на уровне префектур, а также особая регистрация добровольческих неправительственных организаций,</w:t>
      </w:r>
    </w:p>
    <w:p w:rsidR="00000000" w:rsidRDefault="00000000">
      <w:pPr>
        <w:pStyle w:val="110"/>
      </w:pPr>
      <w:r>
        <w:t>–</w:t>
      </w:r>
      <w:r>
        <w:tab/>
        <w:t xml:space="preserve">изучение и поддержка мер в области развития и содействие добровольческим службам в сфере социального обеспечения </w:t>
      </w:r>
    </w:p>
    <w:p w:rsidR="00000000" w:rsidRDefault="00000000">
      <w:pPr>
        <w:pStyle w:val="110"/>
      </w:pPr>
      <w:r>
        <w:t>–</w:t>
      </w:r>
      <w:r>
        <w:tab/>
        <w:t>определение моральных стимулов – отличительных особенностей добровольческой деятельности.</w:t>
      </w:r>
    </w:p>
    <w:p w:rsidR="00000000" w:rsidRDefault="00000000">
      <w:pPr>
        <w:pStyle w:val="BodyText"/>
        <w:ind w:left="0" w:firstLine="0"/>
        <w:jc w:val="center"/>
        <w:rPr>
          <w:b/>
        </w:rPr>
      </w:pPr>
      <w:r>
        <w:rPr>
          <w:b/>
          <w:lang w:val="en-US"/>
        </w:rPr>
        <w:t>V</w:t>
      </w:r>
      <w:r>
        <w:rPr>
          <w:b/>
        </w:rPr>
        <w:t>.  Уязвимые группы</w:t>
      </w:r>
    </w:p>
    <w:p w:rsidR="00000000" w:rsidRDefault="00000000">
      <w:pPr>
        <w:pStyle w:val="BodyText"/>
        <w:rPr>
          <w:b/>
          <w:i/>
        </w:rPr>
      </w:pPr>
      <w:r>
        <w:rPr>
          <w:b/>
          <w:i/>
        </w:rPr>
        <w:t>Иммигранты – Беженцы</w:t>
      </w:r>
    </w:p>
    <w:p w:rsidR="00000000" w:rsidRDefault="00000000">
      <w:pPr>
        <w:pStyle w:val="BodyText"/>
      </w:pPr>
      <w:r>
        <w:t>39.</w:t>
      </w:r>
      <w:r>
        <w:tab/>
        <w:t>Согласно закону 2910/01 и поправкам к нему, политика Греции в отношении иммигрантов направлена, с одной стороны, на выработку правил въезда в страну и проживания иностранцев на территории Греции, а, с другой стороны, на обеспечение гарантий их основных прав и облегчение их интеграции в греческое общество. Для изучения и реализации иммиграционной политики, включающей вопросы социальной и культурной интеграции иммигрантов, был создан Институт иммиграционной политики (президентский указ 188/1.8.2002). В дополнение к этому для решения подобных вопросов президентским указом 295/19.9.2001 о создании Управления по вопросам иностранных граждан и иммиграции в Министерстве внутренних дел, государственной администрации и децентрализации было создано Управление социальной интеграции.</w:t>
      </w:r>
    </w:p>
    <w:p w:rsidR="00000000" w:rsidRDefault="00000000">
      <w:pPr>
        <w:pStyle w:val="BodyText"/>
      </w:pPr>
      <w:r>
        <w:t>40.</w:t>
      </w:r>
      <w:r>
        <w:tab/>
        <w:t>В законодательстве Греции за иностранными гражданами при условии их легального проживания в стране признаются права на социальное обеспечение и защиту наравне с соответствующими правами граждан Греции. Гарантируется право на воссоединение семьи. Легальное проживание в стране не является предварительным условием для устройства детей иностранцев в государственные школы. Персонал медицинских учреждений обязан оказывать соответствующую помощь госпитализированным в срочном порядке иностранным гражданам, а также несовершеннолетним, независимо от легальности их нахождения в Греции.</w:t>
      </w:r>
    </w:p>
    <w:p w:rsidR="00000000" w:rsidRDefault="00000000">
      <w:pPr>
        <w:pStyle w:val="BodyText"/>
      </w:pPr>
      <w:r>
        <w:t>41.</w:t>
      </w:r>
      <w:r>
        <w:tab/>
        <w:t xml:space="preserve">Признавая объективные трудности доступа иммигрантов к структурам национальной системы здравоохранения, Греческое государство реализует дополнительные действия. </w:t>
      </w:r>
      <w:r>
        <w:br/>
        <w:t>В рамках работы Центра по контролю над особыми видами инфекций ведется учет, контроль и эпидемиологический мониторинг в отношении данных групп населения (легально и нелегально проживающих в стране иностранцев, беженцев и т. д.). Также реализуется программа "Улица" ("</w:t>
      </w:r>
      <w:r>
        <w:rPr>
          <w:lang w:val="en-US"/>
        </w:rPr>
        <w:t>Street</w:t>
      </w:r>
      <w:r>
        <w:t xml:space="preserve"> </w:t>
      </w:r>
      <w:r>
        <w:rPr>
          <w:lang w:val="en-US"/>
        </w:rPr>
        <w:t>Programme</w:t>
      </w:r>
      <w:r>
        <w:t>"), направленная на информирование, а также на предоставление иммигрантам медицинской помощи и социально-психологической поддержки.</w:t>
      </w:r>
    </w:p>
    <w:p w:rsidR="00000000" w:rsidRDefault="00000000">
      <w:pPr>
        <w:pStyle w:val="BodyText"/>
      </w:pPr>
      <w:r>
        <w:t>42.</w:t>
      </w:r>
      <w:r>
        <w:tab/>
        <w:t>В 2002 году Генеральный секретариат по вопросам гендерного равенства и отделение Верховного комиссара Организации Объединенных Наций в Греции подписали меморандум о сотрудничестве для того, чтобы общими усилиями защищать права женщин и несовершеннолетних девушек, которые получили убежище, ходатайствуют об убежище, или которым был предоставлен гуманитарный статус в Греции согласно Женевской конвенции 1951 года и президентскому указу 61/1999. Результатом этих совместных действий стало директивное указание главы греческой полиции о задержании и содержании под стражей лиц, ходатайствующих о предоставлении убежища. В нем также есть ссылка об особых правилах обращения с содержащимися под стражей женщинами.</w:t>
      </w:r>
    </w:p>
    <w:p w:rsidR="00000000" w:rsidRDefault="00000000">
      <w:pPr>
        <w:pStyle w:val="BodyText"/>
      </w:pPr>
      <w:r>
        <w:t>43.</w:t>
      </w:r>
      <w:r>
        <w:tab/>
        <w:t>Министерство здравоохранения и социального обеспечения и Европейский фонд помощи беженцам финансируют работу структур по приему и интеграции беженцев и лиц, ищущих убежище, через неправительственные организации (Греческий институт солидарности и сотрудничества, греческий Красный крест, Греческий совет по вопросам беженцев, Врачи мира, и т. д.). Особое внимание уделяется уязвимым группам беженцев, в особенности жертвам войн и пыток, несовершеннолетним, неполным семьям, лицам с инвалидностью, женщинам и лицам с особыми медицинскими проблемами.</w:t>
      </w:r>
    </w:p>
    <w:p w:rsidR="00000000" w:rsidRDefault="00000000">
      <w:pPr>
        <w:pStyle w:val="BodyText"/>
      </w:pPr>
      <w:r>
        <w:t>44.</w:t>
      </w:r>
      <w:r>
        <w:tab/>
        <w:t>Кроме того, Министерство здравоохранения и социального обеспечения финансирует работу Центра для не сопровождаемых взрослыми детей 15–18 лет (ищущих убежище) в городе Анойя (Крит). В сотрудничестве с Греческим советом по вопросам беженцев с 2002 года в Пикерми/Аттика начала работать программа "</w:t>
      </w:r>
      <w:r>
        <w:rPr>
          <w:lang w:val="en-US"/>
        </w:rPr>
        <w:t>PROMETHEUS</w:t>
      </w:r>
      <w:r>
        <w:t>", направленная на решение проблем несовершеннолетних, уязвимых лиц, а также семей с детьми. В то же время Министерство принимает участие в общинных программах (например, "</w:t>
      </w:r>
      <w:r>
        <w:rPr>
          <w:lang w:val="en-US"/>
        </w:rPr>
        <w:t>Pyxida</w:t>
      </w:r>
      <w:r>
        <w:t>", "Горячая линия по информированию и поддержке беженцев", и т. д.), нацеленных на реабилитацию и интеграцию беженцев в Греции с помощью таких услуг, как уход за ребенком в течение дня, предоставление жилья, профессиональное обучение.</w:t>
      </w:r>
    </w:p>
    <w:p w:rsidR="00000000" w:rsidRDefault="00000000">
      <w:pPr>
        <w:pStyle w:val="BodyText"/>
      </w:pPr>
      <w:r>
        <w:t>45.</w:t>
      </w:r>
      <w:r>
        <w:tab/>
        <w:t>Управление Верховного комиссара Организации Объединенных Наций по делам беженцев (УВКБ ООН), кроме всего прочего, финансирует работу Греческого совета по вопросам беженцев и Института по вопросам социальной работы в целях предоставления специальных правовых, социальных и экономических услуг уязвимым группам, включающим женщин – глав семейств, женщин – жертв пыток и сексуального насилия, а также организации межкультурных центров для женщин-беженцев (с детским садом и курсами греческого языка), где создаются условия для общения женщин-беженцев и местных женщин.</w:t>
      </w:r>
    </w:p>
    <w:p w:rsidR="00000000" w:rsidRDefault="00000000">
      <w:pPr>
        <w:pStyle w:val="BodyText"/>
      </w:pPr>
      <w:r>
        <w:t>46.</w:t>
      </w:r>
      <w:r>
        <w:tab/>
        <w:t>УВКБ ООН также финансирует программы Института по вопросам социальной работы "</w:t>
      </w:r>
      <w:r>
        <w:rPr>
          <w:lang w:val="en-US"/>
        </w:rPr>
        <w:t>NEFELI</w:t>
      </w:r>
      <w:r>
        <w:t>" и "</w:t>
      </w:r>
      <w:r>
        <w:rPr>
          <w:lang w:val="en-US"/>
        </w:rPr>
        <w:t>EVA</w:t>
      </w:r>
      <w:r>
        <w:t>". "</w:t>
      </w:r>
      <w:r>
        <w:rPr>
          <w:lang w:val="en-US"/>
        </w:rPr>
        <w:t>NEFELI</w:t>
      </w:r>
      <w:r>
        <w:t>" – это программа организованного и контролируемого размещения в арендованных двух-трехкомнатных квартирах лиц из уязвимых групп беженцев, главным образом женщин. Стоимость жилья, еды, транспортные расходы возмещаются. К тому же предоставляются услуги по социально-психологической поддержке, консультированию и информированию по правовым, медицинским вопросам, вопросам здоровья, работы, образования и т. д. Одновременно женщины посещают курсы греческого языка, а также контактируют с местным населением, что способствует росту их образовательного уровня и профессиональной реабилитации. "</w:t>
      </w:r>
      <w:r>
        <w:rPr>
          <w:lang w:val="en-US"/>
        </w:rPr>
        <w:t>EVA</w:t>
      </w:r>
      <w:r>
        <w:t>" – это программа интеграции женщин-беженцев. Целью ее является помощь в обеспечении занятости и в интеграции в местное общество благодаря повышению уровня знаний, навыков и умений женщин-беженцев. Особое внимание уделяется заботе о женском здоровье: женщин консультируют по гинекологическим проблемам, вопросам гигиены, питания, контрацепции. Предоставляются услуги по вакцинации детей и первичная медицинская помощь. Также осуществляются действия, направленные на получение женщинами профессиональной подготовки и увеличение возможностей их трудоустройства.</w:t>
      </w:r>
    </w:p>
    <w:p w:rsidR="00000000" w:rsidRDefault="00000000">
      <w:pPr>
        <w:pStyle w:val="BodyText"/>
      </w:pPr>
      <w:r>
        <w:t>47.</w:t>
      </w:r>
      <w:r>
        <w:tab/>
        <w:t>Для ищущих убежище "Врачи мира" организуют в центре Афин ночные приюты. В рамках программы также предусматривается предоставление медицинской помощи через Открытую многопрофильную клинику, гарантируется более постоянное размещение и занятость через социальную службу, а также информация по правовым вопросам и психологическая поддержка. Используя передвижные подразделения, "Врачи мира" помогают нуждающимся людям и беженцам в данном регионе. Одновременно они организуют творческие занятия с детьми иммигрантов.</w:t>
      </w:r>
    </w:p>
    <w:p w:rsidR="00000000" w:rsidRDefault="00000000">
      <w:pPr>
        <w:pStyle w:val="BodyText"/>
      </w:pPr>
      <w:r>
        <w:t>48.</w:t>
      </w:r>
      <w:r>
        <w:tab/>
        <w:t>Греческое отделение организации "Врачи без границ" реализует программы первичной медицинской помощи иммигрантам, беженцам, репатриированным эмигрантам, а также программы, помогающие решить их социальные и правовые проблемы. Многопрофильная клиника в Афинах оказывает не только вспомогательные услуги по поддержке, но и предоставляет медицинскую помощь. Эти действия направлены на содействие и помощь иммигрантам и беженцам, на развитие их общественно полезных качеств, на предотвращение их социальной изоляции. "Врачи без границ" также организуют работу службы по приему и информированию иммигрантов и беженцев, которая занимается их приемом и оказанием первичной социально-психологической и правовой поддержки, а также последующей помощью в направлении их в специализированные организации правовой, психологической и профессиональной поддержки.</w:t>
      </w:r>
    </w:p>
    <w:p w:rsidR="00000000" w:rsidRDefault="00000000">
      <w:pPr>
        <w:pStyle w:val="BodyText"/>
      </w:pPr>
      <w:r>
        <w:t>49.</w:t>
      </w:r>
      <w:r>
        <w:tab/>
        <w:t>В 2001 году Ассоциация женщин Греции провела конгресс "Иммиграция и демографические проблемы".</w:t>
      </w:r>
    </w:p>
    <w:p w:rsidR="00000000" w:rsidRDefault="00000000">
      <w:pPr>
        <w:pStyle w:val="BodyText"/>
      </w:pPr>
      <w:r>
        <w:t>50.</w:t>
      </w:r>
      <w:r>
        <w:tab/>
        <w:t xml:space="preserve">В контексте Европейской программы </w:t>
      </w:r>
      <w:r>
        <w:rPr>
          <w:lang w:val="en-US"/>
        </w:rPr>
        <w:t>DAPHNE</w:t>
      </w:r>
      <w:r>
        <w:t xml:space="preserve"> 2002 при партнерской поддержке Центра профессионального обучения </w:t>
      </w:r>
      <w:r>
        <w:rPr>
          <w:lang w:val="en-US"/>
        </w:rPr>
        <w:t>ERGON</w:t>
      </w:r>
      <w:r>
        <w:t xml:space="preserve"> было разработано и издано "Руководство по надлежащей практике" под названием "</w:t>
      </w:r>
      <w:r>
        <w:rPr>
          <w:lang w:val="en-US"/>
        </w:rPr>
        <w:t>MALIKA</w:t>
      </w:r>
      <w:r>
        <w:t>" для тех, кто работает с беженцами. Его цель – поддержка в осуществлении "Инструкций по гендерным вопросам для ищущих убежище" и корректировка уже существующих подобных инструкций в других странах.</w:t>
      </w:r>
    </w:p>
    <w:p w:rsidR="00000000" w:rsidRDefault="00000000">
      <w:pPr>
        <w:pStyle w:val="BodyText"/>
      </w:pPr>
      <w:r>
        <w:t>51.</w:t>
      </w:r>
      <w:r>
        <w:tab/>
        <w:t>Греческая ассоциация сороптимистов организует социальные и благотворительные мероприятия, вырученные деньги от которых поступают в отделение УВКБ Организации Объединенных Наций в Греции. Они также оплачивают курсы греческого и английского языков для детей иностранцев, дают женщинам – иммигрантам и беженцам возможность посещать компьютерные курсы, предоставляют им медицинские услуги, распространяют буклеты с медицинской информацией, оказывают семьям беженцев материальную и моральную поддержку. Они издали и распространили информационную брошюру об институциональном статусе иммигрантов в Греции.</w:t>
      </w:r>
    </w:p>
    <w:p w:rsidR="00000000" w:rsidRDefault="00000000">
      <w:pPr>
        <w:pStyle w:val="BodyText"/>
      </w:pPr>
      <w:r>
        <w:t>52.</w:t>
      </w:r>
      <w:r>
        <w:tab/>
        <w:t>Представительство УВКБ ООН в Греции осуществляет ряд акций в поддержку женщин, ищущих убежище, и женщин-беженцев. Работники представительства посещают приграничные районы, где наблюдается массовое прибытие иммигрантов и беженцев, и проводят учебные семинары для местных органов власти, касающиеся особой защиты и поддержки женщин, ищущих убежище. Они проводят семинары в Национальном институте судей и Национальном институте государственного управления, в ходе которых особое внимание уделяется проблемам женщин-беженцев. Полицейская академия также включила в свой учебный план эти семинары. В контексте предпринимаемых действий по информированию и повышению уровня осведомленности как общественности, так и властей в отношении проблем женщин-беженцев работники представительства давали пресс-конференции, выпускали буклеты и журнал, организовали концерт в Афинском концертном зале, проводили семинары для неправительственных организаций. Они ознакомили органы власти с руководством по процедуре определения статуса беженца, а также с подборкой информации о странах происхождения беженцев, где перечислялись причины предоставления защиты женщинам. Они распространяли специальный справочник "Сексуальное насилие/насилие на гендерной почве в отношении женщин-беженцев" среди неправительственных организаций и адвокатов. В 2004 году они провели опрос о положении женщин и детей в существующих на всей территории Греции приемных центрах для ищущих убежище и опубликовали его результаты. Каждый год они направляют в Министерство общественного порядка "Ежегодный доклад о проблемах защиты беженцев" Афинского бюро УВКБ ООН, который включает комментарии по обращению с женщинами-беженцами в Греции. Ежегодно они издают сборник правовых норм в отношении беженцев и ищущих убежище также с учетом проблем женщин. Данный сборник адресован адвокатам и судьям и представляет собой справочное руководство для более эффективной защиты беженцев.</w:t>
      </w:r>
    </w:p>
    <w:p w:rsidR="00000000" w:rsidRDefault="00000000">
      <w:pPr>
        <w:pStyle w:val="BodyText"/>
        <w:rPr>
          <w:b/>
          <w:i/>
        </w:rPr>
      </w:pPr>
      <w:r>
        <w:rPr>
          <w:b/>
          <w:i/>
        </w:rPr>
        <w:t>Цыгане</w:t>
      </w:r>
    </w:p>
    <w:p w:rsidR="00000000" w:rsidRDefault="00000000">
      <w:pPr>
        <w:pStyle w:val="BodyText"/>
        <w:rPr>
          <w:b/>
        </w:rPr>
      </w:pPr>
      <w:r>
        <w:t>53.</w:t>
      </w:r>
      <w:r>
        <w:tab/>
        <w:t>В контексте комплексного плана действий в отношении греческих цыган, ответственность за который возлагается на Межправительственный комитет, координируемый министром внутренних дел, государственной администрации и децентрализации, с 1997 года реализуются шаги по преодолению социальной изоляции цыган. Что касается предоставления жилья, то реализация проектов обеспечения жильем была завершена или продолжается в 53 округах под наблюдением местных органов власти, в местах расположения палаточных поселений цыган. Для покупки, постройки или завершения строительства домов греческим цыганам выделяются ссуды. В сфере образования/профессиональной подготовки учебные программы для детей цыган осуществляются в 30 районах страны. В области занятости реализуются программы по трудоустройству, профессиональной подготовке и предоставлению дополнительных услуг по поддержке. Министр культуры и министр внутренних дел, государственной администрации и децентрализации осуществляют культурные программы везде, где проживают цыгане. Генеральный секретариат по спорту в сотрудничестве с местными органами власти осуществлял спортивные программы</w:t>
      </w:r>
      <w:r>
        <w:rPr>
          <w:rStyle w:val="FootnoteReference"/>
        </w:rPr>
        <w:footnoteReference w:id="36"/>
      </w:r>
      <w:r>
        <w:t>.</w:t>
      </w:r>
    </w:p>
    <w:p w:rsidR="00000000" w:rsidRDefault="00000000">
      <w:pPr>
        <w:pStyle w:val="BodyText"/>
        <w:keepNext/>
        <w:ind w:left="0" w:firstLine="0"/>
        <w:jc w:val="center"/>
        <w:rPr>
          <w:b/>
        </w:rPr>
      </w:pPr>
      <w:r>
        <w:rPr>
          <w:b/>
          <w:lang w:val="en-US"/>
        </w:rPr>
        <w:t>VI</w:t>
      </w:r>
      <w:r>
        <w:rPr>
          <w:b/>
        </w:rPr>
        <w:t>.  Забота о пожилых и лицах с инвалидностью</w:t>
      </w:r>
    </w:p>
    <w:p w:rsidR="00000000" w:rsidRDefault="00000000">
      <w:pPr>
        <w:pStyle w:val="BodyText"/>
      </w:pPr>
      <w:r>
        <w:t>54.</w:t>
      </w:r>
      <w:r>
        <w:tab/>
        <w:t>В ходе реализации Третьей рамочной программы поддержки местных общин была одобрена работа дневных центров по уходу за пожилыми, а также подразделений "Помощь на дому". Эти программы направлены на организацию ухода за пожилыми и лицами с инвалидностью, для того чтобы обеспечить возможность занятости для женщин, берущих на себя заботу о таких людях. Дневные центры по уходу за пожилыми – это отделения, размещающие на дневное время лиц, неспособных быть самостоятельными и ухаживать за собой (нарушения двигательных функций, старческое слабоумие, и т. д.), чьи родственники заняты на работе или столкнулись с серьезными социальными, экономическими проблемами, проблемами со здоровьем и не могут удовлетворять потребности пожилых членов семьи. Для создания и функционирования Дневного центра по уходу за пожилыми необходимо получить лицензию. Дневные центры по уходу за пожилыми в своей работе связаны с Центрами защиты пожилых, которые могут решать те же проблемы. Они также сотрудничают с местными организациями, предоставляющими социальные услуги и реализующими сходные программы, а также с медицинскими пунктами.</w:t>
      </w:r>
    </w:p>
    <w:p w:rsidR="00000000" w:rsidRDefault="00000000">
      <w:pPr>
        <w:pStyle w:val="BodyText"/>
      </w:pPr>
      <w:r>
        <w:t>55.</w:t>
      </w:r>
      <w:r>
        <w:tab/>
        <w:t>Отделения по уходу за пожилыми, являющиеся как некоммерческими, так и коммерческими частными организациями, обеспечивают стационарное лечение для пожилых. Правовой основой для их работы являются положения закона 2345/95.</w:t>
      </w:r>
    </w:p>
    <w:p w:rsidR="00000000" w:rsidRDefault="00000000">
      <w:pPr>
        <w:pStyle w:val="BodyText"/>
        <w:rPr>
          <w:b/>
        </w:rPr>
      </w:pPr>
      <w:r>
        <w:t>56.</w:t>
      </w:r>
      <w:r>
        <w:tab/>
        <w:t>Кроме того, в сфере защиты пожилых людей реализуются следующие программы: программа содействия в обеспечении жильем, программа выплат пенсий незастрахованным гражданам, "Теле-помощь на дому", а также помещение в летние лагеря и бальнеология для пожилых.</w:t>
      </w:r>
    </w:p>
    <w:p w:rsidR="00000000" w:rsidRDefault="00000000">
      <w:pPr>
        <w:pStyle w:val="BodyText"/>
        <w:keepNext/>
        <w:ind w:left="0" w:firstLine="0"/>
        <w:jc w:val="center"/>
        <w:rPr>
          <w:b/>
        </w:rPr>
      </w:pPr>
      <w:r>
        <w:rPr>
          <w:b/>
          <w:lang w:val="en-US"/>
        </w:rPr>
        <w:t>VI</w:t>
      </w:r>
      <w:r>
        <w:rPr>
          <w:b/>
        </w:rPr>
        <w:t>.</w:t>
      </w:r>
      <w:r>
        <w:t>  </w:t>
      </w:r>
      <w:r>
        <w:rPr>
          <w:b/>
        </w:rPr>
        <w:t>Реестр служб социального обеспечения</w:t>
      </w:r>
    </w:p>
    <w:p w:rsidR="00000000" w:rsidRDefault="00000000">
      <w:pPr>
        <w:pStyle w:val="BodyText"/>
      </w:pPr>
      <w:r>
        <w:t>57.</w:t>
      </w:r>
      <w:r>
        <w:tab/>
        <w:t>Министерство здравоохранения и социального обеспечения разработало и учредило Реестр служб социального обеспечения, в котором зарегистрированы и классифицированы греческие службы и структуры социальной помощи всех уровней. Существующие структуры социального обеспечения и программы социальной помощи, реализуемые в настоящее время с помощью муниципалитетов, префектур и районов, внесены в этот Реестр впервые. Реестр служб социального обеспечения также позволяет оценить их работу.</w:t>
      </w:r>
    </w:p>
    <w:p w:rsidR="00000000" w:rsidRDefault="00000000">
      <w:pPr>
        <w:pStyle w:val="Heading2"/>
      </w:pPr>
      <w:bookmarkStart w:id="28" w:name="_Toc116466879"/>
      <w:r>
        <w:t>Статья 14</w:t>
      </w:r>
      <w:bookmarkEnd w:id="28"/>
    </w:p>
    <w:p w:rsidR="00000000" w:rsidRDefault="00000000">
      <w:pPr>
        <w:pStyle w:val="a4"/>
      </w:pPr>
      <w:r>
        <w:tab/>
        <w:t>1.</w:t>
      </w:r>
      <w:r>
        <w:tab/>
        <w:t xml:space="preserve">Государства-участники принимают во внимание особые проблемы, с которыми сталкиваются женщины, проживающие в сельской местности, и значительную роль, которую они играют в обеспечении экономического благосостояния своих семей, в том числе их деятельность в нетоварных отраслях хозяйства, и принимают все соответствующие меры для обеспечения применения положений настоящей Конвенции к женщинам, проживающим в сельской местности. </w:t>
      </w:r>
    </w:p>
    <w:p w:rsidR="00000000" w:rsidRDefault="00000000">
      <w:pPr>
        <w:pStyle w:val="a4"/>
      </w:pPr>
      <w:r>
        <w:tab/>
        <w:t>2.</w:t>
      </w:r>
      <w:r>
        <w:tab/>
        <w:t xml:space="preserve">Государства-участники принимают все соответствующие меры для ликвидации дискриминации в отношении женщин в сельских районах, с тем чтобы обеспечить на основе равенства мужчин и женщин их участие в развитии сельских районов и в получении выгод от такого развития и, в частности, обеспечивают таким женщинам право: </w:t>
      </w:r>
    </w:p>
    <w:p w:rsidR="00000000" w:rsidRDefault="00000000">
      <w:pPr>
        <w:pStyle w:val="a4"/>
        <w:ind w:left="2041" w:hanging="340"/>
      </w:pPr>
      <w:r>
        <w:t>а)</w:t>
      </w:r>
      <w:r>
        <w:tab/>
        <w:t xml:space="preserve">участвовать в разработке и осуществлении планов развития на всех уровнях; </w:t>
      </w:r>
    </w:p>
    <w:p w:rsidR="00000000" w:rsidRDefault="00000000">
      <w:pPr>
        <w:pStyle w:val="a4"/>
        <w:ind w:left="2041" w:hanging="340"/>
      </w:pPr>
      <w:r>
        <w:t>b)</w:t>
      </w:r>
      <w:r>
        <w:tab/>
        <w:t xml:space="preserve">на доступ к соответствующему медицинскому обслуживанию, включая информацию, консультации и обслуживание по вопросам планирования размера семьи; </w:t>
      </w:r>
    </w:p>
    <w:p w:rsidR="00000000" w:rsidRDefault="00000000">
      <w:pPr>
        <w:pStyle w:val="a4"/>
        <w:ind w:left="2041" w:hanging="340"/>
      </w:pPr>
      <w:r>
        <w:t>с)</w:t>
      </w:r>
      <w:r>
        <w:tab/>
        <w:t xml:space="preserve">непосредственно пользоваться благами программ социального страхования; </w:t>
      </w:r>
    </w:p>
    <w:p w:rsidR="00000000" w:rsidRDefault="00000000">
      <w:pPr>
        <w:pStyle w:val="a4"/>
        <w:ind w:left="2041" w:hanging="340"/>
      </w:pPr>
      <w:r>
        <w:t>d)</w:t>
      </w:r>
      <w:r>
        <w:tab/>
        <w:t xml:space="preserve">получать все виды подготовки и формального и неформального образования, включая функциональную грамотность, а также пользоваться услугами всех средств общинного обслуживания, консультативных служб по сельскохозяйственным вопросам, в частности для повышения их технического уровня; </w:t>
      </w:r>
    </w:p>
    <w:p w:rsidR="00000000" w:rsidRDefault="00000000">
      <w:pPr>
        <w:pStyle w:val="a4"/>
        <w:ind w:left="2041" w:hanging="340"/>
      </w:pPr>
      <w:r>
        <w:t>е)</w:t>
      </w:r>
      <w:r>
        <w:tab/>
        <w:t xml:space="preserve">организовывать группы самопомощи и кооперативы, с тем чтобы обеспечить равный доступ к экономическим возможностям посредством работы по найму или независимой трудовой деятельности; </w:t>
      </w:r>
    </w:p>
    <w:p w:rsidR="00000000" w:rsidRDefault="00000000">
      <w:pPr>
        <w:pStyle w:val="a4"/>
        <w:ind w:left="2041" w:hanging="340"/>
      </w:pPr>
      <w:r>
        <w:t>f)</w:t>
      </w:r>
      <w:r>
        <w:tab/>
        <w:t>участвовать во всех видах коллективной деятельности;</w:t>
      </w:r>
    </w:p>
    <w:p w:rsidR="00000000" w:rsidRDefault="00000000">
      <w:pPr>
        <w:pStyle w:val="a4"/>
        <w:ind w:left="2041" w:hanging="340"/>
      </w:pPr>
      <w:r>
        <w:t>g)</w:t>
      </w:r>
      <w:r>
        <w:tab/>
        <w:t>на доступ к сельскохозяйственным кредитам и займам, системе сбыта, соответствующей технологии и на равный статус в земельных и аграрных реформах, а также в планах перезаселения земель;</w:t>
      </w:r>
    </w:p>
    <w:p w:rsidR="00000000" w:rsidRDefault="00000000">
      <w:pPr>
        <w:pStyle w:val="a4"/>
        <w:ind w:left="2041" w:hanging="340"/>
      </w:pPr>
      <w:r>
        <w:t>h)</w:t>
      </w:r>
      <w:r>
        <w:tab/>
        <w:t>пользоваться надлежащими условиями жизни, особенно жилищными условиями, санитарными услугами, электро- и водоснабжением, а также транспортом и средствами связи.</w:t>
      </w:r>
    </w:p>
    <w:p w:rsidR="00000000" w:rsidRDefault="00000000">
      <w:pPr>
        <w:pStyle w:val="BodyText"/>
        <w:rPr>
          <w:b/>
        </w:rPr>
      </w:pPr>
    </w:p>
    <w:p w:rsidR="00000000" w:rsidRDefault="00000000">
      <w:pPr>
        <w:pStyle w:val="BodyText"/>
        <w:keepNext/>
        <w:ind w:left="0" w:firstLine="0"/>
        <w:jc w:val="center"/>
        <w:rPr>
          <w:b/>
        </w:rPr>
      </w:pPr>
      <w:r>
        <w:rPr>
          <w:b/>
          <w:lang w:val="en-GB"/>
        </w:rPr>
        <w:t>I</w:t>
      </w:r>
      <w:r>
        <w:rPr>
          <w:b/>
        </w:rPr>
        <w:t>.  Структура сельскохозяйственного сектора</w:t>
      </w:r>
    </w:p>
    <w:p w:rsidR="00000000" w:rsidRDefault="00000000">
      <w:pPr>
        <w:pStyle w:val="BodyText"/>
      </w:pPr>
      <w:r>
        <w:t>1.</w:t>
      </w:r>
      <w:r>
        <w:tab/>
        <w:t>Сельское хозяйство в Греции играет важную роль в национальной экономике. Несмотря на то, что число занятых в сельском хозяйстве значительно сократилось за последние десятилетия, они по-прежнему составляют наибольшую долю активной части населения страны.</w:t>
      </w:r>
    </w:p>
    <w:p w:rsidR="00000000" w:rsidRDefault="00000000">
      <w:pPr>
        <w:pStyle w:val="BodyText"/>
      </w:pPr>
      <w:r>
        <w:tab/>
      </w:r>
      <w:r>
        <w:tab/>
        <w:t>Что касается женской занятости в рыбной промышленности, следует отметить, что в сельском хозяйстве по-прежнему занято большее число женщин.</w:t>
      </w:r>
    </w:p>
    <w:p w:rsidR="00000000" w:rsidRDefault="00000000">
      <w:pPr>
        <w:pStyle w:val="BodyText"/>
      </w:pPr>
      <w:r>
        <w:tab/>
      </w:r>
      <w:r>
        <w:tab/>
        <w:t xml:space="preserve">Однако можно считать обнадеживающим тот факт, что число женщин, уходящих из сельского хозяйства, как и число мужчин, значительно снизилось за последние годы. Можно предположить, что такая тенденция появилась благодаря широкому проведению мероприятий в поддержку молодых фермеров, как мужчин, так и женщин. </w:t>
      </w:r>
    </w:p>
    <w:p w:rsidR="00000000" w:rsidRDefault="00000000">
      <w:pPr>
        <w:pStyle w:val="BodyText"/>
      </w:pPr>
      <w:r>
        <w:tab/>
      </w:r>
      <w:r>
        <w:tab/>
        <w:t>По оценкам, в сельской местности трудящиеся женщины в основном (около 60 процентов) заняты в сельском хозяйстве.</w:t>
      </w:r>
    </w:p>
    <w:p w:rsidR="00000000" w:rsidRDefault="00000000">
      <w:pPr>
        <w:pStyle w:val="BodyText"/>
        <w:keepNext/>
        <w:ind w:left="0" w:firstLine="0"/>
        <w:jc w:val="center"/>
        <w:rPr>
          <w:b/>
        </w:rPr>
      </w:pPr>
      <w:r>
        <w:rPr>
          <w:b/>
          <w:lang w:val="en-GB"/>
        </w:rPr>
        <w:t>II</w:t>
      </w:r>
      <w:r>
        <w:rPr>
          <w:b/>
        </w:rPr>
        <w:t>.  Участие женщин в первичном секторе экономики: данные статистики</w:t>
      </w:r>
    </w:p>
    <w:p w:rsidR="00000000" w:rsidRDefault="00000000">
      <w:pPr>
        <w:pStyle w:val="BodyText"/>
      </w:pPr>
      <w:r>
        <w:rPr>
          <w:b/>
        </w:rPr>
        <w:t>2.</w:t>
      </w:r>
      <w:r>
        <w:tab/>
        <w:t>По данным Национальной статистической службы Греции (НССГ), зарегистрированная занятость женщин в первичном секторе с разбивкой по профессиональному статусу выглядит следующим образом:</w:t>
      </w:r>
    </w:p>
    <w:p w:rsidR="00000000" w:rsidRDefault="00000000">
      <w:pPr>
        <w:pStyle w:val="a5"/>
      </w:pPr>
      <w:r>
        <w:t xml:space="preserve">Таблица 1. Занятость в первичном секторе с разбивкой по профессиональному статусу, </w:t>
      </w:r>
      <w:r>
        <w:br/>
        <w:t>2000–2003 годы, второй квартал</w:t>
      </w:r>
    </w:p>
    <w:tbl>
      <w:tblPr>
        <w:tblW w:w="0" w:type="auto"/>
        <w:tblInd w:w="3" w:type="dxa"/>
        <w:tblLayout w:type="fixed"/>
        <w:tblCellMar>
          <w:left w:w="56" w:type="dxa"/>
          <w:right w:w="56" w:type="dxa"/>
        </w:tblCellMar>
        <w:tblLook w:val="0000" w:firstRow="0" w:lastRow="0" w:firstColumn="0" w:lastColumn="0" w:noHBand="0" w:noVBand="0"/>
      </w:tblPr>
      <w:tblGrid>
        <w:gridCol w:w="2267"/>
        <w:gridCol w:w="1560"/>
        <w:gridCol w:w="1559"/>
        <w:gridCol w:w="1417"/>
        <w:gridCol w:w="1418"/>
        <w:gridCol w:w="1191"/>
      </w:tblGrid>
      <w:tr w:rsidR="00000000">
        <w:tblPrEx>
          <w:tblCellMar>
            <w:top w:w="0" w:type="dxa"/>
            <w:bottom w:w="0" w:type="dxa"/>
          </w:tblCellMar>
        </w:tblPrEx>
        <w:trPr>
          <w:cantSplit/>
        </w:trPr>
        <w:tc>
          <w:tcPr>
            <w:tcW w:w="2267" w:type="dxa"/>
            <w:vMerge w:val="restart"/>
            <w:tcBorders>
              <w:top w:val="single" w:sz="4" w:space="0" w:color="auto"/>
              <w:bottom w:val="single" w:sz="4" w:space="0" w:color="auto"/>
            </w:tcBorders>
            <w:vAlign w:val="center"/>
          </w:tcPr>
          <w:p w:rsidR="00000000" w:rsidRDefault="00000000">
            <w:pPr>
              <w:pStyle w:val="a6"/>
              <w:rPr>
                <w:b/>
              </w:rPr>
            </w:pPr>
            <w:r>
              <w:rPr>
                <w:b/>
              </w:rPr>
              <w:t xml:space="preserve">Год </w:t>
            </w:r>
          </w:p>
        </w:tc>
        <w:tc>
          <w:tcPr>
            <w:tcW w:w="5954" w:type="dxa"/>
            <w:gridSpan w:val="4"/>
            <w:tcBorders>
              <w:top w:val="single" w:sz="4" w:space="0" w:color="auto"/>
              <w:bottom w:val="single" w:sz="4" w:space="0" w:color="auto"/>
            </w:tcBorders>
          </w:tcPr>
          <w:p w:rsidR="00000000" w:rsidRDefault="00000000">
            <w:pPr>
              <w:pStyle w:val="a6"/>
              <w:rPr>
                <w:b/>
              </w:rPr>
            </w:pPr>
            <w:r>
              <w:rPr>
                <w:b/>
              </w:rPr>
              <w:t>Профессиональный статус</w:t>
            </w:r>
          </w:p>
        </w:tc>
        <w:tc>
          <w:tcPr>
            <w:tcW w:w="1191" w:type="dxa"/>
            <w:tcBorders>
              <w:top w:val="single" w:sz="4" w:space="0" w:color="auto"/>
              <w:bottom w:val="single" w:sz="4" w:space="0" w:color="auto"/>
            </w:tcBorders>
          </w:tcPr>
          <w:p w:rsidR="00000000" w:rsidRDefault="00000000">
            <w:pPr>
              <w:pStyle w:val="a6"/>
              <w:rPr>
                <w:b/>
              </w:rPr>
            </w:pPr>
            <w:r>
              <w:rPr>
                <w:b/>
              </w:rPr>
              <w:t>Всего</w:t>
            </w:r>
          </w:p>
        </w:tc>
      </w:tr>
      <w:tr w:rsidR="00000000">
        <w:tblPrEx>
          <w:tblCellMar>
            <w:top w:w="0" w:type="dxa"/>
            <w:bottom w:w="0" w:type="dxa"/>
          </w:tblCellMar>
        </w:tblPrEx>
        <w:trPr>
          <w:cantSplit/>
        </w:trPr>
        <w:tc>
          <w:tcPr>
            <w:tcW w:w="2267" w:type="dxa"/>
            <w:vMerge/>
            <w:tcBorders>
              <w:bottom w:val="single" w:sz="4" w:space="0" w:color="auto"/>
            </w:tcBorders>
          </w:tcPr>
          <w:p w:rsidR="00000000" w:rsidRDefault="00000000">
            <w:pPr>
              <w:pStyle w:val="a6"/>
              <w:rPr>
                <w:b/>
              </w:rPr>
            </w:pPr>
          </w:p>
        </w:tc>
        <w:tc>
          <w:tcPr>
            <w:tcW w:w="1560" w:type="dxa"/>
            <w:tcBorders>
              <w:top w:val="single" w:sz="4" w:space="0" w:color="auto"/>
              <w:bottom w:val="single" w:sz="4" w:space="0" w:color="auto"/>
            </w:tcBorders>
            <w:vAlign w:val="center"/>
          </w:tcPr>
          <w:p w:rsidR="00000000" w:rsidRDefault="00000000">
            <w:pPr>
              <w:pStyle w:val="a6"/>
              <w:rPr>
                <w:b/>
              </w:rPr>
            </w:pPr>
            <w:r>
              <w:rPr>
                <w:b/>
              </w:rPr>
              <w:t>Самозанятые, используют наемный труд</w:t>
            </w:r>
          </w:p>
        </w:tc>
        <w:tc>
          <w:tcPr>
            <w:tcW w:w="1559" w:type="dxa"/>
            <w:tcBorders>
              <w:top w:val="single" w:sz="4" w:space="0" w:color="auto"/>
              <w:bottom w:val="single" w:sz="4" w:space="0" w:color="auto"/>
            </w:tcBorders>
            <w:vAlign w:val="center"/>
          </w:tcPr>
          <w:p w:rsidR="00000000" w:rsidRDefault="00000000">
            <w:pPr>
              <w:pStyle w:val="a6"/>
              <w:rPr>
                <w:b/>
              </w:rPr>
            </w:pPr>
            <w:r>
              <w:rPr>
                <w:b/>
              </w:rPr>
              <w:t>Самозанятые, не используют наемный труд</w:t>
            </w:r>
          </w:p>
        </w:tc>
        <w:tc>
          <w:tcPr>
            <w:tcW w:w="1417" w:type="dxa"/>
            <w:tcBorders>
              <w:top w:val="single" w:sz="4" w:space="0" w:color="auto"/>
              <w:bottom w:val="single" w:sz="4" w:space="0" w:color="auto"/>
            </w:tcBorders>
            <w:vAlign w:val="center"/>
          </w:tcPr>
          <w:p w:rsidR="00000000" w:rsidRDefault="00000000">
            <w:pPr>
              <w:pStyle w:val="a6"/>
              <w:rPr>
                <w:b/>
              </w:rPr>
            </w:pPr>
            <w:r>
              <w:rPr>
                <w:b/>
              </w:rPr>
              <w:t>Получают заработную плату</w:t>
            </w:r>
          </w:p>
        </w:tc>
        <w:tc>
          <w:tcPr>
            <w:tcW w:w="1418" w:type="dxa"/>
            <w:tcBorders>
              <w:top w:val="single" w:sz="4" w:space="0" w:color="auto"/>
              <w:bottom w:val="single" w:sz="4" w:space="0" w:color="auto"/>
            </w:tcBorders>
            <w:vAlign w:val="center"/>
          </w:tcPr>
          <w:p w:rsidR="00000000" w:rsidRDefault="00000000">
            <w:pPr>
              <w:pStyle w:val="a6"/>
              <w:rPr>
                <w:b/>
              </w:rPr>
            </w:pPr>
            <w:r>
              <w:rPr>
                <w:b/>
              </w:rPr>
              <w:t xml:space="preserve">Помогают </w:t>
            </w:r>
            <w:r>
              <w:rPr>
                <w:b/>
              </w:rPr>
              <w:br/>
              <w:t>на семейном предприятии</w:t>
            </w:r>
          </w:p>
        </w:tc>
        <w:tc>
          <w:tcPr>
            <w:tcW w:w="1191" w:type="dxa"/>
            <w:tcBorders>
              <w:top w:val="single" w:sz="4" w:space="0" w:color="auto"/>
              <w:bottom w:val="single" w:sz="4" w:space="0" w:color="auto"/>
            </w:tcBorders>
          </w:tcPr>
          <w:p w:rsidR="00000000" w:rsidRDefault="00000000">
            <w:pPr>
              <w:pStyle w:val="a6"/>
              <w:rPr>
                <w:b/>
              </w:rPr>
            </w:pPr>
          </w:p>
        </w:tc>
      </w:tr>
      <w:tr w:rsidR="00000000">
        <w:tblPrEx>
          <w:tblCellMar>
            <w:top w:w="0" w:type="dxa"/>
            <w:bottom w:w="0" w:type="dxa"/>
          </w:tblCellMar>
        </w:tblPrEx>
        <w:tc>
          <w:tcPr>
            <w:tcW w:w="2267" w:type="dxa"/>
            <w:tcBorders>
              <w:top w:val="single" w:sz="4" w:space="0" w:color="auto"/>
            </w:tcBorders>
          </w:tcPr>
          <w:p w:rsidR="00000000" w:rsidRDefault="00000000">
            <w:pPr>
              <w:pStyle w:val="a7"/>
            </w:pPr>
            <w:r>
              <w:t>2000</w:t>
            </w:r>
          </w:p>
        </w:tc>
        <w:tc>
          <w:tcPr>
            <w:tcW w:w="1560" w:type="dxa"/>
            <w:tcBorders>
              <w:top w:val="single" w:sz="4" w:space="0" w:color="auto"/>
            </w:tcBorders>
          </w:tcPr>
          <w:p w:rsidR="00000000" w:rsidRDefault="00000000">
            <w:pPr>
              <w:pStyle w:val="a6"/>
            </w:pPr>
            <w:r>
              <w:t>13 233</w:t>
            </w:r>
          </w:p>
        </w:tc>
        <w:tc>
          <w:tcPr>
            <w:tcW w:w="1559" w:type="dxa"/>
            <w:tcBorders>
              <w:top w:val="single" w:sz="4" w:space="0" w:color="auto"/>
            </w:tcBorders>
          </w:tcPr>
          <w:p w:rsidR="00000000" w:rsidRDefault="00000000">
            <w:pPr>
              <w:pStyle w:val="a6"/>
            </w:pPr>
            <w:r>
              <w:t>121 999</w:t>
            </w:r>
          </w:p>
        </w:tc>
        <w:tc>
          <w:tcPr>
            <w:tcW w:w="1417" w:type="dxa"/>
            <w:tcBorders>
              <w:top w:val="single" w:sz="4" w:space="0" w:color="auto"/>
            </w:tcBorders>
          </w:tcPr>
          <w:p w:rsidR="00000000" w:rsidRDefault="00000000">
            <w:pPr>
              <w:pStyle w:val="a6"/>
            </w:pPr>
            <w:r>
              <w:t>7 878</w:t>
            </w:r>
          </w:p>
        </w:tc>
        <w:tc>
          <w:tcPr>
            <w:tcW w:w="1418" w:type="dxa"/>
            <w:tcBorders>
              <w:top w:val="single" w:sz="4" w:space="0" w:color="auto"/>
            </w:tcBorders>
          </w:tcPr>
          <w:p w:rsidR="00000000" w:rsidRDefault="00000000">
            <w:pPr>
              <w:pStyle w:val="a6"/>
            </w:pPr>
            <w:r>
              <w:t>173 500</w:t>
            </w:r>
          </w:p>
        </w:tc>
        <w:tc>
          <w:tcPr>
            <w:tcW w:w="1191" w:type="dxa"/>
            <w:tcBorders>
              <w:top w:val="single" w:sz="4" w:space="0" w:color="auto"/>
            </w:tcBorders>
          </w:tcPr>
          <w:p w:rsidR="00000000" w:rsidRDefault="00000000">
            <w:pPr>
              <w:pStyle w:val="a6"/>
            </w:pPr>
            <w:r>
              <w:t>316 611</w:t>
            </w:r>
          </w:p>
        </w:tc>
      </w:tr>
      <w:tr w:rsidR="00000000">
        <w:tblPrEx>
          <w:tblCellMar>
            <w:top w:w="0" w:type="dxa"/>
            <w:bottom w:w="0" w:type="dxa"/>
          </w:tblCellMar>
        </w:tblPrEx>
        <w:tc>
          <w:tcPr>
            <w:tcW w:w="2267" w:type="dxa"/>
          </w:tcPr>
          <w:p w:rsidR="00000000" w:rsidRDefault="00000000">
            <w:pPr>
              <w:pStyle w:val="a7"/>
            </w:pPr>
            <w:r>
              <w:t>2001</w:t>
            </w:r>
          </w:p>
        </w:tc>
        <w:tc>
          <w:tcPr>
            <w:tcW w:w="1560" w:type="dxa"/>
          </w:tcPr>
          <w:p w:rsidR="00000000" w:rsidRDefault="00000000">
            <w:pPr>
              <w:pStyle w:val="a6"/>
            </w:pPr>
            <w:r>
              <w:t>11 099</w:t>
            </w:r>
          </w:p>
        </w:tc>
        <w:tc>
          <w:tcPr>
            <w:tcW w:w="1559" w:type="dxa"/>
          </w:tcPr>
          <w:p w:rsidR="00000000" w:rsidRDefault="00000000">
            <w:pPr>
              <w:pStyle w:val="a6"/>
            </w:pPr>
            <w:r>
              <w:t>123 124</w:t>
            </w:r>
          </w:p>
        </w:tc>
        <w:tc>
          <w:tcPr>
            <w:tcW w:w="1417" w:type="dxa"/>
          </w:tcPr>
          <w:p w:rsidR="00000000" w:rsidRDefault="00000000">
            <w:pPr>
              <w:pStyle w:val="a6"/>
            </w:pPr>
            <w:r>
              <w:t>7 300</w:t>
            </w:r>
          </w:p>
        </w:tc>
        <w:tc>
          <w:tcPr>
            <w:tcW w:w="1418" w:type="dxa"/>
          </w:tcPr>
          <w:p w:rsidR="00000000" w:rsidRDefault="00000000">
            <w:pPr>
              <w:pStyle w:val="a6"/>
            </w:pPr>
            <w:r>
              <w:t>145 204</w:t>
            </w:r>
          </w:p>
        </w:tc>
        <w:tc>
          <w:tcPr>
            <w:tcW w:w="1191" w:type="dxa"/>
          </w:tcPr>
          <w:p w:rsidR="00000000" w:rsidRDefault="00000000">
            <w:pPr>
              <w:pStyle w:val="a6"/>
            </w:pPr>
            <w:r>
              <w:t>286 726</w:t>
            </w:r>
          </w:p>
        </w:tc>
      </w:tr>
      <w:tr w:rsidR="00000000">
        <w:tblPrEx>
          <w:tblCellMar>
            <w:top w:w="0" w:type="dxa"/>
            <w:bottom w:w="0" w:type="dxa"/>
          </w:tblCellMar>
        </w:tblPrEx>
        <w:tc>
          <w:tcPr>
            <w:tcW w:w="2267" w:type="dxa"/>
          </w:tcPr>
          <w:p w:rsidR="00000000" w:rsidRDefault="00000000">
            <w:pPr>
              <w:pStyle w:val="a7"/>
            </w:pPr>
            <w:r>
              <w:t>2002</w:t>
            </w:r>
          </w:p>
        </w:tc>
        <w:tc>
          <w:tcPr>
            <w:tcW w:w="1560" w:type="dxa"/>
          </w:tcPr>
          <w:p w:rsidR="00000000" w:rsidRDefault="00000000">
            <w:pPr>
              <w:pStyle w:val="a6"/>
            </w:pPr>
            <w:r>
              <w:t>10 466</w:t>
            </w:r>
          </w:p>
        </w:tc>
        <w:tc>
          <w:tcPr>
            <w:tcW w:w="1559" w:type="dxa"/>
          </w:tcPr>
          <w:p w:rsidR="00000000" w:rsidRDefault="00000000">
            <w:pPr>
              <w:pStyle w:val="a6"/>
            </w:pPr>
            <w:r>
              <w:t>129 887</w:t>
            </w:r>
          </w:p>
        </w:tc>
        <w:tc>
          <w:tcPr>
            <w:tcW w:w="1417" w:type="dxa"/>
          </w:tcPr>
          <w:p w:rsidR="00000000" w:rsidRDefault="00000000">
            <w:pPr>
              <w:pStyle w:val="a6"/>
            </w:pPr>
            <w:r>
              <w:t>6 986</w:t>
            </w:r>
          </w:p>
        </w:tc>
        <w:tc>
          <w:tcPr>
            <w:tcW w:w="1418" w:type="dxa"/>
          </w:tcPr>
          <w:p w:rsidR="00000000" w:rsidRDefault="00000000">
            <w:pPr>
              <w:pStyle w:val="a6"/>
            </w:pPr>
            <w:r>
              <w:t>136 527</w:t>
            </w:r>
          </w:p>
        </w:tc>
        <w:tc>
          <w:tcPr>
            <w:tcW w:w="1191" w:type="dxa"/>
          </w:tcPr>
          <w:p w:rsidR="00000000" w:rsidRDefault="00000000">
            <w:pPr>
              <w:pStyle w:val="a6"/>
            </w:pPr>
            <w:r>
              <w:t>283 866</w:t>
            </w:r>
          </w:p>
        </w:tc>
      </w:tr>
      <w:tr w:rsidR="00000000">
        <w:tblPrEx>
          <w:tblCellMar>
            <w:top w:w="0" w:type="dxa"/>
            <w:bottom w:w="0" w:type="dxa"/>
          </w:tblCellMar>
        </w:tblPrEx>
        <w:tc>
          <w:tcPr>
            <w:tcW w:w="2267" w:type="dxa"/>
          </w:tcPr>
          <w:p w:rsidR="00000000" w:rsidRDefault="00000000">
            <w:pPr>
              <w:pStyle w:val="a7"/>
            </w:pPr>
            <w:r>
              <w:t>2003</w:t>
            </w:r>
          </w:p>
        </w:tc>
        <w:tc>
          <w:tcPr>
            <w:tcW w:w="1560" w:type="dxa"/>
          </w:tcPr>
          <w:p w:rsidR="00000000" w:rsidRDefault="00000000">
            <w:pPr>
              <w:pStyle w:val="a6"/>
            </w:pPr>
            <w:r>
              <w:t>10 135</w:t>
            </w:r>
          </w:p>
        </w:tc>
        <w:tc>
          <w:tcPr>
            <w:tcW w:w="1559" w:type="dxa"/>
          </w:tcPr>
          <w:p w:rsidR="00000000" w:rsidRDefault="00000000">
            <w:pPr>
              <w:pStyle w:val="a6"/>
            </w:pPr>
            <w:r>
              <w:t>133 496</w:t>
            </w:r>
          </w:p>
        </w:tc>
        <w:tc>
          <w:tcPr>
            <w:tcW w:w="1417" w:type="dxa"/>
          </w:tcPr>
          <w:p w:rsidR="00000000" w:rsidRDefault="00000000">
            <w:pPr>
              <w:pStyle w:val="a6"/>
            </w:pPr>
            <w:r>
              <w:t>7 295</w:t>
            </w:r>
          </w:p>
        </w:tc>
        <w:tc>
          <w:tcPr>
            <w:tcW w:w="1418" w:type="dxa"/>
          </w:tcPr>
          <w:p w:rsidR="00000000" w:rsidRDefault="00000000">
            <w:pPr>
              <w:pStyle w:val="a6"/>
            </w:pPr>
            <w:r>
              <w:t>140 375</w:t>
            </w:r>
          </w:p>
        </w:tc>
        <w:tc>
          <w:tcPr>
            <w:tcW w:w="1191" w:type="dxa"/>
          </w:tcPr>
          <w:p w:rsidR="00000000" w:rsidRDefault="00000000">
            <w:pPr>
              <w:pStyle w:val="a6"/>
            </w:pPr>
            <w:r>
              <w:t>291 301</w:t>
            </w:r>
          </w:p>
        </w:tc>
      </w:tr>
      <w:tr w:rsidR="00000000">
        <w:tblPrEx>
          <w:tblCellMar>
            <w:top w:w="0" w:type="dxa"/>
            <w:bottom w:w="0" w:type="dxa"/>
          </w:tblCellMar>
        </w:tblPrEx>
        <w:tc>
          <w:tcPr>
            <w:tcW w:w="2267" w:type="dxa"/>
          </w:tcPr>
          <w:p w:rsidR="00000000" w:rsidRDefault="00000000">
            <w:pPr>
              <w:pStyle w:val="a7"/>
            </w:pPr>
            <w:r>
              <w:t>Изменения</w:t>
            </w:r>
          </w:p>
        </w:tc>
        <w:tc>
          <w:tcPr>
            <w:tcW w:w="1560" w:type="dxa"/>
          </w:tcPr>
          <w:p w:rsidR="00000000" w:rsidRDefault="00000000">
            <w:pPr>
              <w:pStyle w:val="a6"/>
            </w:pPr>
            <w:r>
              <w:t>–3 098</w:t>
            </w:r>
          </w:p>
        </w:tc>
        <w:tc>
          <w:tcPr>
            <w:tcW w:w="1559" w:type="dxa"/>
          </w:tcPr>
          <w:p w:rsidR="00000000" w:rsidRDefault="00000000">
            <w:pPr>
              <w:pStyle w:val="a6"/>
            </w:pPr>
            <w:r>
              <w:t>11 497</w:t>
            </w:r>
          </w:p>
        </w:tc>
        <w:tc>
          <w:tcPr>
            <w:tcW w:w="1417" w:type="dxa"/>
          </w:tcPr>
          <w:p w:rsidR="00000000" w:rsidRDefault="00000000">
            <w:pPr>
              <w:pStyle w:val="a6"/>
            </w:pPr>
            <w:r>
              <w:t>–583</w:t>
            </w:r>
          </w:p>
        </w:tc>
        <w:tc>
          <w:tcPr>
            <w:tcW w:w="1418" w:type="dxa"/>
          </w:tcPr>
          <w:p w:rsidR="00000000" w:rsidRDefault="00000000">
            <w:pPr>
              <w:pStyle w:val="a6"/>
            </w:pPr>
            <w:r>
              <w:t>–33 125</w:t>
            </w:r>
          </w:p>
        </w:tc>
        <w:tc>
          <w:tcPr>
            <w:tcW w:w="1191" w:type="dxa"/>
          </w:tcPr>
          <w:p w:rsidR="00000000" w:rsidRDefault="00000000">
            <w:pPr>
              <w:pStyle w:val="a6"/>
            </w:pPr>
            <w:r>
              <w:t>–25 310</w:t>
            </w:r>
          </w:p>
        </w:tc>
      </w:tr>
      <w:tr w:rsidR="00000000">
        <w:tblPrEx>
          <w:tblCellMar>
            <w:top w:w="0" w:type="dxa"/>
            <w:bottom w:w="0" w:type="dxa"/>
          </w:tblCellMar>
        </w:tblPrEx>
        <w:tc>
          <w:tcPr>
            <w:tcW w:w="2267" w:type="dxa"/>
          </w:tcPr>
          <w:p w:rsidR="00000000" w:rsidRDefault="00000000">
            <w:pPr>
              <w:pStyle w:val="a7"/>
            </w:pPr>
            <w:r>
              <w:t>2000–2003 годы</w:t>
            </w:r>
          </w:p>
        </w:tc>
        <w:tc>
          <w:tcPr>
            <w:tcW w:w="1560" w:type="dxa"/>
          </w:tcPr>
          <w:p w:rsidR="00000000" w:rsidRDefault="00000000">
            <w:pPr>
              <w:pStyle w:val="a6"/>
            </w:pPr>
          </w:p>
        </w:tc>
        <w:tc>
          <w:tcPr>
            <w:tcW w:w="1559" w:type="dxa"/>
          </w:tcPr>
          <w:p w:rsidR="00000000" w:rsidRDefault="00000000">
            <w:pPr>
              <w:pStyle w:val="a6"/>
            </w:pPr>
          </w:p>
        </w:tc>
        <w:tc>
          <w:tcPr>
            <w:tcW w:w="1417" w:type="dxa"/>
          </w:tcPr>
          <w:p w:rsidR="00000000" w:rsidRDefault="00000000">
            <w:pPr>
              <w:pStyle w:val="a6"/>
            </w:pPr>
          </w:p>
        </w:tc>
        <w:tc>
          <w:tcPr>
            <w:tcW w:w="1418" w:type="dxa"/>
          </w:tcPr>
          <w:p w:rsidR="00000000" w:rsidRDefault="00000000">
            <w:pPr>
              <w:pStyle w:val="a6"/>
            </w:pPr>
          </w:p>
        </w:tc>
        <w:tc>
          <w:tcPr>
            <w:tcW w:w="1191" w:type="dxa"/>
          </w:tcPr>
          <w:p w:rsidR="00000000" w:rsidRDefault="00000000">
            <w:pPr>
              <w:pStyle w:val="a6"/>
            </w:pPr>
          </w:p>
        </w:tc>
      </w:tr>
      <w:tr w:rsidR="00000000">
        <w:tblPrEx>
          <w:tblCellMar>
            <w:top w:w="0" w:type="dxa"/>
            <w:bottom w:w="0" w:type="dxa"/>
          </w:tblCellMar>
        </w:tblPrEx>
        <w:tc>
          <w:tcPr>
            <w:tcW w:w="2267" w:type="dxa"/>
            <w:tcBorders>
              <w:bottom w:val="single" w:sz="4" w:space="0" w:color="auto"/>
            </w:tcBorders>
          </w:tcPr>
          <w:p w:rsidR="00000000" w:rsidRDefault="00000000">
            <w:pPr>
              <w:pStyle w:val="a7"/>
            </w:pPr>
            <w:r>
              <w:t>Изменения в процентах</w:t>
            </w:r>
          </w:p>
        </w:tc>
        <w:tc>
          <w:tcPr>
            <w:tcW w:w="1560" w:type="dxa"/>
            <w:tcBorders>
              <w:bottom w:val="single" w:sz="4" w:space="0" w:color="auto"/>
            </w:tcBorders>
          </w:tcPr>
          <w:p w:rsidR="00000000" w:rsidRDefault="00000000">
            <w:pPr>
              <w:pStyle w:val="a6"/>
            </w:pPr>
            <w:r>
              <w:t>–23,4</w:t>
            </w:r>
          </w:p>
        </w:tc>
        <w:tc>
          <w:tcPr>
            <w:tcW w:w="1559" w:type="dxa"/>
            <w:tcBorders>
              <w:bottom w:val="single" w:sz="4" w:space="0" w:color="auto"/>
            </w:tcBorders>
          </w:tcPr>
          <w:p w:rsidR="00000000" w:rsidRDefault="00000000">
            <w:pPr>
              <w:pStyle w:val="a6"/>
            </w:pPr>
            <w:r>
              <w:t>9,42</w:t>
            </w:r>
          </w:p>
        </w:tc>
        <w:tc>
          <w:tcPr>
            <w:tcW w:w="1417" w:type="dxa"/>
            <w:tcBorders>
              <w:bottom w:val="single" w:sz="4" w:space="0" w:color="auto"/>
            </w:tcBorders>
          </w:tcPr>
          <w:p w:rsidR="00000000" w:rsidRDefault="00000000">
            <w:pPr>
              <w:pStyle w:val="a6"/>
            </w:pPr>
            <w:r>
              <w:t>–7,40</w:t>
            </w:r>
          </w:p>
        </w:tc>
        <w:tc>
          <w:tcPr>
            <w:tcW w:w="1418" w:type="dxa"/>
            <w:tcBorders>
              <w:bottom w:val="single" w:sz="4" w:space="0" w:color="auto"/>
            </w:tcBorders>
          </w:tcPr>
          <w:p w:rsidR="00000000" w:rsidRDefault="00000000">
            <w:pPr>
              <w:pStyle w:val="a6"/>
            </w:pPr>
            <w:r>
              <w:t>–19</w:t>
            </w:r>
          </w:p>
        </w:tc>
        <w:tc>
          <w:tcPr>
            <w:tcW w:w="1191" w:type="dxa"/>
            <w:tcBorders>
              <w:bottom w:val="single" w:sz="4" w:space="0" w:color="auto"/>
            </w:tcBorders>
          </w:tcPr>
          <w:p w:rsidR="00000000" w:rsidRDefault="00000000">
            <w:pPr>
              <w:pStyle w:val="a6"/>
            </w:pPr>
            <w:r>
              <w:t>–8</w:t>
            </w:r>
          </w:p>
        </w:tc>
      </w:tr>
    </w:tbl>
    <w:p w:rsidR="00000000" w:rsidRDefault="00000000">
      <w:pPr>
        <w:pStyle w:val="BodyText"/>
        <w:spacing w:before="120"/>
        <w:rPr>
          <w:sz w:val="20"/>
        </w:rPr>
      </w:pPr>
      <w:r>
        <w:rPr>
          <w:i/>
          <w:sz w:val="20"/>
        </w:rPr>
        <w:t>Источник:</w:t>
      </w:r>
      <w:r>
        <w:rPr>
          <w:sz w:val="20"/>
        </w:rPr>
        <w:t xml:space="preserve"> НССГ.</w:t>
      </w:r>
    </w:p>
    <w:p w:rsidR="00000000" w:rsidRDefault="00000000">
      <w:pPr>
        <w:pStyle w:val="BodyText"/>
        <w:rPr>
          <w:sz w:val="20"/>
        </w:rPr>
      </w:pPr>
      <w:r>
        <w:rPr>
          <w:i/>
          <w:sz w:val="20"/>
        </w:rPr>
        <w:t>Обработка</w:t>
      </w:r>
      <w:r>
        <w:rPr>
          <w:sz w:val="20"/>
        </w:rPr>
        <w:t xml:space="preserve"> </w:t>
      </w:r>
      <w:r>
        <w:rPr>
          <w:i/>
          <w:sz w:val="20"/>
        </w:rPr>
        <w:t>данных:</w:t>
      </w:r>
      <w:r>
        <w:rPr>
          <w:sz w:val="20"/>
        </w:rPr>
        <w:t xml:space="preserve"> </w:t>
      </w:r>
      <w:r>
        <w:rPr>
          <w:sz w:val="20"/>
          <w:lang w:val="en-GB"/>
        </w:rPr>
        <w:t>KETHI</w:t>
      </w:r>
      <w:r>
        <w:rPr>
          <w:sz w:val="20"/>
        </w:rPr>
        <w:t>, отдел документации.</w:t>
      </w:r>
    </w:p>
    <w:p w:rsidR="00000000" w:rsidRDefault="00000000">
      <w:pPr>
        <w:pStyle w:val="BodyText"/>
        <w:rPr>
          <w:u w:val="single"/>
        </w:rPr>
      </w:pPr>
    </w:p>
    <w:p w:rsidR="00000000" w:rsidRDefault="00000000">
      <w:pPr>
        <w:pStyle w:val="BodyText"/>
        <w:rPr>
          <w:b/>
        </w:rPr>
      </w:pPr>
      <w:r>
        <w:rPr>
          <w:b/>
        </w:rPr>
        <w:t>Диаграмма 1</w:t>
      </w:r>
    </w:p>
    <w:p w:rsidR="00000000" w:rsidRDefault="00000000">
      <w:pPr>
        <w:jc w:val="left"/>
        <w:rPr>
          <w:b/>
        </w:rPr>
      </w:pPr>
      <w:r>
        <w:rPr>
          <w:b/>
        </w:rPr>
        <w:t xml:space="preserve">Изменения в женской занятости в первичном секторе с разбивкой </w:t>
      </w:r>
      <w:r>
        <w:rPr>
          <w:b/>
        </w:rPr>
        <w:br/>
        <w:t>по профессиональному статусу (в тыс.), 2000–2003 годы</w:t>
      </w:r>
    </w:p>
    <w:bookmarkStart w:id="29" w:name="_MON_1190186500"/>
    <w:bookmarkStart w:id="30" w:name="_MON_1194072897"/>
    <w:bookmarkStart w:id="31" w:name="_MON_1194073260"/>
    <w:bookmarkEnd w:id="29"/>
    <w:bookmarkEnd w:id="30"/>
    <w:bookmarkEnd w:id="31"/>
    <w:p w:rsidR="00000000" w:rsidRDefault="00000000">
      <w:pPr>
        <w:pStyle w:val="BodyText"/>
        <w:rPr>
          <w:u w:val="single"/>
        </w:rPr>
      </w:pPr>
      <w:r>
        <w:object w:dxaOrig="7200" w:dyaOrig="3195">
          <v:shape id="_x0000_i1028" type="#_x0000_t75" style="width:5in;height:159.75pt" o:ole="">
            <v:imagedata r:id="rId20" o:title=""/>
          </v:shape>
          <o:OLEObject Type="Embed" ProgID="Word.Picture.8" ShapeID="_x0000_i1028" DrawAspect="Content" ObjectID="_1395239574" r:id="rId21"/>
        </w:object>
      </w:r>
    </w:p>
    <w:p w:rsidR="00000000" w:rsidRDefault="00000000">
      <w:pPr>
        <w:pStyle w:val="BodyText"/>
        <w:rPr>
          <w:b/>
        </w:rPr>
      </w:pPr>
      <w:r>
        <w:rPr>
          <w:b/>
        </w:rPr>
        <w:br w:type="page"/>
        <w:t>Диаграмма 1а)</w:t>
      </w:r>
    </w:p>
    <w:p w:rsidR="00000000" w:rsidRDefault="00000000">
      <w:pPr>
        <w:pStyle w:val="BodyText"/>
        <w:ind w:left="0" w:firstLine="0"/>
        <w:jc w:val="left"/>
        <w:rPr>
          <w:b/>
        </w:rPr>
      </w:pPr>
      <w:r>
        <w:rPr>
          <w:b/>
        </w:rPr>
        <w:t>Изменения в женской занятости в первичном секторе с разбивкой по профессиональному статусу (в процентах), 2000–2003 годы</w:t>
      </w:r>
    </w:p>
    <w:bookmarkStart w:id="32" w:name="_MON_1190186900"/>
    <w:bookmarkStart w:id="33" w:name="_MON_1190188125"/>
    <w:bookmarkStart w:id="34" w:name="_MON_1194073372"/>
    <w:bookmarkEnd w:id="32"/>
    <w:bookmarkEnd w:id="33"/>
    <w:bookmarkEnd w:id="34"/>
    <w:p w:rsidR="00000000" w:rsidRDefault="00000000">
      <w:pPr>
        <w:pStyle w:val="BodyText"/>
      </w:pPr>
      <w:r>
        <w:object w:dxaOrig="8640" w:dyaOrig="4500">
          <v:shape id="_x0000_i1029" type="#_x0000_t75" style="width:6in;height:225pt" o:ole="">
            <v:imagedata r:id="rId22" o:title=""/>
          </v:shape>
          <o:OLEObject Type="Embed" ProgID="Word.Picture.8" ShapeID="_x0000_i1029" DrawAspect="Content" ObjectID="_1395239575" r:id="rId23"/>
        </w:object>
      </w:r>
    </w:p>
    <w:p w:rsidR="00000000" w:rsidRDefault="00000000">
      <w:pPr>
        <w:pStyle w:val="BodyText"/>
        <w:spacing w:after="120"/>
        <w:ind w:left="0" w:firstLine="0"/>
        <w:rPr>
          <w:sz w:val="20"/>
        </w:rPr>
      </w:pPr>
      <w:r>
        <w:rPr>
          <w:i/>
          <w:sz w:val="20"/>
        </w:rPr>
        <w:t>Источник:</w:t>
      </w:r>
      <w:r>
        <w:rPr>
          <w:sz w:val="20"/>
        </w:rPr>
        <w:t xml:space="preserve"> Управление национальной сельскохозяйственной экономики, отдел по вопросам равноправия, Министерство сельского хозяйства.</w:t>
      </w:r>
    </w:p>
    <w:p w:rsidR="00000000" w:rsidRDefault="00000000">
      <w:pPr>
        <w:pStyle w:val="BodyText"/>
        <w:spacing w:after="120"/>
        <w:ind w:left="0" w:firstLine="0"/>
        <w:rPr>
          <w:sz w:val="20"/>
        </w:rPr>
      </w:pPr>
      <w:r>
        <w:rPr>
          <w:i/>
          <w:sz w:val="20"/>
        </w:rPr>
        <w:t>Обработка данных:</w:t>
      </w:r>
      <w:r>
        <w:rPr>
          <w:sz w:val="20"/>
        </w:rPr>
        <w:t xml:space="preserve"> </w:t>
      </w:r>
      <w:r>
        <w:rPr>
          <w:sz w:val="20"/>
          <w:lang w:val="en-GB"/>
        </w:rPr>
        <w:t>KETHI</w:t>
      </w:r>
      <w:r>
        <w:rPr>
          <w:sz w:val="20"/>
        </w:rPr>
        <w:t>, отдел документации.</w:t>
      </w:r>
    </w:p>
    <w:p w:rsidR="00000000" w:rsidRDefault="00000000">
      <w:pPr>
        <w:pStyle w:val="BodyText"/>
        <w:rPr>
          <w:b/>
        </w:rPr>
      </w:pPr>
    </w:p>
    <w:p w:rsidR="00000000" w:rsidRDefault="00000000">
      <w:pPr>
        <w:pStyle w:val="BodyText"/>
        <w:keepNext/>
        <w:ind w:left="0" w:firstLine="0"/>
        <w:jc w:val="center"/>
        <w:rPr>
          <w:b/>
        </w:rPr>
      </w:pPr>
      <w:r>
        <w:rPr>
          <w:b/>
          <w:lang w:val="en-GB"/>
        </w:rPr>
        <w:t>III</w:t>
      </w:r>
      <w:r>
        <w:rPr>
          <w:b/>
        </w:rPr>
        <w:t>.  Законодательные положения</w:t>
      </w:r>
    </w:p>
    <w:p w:rsidR="00000000" w:rsidRDefault="00000000">
      <w:pPr>
        <w:pStyle w:val="BodyText"/>
      </w:pPr>
      <w:r>
        <w:t>3.</w:t>
      </w:r>
      <w:r>
        <w:tab/>
        <w:t>В пункте 5d) статьи 1 закона 2332/1995 "Реестр фермеров и сельскохозяйственных предприятий и другие положения" говорится, что "главой сельскохозяйственного предприятия может быть любое лицо независимо от пола".</w:t>
      </w:r>
    </w:p>
    <w:p w:rsidR="00000000" w:rsidRDefault="00000000">
      <w:pPr>
        <w:pStyle w:val="BodyText"/>
      </w:pPr>
      <w:r>
        <w:t>4.</w:t>
      </w:r>
      <w:r>
        <w:tab/>
        <w:t>Пункт 2 статьи 1 закона 3147/2003 "Регулирование вопросов, касающихся сельскохозяйственных земель, решения дел о восстановленных и восстанавливаемых в правах фермеров и другие положения" заменил подпункт аа) пункта 1а) статьи 24 Сельскохозяйственного кодекса:</w:t>
      </w:r>
    </w:p>
    <w:p w:rsidR="00000000" w:rsidRDefault="00000000">
      <w:pPr>
        <w:pStyle w:val="-1"/>
      </w:pPr>
      <w:r>
        <w:t>аа) "фермеры, состоящие в браке. Из двух состоящих в браке супругов-фермеров бенефициарием считается лицо, ответственное за управление сельскохозяйственным предприятием. Что касается безземельных фермеров, то учитывается собственность их супругов".</w:t>
      </w:r>
    </w:p>
    <w:p w:rsidR="00000000" w:rsidRDefault="00000000">
      <w:pPr>
        <w:pStyle w:val="BodyText"/>
      </w:pPr>
      <w:r>
        <w:tab/>
        <w:t>Кроме того, в пункте 1 статьи 8  вышеупомянутого закона говорится:</w:t>
      </w:r>
    </w:p>
    <w:p w:rsidR="00000000" w:rsidRDefault="00000000">
      <w:pPr>
        <w:pStyle w:val="-1"/>
      </w:pPr>
      <w:r>
        <w:t>"Земли, официально предоставленные или предоставляемые в распоряжение состоящим в браке фермерам в соответствии с измененными статьей 1 настоящего закона положениями подпункта аа) пункта 1а) статьи 24 Сельскохозяйственного кодекса, могут быть проданы с согласия второго супруга. Если супруги не пришли к соглашению, уполномоченный суд первой инстанции по запросу одного из супругов принимает дело к рассмотрению и в соответствии процедурой, указанной в статье 739 и далее, а также с Гражданским процессуальным кодексом выносит решение о продаже, если это обусловлено определенной или очевидной выгодой".</w:t>
      </w:r>
    </w:p>
    <w:p w:rsidR="00000000" w:rsidRDefault="00000000">
      <w:pPr>
        <w:pStyle w:val="BodyText"/>
      </w:pPr>
      <w:r>
        <w:tab/>
        <w:t xml:space="preserve">Положения новых законов упраздняют дискриминацию в отношении женщин в качестве восстанавливаемых в правах безземельных фермеров, поскольку прежде на получение сельскохозяйственного участка земли имели право только состоящие в браке или холостые фермеры-мужчины, которые могли без согласия супруги продавать участок земли, предоставленный им в период брака. </w:t>
      </w:r>
    </w:p>
    <w:p w:rsidR="00000000" w:rsidRDefault="00000000">
      <w:pPr>
        <w:pStyle w:val="BodyText"/>
        <w:keepNext/>
        <w:ind w:left="0" w:firstLine="0"/>
        <w:jc w:val="center"/>
        <w:rPr>
          <w:b/>
        </w:rPr>
      </w:pPr>
    </w:p>
    <w:p w:rsidR="00000000" w:rsidRDefault="00000000">
      <w:pPr>
        <w:pStyle w:val="BodyText"/>
        <w:keepNext/>
        <w:ind w:left="0" w:firstLine="0"/>
        <w:jc w:val="center"/>
        <w:rPr>
          <w:b/>
        </w:rPr>
      </w:pPr>
      <w:r>
        <w:rPr>
          <w:b/>
          <w:lang w:val="en-GB"/>
        </w:rPr>
        <w:t>IV</w:t>
      </w:r>
      <w:r>
        <w:rPr>
          <w:b/>
        </w:rPr>
        <w:t>.  Страховая защита фермеров-женщин</w:t>
      </w:r>
    </w:p>
    <w:p w:rsidR="00000000" w:rsidRDefault="00000000">
      <w:pPr>
        <w:pStyle w:val="BodyText"/>
      </w:pPr>
      <w:r>
        <w:t>5.</w:t>
      </w:r>
      <w:r>
        <w:tab/>
        <w:t>Что касается обеспечения Организацией сельского страхования страховой защиты фермеров-женщин, то был принят ряд законодательных положений, нацеленных на ликвидацию проблем в связи с необязательностью страхования в Основном отделе страхования одного из супругов, работающих на семейном сельскохозяйственном предприятии. Поскольку один из супругов на основании их совместного заявления имел право освобождения от уплаты взносов в Основной отдел страхования, соответствующее положение обычно реализовывалось за счет женщины, что и послужило причиной того, что Организация сельского страхования выдвинула предложение о его отмене и введении обязательного страхования обоих супругов.</w:t>
      </w:r>
    </w:p>
    <w:p w:rsidR="00000000" w:rsidRDefault="00000000">
      <w:pPr>
        <w:pStyle w:val="BodyText"/>
      </w:pPr>
      <w:r>
        <w:t>6.</w:t>
      </w:r>
      <w:r>
        <w:tab/>
        <w:t>Что касается защиты материнства, то женщина, застрахованная в Основном отделе страхования, при рождении второго ребенка или любого ребенка после второго на определенный период времени освобождается от обязательства платить страховые взносы.</w:t>
      </w:r>
    </w:p>
    <w:p w:rsidR="00000000" w:rsidRDefault="00000000">
      <w:pPr>
        <w:pStyle w:val="BodyText"/>
      </w:pPr>
      <w:r>
        <w:t>7.</w:t>
      </w:r>
      <w:r>
        <w:tab/>
        <w:t>Кроме того, пособия по беременности и родам, равно как и пособия в связи с рождением ребенка, были скорректированы следующим образом:</w:t>
      </w:r>
    </w:p>
    <w:p w:rsidR="00000000" w:rsidRDefault="00000000">
      <w:pPr>
        <w:pStyle w:val="18-8"/>
      </w:pPr>
      <w:r>
        <w:t>a)</w:t>
      </w:r>
      <w:r>
        <w:tab/>
        <w:t>пособия по беременности и родам увеличены до размера 1-ой страховой категории, указанной в статье 4 закона 2458/97;</w:t>
      </w:r>
    </w:p>
    <w:p w:rsidR="00000000" w:rsidRDefault="00000000">
      <w:pPr>
        <w:pStyle w:val="18-8"/>
      </w:pPr>
      <w:r>
        <w:t>b)</w:t>
      </w:r>
      <w:r>
        <w:tab/>
        <w:t>пособия в связи с рождением ребенка увеличены на 50 процентов от размера страховой категории, указанной в предыдущей статье, если роды происходили в гинекологической клинике, в которой, в соответствии с действующим законодательством в отношении Организации сельского страхования, родовспоможение не оплачивается Организацией или является бесплатным.</w:t>
      </w:r>
    </w:p>
    <w:p w:rsidR="00000000" w:rsidRDefault="00000000">
      <w:pPr>
        <w:pStyle w:val="18-8"/>
      </w:pPr>
      <w:r>
        <w:t>с)</w:t>
      </w:r>
      <w:r>
        <w:tab/>
        <w:t xml:space="preserve">В случае рождения двойни, тройни и т. д., которые были живы на момент подачи заявления о предоставлении пособия, его сумма повышается на 50 процентов на каждого ребенка, родившегося после первого. </w:t>
      </w:r>
    </w:p>
    <w:p w:rsidR="00000000" w:rsidRDefault="00000000">
      <w:pPr>
        <w:pStyle w:val="BodyText"/>
        <w:keepNext/>
        <w:ind w:left="0" w:firstLine="0"/>
        <w:jc w:val="center"/>
        <w:rPr>
          <w:b/>
        </w:rPr>
      </w:pPr>
      <w:r>
        <w:rPr>
          <w:b/>
        </w:rPr>
        <w:br w:type="page"/>
      </w:r>
      <w:r>
        <w:rPr>
          <w:b/>
          <w:lang w:val="en-GB"/>
        </w:rPr>
        <w:t>V</w:t>
      </w:r>
      <w:r>
        <w:rPr>
          <w:b/>
        </w:rPr>
        <w:t>.  Рыбная промышленность</w:t>
      </w:r>
    </w:p>
    <w:p w:rsidR="00000000" w:rsidRDefault="00000000">
      <w:pPr>
        <w:pStyle w:val="BodyText"/>
      </w:pPr>
      <w:r>
        <w:t>8.</w:t>
      </w:r>
      <w:r>
        <w:tab/>
        <w:t>Процентная доля женщин, занятых в рыбной промышленности, даже меньше, чем доля женщин в сельском хозяйстве.</w:t>
      </w:r>
    </w:p>
    <w:p w:rsidR="00000000" w:rsidRDefault="00000000">
      <w:pPr>
        <w:pStyle w:val="BodyText"/>
      </w:pPr>
      <w:r>
        <w:t>9.</w:t>
      </w:r>
      <w:r>
        <w:tab/>
        <w:t>Работающие в рыбной промышленности женщины обычно заняты на переработке продуктов рыболовства (переработка замороженной продукции, консервирование, приготовление копченой и соленой рыбы и т. д.) и в торговле.</w:t>
      </w:r>
    </w:p>
    <w:p w:rsidR="00000000" w:rsidRDefault="00000000">
      <w:pPr>
        <w:pStyle w:val="BodyText"/>
      </w:pPr>
      <w:r>
        <w:t>10.</w:t>
      </w:r>
      <w:r>
        <w:tab/>
        <w:t>Изменения в женской занятости в обработке рыбной продукции в 2001–2003 годах, в соответствии с данными Управления рыбного хозяйства и рыбной продукции Министерства сельского хозяйства, показаны в таблицах, ниже.</w:t>
      </w:r>
    </w:p>
    <w:p w:rsidR="00000000" w:rsidRDefault="00000000"/>
    <w:p w:rsidR="00000000" w:rsidRDefault="00000000">
      <w:pPr>
        <w:pStyle w:val="a5"/>
      </w:pPr>
      <w:r>
        <w:t xml:space="preserve">Таблица 2. Занятые в рыбной промышленности с разбивкой по полу и условиям занятости, </w:t>
      </w:r>
      <w:r>
        <w:br/>
        <w:t>2001–2003 годы</w:t>
      </w:r>
    </w:p>
    <w:tbl>
      <w:tblPr>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417"/>
        <w:gridCol w:w="2410"/>
        <w:gridCol w:w="2268"/>
        <w:gridCol w:w="1559"/>
        <w:gridCol w:w="1758"/>
      </w:tblGrid>
      <w:tr w:rsidR="00000000">
        <w:tblPrEx>
          <w:tblCellMar>
            <w:top w:w="0" w:type="dxa"/>
            <w:bottom w:w="0" w:type="dxa"/>
          </w:tblCellMar>
        </w:tblPrEx>
        <w:trPr>
          <w:cantSplit/>
        </w:trPr>
        <w:tc>
          <w:tcPr>
            <w:tcW w:w="1417" w:type="dxa"/>
            <w:tcBorders>
              <w:top w:val="nil"/>
              <w:left w:val="nil"/>
              <w:bottom w:val="single" w:sz="4" w:space="0" w:color="auto"/>
              <w:right w:val="nil"/>
            </w:tcBorders>
          </w:tcPr>
          <w:p w:rsidR="00000000" w:rsidRDefault="00000000">
            <w:pPr>
              <w:pStyle w:val="a6"/>
              <w:jc w:val="left"/>
              <w:rPr>
                <w:b/>
                <w:i/>
              </w:rPr>
            </w:pPr>
            <w:r>
              <w:rPr>
                <w:b/>
                <w:i/>
              </w:rPr>
              <w:t xml:space="preserve">2001 год </w:t>
            </w:r>
          </w:p>
        </w:tc>
        <w:tc>
          <w:tcPr>
            <w:tcW w:w="2410" w:type="dxa"/>
            <w:tcBorders>
              <w:top w:val="nil"/>
              <w:left w:val="nil"/>
              <w:bottom w:val="single" w:sz="4" w:space="0" w:color="auto"/>
              <w:right w:val="nil"/>
            </w:tcBorders>
          </w:tcPr>
          <w:p w:rsidR="00000000" w:rsidRDefault="00000000">
            <w:pPr>
              <w:pStyle w:val="a6"/>
            </w:pPr>
          </w:p>
        </w:tc>
        <w:tc>
          <w:tcPr>
            <w:tcW w:w="2268" w:type="dxa"/>
            <w:tcBorders>
              <w:top w:val="nil"/>
              <w:left w:val="nil"/>
              <w:bottom w:val="single" w:sz="4" w:space="0" w:color="auto"/>
              <w:right w:val="nil"/>
            </w:tcBorders>
          </w:tcPr>
          <w:p w:rsidR="00000000" w:rsidRDefault="00000000">
            <w:pPr>
              <w:pStyle w:val="a6"/>
            </w:pPr>
          </w:p>
        </w:tc>
        <w:tc>
          <w:tcPr>
            <w:tcW w:w="1559" w:type="dxa"/>
            <w:tcBorders>
              <w:top w:val="nil"/>
              <w:left w:val="nil"/>
              <w:bottom w:val="single" w:sz="4" w:space="0" w:color="auto"/>
              <w:right w:val="nil"/>
            </w:tcBorders>
          </w:tcPr>
          <w:p w:rsidR="00000000" w:rsidRDefault="00000000">
            <w:pPr>
              <w:pStyle w:val="a6"/>
            </w:pPr>
          </w:p>
        </w:tc>
        <w:tc>
          <w:tcPr>
            <w:tcW w:w="1758" w:type="dxa"/>
            <w:tcBorders>
              <w:top w:val="nil"/>
              <w:left w:val="nil"/>
              <w:bottom w:val="single" w:sz="4" w:space="0" w:color="auto"/>
              <w:right w:val="nil"/>
            </w:tcBorders>
          </w:tcPr>
          <w:p w:rsidR="00000000" w:rsidRDefault="00000000">
            <w:pPr>
              <w:pStyle w:val="a6"/>
            </w:pPr>
          </w:p>
        </w:tc>
      </w:tr>
      <w:tr w:rsidR="00000000">
        <w:tblPrEx>
          <w:tblCellMar>
            <w:top w:w="0" w:type="dxa"/>
            <w:bottom w:w="0" w:type="dxa"/>
          </w:tblCellMar>
        </w:tblPrEx>
        <w:tc>
          <w:tcPr>
            <w:tcW w:w="1417" w:type="dxa"/>
            <w:tcBorders>
              <w:top w:val="single" w:sz="4" w:space="0" w:color="auto"/>
              <w:left w:val="nil"/>
              <w:bottom w:val="single" w:sz="4" w:space="0" w:color="auto"/>
              <w:right w:val="nil"/>
            </w:tcBorders>
          </w:tcPr>
          <w:p w:rsidR="00000000" w:rsidRDefault="00000000">
            <w:pPr>
              <w:pStyle w:val="a6"/>
              <w:rPr>
                <w:b/>
              </w:rPr>
            </w:pPr>
          </w:p>
        </w:tc>
        <w:tc>
          <w:tcPr>
            <w:tcW w:w="2410" w:type="dxa"/>
            <w:tcBorders>
              <w:top w:val="single" w:sz="4" w:space="0" w:color="auto"/>
              <w:left w:val="nil"/>
              <w:bottom w:val="single" w:sz="4" w:space="0" w:color="auto"/>
              <w:right w:val="nil"/>
            </w:tcBorders>
          </w:tcPr>
          <w:p w:rsidR="00000000" w:rsidRDefault="00000000">
            <w:pPr>
              <w:pStyle w:val="a6"/>
              <w:rPr>
                <w:b/>
              </w:rPr>
            </w:pPr>
            <w:r>
              <w:rPr>
                <w:b/>
              </w:rPr>
              <w:t>На постоянной работе</w:t>
            </w:r>
          </w:p>
        </w:tc>
        <w:tc>
          <w:tcPr>
            <w:tcW w:w="2268" w:type="dxa"/>
            <w:tcBorders>
              <w:top w:val="single" w:sz="4" w:space="0" w:color="auto"/>
              <w:left w:val="nil"/>
              <w:bottom w:val="single" w:sz="4" w:space="0" w:color="auto"/>
              <w:right w:val="nil"/>
            </w:tcBorders>
          </w:tcPr>
          <w:p w:rsidR="00000000" w:rsidRDefault="00000000">
            <w:pPr>
              <w:pStyle w:val="a6"/>
              <w:rPr>
                <w:b/>
              </w:rPr>
            </w:pPr>
            <w:r>
              <w:rPr>
                <w:b/>
              </w:rPr>
              <w:t>На сезонной работе</w:t>
            </w:r>
          </w:p>
        </w:tc>
        <w:tc>
          <w:tcPr>
            <w:tcW w:w="1559" w:type="dxa"/>
            <w:tcBorders>
              <w:top w:val="single" w:sz="4" w:space="0" w:color="auto"/>
              <w:left w:val="nil"/>
              <w:bottom w:val="single" w:sz="4" w:space="0" w:color="auto"/>
              <w:right w:val="nil"/>
            </w:tcBorders>
          </w:tcPr>
          <w:p w:rsidR="00000000" w:rsidRDefault="00000000">
            <w:pPr>
              <w:pStyle w:val="a6"/>
              <w:rPr>
                <w:b/>
              </w:rPr>
            </w:pPr>
            <w:r>
              <w:rPr>
                <w:b/>
              </w:rPr>
              <w:t>Всего</w:t>
            </w:r>
          </w:p>
        </w:tc>
        <w:tc>
          <w:tcPr>
            <w:tcW w:w="1758" w:type="dxa"/>
            <w:tcBorders>
              <w:top w:val="single" w:sz="4" w:space="0" w:color="auto"/>
              <w:left w:val="nil"/>
              <w:bottom w:val="single" w:sz="4" w:space="0" w:color="auto"/>
              <w:right w:val="nil"/>
            </w:tcBorders>
          </w:tcPr>
          <w:p w:rsidR="00000000" w:rsidRDefault="00000000">
            <w:pPr>
              <w:pStyle w:val="a6"/>
              <w:rPr>
                <w:b/>
              </w:rPr>
            </w:pPr>
            <w:r>
              <w:rPr>
                <w:b/>
              </w:rPr>
              <w:t>В процентах</w:t>
            </w:r>
          </w:p>
        </w:tc>
      </w:tr>
      <w:tr w:rsidR="00000000">
        <w:tblPrEx>
          <w:tblCellMar>
            <w:top w:w="0" w:type="dxa"/>
            <w:bottom w:w="0" w:type="dxa"/>
          </w:tblCellMar>
        </w:tblPrEx>
        <w:tc>
          <w:tcPr>
            <w:tcW w:w="1417" w:type="dxa"/>
            <w:tcBorders>
              <w:top w:val="single" w:sz="4" w:space="0" w:color="auto"/>
              <w:left w:val="nil"/>
              <w:bottom w:val="nil"/>
              <w:right w:val="nil"/>
            </w:tcBorders>
          </w:tcPr>
          <w:p w:rsidR="00000000" w:rsidRDefault="00000000">
            <w:pPr>
              <w:pStyle w:val="a7"/>
            </w:pPr>
            <w:r>
              <w:t>Мужчины</w:t>
            </w:r>
          </w:p>
        </w:tc>
        <w:tc>
          <w:tcPr>
            <w:tcW w:w="2410" w:type="dxa"/>
            <w:tcBorders>
              <w:top w:val="single" w:sz="4" w:space="0" w:color="auto"/>
              <w:left w:val="nil"/>
              <w:bottom w:val="nil"/>
              <w:right w:val="nil"/>
            </w:tcBorders>
          </w:tcPr>
          <w:p w:rsidR="00000000" w:rsidRDefault="00000000">
            <w:pPr>
              <w:pStyle w:val="a6"/>
            </w:pPr>
            <w:r>
              <w:t>985</w:t>
            </w:r>
          </w:p>
        </w:tc>
        <w:tc>
          <w:tcPr>
            <w:tcW w:w="2268" w:type="dxa"/>
            <w:tcBorders>
              <w:top w:val="single" w:sz="4" w:space="0" w:color="auto"/>
              <w:left w:val="nil"/>
              <w:bottom w:val="nil"/>
              <w:right w:val="nil"/>
            </w:tcBorders>
          </w:tcPr>
          <w:p w:rsidR="00000000" w:rsidRDefault="00000000">
            <w:pPr>
              <w:pStyle w:val="a6"/>
            </w:pPr>
            <w:r>
              <w:t>255</w:t>
            </w:r>
          </w:p>
        </w:tc>
        <w:tc>
          <w:tcPr>
            <w:tcW w:w="1559" w:type="dxa"/>
            <w:tcBorders>
              <w:top w:val="single" w:sz="4" w:space="0" w:color="auto"/>
              <w:left w:val="nil"/>
              <w:bottom w:val="nil"/>
              <w:right w:val="nil"/>
            </w:tcBorders>
          </w:tcPr>
          <w:p w:rsidR="00000000" w:rsidRDefault="00000000">
            <w:pPr>
              <w:pStyle w:val="a6"/>
            </w:pPr>
            <w:r>
              <w:t>1240</w:t>
            </w:r>
          </w:p>
        </w:tc>
        <w:tc>
          <w:tcPr>
            <w:tcW w:w="1758" w:type="dxa"/>
            <w:tcBorders>
              <w:top w:val="single" w:sz="4" w:space="0" w:color="auto"/>
              <w:left w:val="nil"/>
              <w:bottom w:val="nil"/>
              <w:right w:val="nil"/>
            </w:tcBorders>
          </w:tcPr>
          <w:p w:rsidR="00000000" w:rsidRDefault="00000000">
            <w:pPr>
              <w:pStyle w:val="a6"/>
            </w:pPr>
            <w:r>
              <w:t>48,93</w:t>
            </w:r>
          </w:p>
        </w:tc>
      </w:tr>
      <w:tr w:rsidR="00000000">
        <w:tblPrEx>
          <w:tblCellMar>
            <w:top w:w="0" w:type="dxa"/>
            <w:bottom w:w="0" w:type="dxa"/>
          </w:tblCellMar>
        </w:tblPrEx>
        <w:tc>
          <w:tcPr>
            <w:tcW w:w="1417" w:type="dxa"/>
            <w:tcBorders>
              <w:top w:val="nil"/>
              <w:left w:val="nil"/>
              <w:bottom w:val="nil"/>
              <w:right w:val="nil"/>
            </w:tcBorders>
          </w:tcPr>
          <w:p w:rsidR="00000000" w:rsidRDefault="00000000">
            <w:pPr>
              <w:pStyle w:val="a7"/>
            </w:pPr>
            <w:r>
              <w:t>Женщины</w:t>
            </w:r>
          </w:p>
        </w:tc>
        <w:tc>
          <w:tcPr>
            <w:tcW w:w="2410" w:type="dxa"/>
            <w:tcBorders>
              <w:top w:val="nil"/>
              <w:left w:val="nil"/>
              <w:bottom w:val="nil"/>
              <w:right w:val="nil"/>
            </w:tcBorders>
          </w:tcPr>
          <w:p w:rsidR="00000000" w:rsidRDefault="00000000">
            <w:pPr>
              <w:pStyle w:val="a6"/>
            </w:pPr>
            <w:r>
              <w:t>644</w:t>
            </w:r>
          </w:p>
        </w:tc>
        <w:tc>
          <w:tcPr>
            <w:tcW w:w="2268" w:type="dxa"/>
            <w:tcBorders>
              <w:top w:val="nil"/>
              <w:left w:val="nil"/>
              <w:bottom w:val="nil"/>
              <w:right w:val="nil"/>
            </w:tcBorders>
          </w:tcPr>
          <w:p w:rsidR="00000000" w:rsidRDefault="00000000">
            <w:pPr>
              <w:pStyle w:val="a6"/>
            </w:pPr>
            <w:r>
              <w:t>650</w:t>
            </w:r>
          </w:p>
        </w:tc>
        <w:tc>
          <w:tcPr>
            <w:tcW w:w="1559" w:type="dxa"/>
            <w:tcBorders>
              <w:top w:val="nil"/>
              <w:left w:val="nil"/>
              <w:bottom w:val="nil"/>
              <w:right w:val="nil"/>
            </w:tcBorders>
          </w:tcPr>
          <w:p w:rsidR="00000000" w:rsidRDefault="00000000">
            <w:pPr>
              <w:pStyle w:val="a6"/>
            </w:pPr>
            <w:r>
              <w:t>1294</w:t>
            </w:r>
          </w:p>
        </w:tc>
        <w:tc>
          <w:tcPr>
            <w:tcW w:w="1758" w:type="dxa"/>
            <w:tcBorders>
              <w:top w:val="nil"/>
              <w:left w:val="nil"/>
              <w:bottom w:val="nil"/>
              <w:right w:val="nil"/>
            </w:tcBorders>
          </w:tcPr>
          <w:p w:rsidR="00000000" w:rsidRDefault="00000000">
            <w:pPr>
              <w:pStyle w:val="a6"/>
            </w:pPr>
            <w:r>
              <w:t>51,07</w:t>
            </w:r>
          </w:p>
        </w:tc>
      </w:tr>
      <w:tr w:rsidR="00000000">
        <w:tblPrEx>
          <w:tblCellMar>
            <w:top w:w="0" w:type="dxa"/>
            <w:bottom w:w="0" w:type="dxa"/>
          </w:tblCellMar>
        </w:tblPrEx>
        <w:tc>
          <w:tcPr>
            <w:tcW w:w="1417" w:type="dxa"/>
            <w:tcBorders>
              <w:top w:val="nil"/>
              <w:left w:val="nil"/>
              <w:bottom w:val="single" w:sz="4" w:space="0" w:color="auto"/>
              <w:right w:val="nil"/>
            </w:tcBorders>
          </w:tcPr>
          <w:p w:rsidR="00000000" w:rsidRDefault="00000000">
            <w:pPr>
              <w:pStyle w:val="a7"/>
            </w:pPr>
            <w:r>
              <w:t>Итого</w:t>
            </w:r>
          </w:p>
        </w:tc>
        <w:tc>
          <w:tcPr>
            <w:tcW w:w="2410" w:type="dxa"/>
            <w:tcBorders>
              <w:top w:val="nil"/>
              <w:left w:val="nil"/>
              <w:bottom w:val="single" w:sz="4" w:space="0" w:color="auto"/>
              <w:right w:val="nil"/>
            </w:tcBorders>
          </w:tcPr>
          <w:p w:rsidR="00000000" w:rsidRDefault="00000000">
            <w:pPr>
              <w:pStyle w:val="a6"/>
            </w:pPr>
            <w:r>
              <w:t>1629</w:t>
            </w:r>
          </w:p>
        </w:tc>
        <w:tc>
          <w:tcPr>
            <w:tcW w:w="2268" w:type="dxa"/>
            <w:tcBorders>
              <w:top w:val="nil"/>
              <w:left w:val="nil"/>
              <w:bottom w:val="single" w:sz="4" w:space="0" w:color="auto"/>
              <w:right w:val="nil"/>
            </w:tcBorders>
          </w:tcPr>
          <w:p w:rsidR="00000000" w:rsidRDefault="00000000">
            <w:pPr>
              <w:pStyle w:val="a6"/>
            </w:pPr>
            <w:r>
              <w:t>905</w:t>
            </w:r>
          </w:p>
        </w:tc>
        <w:tc>
          <w:tcPr>
            <w:tcW w:w="1559" w:type="dxa"/>
            <w:tcBorders>
              <w:top w:val="nil"/>
              <w:left w:val="nil"/>
              <w:bottom w:val="single" w:sz="4" w:space="0" w:color="auto"/>
              <w:right w:val="nil"/>
            </w:tcBorders>
          </w:tcPr>
          <w:p w:rsidR="00000000" w:rsidRDefault="00000000">
            <w:pPr>
              <w:pStyle w:val="a6"/>
            </w:pPr>
            <w:r>
              <w:t>2534</w:t>
            </w:r>
          </w:p>
        </w:tc>
        <w:tc>
          <w:tcPr>
            <w:tcW w:w="1758" w:type="dxa"/>
            <w:tcBorders>
              <w:top w:val="nil"/>
              <w:left w:val="nil"/>
              <w:bottom w:val="single" w:sz="4" w:space="0" w:color="auto"/>
              <w:right w:val="nil"/>
            </w:tcBorders>
          </w:tcPr>
          <w:p w:rsidR="00000000" w:rsidRDefault="00000000">
            <w:pPr>
              <w:pStyle w:val="a6"/>
            </w:pPr>
          </w:p>
        </w:tc>
      </w:tr>
    </w:tbl>
    <w:p w:rsidR="00000000" w:rsidRDefault="00000000">
      <w:pPr>
        <w:jc w:val="left"/>
      </w:pPr>
    </w:p>
    <w:tbl>
      <w:tblPr>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417"/>
        <w:gridCol w:w="2410"/>
        <w:gridCol w:w="2268"/>
        <w:gridCol w:w="1559"/>
        <w:gridCol w:w="1758"/>
      </w:tblGrid>
      <w:tr w:rsidR="00000000">
        <w:tblPrEx>
          <w:tblCellMar>
            <w:top w:w="0" w:type="dxa"/>
            <w:bottom w:w="0" w:type="dxa"/>
          </w:tblCellMar>
        </w:tblPrEx>
        <w:trPr>
          <w:cantSplit/>
        </w:trPr>
        <w:tc>
          <w:tcPr>
            <w:tcW w:w="1417" w:type="dxa"/>
            <w:tcBorders>
              <w:top w:val="nil"/>
              <w:left w:val="nil"/>
              <w:bottom w:val="single" w:sz="4" w:space="0" w:color="auto"/>
              <w:right w:val="nil"/>
            </w:tcBorders>
          </w:tcPr>
          <w:p w:rsidR="00000000" w:rsidRDefault="00000000">
            <w:pPr>
              <w:pStyle w:val="a6"/>
              <w:jc w:val="left"/>
              <w:rPr>
                <w:b/>
                <w:i/>
              </w:rPr>
            </w:pPr>
            <w:r>
              <w:rPr>
                <w:b/>
                <w:i/>
              </w:rPr>
              <w:t xml:space="preserve">2002 год </w:t>
            </w:r>
          </w:p>
        </w:tc>
        <w:tc>
          <w:tcPr>
            <w:tcW w:w="2410" w:type="dxa"/>
            <w:tcBorders>
              <w:top w:val="nil"/>
              <w:left w:val="nil"/>
              <w:bottom w:val="single" w:sz="4" w:space="0" w:color="auto"/>
              <w:right w:val="nil"/>
            </w:tcBorders>
          </w:tcPr>
          <w:p w:rsidR="00000000" w:rsidRDefault="00000000">
            <w:pPr>
              <w:pStyle w:val="a6"/>
            </w:pPr>
          </w:p>
        </w:tc>
        <w:tc>
          <w:tcPr>
            <w:tcW w:w="2268" w:type="dxa"/>
            <w:tcBorders>
              <w:top w:val="nil"/>
              <w:left w:val="nil"/>
              <w:bottom w:val="single" w:sz="4" w:space="0" w:color="auto"/>
              <w:right w:val="nil"/>
            </w:tcBorders>
          </w:tcPr>
          <w:p w:rsidR="00000000" w:rsidRDefault="00000000">
            <w:pPr>
              <w:pStyle w:val="a6"/>
            </w:pPr>
          </w:p>
        </w:tc>
        <w:tc>
          <w:tcPr>
            <w:tcW w:w="1559" w:type="dxa"/>
            <w:tcBorders>
              <w:top w:val="nil"/>
              <w:left w:val="nil"/>
              <w:bottom w:val="single" w:sz="4" w:space="0" w:color="auto"/>
              <w:right w:val="nil"/>
            </w:tcBorders>
          </w:tcPr>
          <w:p w:rsidR="00000000" w:rsidRDefault="00000000">
            <w:pPr>
              <w:pStyle w:val="a6"/>
            </w:pPr>
          </w:p>
        </w:tc>
        <w:tc>
          <w:tcPr>
            <w:tcW w:w="1758" w:type="dxa"/>
            <w:tcBorders>
              <w:top w:val="nil"/>
              <w:left w:val="nil"/>
              <w:bottom w:val="single" w:sz="4" w:space="0" w:color="auto"/>
              <w:right w:val="nil"/>
            </w:tcBorders>
          </w:tcPr>
          <w:p w:rsidR="00000000" w:rsidRDefault="00000000">
            <w:pPr>
              <w:pStyle w:val="a6"/>
            </w:pPr>
          </w:p>
        </w:tc>
      </w:tr>
      <w:tr w:rsidR="00000000">
        <w:tblPrEx>
          <w:tblCellMar>
            <w:top w:w="0" w:type="dxa"/>
            <w:bottom w:w="0" w:type="dxa"/>
          </w:tblCellMar>
        </w:tblPrEx>
        <w:tc>
          <w:tcPr>
            <w:tcW w:w="1417" w:type="dxa"/>
            <w:tcBorders>
              <w:top w:val="single" w:sz="4" w:space="0" w:color="auto"/>
              <w:left w:val="nil"/>
              <w:bottom w:val="single" w:sz="4" w:space="0" w:color="auto"/>
              <w:right w:val="nil"/>
            </w:tcBorders>
          </w:tcPr>
          <w:p w:rsidR="00000000" w:rsidRDefault="00000000">
            <w:pPr>
              <w:pStyle w:val="a6"/>
              <w:rPr>
                <w:b/>
              </w:rPr>
            </w:pPr>
          </w:p>
        </w:tc>
        <w:tc>
          <w:tcPr>
            <w:tcW w:w="2410" w:type="dxa"/>
            <w:tcBorders>
              <w:top w:val="single" w:sz="4" w:space="0" w:color="auto"/>
              <w:left w:val="nil"/>
              <w:bottom w:val="single" w:sz="4" w:space="0" w:color="auto"/>
              <w:right w:val="nil"/>
            </w:tcBorders>
          </w:tcPr>
          <w:p w:rsidR="00000000" w:rsidRDefault="00000000">
            <w:pPr>
              <w:pStyle w:val="a6"/>
              <w:rPr>
                <w:b/>
              </w:rPr>
            </w:pPr>
            <w:r>
              <w:rPr>
                <w:b/>
              </w:rPr>
              <w:t>На постоянной работе</w:t>
            </w:r>
          </w:p>
        </w:tc>
        <w:tc>
          <w:tcPr>
            <w:tcW w:w="2268" w:type="dxa"/>
            <w:tcBorders>
              <w:top w:val="single" w:sz="4" w:space="0" w:color="auto"/>
              <w:left w:val="nil"/>
              <w:bottom w:val="single" w:sz="4" w:space="0" w:color="auto"/>
              <w:right w:val="nil"/>
            </w:tcBorders>
          </w:tcPr>
          <w:p w:rsidR="00000000" w:rsidRDefault="00000000">
            <w:pPr>
              <w:pStyle w:val="a6"/>
              <w:rPr>
                <w:b/>
              </w:rPr>
            </w:pPr>
            <w:r>
              <w:rPr>
                <w:b/>
              </w:rPr>
              <w:t>На сезонной работе</w:t>
            </w:r>
          </w:p>
        </w:tc>
        <w:tc>
          <w:tcPr>
            <w:tcW w:w="1559" w:type="dxa"/>
            <w:tcBorders>
              <w:top w:val="single" w:sz="4" w:space="0" w:color="auto"/>
              <w:left w:val="nil"/>
              <w:bottom w:val="single" w:sz="4" w:space="0" w:color="auto"/>
              <w:right w:val="nil"/>
            </w:tcBorders>
          </w:tcPr>
          <w:p w:rsidR="00000000" w:rsidRDefault="00000000">
            <w:pPr>
              <w:pStyle w:val="a6"/>
              <w:rPr>
                <w:b/>
              </w:rPr>
            </w:pPr>
            <w:r>
              <w:rPr>
                <w:b/>
              </w:rPr>
              <w:t>Всего</w:t>
            </w:r>
          </w:p>
        </w:tc>
        <w:tc>
          <w:tcPr>
            <w:tcW w:w="1758" w:type="dxa"/>
            <w:tcBorders>
              <w:top w:val="single" w:sz="4" w:space="0" w:color="auto"/>
              <w:left w:val="nil"/>
              <w:bottom w:val="single" w:sz="4" w:space="0" w:color="auto"/>
              <w:right w:val="nil"/>
            </w:tcBorders>
          </w:tcPr>
          <w:p w:rsidR="00000000" w:rsidRDefault="00000000">
            <w:pPr>
              <w:pStyle w:val="a6"/>
              <w:rPr>
                <w:b/>
              </w:rPr>
            </w:pPr>
            <w:r>
              <w:rPr>
                <w:b/>
              </w:rPr>
              <w:t>В процентах</w:t>
            </w:r>
          </w:p>
        </w:tc>
      </w:tr>
      <w:tr w:rsidR="00000000">
        <w:tblPrEx>
          <w:tblCellMar>
            <w:top w:w="0" w:type="dxa"/>
            <w:bottom w:w="0" w:type="dxa"/>
          </w:tblCellMar>
        </w:tblPrEx>
        <w:tc>
          <w:tcPr>
            <w:tcW w:w="1417" w:type="dxa"/>
            <w:tcBorders>
              <w:top w:val="single" w:sz="4" w:space="0" w:color="auto"/>
              <w:left w:val="nil"/>
              <w:bottom w:val="nil"/>
              <w:right w:val="nil"/>
            </w:tcBorders>
          </w:tcPr>
          <w:p w:rsidR="00000000" w:rsidRDefault="00000000">
            <w:pPr>
              <w:pStyle w:val="a7"/>
            </w:pPr>
            <w:r>
              <w:t>Мужчины</w:t>
            </w:r>
          </w:p>
        </w:tc>
        <w:tc>
          <w:tcPr>
            <w:tcW w:w="2410" w:type="dxa"/>
            <w:tcBorders>
              <w:top w:val="single" w:sz="4" w:space="0" w:color="auto"/>
              <w:left w:val="nil"/>
              <w:bottom w:val="nil"/>
              <w:right w:val="nil"/>
            </w:tcBorders>
          </w:tcPr>
          <w:p w:rsidR="00000000" w:rsidRDefault="00000000">
            <w:pPr>
              <w:pStyle w:val="a6"/>
            </w:pPr>
            <w:r>
              <w:t>521</w:t>
            </w:r>
          </w:p>
        </w:tc>
        <w:tc>
          <w:tcPr>
            <w:tcW w:w="2268" w:type="dxa"/>
            <w:tcBorders>
              <w:top w:val="single" w:sz="4" w:space="0" w:color="auto"/>
              <w:left w:val="nil"/>
              <w:bottom w:val="nil"/>
              <w:right w:val="nil"/>
            </w:tcBorders>
          </w:tcPr>
          <w:p w:rsidR="00000000" w:rsidRDefault="00000000">
            <w:pPr>
              <w:pStyle w:val="a6"/>
            </w:pPr>
            <w:r>
              <w:t>54</w:t>
            </w:r>
          </w:p>
        </w:tc>
        <w:tc>
          <w:tcPr>
            <w:tcW w:w="1559" w:type="dxa"/>
            <w:tcBorders>
              <w:top w:val="single" w:sz="4" w:space="0" w:color="auto"/>
              <w:left w:val="nil"/>
              <w:bottom w:val="nil"/>
              <w:right w:val="nil"/>
            </w:tcBorders>
          </w:tcPr>
          <w:p w:rsidR="00000000" w:rsidRDefault="00000000">
            <w:pPr>
              <w:pStyle w:val="a6"/>
            </w:pPr>
            <w:r>
              <w:t>575</w:t>
            </w:r>
          </w:p>
        </w:tc>
        <w:tc>
          <w:tcPr>
            <w:tcW w:w="1758" w:type="dxa"/>
            <w:tcBorders>
              <w:top w:val="single" w:sz="4" w:space="0" w:color="auto"/>
              <w:left w:val="nil"/>
              <w:bottom w:val="nil"/>
              <w:right w:val="nil"/>
            </w:tcBorders>
          </w:tcPr>
          <w:p w:rsidR="00000000" w:rsidRDefault="00000000">
            <w:pPr>
              <w:pStyle w:val="a6"/>
            </w:pPr>
            <w:r>
              <w:t>44,33</w:t>
            </w:r>
          </w:p>
        </w:tc>
      </w:tr>
      <w:tr w:rsidR="00000000">
        <w:tblPrEx>
          <w:tblCellMar>
            <w:top w:w="0" w:type="dxa"/>
            <w:bottom w:w="0" w:type="dxa"/>
          </w:tblCellMar>
        </w:tblPrEx>
        <w:tc>
          <w:tcPr>
            <w:tcW w:w="1417" w:type="dxa"/>
            <w:tcBorders>
              <w:top w:val="nil"/>
              <w:left w:val="nil"/>
              <w:bottom w:val="nil"/>
              <w:right w:val="nil"/>
            </w:tcBorders>
          </w:tcPr>
          <w:p w:rsidR="00000000" w:rsidRDefault="00000000">
            <w:pPr>
              <w:pStyle w:val="a7"/>
            </w:pPr>
            <w:r>
              <w:t>Женщины</w:t>
            </w:r>
          </w:p>
        </w:tc>
        <w:tc>
          <w:tcPr>
            <w:tcW w:w="2410" w:type="dxa"/>
            <w:tcBorders>
              <w:top w:val="nil"/>
              <w:left w:val="nil"/>
              <w:bottom w:val="nil"/>
              <w:right w:val="nil"/>
            </w:tcBorders>
          </w:tcPr>
          <w:p w:rsidR="00000000" w:rsidRDefault="00000000">
            <w:pPr>
              <w:pStyle w:val="a6"/>
            </w:pPr>
            <w:r>
              <w:t>537</w:t>
            </w:r>
          </w:p>
        </w:tc>
        <w:tc>
          <w:tcPr>
            <w:tcW w:w="2268" w:type="dxa"/>
            <w:tcBorders>
              <w:top w:val="nil"/>
              <w:left w:val="nil"/>
              <w:bottom w:val="nil"/>
              <w:right w:val="nil"/>
            </w:tcBorders>
          </w:tcPr>
          <w:p w:rsidR="00000000" w:rsidRDefault="00000000">
            <w:pPr>
              <w:pStyle w:val="a6"/>
            </w:pPr>
            <w:r>
              <w:t>185</w:t>
            </w:r>
          </w:p>
        </w:tc>
        <w:tc>
          <w:tcPr>
            <w:tcW w:w="1559" w:type="dxa"/>
            <w:tcBorders>
              <w:top w:val="nil"/>
              <w:left w:val="nil"/>
              <w:bottom w:val="nil"/>
              <w:right w:val="nil"/>
            </w:tcBorders>
          </w:tcPr>
          <w:p w:rsidR="00000000" w:rsidRDefault="00000000">
            <w:pPr>
              <w:pStyle w:val="a6"/>
            </w:pPr>
            <w:r>
              <w:t>722</w:t>
            </w:r>
          </w:p>
        </w:tc>
        <w:tc>
          <w:tcPr>
            <w:tcW w:w="1758" w:type="dxa"/>
            <w:tcBorders>
              <w:top w:val="nil"/>
              <w:left w:val="nil"/>
              <w:bottom w:val="nil"/>
              <w:right w:val="nil"/>
            </w:tcBorders>
          </w:tcPr>
          <w:p w:rsidR="00000000" w:rsidRDefault="00000000">
            <w:pPr>
              <w:pStyle w:val="a6"/>
            </w:pPr>
            <w:r>
              <w:t>55,67</w:t>
            </w:r>
          </w:p>
        </w:tc>
      </w:tr>
      <w:tr w:rsidR="00000000">
        <w:tblPrEx>
          <w:tblCellMar>
            <w:top w:w="0" w:type="dxa"/>
            <w:bottom w:w="0" w:type="dxa"/>
          </w:tblCellMar>
        </w:tblPrEx>
        <w:tc>
          <w:tcPr>
            <w:tcW w:w="1417" w:type="dxa"/>
            <w:tcBorders>
              <w:top w:val="nil"/>
              <w:left w:val="nil"/>
              <w:bottom w:val="single" w:sz="4" w:space="0" w:color="auto"/>
              <w:right w:val="nil"/>
            </w:tcBorders>
          </w:tcPr>
          <w:p w:rsidR="00000000" w:rsidRDefault="00000000">
            <w:pPr>
              <w:pStyle w:val="a7"/>
            </w:pPr>
            <w:r>
              <w:t>Итого</w:t>
            </w:r>
          </w:p>
        </w:tc>
        <w:tc>
          <w:tcPr>
            <w:tcW w:w="2410" w:type="dxa"/>
            <w:tcBorders>
              <w:top w:val="nil"/>
              <w:left w:val="nil"/>
              <w:bottom w:val="single" w:sz="4" w:space="0" w:color="auto"/>
              <w:right w:val="nil"/>
            </w:tcBorders>
          </w:tcPr>
          <w:p w:rsidR="00000000" w:rsidRDefault="00000000">
            <w:pPr>
              <w:pStyle w:val="a6"/>
            </w:pPr>
            <w:r>
              <w:t>1058</w:t>
            </w:r>
          </w:p>
        </w:tc>
        <w:tc>
          <w:tcPr>
            <w:tcW w:w="2268" w:type="dxa"/>
            <w:tcBorders>
              <w:top w:val="nil"/>
              <w:left w:val="nil"/>
              <w:bottom w:val="single" w:sz="4" w:space="0" w:color="auto"/>
              <w:right w:val="nil"/>
            </w:tcBorders>
          </w:tcPr>
          <w:p w:rsidR="00000000" w:rsidRDefault="00000000">
            <w:pPr>
              <w:pStyle w:val="a6"/>
            </w:pPr>
            <w:r>
              <w:t>239</w:t>
            </w:r>
          </w:p>
        </w:tc>
        <w:tc>
          <w:tcPr>
            <w:tcW w:w="1559" w:type="dxa"/>
            <w:tcBorders>
              <w:top w:val="nil"/>
              <w:left w:val="nil"/>
              <w:bottom w:val="single" w:sz="4" w:space="0" w:color="auto"/>
              <w:right w:val="nil"/>
            </w:tcBorders>
          </w:tcPr>
          <w:p w:rsidR="00000000" w:rsidRDefault="00000000">
            <w:pPr>
              <w:pStyle w:val="a6"/>
            </w:pPr>
            <w:r>
              <w:t>1297</w:t>
            </w:r>
          </w:p>
        </w:tc>
        <w:tc>
          <w:tcPr>
            <w:tcW w:w="1758" w:type="dxa"/>
            <w:tcBorders>
              <w:top w:val="nil"/>
              <w:left w:val="nil"/>
              <w:bottom w:val="single" w:sz="4" w:space="0" w:color="auto"/>
              <w:right w:val="nil"/>
            </w:tcBorders>
          </w:tcPr>
          <w:p w:rsidR="00000000" w:rsidRDefault="00000000">
            <w:pPr>
              <w:pStyle w:val="a6"/>
            </w:pPr>
          </w:p>
        </w:tc>
      </w:tr>
    </w:tbl>
    <w:p w:rsidR="00000000" w:rsidRDefault="00000000">
      <w:pPr>
        <w:jc w:val="left"/>
      </w:pPr>
    </w:p>
    <w:tbl>
      <w:tblPr>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417"/>
        <w:gridCol w:w="2410"/>
        <w:gridCol w:w="2268"/>
        <w:gridCol w:w="1559"/>
        <w:gridCol w:w="1758"/>
      </w:tblGrid>
      <w:tr w:rsidR="00000000">
        <w:tblPrEx>
          <w:tblCellMar>
            <w:top w:w="0" w:type="dxa"/>
            <w:bottom w:w="0" w:type="dxa"/>
          </w:tblCellMar>
        </w:tblPrEx>
        <w:trPr>
          <w:cantSplit/>
        </w:trPr>
        <w:tc>
          <w:tcPr>
            <w:tcW w:w="1417" w:type="dxa"/>
            <w:tcBorders>
              <w:top w:val="nil"/>
              <w:left w:val="nil"/>
              <w:bottom w:val="single" w:sz="4" w:space="0" w:color="auto"/>
              <w:right w:val="nil"/>
            </w:tcBorders>
          </w:tcPr>
          <w:p w:rsidR="00000000" w:rsidRDefault="00000000">
            <w:pPr>
              <w:pStyle w:val="a6"/>
              <w:jc w:val="left"/>
              <w:rPr>
                <w:b/>
                <w:i/>
              </w:rPr>
            </w:pPr>
            <w:r>
              <w:rPr>
                <w:b/>
                <w:i/>
              </w:rPr>
              <w:t xml:space="preserve">2003 год </w:t>
            </w:r>
          </w:p>
        </w:tc>
        <w:tc>
          <w:tcPr>
            <w:tcW w:w="2410" w:type="dxa"/>
            <w:tcBorders>
              <w:top w:val="nil"/>
              <w:left w:val="nil"/>
              <w:bottom w:val="single" w:sz="4" w:space="0" w:color="auto"/>
              <w:right w:val="nil"/>
            </w:tcBorders>
          </w:tcPr>
          <w:p w:rsidR="00000000" w:rsidRDefault="00000000">
            <w:pPr>
              <w:pStyle w:val="a6"/>
            </w:pPr>
          </w:p>
        </w:tc>
        <w:tc>
          <w:tcPr>
            <w:tcW w:w="2268" w:type="dxa"/>
            <w:tcBorders>
              <w:top w:val="nil"/>
              <w:left w:val="nil"/>
              <w:bottom w:val="single" w:sz="4" w:space="0" w:color="auto"/>
              <w:right w:val="nil"/>
            </w:tcBorders>
          </w:tcPr>
          <w:p w:rsidR="00000000" w:rsidRDefault="00000000">
            <w:pPr>
              <w:pStyle w:val="a6"/>
            </w:pPr>
          </w:p>
        </w:tc>
        <w:tc>
          <w:tcPr>
            <w:tcW w:w="1559" w:type="dxa"/>
            <w:tcBorders>
              <w:top w:val="nil"/>
              <w:left w:val="nil"/>
              <w:bottom w:val="single" w:sz="4" w:space="0" w:color="auto"/>
              <w:right w:val="nil"/>
            </w:tcBorders>
          </w:tcPr>
          <w:p w:rsidR="00000000" w:rsidRDefault="00000000">
            <w:pPr>
              <w:pStyle w:val="a6"/>
            </w:pPr>
          </w:p>
        </w:tc>
        <w:tc>
          <w:tcPr>
            <w:tcW w:w="1758" w:type="dxa"/>
            <w:tcBorders>
              <w:top w:val="nil"/>
              <w:left w:val="nil"/>
              <w:bottom w:val="single" w:sz="4" w:space="0" w:color="auto"/>
              <w:right w:val="nil"/>
            </w:tcBorders>
          </w:tcPr>
          <w:p w:rsidR="00000000" w:rsidRDefault="00000000">
            <w:pPr>
              <w:pStyle w:val="a6"/>
            </w:pPr>
          </w:p>
        </w:tc>
      </w:tr>
      <w:tr w:rsidR="00000000">
        <w:tblPrEx>
          <w:tblCellMar>
            <w:top w:w="0" w:type="dxa"/>
            <w:bottom w:w="0" w:type="dxa"/>
          </w:tblCellMar>
        </w:tblPrEx>
        <w:tc>
          <w:tcPr>
            <w:tcW w:w="1417" w:type="dxa"/>
            <w:tcBorders>
              <w:top w:val="single" w:sz="4" w:space="0" w:color="auto"/>
              <w:left w:val="nil"/>
              <w:bottom w:val="single" w:sz="4" w:space="0" w:color="auto"/>
              <w:right w:val="nil"/>
            </w:tcBorders>
          </w:tcPr>
          <w:p w:rsidR="00000000" w:rsidRDefault="00000000">
            <w:pPr>
              <w:pStyle w:val="a6"/>
              <w:rPr>
                <w:b/>
              </w:rPr>
            </w:pPr>
          </w:p>
        </w:tc>
        <w:tc>
          <w:tcPr>
            <w:tcW w:w="2410" w:type="dxa"/>
            <w:tcBorders>
              <w:top w:val="single" w:sz="4" w:space="0" w:color="auto"/>
              <w:left w:val="nil"/>
              <w:bottom w:val="single" w:sz="4" w:space="0" w:color="auto"/>
              <w:right w:val="nil"/>
            </w:tcBorders>
          </w:tcPr>
          <w:p w:rsidR="00000000" w:rsidRDefault="00000000">
            <w:pPr>
              <w:pStyle w:val="a6"/>
              <w:rPr>
                <w:b/>
              </w:rPr>
            </w:pPr>
            <w:r>
              <w:rPr>
                <w:b/>
              </w:rPr>
              <w:t>На постоянной работе</w:t>
            </w:r>
          </w:p>
        </w:tc>
        <w:tc>
          <w:tcPr>
            <w:tcW w:w="2268" w:type="dxa"/>
            <w:tcBorders>
              <w:top w:val="single" w:sz="4" w:space="0" w:color="auto"/>
              <w:left w:val="nil"/>
              <w:bottom w:val="single" w:sz="4" w:space="0" w:color="auto"/>
              <w:right w:val="nil"/>
            </w:tcBorders>
          </w:tcPr>
          <w:p w:rsidR="00000000" w:rsidRDefault="00000000">
            <w:pPr>
              <w:pStyle w:val="a6"/>
              <w:rPr>
                <w:b/>
              </w:rPr>
            </w:pPr>
            <w:r>
              <w:rPr>
                <w:b/>
              </w:rPr>
              <w:t>На сезонной работе</w:t>
            </w:r>
          </w:p>
        </w:tc>
        <w:tc>
          <w:tcPr>
            <w:tcW w:w="1559" w:type="dxa"/>
            <w:tcBorders>
              <w:top w:val="single" w:sz="4" w:space="0" w:color="auto"/>
              <w:left w:val="nil"/>
              <w:bottom w:val="single" w:sz="4" w:space="0" w:color="auto"/>
              <w:right w:val="nil"/>
            </w:tcBorders>
          </w:tcPr>
          <w:p w:rsidR="00000000" w:rsidRDefault="00000000">
            <w:pPr>
              <w:pStyle w:val="a6"/>
              <w:rPr>
                <w:b/>
              </w:rPr>
            </w:pPr>
            <w:r>
              <w:rPr>
                <w:b/>
              </w:rPr>
              <w:t>Всего</w:t>
            </w:r>
          </w:p>
        </w:tc>
        <w:tc>
          <w:tcPr>
            <w:tcW w:w="1758" w:type="dxa"/>
            <w:tcBorders>
              <w:top w:val="single" w:sz="4" w:space="0" w:color="auto"/>
              <w:left w:val="nil"/>
              <w:bottom w:val="single" w:sz="4" w:space="0" w:color="auto"/>
              <w:right w:val="nil"/>
            </w:tcBorders>
          </w:tcPr>
          <w:p w:rsidR="00000000" w:rsidRDefault="00000000">
            <w:pPr>
              <w:pStyle w:val="a6"/>
              <w:rPr>
                <w:b/>
              </w:rPr>
            </w:pPr>
            <w:r>
              <w:rPr>
                <w:b/>
              </w:rPr>
              <w:t>В процентах</w:t>
            </w:r>
          </w:p>
        </w:tc>
      </w:tr>
      <w:tr w:rsidR="00000000">
        <w:tblPrEx>
          <w:tblCellMar>
            <w:top w:w="0" w:type="dxa"/>
            <w:bottom w:w="0" w:type="dxa"/>
          </w:tblCellMar>
        </w:tblPrEx>
        <w:tc>
          <w:tcPr>
            <w:tcW w:w="1417" w:type="dxa"/>
            <w:tcBorders>
              <w:top w:val="single" w:sz="4" w:space="0" w:color="auto"/>
              <w:left w:val="nil"/>
              <w:bottom w:val="nil"/>
              <w:right w:val="nil"/>
            </w:tcBorders>
          </w:tcPr>
          <w:p w:rsidR="00000000" w:rsidRDefault="00000000">
            <w:pPr>
              <w:pStyle w:val="a7"/>
            </w:pPr>
            <w:r>
              <w:t>Мужчины</w:t>
            </w:r>
          </w:p>
        </w:tc>
        <w:tc>
          <w:tcPr>
            <w:tcW w:w="2410" w:type="dxa"/>
            <w:tcBorders>
              <w:top w:val="single" w:sz="4" w:space="0" w:color="auto"/>
              <w:left w:val="nil"/>
              <w:bottom w:val="nil"/>
              <w:right w:val="nil"/>
            </w:tcBorders>
          </w:tcPr>
          <w:p w:rsidR="00000000" w:rsidRDefault="00000000">
            <w:pPr>
              <w:pStyle w:val="a6"/>
            </w:pPr>
            <w:r>
              <w:t>1171</w:t>
            </w:r>
          </w:p>
        </w:tc>
        <w:tc>
          <w:tcPr>
            <w:tcW w:w="2268" w:type="dxa"/>
            <w:tcBorders>
              <w:top w:val="single" w:sz="4" w:space="0" w:color="auto"/>
              <w:left w:val="nil"/>
              <w:bottom w:val="nil"/>
              <w:right w:val="nil"/>
            </w:tcBorders>
          </w:tcPr>
          <w:p w:rsidR="00000000" w:rsidRDefault="00000000">
            <w:pPr>
              <w:pStyle w:val="a6"/>
            </w:pPr>
            <w:r>
              <w:t>238</w:t>
            </w:r>
          </w:p>
        </w:tc>
        <w:tc>
          <w:tcPr>
            <w:tcW w:w="1559" w:type="dxa"/>
            <w:tcBorders>
              <w:top w:val="single" w:sz="4" w:space="0" w:color="auto"/>
              <w:left w:val="nil"/>
              <w:bottom w:val="nil"/>
              <w:right w:val="nil"/>
            </w:tcBorders>
          </w:tcPr>
          <w:p w:rsidR="00000000" w:rsidRDefault="00000000">
            <w:pPr>
              <w:pStyle w:val="a6"/>
            </w:pPr>
            <w:r>
              <w:t>1409</w:t>
            </w:r>
          </w:p>
        </w:tc>
        <w:tc>
          <w:tcPr>
            <w:tcW w:w="1758" w:type="dxa"/>
            <w:tcBorders>
              <w:top w:val="single" w:sz="4" w:space="0" w:color="auto"/>
              <w:left w:val="nil"/>
              <w:bottom w:val="nil"/>
              <w:right w:val="nil"/>
            </w:tcBorders>
          </w:tcPr>
          <w:p w:rsidR="00000000" w:rsidRDefault="00000000">
            <w:pPr>
              <w:pStyle w:val="a6"/>
            </w:pPr>
            <w:r>
              <w:t>50,43</w:t>
            </w:r>
          </w:p>
        </w:tc>
      </w:tr>
      <w:tr w:rsidR="00000000">
        <w:tblPrEx>
          <w:tblCellMar>
            <w:top w:w="0" w:type="dxa"/>
            <w:bottom w:w="0" w:type="dxa"/>
          </w:tblCellMar>
        </w:tblPrEx>
        <w:tc>
          <w:tcPr>
            <w:tcW w:w="1417" w:type="dxa"/>
            <w:tcBorders>
              <w:top w:val="nil"/>
              <w:left w:val="nil"/>
              <w:bottom w:val="nil"/>
              <w:right w:val="nil"/>
            </w:tcBorders>
          </w:tcPr>
          <w:p w:rsidR="00000000" w:rsidRDefault="00000000">
            <w:pPr>
              <w:pStyle w:val="a7"/>
            </w:pPr>
            <w:r>
              <w:t>Женщины</w:t>
            </w:r>
          </w:p>
        </w:tc>
        <w:tc>
          <w:tcPr>
            <w:tcW w:w="2410" w:type="dxa"/>
            <w:tcBorders>
              <w:top w:val="nil"/>
              <w:left w:val="nil"/>
              <w:bottom w:val="nil"/>
              <w:right w:val="nil"/>
            </w:tcBorders>
          </w:tcPr>
          <w:p w:rsidR="00000000" w:rsidRDefault="00000000">
            <w:pPr>
              <w:pStyle w:val="a6"/>
            </w:pPr>
            <w:r>
              <w:t>834</w:t>
            </w:r>
          </w:p>
        </w:tc>
        <w:tc>
          <w:tcPr>
            <w:tcW w:w="2268" w:type="dxa"/>
            <w:tcBorders>
              <w:top w:val="nil"/>
              <w:left w:val="nil"/>
              <w:bottom w:val="nil"/>
              <w:right w:val="nil"/>
            </w:tcBorders>
          </w:tcPr>
          <w:p w:rsidR="00000000" w:rsidRDefault="00000000">
            <w:pPr>
              <w:pStyle w:val="a6"/>
            </w:pPr>
            <w:r>
              <w:t>551</w:t>
            </w:r>
          </w:p>
        </w:tc>
        <w:tc>
          <w:tcPr>
            <w:tcW w:w="1559" w:type="dxa"/>
            <w:tcBorders>
              <w:top w:val="nil"/>
              <w:left w:val="nil"/>
              <w:bottom w:val="nil"/>
              <w:right w:val="nil"/>
            </w:tcBorders>
          </w:tcPr>
          <w:p w:rsidR="00000000" w:rsidRDefault="00000000">
            <w:pPr>
              <w:pStyle w:val="a6"/>
            </w:pPr>
            <w:r>
              <w:t>1385</w:t>
            </w:r>
          </w:p>
        </w:tc>
        <w:tc>
          <w:tcPr>
            <w:tcW w:w="1758" w:type="dxa"/>
            <w:tcBorders>
              <w:top w:val="nil"/>
              <w:left w:val="nil"/>
              <w:bottom w:val="nil"/>
              <w:right w:val="nil"/>
            </w:tcBorders>
          </w:tcPr>
          <w:p w:rsidR="00000000" w:rsidRDefault="00000000">
            <w:pPr>
              <w:pStyle w:val="a6"/>
            </w:pPr>
            <w:r>
              <w:t>49,57</w:t>
            </w:r>
          </w:p>
        </w:tc>
      </w:tr>
      <w:tr w:rsidR="00000000">
        <w:tblPrEx>
          <w:tblCellMar>
            <w:top w:w="0" w:type="dxa"/>
            <w:bottom w:w="0" w:type="dxa"/>
          </w:tblCellMar>
        </w:tblPrEx>
        <w:tc>
          <w:tcPr>
            <w:tcW w:w="1417" w:type="dxa"/>
            <w:tcBorders>
              <w:top w:val="nil"/>
              <w:left w:val="nil"/>
              <w:bottom w:val="single" w:sz="4" w:space="0" w:color="auto"/>
              <w:right w:val="nil"/>
            </w:tcBorders>
          </w:tcPr>
          <w:p w:rsidR="00000000" w:rsidRDefault="00000000">
            <w:pPr>
              <w:pStyle w:val="a7"/>
            </w:pPr>
            <w:r>
              <w:t>Итого</w:t>
            </w:r>
          </w:p>
        </w:tc>
        <w:tc>
          <w:tcPr>
            <w:tcW w:w="2410" w:type="dxa"/>
            <w:tcBorders>
              <w:top w:val="nil"/>
              <w:left w:val="nil"/>
              <w:bottom w:val="single" w:sz="4" w:space="0" w:color="auto"/>
              <w:right w:val="nil"/>
            </w:tcBorders>
          </w:tcPr>
          <w:p w:rsidR="00000000" w:rsidRDefault="00000000">
            <w:pPr>
              <w:pStyle w:val="a6"/>
            </w:pPr>
            <w:r>
              <w:t>2005</w:t>
            </w:r>
          </w:p>
        </w:tc>
        <w:tc>
          <w:tcPr>
            <w:tcW w:w="2268" w:type="dxa"/>
            <w:tcBorders>
              <w:top w:val="nil"/>
              <w:left w:val="nil"/>
              <w:bottom w:val="single" w:sz="4" w:space="0" w:color="auto"/>
              <w:right w:val="nil"/>
            </w:tcBorders>
          </w:tcPr>
          <w:p w:rsidR="00000000" w:rsidRDefault="00000000">
            <w:pPr>
              <w:pStyle w:val="a6"/>
            </w:pPr>
            <w:r>
              <w:t>789</w:t>
            </w:r>
          </w:p>
        </w:tc>
        <w:tc>
          <w:tcPr>
            <w:tcW w:w="1559" w:type="dxa"/>
            <w:tcBorders>
              <w:top w:val="nil"/>
              <w:left w:val="nil"/>
              <w:bottom w:val="single" w:sz="4" w:space="0" w:color="auto"/>
              <w:right w:val="nil"/>
            </w:tcBorders>
          </w:tcPr>
          <w:p w:rsidR="00000000" w:rsidRDefault="00000000">
            <w:pPr>
              <w:pStyle w:val="a6"/>
            </w:pPr>
            <w:r>
              <w:t>2794</w:t>
            </w:r>
          </w:p>
        </w:tc>
        <w:tc>
          <w:tcPr>
            <w:tcW w:w="1758" w:type="dxa"/>
            <w:tcBorders>
              <w:top w:val="nil"/>
              <w:left w:val="nil"/>
              <w:bottom w:val="single" w:sz="4" w:space="0" w:color="auto"/>
              <w:right w:val="nil"/>
            </w:tcBorders>
          </w:tcPr>
          <w:p w:rsidR="00000000" w:rsidRDefault="00000000">
            <w:pPr>
              <w:pStyle w:val="a6"/>
            </w:pPr>
          </w:p>
        </w:tc>
      </w:tr>
    </w:tbl>
    <w:p w:rsidR="00000000" w:rsidRDefault="00000000">
      <w:pPr>
        <w:jc w:val="left"/>
      </w:pPr>
    </w:p>
    <w:p w:rsidR="00000000" w:rsidRDefault="00000000">
      <w:pPr>
        <w:pStyle w:val="BodyText"/>
        <w:rPr>
          <w:b/>
        </w:rPr>
      </w:pPr>
      <w:r>
        <w:rPr>
          <w:b/>
        </w:rPr>
        <w:br w:type="page"/>
        <w:t>Диаграмма 2</w:t>
      </w:r>
    </w:p>
    <w:p w:rsidR="00000000" w:rsidRDefault="00000000">
      <w:pPr>
        <w:pStyle w:val="BodyText"/>
        <w:rPr>
          <w:b/>
        </w:rPr>
      </w:pPr>
      <w:r>
        <w:rPr>
          <w:b/>
        </w:rPr>
        <w:t>Процентная доля занятых в рыбной промышленности с разбивкой по полу, 2001 год</w:t>
      </w:r>
    </w:p>
    <w:bookmarkStart w:id="35" w:name="_MON_1190189663"/>
    <w:bookmarkStart w:id="36" w:name="_MON_1190191946"/>
    <w:bookmarkStart w:id="37" w:name="_MON_1194073715"/>
    <w:bookmarkEnd w:id="35"/>
    <w:bookmarkEnd w:id="36"/>
    <w:bookmarkEnd w:id="37"/>
    <w:p w:rsidR="00000000" w:rsidRDefault="00000000">
      <w:pPr>
        <w:pStyle w:val="BodyText"/>
        <w:rPr>
          <w:b/>
        </w:rPr>
      </w:pPr>
      <w:r>
        <w:object w:dxaOrig="8670" w:dyaOrig="2985">
          <v:shape id="_x0000_i1030" type="#_x0000_t75" style="width:433.5pt;height:149.25pt" o:ole="">
            <v:imagedata r:id="rId24" o:title=""/>
          </v:shape>
          <o:OLEObject Type="Embed" ProgID="Word.Picture.8" ShapeID="_x0000_i1030" DrawAspect="Content" ObjectID="_1395239576" r:id="rId25"/>
        </w:object>
      </w:r>
    </w:p>
    <w:p w:rsidR="00000000" w:rsidRDefault="00000000">
      <w:pPr>
        <w:pStyle w:val="BodyText"/>
        <w:spacing w:before="240"/>
        <w:rPr>
          <w:b/>
        </w:rPr>
      </w:pPr>
      <w:r>
        <w:rPr>
          <w:b/>
        </w:rPr>
        <w:t>Диаграмма 2.1</w:t>
      </w:r>
    </w:p>
    <w:p w:rsidR="00000000" w:rsidRDefault="00000000">
      <w:pPr>
        <w:pStyle w:val="BodyText"/>
        <w:rPr>
          <w:b/>
        </w:rPr>
      </w:pPr>
      <w:r>
        <w:rPr>
          <w:b/>
        </w:rPr>
        <w:t>Занятые в рыбной промышленности с разбивкой по полу и условиям занятости, 2001 год</w:t>
      </w:r>
    </w:p>
    <w:bookmarkStart w:id="38" w:name="_MON_1190190987"/>
    <w:bookmarkStart w:id="39" w:name="_MON_1190191254"/>
    <w:bookmarkStart w:id="40" w:name="_MON_1190194309"/>
    <w:bookmarkEnd w:id="38"/>
    <w:bookmarkEnd w:id="39"/>
    <w:bookmarkEnd w:id="40"/>
    <w:p w:rsidR="00000000" w:rsidRDefault="00000000">
      <w:pPr>
        <w:pStyle w:val="BodyText"/>
        <w:rPr>
          <w:b/>
        </w:rPr>
      </w:pPr>
      <w:r>
        <w:object w:dxaOrig="9394" w:dyaOrig="2628">
          <v:shape id="_x0000_i1031" type="#_x0000_t75" style="width:469.5pt;height:131.25pt" o:ole="">
            <v:imagedata r:id="rId26" o:title=""/>
          </v:shape>
          <o:OLEObject Type="Embed" ProgID="Word.Picture.8" ShapeID="_x0000_i1031" DrawAspect="Content" ObjectID="_1395239577" r:id="rId27"/>
        </w:object>
      </w:r>
    </w:p>
    <w:p w:rsidR="00000000" w:rsidRDefault="00000000">
      <w:pPr>
        <w:pStyle w:val="BodyText"/>
        <w:spacing w:before="240"/>
        <w:rPr>
          <w:b/>
        </w:rPr>
      </w:pPr>
      <w:r>
        <w:rPr>
          <w:b/>
        </w:rPr>
        <w:t>Диаграмма 2.2</w:t>
      </w:r>
    </w:p>
    <w:p w:rsidR="00000000" w:rsidRDefault="00000000">
      <w:pPr>
        <w:pStyle w:val="BodyText"/>
        <w:rPr>
          <w:b/>
        </w:rPr>
      </w:pPr>
      <w:r>
        <w:rPr>
          <w:b/>
        </w:rPr>
        <w:t>Процентная доля занятых в рыбной промышленности с разбивкой по полу, 2002 год</w:t>
      </w:r>
    </w:p>
    <w:bookmarkStart w:id="41" w:name="_MON_1190191975"/>
    <w:bookmarkStart w:id="42" w:name="_MON_1190192198"/>
    <w:bookmarkStart w:id="43" w:name="_MON_1190192247"/>
    <w:bookmarkStart w:id="44" w:name="_MON_1190192291"/>
    <w:bookmarkStart w:id="45" w:name="_MON_1190192535"/>
    <w:bookmarkStart w:id="46" w:name="_MON_1190192573"/>
    <w:bookmarkStart w:id="47" w:name="_MON_1194073876"/>
    <w:bookmarkEnd w:id="41"/>
    <w:bookmarkEnd w:id="42"/>
    <w:bookmarkEnd w:id="43"/>
    <w:bookmarkEnd w:id="44"/>
    <w:bookmarkEnd w:id="45"/>
    <w:bookmarkEnd w:id="46"/>
    <w:bookmarkEnd w:id="47"/>
    <w:p w:rsidR="00000000" w:rsidRDefault="00000000">
      <w:pPr>
        <w:pStyle w:val="BodyText"/>
        <w:rPr>
          <w:b/>
        </w:rPr>
      </w:pPr>
      <w:r>
        <w:object w:dxaOrig="8601" w:dyaOrig="2866">
          <v:shape id="_x0000_i1032" type="#_x0000_t75" style="width:429.75pt;height:143.25pt" o:ole="">
            <v:imagedata r:id="rId28" o:title=""/>
          </v:shape>
          <o:OLEObject Type="Embed" ProgID="Word.Picture.8" ShapeID="_x0000_i1032" DrawAspect="Content" ObjectID="_1395239578" r:id="rId29"/>
        </w:object>
      </w:r>
    </w:p>
    <w:p w:rsidR="00000000" w:rsidRDefault="00000000">
      <w:pPr>
        <w:pStyle w:val="BodyText"/>
        <w:rPr>
          <w:b/>
        </w:rPr>
      </w:pPr>
      <w:r>
        <w:rPr>
          <w:b/>
        </w:rPr>
        <w:t>Диаграмма 2.3</w:t>
      </w:r>
    </w:p>
    <w:p w:rsidR="00000000" w:rsidRDefault="00000000">
      <w:pPr>
        <w:pStyle w:val="BodyText"/>
        <w:rPr>
          <w:b/>
        </w:rPr>
      </w:pPr>
      <w:r>
        <w:rPr>
          <w:b/>
        </w:rPr>
        <w:t>Процентная доля занятых в рыбной промышленности с разбивкой по полу, 2003 год</w:t>
      </w:r>
    </w:p>
    <w:bookmarkStart w:id="48" w:name="_MON_1190192589"/>
    <w:bookmarkStart w:id="49" w:name="_MON_1194073907"/>
    <w:bookmarkEnd w:id="48"/>
    <w:bookmarkEnd w:id="49"/>
    <w:p w:rsidR="00000000" w:rsidRDefault="00000000">
      <w:pPr>
        <w:pStyle w:val="BodyText"/>
        <w:rPr>
          <w:b/>
        </w:rPr>
      </w:pPr>
      <w:r>
        <w:object w:dxaOrig="9015" w:dyaOrig="2520">
          <v:shape id="_x0000_i1033" type="#_x0000_t75" style="width:438pt;height:126pt" o:ole="">
            <v:imagedata r:id="rId30" o:title=""/>
          </v:shape>
          <o:OLEObject Type="Embed" ProgID="Word.Picture.8" ShapeID="_x0000_i1033" DrawAspect="Content" ObjectID="_1395239579" r:id="rId31"/>
        </w:object>
      </w:r>
    </w:p>
    <w:p w:rsidR="00000000" w:rsidRDefault="00000000">
      <w:pPr>
        <w:pStyle w:val="BodyText"/>
        <w:rPr>
          <w:b/>
          <w:lang w:val="en-US"/>
        </w:rPr>
      </w:pPr>
    </w:p>
    <w:p w:rsidR="00000000" w:rsidRDefault="00000000">
      <w:pPr>
        <w:pStyle w:val="BodyText"/>
        <w:rPr>
          <w:b/>
        </w:rPr>
      </w:pPr>
      <w:r>
        <w:rPr>
          <w:b/>
        </w:rPr>
        <w:t>Диаграмма 2.4</w:t>
      </w:r>
    </w:p>
    <w:p w:rsidR="00000000" w:rsidRDefault="00000000">
      <w:pPr>
        <w:pStyle w:val="BodyText"/>
        <w:rPr>
          <w:b/>
        </w:rPr>
      </w:pPr>
      <w:r>
        <w:rPr>
          <w:b/>
        </w:rPr>
        <w:t>Занятые в рыбной промышленности с разбивкой по полу и условиям занятости, 2003 год</w:t>
      </w:r>
    </w:p>
    <w:bookmarkStart w:id="50" w:name="_MON_1190193746"/>
    <w:bookmarkStart w:id="51" w:name="_MON_1190194063"/>
    <w:bookmarkStart w:id="52" w:name="_MON_1190194403"/>
    <w:bookmarkEnd w:id="50"/>
    <w:bookmarkEnd w:id="51"/>
    <w:bookmarkEnd w:id="52"/>
    <w:p w:rsidR="00000000" w:rsidRDefault="00000000">
      <w:pPr>
        <w:pStyle w:val="BodyText"/>
        <w:rPr>
          <w:b/>
          <w:lang w:val="en-US"/>
        </w:rPr>
      </w:pPr>
      <w:r>
        <w:object w:dxaOrig="9394" w:dyaOrig="2628">
          <v:shape id="_x0000_i1034" type="#_x0000_t75" style="width:469.5pt;height:131.25pt" o:ole="">
            <v:imagedata r:id="rId32" o:title=""/>
          </v:shape>
          <o:OLEObject Type="Embed" ProgID="Word.Picture.8" ShapeID="_x0000_i1034" DrawAspect="Content" ObjectID="_1395239580" r:id="rId33"/>
        </w:object>
      </w:r>
    </w:p>
    <w:p w:rsidR="00000000" w:rsidRDefault="00000000">
      <w:pPr>
        <w:pStyle w:val="BodyText"/>
        <w:rPr>
          <w:sz w:val="20"/>
        </w:rPr>
      </w:pPr>
      <w:r>
        <w:rPr>
          <w:i/>
          <w:sz w:val="20"/>
        </w:rPr>
        <w:t>Источник:</w:t>
      </w:r>
      <w:r>
        <w:rPr>
          <w:sz w:val="20"/>
        </w:rPr>
        <w:t xml:space="preserve"> Управление рыбного хозяйства и рыбной продукции, Министерство сельского хозяйства.</w:t>
      </w:r>
    </w:p>
    <w:p w:rsidR="00000000" w:rsidRDefault="00000000">
      <w:pPr>
        <w:pStyle w:val="BodyText"/>
        <w:rPr>
          <w:sz w:val="20"/>
        </w:rPr>
      </w:pPr>
      <w:r>
        <w:rPr>
          <w:i/>
          <w:sz w:val="20"/>
        </w:rPr>
        <w:t>Обработка данных</w:t>
      </w:r>
      <w:r>
        <w:rPr>
          <w:sz w:val="20"/>
        </w:rPr>
        <w:t>: KETHI, отдел документации.</w:t>
      </w:r>
    </w:p>
    <w:p w:rsidR="00000000" w:rsidRDefault="00000000">
      <w:pPr>
        <w:pStyle w:val="BodyText"/>
        <w:rPr>
          <w:b/>
        </w:rPr>
      </w:pPr>
    </w:p>
    <w:p w:rsidR="00000000" w:rsidRDefault="00000000">
      <w:pPr>
        <w:pStyle w:val="BodyText"/>
        <w:keepNext/>
        <w:ind w:left="0" w:firstLine="0"/>
        <w:jc w:val="center"/>
        <w:rPr>
          <w:b/>
        </w:rPr>
      </w:pPr>
      <w:r>
        <w:rPr>
          <w:b/>
          <w:lang w:val="en-GB"/>
        </w:rPr>
        <w:t>VI</w:t>
      </w:r>
      <w:r>
        <w:rPr>
          <w:b/>
        </w:rPr>
        <w:t>.  Женские кооперативы</w:t>
      </w:r>
    </w:p>
    <w:p w:rsidR="00000000" w:rsidRDefault="00000000">
      <w:pPr>
        <w:pStyle w:val="BodyText"/>
      </w:pPr>
      <w:r>
        <w:t>11.</w:t>
      </w:r>
      <w:r>
        <w:tab/>
        <w:t>Начатое в 1983 году при поддержке Генерального секретариата по вопросам гендерного равенства учреждение женских кооперативов – это краеугольный камень нового динамичного поля деятельности для развития потенциала женщин, проживающих в сельских районах.</w:t>
      </w:r>
    </w:p>
    <w:p w:rsidR="00000000" w:rsidRDefault="00000000">
      <w:pPr>
        <w:pStyle w:val="BodyText"/>
      </w:pPr>
      <w:r>
        <w:t>12.</w:t>
      </w:r>
      <w:r>
        <w:tab/>
        <w:t>В настоящее время существует 111 женских кооперативов, занимающихся агротуризмом и агропромышленностью. В последние десятилетия кооперативы демонстрируют бурный подъем. Следует заметить, однако, что основные проблемы, с которыми они сталкиваются, это распространение и продажа производимых ими товаров и услуг.</w:t>
      </w:r>
    </w:p>
    <w:p w:rsidR="00000000" w:rsidRDefault="00000000">
      <w:pPr>
        <w:pStyle w:val="BodyText"/>
      </w:pPr>
      <w:r>
        <w:t>13.</w:t>
      </w:r>
      <w:r>
        <w:tab/>
        <w:t>Статьей 3 закона 2810/2000 о "Сельскохозяйственных кооперативах" были изменены предварительные требования для учреждения сельскохозяйственного кооператива. Теперь для составления устава кооператива необходимы подписи по крайней мере семерых участников, что отменяет прежнее требование иметь 20 или даже 50 членов. Такое изменение упрощает учреждение сельскохозяйственных кооперативов в небольших сельскохозяйственных общинах, и, следовательно, способствует созданию благоприятных предпосылок для занятости женщин в сельских общинах.</w:t>
      </w:r>
    </w:p>
    <w:p w:rsidR="00000000" w:rsidRDefault="00000000">
      <w:pPr>
        <w:pStyle w:val="BodyText"/>
      </w:pPr>
      <w:r>
        <w:t>14.</w:t>
      </w:r>
      <w:r>
        <w:tab/>
        <w:t>Генеральный секретариат по вопросам гендерного равенства, стремясь поддержать женщин – членов кооперативов, включил их в качестве бенефициариев во Всегреческую программу "Комплексные меры в поддержку женщин", которая осуществляется в сотрудничестве с региональными партнерами в рамках планов действий. Большинство женских кооперативов участвуют в этих планах действий в качестве партнеров.</w:t>
      </w:r>
    </w:p>
    <w:p w:rsidR="00000000" w:rsidRDefault="00000000">
      <w:pPr>
        <w:pStyle w:val="BodyText"/>
        <w:keepNext/>
        <w:ind w:left="0" w:firstLine="0"/>
        <w:jc w:val="center"/>
        <w:rPr>
          <w:b/>
        </w:rPr>
      </w:pPr>
      <w:r>
        <w:rPr>
          <w:b/>
          <w:lang w:val="en-GB"/>
        </w:rPr>
        <w:t>VII</w:t>
      </w:r>
      <w:r>
        <w:rPr>
          <w:b/>
        </w:rPr>
        <w:t>.  Программы обучения и профессиональной подготовки для фермеров-женщин</w:t>
      </w:r>
    </w:p>
    <w:p w:rsidR="00000000" w:rsidRDefault="00000000">
      <w:pPr>
        <w:pStyle w:val="BodyText"/>
      </w:pPr>
      <w:r>
        <w:t>15.</w:t>
      </w:r>
      <w:r>
        <w:tab/>
        <w:t>Организация сельскохозяйственного профессионального образования, подготовки и занятости (O.</w:t>
      </w:r>
      <w:r>
        <w:rPr>
          <w:lang w:val="en-GB"/>
        </w:rPr>
        <w:t>G</w:t>
      </w:r>
      <w:r>
        <w:t>.</w:t>
      </w:r>
      <w:r>
        <w:rPr>
          <w:lang w:val="en-GB"/>
        </w:rPr>
        <w:t>E</w:t>
      </w:r>
      <w:r>
        <w:t>.</w:t>
      </w:r>
      <w:r>
        <w:rPr>
          <w:lang w:val="en-GB"/>
        </w:rPr>
        <w:t>E</w:t>
      </w:r>
      <w:r>
        <w:t>.</w:t>
      </w:r>
      <w:r>
        <w:rPr>
          <w:lang w:val="en-GB"/>
        </w:rPr>
        <w:t>K</w:t>
      </w:r>
      <w:r>
        <w:t>.</w:t>
      </w:r>
      <w:r>
        <w:rPr>
          <w:lang w:val="en-GB"/>
        </w:rPr>
        <w:t>A</w:t>
      </w:r>
      <w:r>
        <w:t>.) "ДИМИТРА" в течение 2001–2003 годов провела (см. диаграммы, ниже):</w:t>
      </w:r>
    </w:p>
    <w:p w:rsidR="00000000" w:rsidRDefault="00000000">
      <w:pPr>
        <w:pStyle w:val="18-8"/>
      </w:pPr>
      <w:r>
        <w:sym w:font="Symbol" w:char="F0B7"/>
      </w:r>
      <w:r>
        <w:tab/>
        <w:t>Тренинг для молодых фермеров, мужчин и женщин. Основной целью тренинга было вооружить знаниями молодых фермеров и проинформировать их о том, как можно улучшить свои предпринимательские возможности и упрочить положение сельскохозяйственного предприятия. За период с 1 января 2001 года по 31 декабря 2003 года тренинг прошла 2141 женщина (то есть 31,27 процента от общего числа обучавшихся).</w:t>
      </w:r>
    </w:p>
    <w:p w:rsidR="00000000" w:rsidRDefault="00000000">
      <w:pPr>
        <w:pStyle w:val="18-8"/>
        <w:rPr>
          <w:b/>
        </w:rPr>
      </w:pPr>
      <w:r>
        <w:sym w:font="Symbol" w:char="F0B7"/>
      </w:r>
      <w:r>
        <w:tab/>
        <w:t xml:space="preserve">Интенсивные курсы подготовки по пчеловодству в сотрудничестве с Управлением по животноводству Министерства сельского хозяйства с 1 июля 2003 года по 31 июля 2003 года, в которых приняли участие и прошли подготовку 152 женщины-пчеловода (то есть 25,33 процента от общего числа обучавшихся). </w:t>
      </w:r>
    </w:p>
    <w:p w:rsidR="00000000" w:rsidRDefault="00000000">
      <w:pPr>
        <w:pStyle w:val="BodyText"/>
      </w:pPr>
      <w:r>
        <w:t>16.</w:t>
      </w:r>
      <w:r>
        <w:tab/>
        <w:t>Мероприятия, направленные на информирование и повышение уровня осведомленности фермеров-женщин и женщин, проживающих в сельских районах:</w:t>
      </w:r>
    </w:p>
    <w:p w:rsidR="00000000" w:rsidRDefault="00000000">
      <w:pPr>
        <w:pStyle w:val="18-8"/>
      </w:pPr>
      <w:r>
        <w:sym w:font="Symbol" w:char="F0B7"/>
      </w:r>
      <w:r>
        <w:tab/>
        <w:t xml:space="preserve">конференции, которые проводит Генеральный секретариат по вопросам гендерного равенства в сотрудничестве с </w:t>
      </w:r>
      <w:r>
        <w:rPr>
          <w:lang w:val="en-US"/>
        </w:rPr>
        <w:t>GESASE</w:t>
      </w:r>
      <w:r>
        <w:t xml:space="preserve"> (Генеральной конфедерацией сельскохозяйственных кооперативов Греции), Министерством сельского хозяйства и другими учреждениями с целью информировать членов женских кооперативов, а также женщин, проживающих в сельских районах. (В том числе: Всегреческий съезд женских кооперативов, Афины, 2000 год; конференция "Женщина и деревня", Алиартос, 2001 год; Всегреческий съезд фермеров-женщин, ноябрь 2002 года);</w:t>
      </w:r>
    </w:p>
    <w:p w:rsidR="00000000" w:rsidRDefault="00000000">
      <w:pPr>
        <w:pStyle w:val="18-8"/>
      </w:pPr>
      <w:r>
        <w:sym w:font="Symbol" w:char="F0B7"/>
      </w:r>
      <w:r>
        <w:tab/>
        <w:t>двухдневный образовательный семинар для членов женских кооперативов, проводившийся с 12 по 13 сентября 2003 года в центре "Димитра" (Салоники) в сотрудничестве с Управлением национальной сельскохозяйственной экономики и Европейским сельскохозяйственным информационным центром Американской школы сельского хозяйства. В семинаре приняли участие 50 делегаций от женских кооперативов;</w:t>
      </w:r>
    </w:p>
    <w:p w:rsidR="00000000" w:rsidRDefault="00000000">
      <w:pPr>
        <w:pStyle w:val="18-8"/>
      </w:pPr>
      <w:r>
        <w:sym w:font="Symbol" w:char="F0B7"/>
      </w:r>
      <w:r>
        <w:tab/>
        <w:t>публикация Генеральным секретариатом по вопросам гендерного равенства информационных брошюр под общим названием "Женщина и деревня".</w:t>
      </w:r>
    </w:p>
    <w:p w:rsidR="00000000" w:rsidRDefault="00000000">
      <w:pPr>
        <w:pStyle w:val="BodyText"/>
      </w:pPr>
      <w:r>
        <w:t>17.</w:t>
      </w:r>
      <w:r>
        <w:tab/>
        <w:t>Исследования/изыскания:</w:t>
      </w:r>
    </w:p>
    <w:p w:rsidR="00000000" w:rsidRDefault="00000000">
      <w:pPr>
        <w:pStyle w:val="18-8"/>
      </w:pPr>
      <w:r>
        <w:sym w:font="Symbol" w:char="F0B7"/>
      </w:r>
      <w:r>
        <w:tab/>
        <w:t>"Описание женских кооперативов", октябрь, 2000 год; проведено Генеральным секретариатом по вопросам гендерного равенства, Всегреческой федерацией профсоюзов сельскохозяйственных кооперативов и Министерством сельского хозяйства;</w:t>
      </w:r>
    </w:p>
    <w:p w:rsidR="00000000" w:rsidRDefault="00000000">
      <w:pPr>
        <w:pStyle w:val="18-8"/>
      </w:pPr>
      <w:r>
        <w:sym w:font="Symbol" w:char="F0B7"/>
      </w:r>
      <w:r>
        <w:tab/>
        <w:t>"Создание сети для взаимодействия женских кооперативов", исследование проведено Генеральным секретариатом по вопросам гендерного равенства в рамках Всегреческого съезда женских кооперативов (18–20 февраля 2000 года);</w:t>
      </w:r>
    </w:p>
    <w:p w:rsidR="00000000" w:rsidRDefault="00000000">
      <w:pPr>
        <w:pStyle w:val="18-8"/>
      </w:pPr>
      <w:r>
        <w:sym w:font="Symbol" w:char="F0B7"/>
      </w:r>
      <w:r>
        <w:tab/>
        <w:t>"Изучение вопроса равенства возможностей для мужчин и женщин в контексте развития сельского хозяйства", Национальный центр социальных исследований – Институт гражданской и сельскохозяйственной социологии, апрель, 2000 год;</w:t>
      </w:r>
    </w:p>
    <w:p w:rsidR="00000000" w:rsidRDefault="00000000">
      <w:pPr>
        <w:pStyle w:val="18-8"/>
      </w:pPr>
      <w:r>
        <w:sym w:font="Symbol" w:char="F0B7"/>
      </w:r>
      <w:r>
        <w:tab/>
        <w:t>"Данные о положении женщин в прибрежных районах, в частности в крупных рыболовецких центрах", Афинский университет, отдел зоологии и морской биологии, Афины, 2003 год.</w:t>
      </w:r>
    </w:p>
    <w:p w:rsidR="00000000" w:rsidRDefault="00000000">
      <w:pPr>
        <w:pStyle w:val="BodyText"/>
        <w:rPr>
          <w:b/>
        </w:rPr>
      </w:pPr>
    </w:p>
    <w:bookmarkStart w:id="53" w:name="_MON_1190195870"/>
    <w:bookmarkStart w:id="54" w:name="_MON_1194160553"/>
    <w:bookmarkEnd w:id="53"/>
    <w:bookmarkEnd w:id="54"/>
    <w:p w:rsidR="00000000" w:rsidRDefault="00000000">
      <w:pPr>
        <w:pStyle w:val="BodyText"/>
        <w:rPr>
          <w:b/>
        </w:rPr>
      </w:pPr>
      <w:r>
        <w:object w:dxaOrig="9325" w:dyaOrig="5588">
          <v:shape id="_x0000_i1035" type="#_x0000_t75" style="width:466.5pt;height:279.75pt" o:ole="">
            <v:imagedata r:id="rId34" o:title=""/>
          </v:shape>
          <o:OLEObject Type="Embed" ProgID="Word.Picture.8" ShapeID="_x0000_i1035" DrawAspect="Content" ObjectID="_1395239581" r:id="rId35"/>
        </w:object>
      </w:r>
    </w:p>
    <w:bookmarkStart w:id="55" w:name="_MON_1190197313"/>
    <w:bookmarkStart w:id="56" w:name="_MON_1190197477"/>
    <w:bookmarkEnd w:id="55"/>
    <w:bookmarkEnd w:id="56"/>
    <w:p w:rsidR="00000000" w:rsidRDefault="00000000">
      <w:pPr>
        <w:pStyle w:val="BodyText"/>
      </w:pPr>
      <w:r>
        <w:object w:dxaOrig="9393" w:dyaOrig="5372">
          <v:shape id="_x0000_i1036" type="#_x0000_t75" style="width:469.5pt;height:268.5pt" o:ole="">
            <v:imagedata r:id="rId36" o:title=""/>
          </v:shape>
          <o:OLEObject Type="Embed" ProgID="Word.Picture.8" ShapeID="_x0000_i1036" DrawAspect="Content" ObjectID="_1395239582" r:id="rId37"/>
        </w:object>
      </w:r>
    </w:p>
    <w:p w:rsidR="00000000" w:rsidRDefault="00000000">
      <w:pPr>
        <w:pStyle w:val="BodyText"/>
        <w:ind w:left="0" w:firstLine="0"/>
        <w:rPr>
          <w:sz w:val="20"/>
        </w:rPr>
      </w:pPr>
      <w:r>
        <w:rPr>
          <w:i/>
          <w:sz w:val="20"/>
        </w:rPr>
        <w:t>Примечание Секретариата:</w:t>
      </w:r>
      <w:r>
        <w:rPr>
          <w:sz w:val="20"/>
        </w:rPr>
        <w:t xml:space="preserve"> </w:t>
      </w:r>
      <w:r>
        <w:rPr>
          <w:caps/>
          <w:sz w:val="20"/>
        </w:rPr>
        <w:t>п</w:t>
      </w:r>
      <w:r>
        <w:rPr>
          <w:sz w:val="20"/>
        </w:rPr>
        <w:t>риложения и Дополнение к настоящему докладу будут представлены членам Комитета на том языке, на котором они были получены.</w:t>
      </w:r>
    </w:p>
    <w:p w:rsidR="00000000" w:rsidRDefault="00000000">
      <w:pPr>
        <w:pStyle w:val="BodyText"/>
      </w:pPr>
    </w:p>
    <w:p w:rsidR="00000000" w:rsidRDefault="00000000">
      <w:pPr>
        <w:pStyle w:val="BodyText"/>
      </w:pPr>
    </w:p>
    <w:p w:rsidR="00000000" w:rsidRDefault="00000000">
      <w:pPr>
        <w:pStyle w:val="Heading2"/>
        <w:spacing w:line="360" w:lineRule="auto"/>
        <w:rPr>
          <w:b/>
          <w:lang w:val="en-GB"/>
        </w:rPr>
      </w:pPr>
      <w:r>
        <w:rPr>
          <w:lang w:val="en-GB"/>
        </w:rPr>
        <w:br w:type="page"/>
      </w:r>
      <w:r>
        <w:rPr>
          <w:b/>
          <w:lang w:val="en-GB"/>
        </w:rPr>
        <w:t xml:space="preserve">ANNEX  </w:t>
      </w:r>
      <w:r>
        <w:rPr>
          <w:b/>
        </w:rPr>
        <w:t>Α</w:t>
      </w:r>
      <w:r>
        <w:rPr>
          <w:b/>
          <w:lang w:val="en-US"/>
        </w:rPr>
        <w:br/>
      </w:r>
      <w:r>
        <w:rPr>
          <w:lang w:val="en-GB"/>
        </w:rPr>
        <w:t>(ARTICLE 5)</w:t>
      </w:r>
    </w:p>
    <w:p w:rsidR="00000000" w:rsidRDefault="00000000">
      <w:pPr>
        <w:pStyle w:val="BodyText"/>
        <w:jc w:val="center"/>
        <w:rPr>
          <w:b/>
          <w:caps/>
          <w:lang w:val="en-GB"/>
        </w:rPr>
      </w:pPr>
      <w:r>
        <w:rPr>
          <w:b/>
          <w:caps/>
          <w:lang w:val="en-GB"/>
        </w:rPr>
        <w:t>Actions –initiatives for the elimination of stereotypes</w:t>
      </w:r>
    </w:p>
    <w:p w:rsidR="00000000" w:rsidRDefault="00000000">
      <w:pPr>
        <w:pStyle w:val="BodyText"/>
        <w:rPr>
          <w:lang w:val="en-GB"/>
        </w:rPr>
      </w:pPr>
      <w:r>
        <w:rPr>
          <w:b/>
          <w:lang w:val="en-GB"/>
        </w:rPr>
        <w:t>1.</w:t>
      </w:r>
      <w:r>
        <w:rPr>
          <w:lang w:val="en-GB"/>
        </w:rPr>
        <w:tab/>
        <w:t xml:space="preserve">During the current school year, K.E.TH.I. (the Research Centre for Gender Equality, supervised by the General Secretariat for Gender Equality) has implemented intervention programmes, among which there are some that concern the general subject of "Gender and </w:t>
      </w:r>
      <w:r>
        <w:t>Μ</w:t>
      </w:r>
      <w:r>
        <w:rPr>
          <w:lang w:val="en-GB"/>
        </w:rPr>
        <w:t xml:space="preserve">ass Media", with informative meetings in schools, in the context of the programme “Sensitization of Teachers and Intervention Programmes to promote Gender Equality” (Action Category 4.1.1.a) which is integrated in the Priority Axis 4 of the Operational Programme “Education and Initial Vocational Training </w:t>
      </w:r>
      <w:r>
        <w:t>ΙΙ</w:t>
      </w:r>
      <w:r>
        <w:rPr>
          <w:lang w:val="en-GB"/>
        </w:rPr>
        <w:t>” (“Measures to improve women’s access and position in the labour market”), aiming at promoting Gender Equality in the sector of Secondary Education and Initial Vocational Training, introducing the relevant theme in school procedures.</w:t>
      </w:r>
    </w:p>
    <w:p w:rsidR="00000000" w:rsidRDefault="00000000">
      <w:pPr>
        <w:pStyle w:val="BodyText"/>
        <w:tabs>
          <w:tab w:val="clear" w:pos="1021"/>
          <w:tab w:val="left" w:pos="567"/>
          <w:tab w:val="left" w:pos="1134"/>
          <w:tab w:val="left" w:pos="1701"/>
        </w:tabs>
        <w:ind w:firstLine="454"/>
        <w:rPr>
          <w:lang w:val="en-GB"/>
        </w:rPr>
      </w:pPr>
      <w:r>
        <w:rPr>
          <w:lang w:val="en-GB"/>
        </w:rPr>
        <w:t xml:space="preserve">The Athens News Agency gives particular emphasis on such matters as: programmes for the elimination of violence against children, adolescents and women, conferences on gender equality or improvement of women’s position in fields like the armed forces, events illustrating the legal and social dimensions of women’s position or in relation to the sex industry and illegal trafficking in women, information campaigns initiated by Greek commissioners or members of the European Parliament for the elimination of discriminations in work places, events of journalists’ organisations concerning women’s presence in the Greek Press or gender stereotypes in Mass Media, awards for enterprises that promote women to high responsibility positions, conferences on culture and peace with the participation of women creators or women playwrights and directors, and, finally, conferences of organisations concerning the woman’s image in the Mass Media, etc. </w:t>
      </w:r>
    </w:p>
    <w:p w:rsidR="00000000" w:rsidRDefault="00000000">
      <w:pPr>
        <w:pStyle w:val="BodyText"/>
        <w:tabs>
          <w:tab w:val="clear" w:pos="1021"/>
          <w:tab w:val="left" w:pos="567"/>
          <w:tab w:val="left" w:pos="1134"/>
          <w:tab w:val="left" w:pos="1701"/>
        </w:tabs>
        <w:ind w:firstLine="454"/>
        <w:rPr>
          <w:lang w:val="en-GB"/>
        </w:rPr>
      </w:pPr>
      <w:r>
        <w:rPr>
          <w:lang w:val="en-GB"/>
        </w:rPr>
        <w:t xml:space="preserve">The Athens News Agency also participates in “Development Co-operation for Equality and Social Cohesion”, a programme in the context of the EQUAL Initiative, together with 23 more institutions, and in the framework of this cooperation, an international conference has recently taken place on: “The attitude of Mass Media towards phenomena of racism and xenophobia”, which included phenomena of racism against foreign women. </w:t>
      </w:r>
    </w:p>
    <w:p w:rsidR="00000000" w:rsidRDefault="00000000">
      <w:pPr>
        <w:pStyle w:val="BodyText"/>
        <w:tabs>
          <w:tab w:val="clear" w:pos="1021"/>
          <w:tab w:val="left" w:pos="567"/>
          <w:tab w:val="left" w:pos="1134"/>
          <w:tab w:val="left" w:pos="1701"/>
        </w:tabs>
        <w:ind w:firstLine="454"/>
        <w:rPr>
          <w:lang w:val="en-GB"/>
        </w:rPr>
      </w:pPr>
      <w:r>
        <w:rPr>
          <w:lang w:val="en-GB"/>
        </w:rPr>
        <w:t xml:space="preserve">The above mentioned programme started in the beginning of 2002 and was completed by the end of 2004, financed by 70% by the European Union and by 30% by the Greek Public Sector. </w:t>
      </w:r>
    </w:p>
    <w:p w:rsidR="00000000" w:rsidRDefault="00000000">
      <w:pPr>
        <w:pStyle w:val="BodyText"/>
        <w:tabs>
          <w:tab w:val="clear" w:pos="1021"/>
          <w:tab w:val="left" w:pos="567"/>
          <w:tab w:val="left" w:pos="1134"/>
          <w:tab w:val="left" w:pos="1701"/>
        </w:tabs>
        <w:ind w:firstLine="454"/>
        <w:rPr>
          <w:lang w:val="en-GB"/>
        </w:rPr>
      </w:pPr>
      <w:r>
        <w:rPr>
          <w:lang w:val="en-GB"/>
        </w:rPr>
        <w:t xml:space="preserve">Apart from the Athens News Agency, other participants of the above mentioned co-operation were: the UNICEF, the Development Company of the Municipality of Athens, the Medecines sans Frontieres, the National Youth Institute, the Greek Network of Enterprises for Social Cohesion, the Athens Labour Centre, the Social Work Institute, The Lambrakis Institute of Studies, the Militant and Cultural Solidarity Centre, the Centre for Employment and Entrepreneurship of the Municipality of Athens, the Centre for Studies and Documentation of the Federation of Teachers of Secondary Education, the KYPEKO (Centre for the Support of Vulnerable Social Groups) of the Municipality of Acharnes, Federation of Workers and Employees of the Textile – Clothing – Leather Industry, the Children’s SOS Villages, the University of Athens – Department of Mass Media, the ELYROS Company, the Vocational Training Centre “Ergon”, the Vocational Training Centre “Akmon”, </w:t>
      </w:r>
      <w:r>
        <w:t>ΤΕΚΜ</w:t>
      </w:r>
      <w:r>
        <w:rPr>
          <w:lang w:val="en-GB"/>
        </w:rPr>
        <w:t xml:space="preserve">OR, the Ethiopian Community, the Albanian Community, the Union of Immigrant Workers from Bangladesh, and the Association of Albanian Immigrants. </w:t>
      </w:r>
    </w:p>
    <w:p w:rsidR="00000000" w:rsidRDefault="00000000">
      <w:pPr>
        <w:pStyle w:val="BodyText"/>
        <w:rPr>
          <w:lang w:val="en-GB"/>
        </w:rPr>
      </w:pPr>
      <w:r>
        <w:rPr>
          <w:b/>
          <w:lang w:val="en-US"/>
        </w:rPr>
        <w:t>2.</w:t>
      </w:r>
      <w:r>
        <w:rPr>
          <w:lang w:val="en-US"/>
        </w:rPr>
        <w:tab/>
        <w:t>In</w:t>
      </w:r>
      <w:r>
        <w:rPr>
          <w:lang w:val="en-GB"/>
        </w:rPr>
        <w:t xml:space="preserve"> </w:t>
      </w:r>
      <w:r>
        <w:rPr>
          <w:lang w:val="en-US"/>
        </w:rPr>
        <w:t>the</w:t>
      </w:r>
      <w:r>
        <w:rPr>
          <w:lang w:val="en-GB"/>
        </w:rPr>
        <w:t xml:space="preserve"> </w:t>
      </w:r>
      <w:r>
        <w:rPr>
          <w:lang w:val="en-US"/>
        </w:rPr>
        <w:t>context</w:t>
      </w:r>
      <w:r>
        <w:rPr>
          <w:lang w:val="en-GB"/>
        </w:rPr>
        <w:t xml:space="preserve"> </w:t>
      </w:r>
      <w:r>
        <w:rPr>
          <w:lang w:val="en-US"/>
        </w:rPr>
        <w:t>of</w:t>
      </w:r>
      <w:r>
        <w:rPr>
          <w:lang w:val="en-GB"/>
        </w:rPr>
        <w:t xml:space="preserve"> </w:t>
      </w:r>
      <w:r>
        <w:rPr>
          <w:lang w:val="en-US"/>
        </w:rPr>
        <w:t>the</w:t>
      </w:r>
      <w:r>
        <w:rPr>
          <w:lang w:val="en-GB"/>
        </w:rPr>
        <w:t xml:space="preserve"> </w:t>
      </w:r>
      <w:r>
        <w:rPr>
          <w:lang w:val="en-US"/>
        </w:rPr>
        <w:t>EQUAL Community</w:t>
      </w:r>
      <w:r>
        <w:rPr>
          <w:lang w:val="en-GB"/>
        </w:rPr>
        <w:t xml:space="preserve"> </w:t>
      </w:r>
      <w:r>
        <w:rPr>
          <w:lang w:val="en-US"/>
        </w:rPr>
        <w:t>Initiative</w:t>
      </w:r>
      <w:r>
        <w:rPr>
          <w:lang w:val="en-GB"/>
        </w:rPr>
        <w:t xml:space="preserve">, </w:t>
      </w:r>
      <w:r>
        <w:rPr>
          <w:lang w:val="en-US"/>
        </w:rPr>
        <w:t>the</w:t>
      </w:r>
      <w:r>
        <w:rPr>
          <w:lang w:val="en-GB"/>
        </w:rPr>
        <w:t xml:space="preserve"> </w:t>
      </w:r>
      <w:r>
        <w:rPr>
          <w:lang w:val="en-US"/>
        </w:rPr>
        <w:t>Work</w:t>
      </w:r>
      <w:r>
        <w:rPr>
          <w:lang w:val="en-GB"/>
        </w:rPr>
        <w:t xml:space="preserve"> “</w:t>
      </w:r>
      <w:r>
        <w:rPr>
          <w:lang w:val="en-US"/>
        </w:rPr>
        <w:t>DREAM</w:t>
      </w:r>
      <w:r>
        <w:rPr>
          <w:lang w:val="en-GB"/>
        </w:rPr>
        <w:t xml:space="preserve"> – </w:t>
      </w:r>
      <w:r>
        <w:rPr>
          <w:lang w:val="en-US"/>
        </w:rPr>
        <w:t>Combating</w:t>
      </w:r>
      <w:r>
        <w:rPr>
          <w:lang w:val="en-GB"/>
        </w:rPr>
        <w:t xml:space="preserve"> </w:t>
      </w:r>
      <w:r>
        <w:rPr>
          <w:lang w:val="en-US"/>
        </w:rPr>
        <w:t>racism</w:t>
      </w:r>
      <w:r>
        <w:rPr>
          <w:lang w:val="en-GB"/>
        </w:rPr>
        <w:t xml:space="preserve"> </w:t>
      </w:r>
      <w:r>
        <w:rPr>
          <w:lang w:val="en-US"/>
        </w:rPr>
        <w:t>and</w:t>
      </w:r>
      <w:r>
        <w:rPr>
          <w:lang w:val="en-GB"/>
        </w:rPr>
        <w:t xml:space="preserve"> </w:t>
      </w:r>
      <w:r>
        <w:rPr>
          <w:lang w:val="en-US"/>
        </w:rPr>
        <w:t>xenophobia</w:t>
      </w:r>
      <w:r>
        <w:rPr>
          <w:lang w:val="en-GB"/>
        </w:rPr>
        <w:t xml:space="preserve"> </w:t>
      </w:r>
      <w:r>
        <w:rPr>
          <w:lang w:val="en-US"/>
        </w:rPr>
        <w:t>in</w:t>
      </w:r>
      <w:r>
        <w:rPr>
          <w:lang w:val="en-GB"/>
        </w:rPr>
        <w:t xml:space="preserve"> the </w:t>
      </w:r>
      <w:r>
        <w:rPr>
          <w:lang w:val="en-US"/>
        </w:rPr>
        <w:t>Mass</w:t>
      </w:r>
      <w:r>
        <w:rPr>
          <w:lang w:val="en-GB"/>
        </w:rPr>
        <w:t xml:space="preserve"> </w:t>
      </w:r>
      <w:r>
        <w:rPr>
          <w:lang w:val="en-US"/>
        </w:rPr>
        <w:t>Media”</w:t>
      </w:r>
      <w:r>
        <w:rPr>
          <w:lang w:val="en-GB"/>
        </w:rPr>
        <w:t xml:space="preserve"> </w:t>
      </w:r>
      <w:r>
        <w:rPr>
          <w:lang w:val="en-US"/>
        </w:rPr>
        <w:t>has been implemented, since</w:t>
      </w:r>
      <w:r>
        <w:rPr>
          <w:lang w:val="en-GB"/>
        </w:rPr>
        <w:t xml:space="preserve"> 2002,</w:t>
      </w:r>
      <w:r>
        <w:rPr>
          <w:lang w:val="en-US"/>
        </w:rPr>
        <w:t xml:space="preserve"> by the Development Partnership</w:t>
      </w:r>
      <w:r>
        <w:rPr>
          <w:lang w:val="en-GB"/>
        </w:rPr>
        <w:t xml:space="preserve"> – Network for combating racism and xenophobia in the Mass Media, financed by 75% by the European Social Fund and by 25% by the Ministry of Employment and Welfare. The participants in this programme are:</w:t>
      </w:r>
    </w:p>
    <w:p w:rsidR="00000000" w:rsidRDefault="00000000">
      <w:pPr>
        <w:numPr>
          <w:ilvl w:val="0"/>
          <w:numId w:val="286"/>
        </w:numPr>
        <w:tabs>
          <w:tab w:val="clear" w:pos="540"/>
          <w:tab w:val="left" w:pos="567"/>
          <w:tab w:val="left" w:pos="1021"/>
          <w:tab w:val="left" w:pos="1474"/>
        </w:tabs>
        <w:ind w:left="1475" w:hanging="454"/>
        <w:rPr>
          <w:lang w:val="en-GB"/>
        </w:rPr>
      </w:pPr>
      <w:r>
        <w:t>ΚΕ</w:t>
      </w:r>
      <w:r>
        <w:rPr>
          <w:lang w:val="en-US"/>
        </w:rPr>
        <w:t>D</w:t>
      </w:r>
      <w:r>
        <w:t>ΚΕ</w:t>
      </w:r>
      <w:r>
        <w:rPr>
          <w:lang w:val="en-GB"/>
        </w:rPr>
        <w:t xml:space="preserve"> - </w:t>
      </w:r>
      <w:r>
        <w:rPr>
          <w:lang w:val="en-US"/>
        </w:rPr>
        <w:t>CENTRAL UNION OF MUNICIPALITIES AND COMMUNITIES OF GREECE</w:t>
      </w:r>
    </w:p>
    <w:p w:rsidR="00000000" w:rsidRDefault="00000000">
      <w:pPr>
        <w:numPr>
          <w:ilvl w:val="0"/>
          <w:numId w:val="286"/>
        </w:numPr>
        <w:tabs>
          <w:tab w:val="clear" w:pos="540"/>
          <w:tab w:val="left" w:pos="567"/>
          <w:tab w:val="left" w:pos="1021"/>
          <w:tab w:val="left" w:pos="1474"/>
        </w:tabs>
        <w:ind w:left="1475" w:hanging="454"/>
        <w:rPr>
          <w:lang w:val="en-GB"/>
        </w:rPr>
      </w:pPr>
      <w:r>
        <w:t>ΤΕ</w:t>
      </w:r>
      <w:r>
        <w:rPr>
          <w:lang w:val="en-US"/>
        </w:rPr>
        <w:t>P</w:t>
      </w:r>
      <w:r>
        <w:rPr>
          <w:lang w:val="en-GB"/>
        </w:rPr>
        <w:t xml:space="preserve"> - REGIONAL </w:t>
      </w:r>
      <w:r>
        <w:rPr>
          <w:lang w:val="en-US"/>
        </w:rPr>
        <w:t>TELEVISION OF GREECE</w:t>
      </w:r>
    </w:p>
    <w:p w:rsidR="00000000" w:rsidRDefault="00000000">
      <w:pPr>
        <w:numPr>
          <w:ilvl w:val="0"/>
          <w:numId w:val="286"/>
        </w:numPr>
        <w:tabs>
          <w:tab w:val="clear" w:pos="540"/>
          <w:tab w:val="left" w:pos="567"/>
          <w:tab w:val="left" w:pos="1021"/>
          <w:tab w:val="left" w:pos="1474"/>
        </w:tabs>
        <w:ind w:left="1475" w:hanging="454"/>
        <w:rPr>
          <w:lang w:val="en-GB"/>
        </w:rPr>
      </w:pPr>
      <w:r>
        <w:rPr>
          <w:lang w:val="en-US"/>
        </w:rPr>
        <w:t>ASSOCIATION</w:t>
      </w:r>
      <w:r>
        <w:rPr>
          <w:lang w:val="en-GB"/>
        </w:rPr>
        <w:t xml:space="preserve"> OF DAILY REGIONAL NEWSPAPERS</w:t>
      </w:r>
    </w:p>
    <w:p w:rsidR="00000000" w:rsidRDefault="00000000">
      <w:pPr>
        <w:numPr>
          <w:ilvl w:val="0"/>
          <w:numId w:val="286"/>
        </w:numPr>
        <w:tabs>
          <w:tab w:val="clear" w:pos="540"/>
          <w:tab w:val="left" w:pos="567"/>
          <w:tab w:val="left" w:pos="1021"/>
          <w:tab w:val="left" w:pos="1474"/>
        </w:tabs>
        <w:ind w:left="1475" w:hanging="454"/>
        <w:rPr>
          <w:lang w:val="en-GB"/>
        </w:rPr>
      </w:pPr>
      <w:r>
        <w:rPr>
          <w:lang w:val="en-US"/>
        </w:rPr>
        <w:t>PANHELLENIC</w:t>
      </w:r>
      <w:r>
        <w:rPr>
          <w:lang w:val="en-GB"/>
        </w:rPr>
        <w:t xml:space="preserve"> FEDERATION OF </w:t>
      </w:r>
      <w:r>
        <w:rPr>
          <w:lang w:val="en-US"/>
        </w:rPr>
        <w:t>PONTOS ASSOCIATIONS</w:t>
      </w:r>
      <w:r>
        <w:rPr>
          <w:lang w:val="en-GB"/>
        </w:rPr>
        <w:t xml:space="preserve"> (P</w:t>
      </w:r>
      <w:r>
        <w:t>Ο</w:t>
      </w:r>
      <w:r>
        <w:rPr>
          <w:lang w:val="en-US"/>
        </w:rPr>
        <w:t>PS</w:t>
      </w:r>
      <w:r>
        <w:rPr>
          <w:lang w:val="en-GB"/>
        </w:rPr>
        <w:t>)</w:t>
      </w:r>
    </w:p>
    <w:p w:rsidR="00000000" w:rsidRDefault="00000000">
      <w:pPr>
        <w:numPr>
          <w:ilvl w:val="0"/>
          <w:numId w:val="286"/>
        </w:numPr>
        <w:tabs>
          <w:tab w:val="clear" w:pos="540"/>
          <w:tab w:val="left" w:pos="567"/>
          <w:tab w:val="left" w:pos="1021"/>
          <w:tab w:val="left" w:pos="1474"/>
        </w:tabs>
        <w:ind w:left="1475" w:hanging="454"/>
        <w:rPr>
          <w:lang w:val="en-GB"/>
        </w:rPr>
      </w:pPr>
      <w:r>
        <w:rPr>
          <w:lang w:val="en-US"/>
        </w:rPr>
        <w:t xml:space="preserve">FEDERATION OF ASSOCIATIONS OF GREEKS FROM NORTHERN EPIRUS </w:t>
      </w:r>
      <w:r>
        <w:rPr>
          <w:lang w:val="en-GB"/>
        </w:rPr>
        <w:t xml:space="preserve">«AGIOS </w:t>
      </w:r>
      <w:r>
        <w:t>ΚΟ</w:t>
      </w:r>
      <w:r>
        <w:rPr>
          <w:lang w:val="en-US"/>
        </w:rPr>
        <w:t>S</w:t>
      </w:r>
      <w:r>
        <w:t>ΜΑ</w:t>
      </w:r>
      <w:r>
        <w:rPr>
          <w:lang w:val="en-US"/>
        </w:rPr>
        <w:t>S</w:t>
      </w:r>
      <w:r>
        <w:rPr>
          <w:lang w:val="en-GB"/>
        </w:rPr>
        <w:t>»</w:t>
      </w:r>
    </w:p>
    <w:p w:rsidR="00000000" w:rsidRDefault="00000000">
      <w:pPr>
        <w:numPr>
          <w:ilvl w:val="0"/>
          <w:numId w:val="286"/>
        </w:numPr>
        <w:tabs>
          <w:tab w:val="clear" w:pos="540"/>
          <w:tab w:val="left" w:pos="567"/>
          <w:tab w:val="left" w:pos="1021"/>
          <w:tab w:val="left" w:pos="1474"/>
        </w:tabs>
        <w:ind w:left="1475" w:hanging="454"/>
        <w:rPr>
          <w:lang w:val="en-GB"/>
        </w:rPr>
      </w:pPr>
      <w:r>
        <w:t>ΜΑ</w:t>
      </w:r>
      <w:r>
        <w:rPr>
          <w:lang w:val="en-US"/>
        </w:rPr>
        <w:t>C</w:t>
      </w:r>
      <w:r>
        <w:t>Ε</w:t>
      </w:r>
      <w:r>
        <w:rPr>
          <w:lang w:val="en-US"/>
        </w:rPr>
        <w:t>D</w:t>
      </w:r>
      <w:r>
        <w:t>ΟΝΙ</w:t>
      </w:r>
      <w:r>
        <w:rPr>
          <w:lang w:val="en-US"/>
        </w:rPr>
        <w:t>AN NEWS AGENCY S.A.</w:t>
      </w:r>
    </w:p>
    <w:p w:rsidR="00000000" w:rsidRDefault="00000000">
      <w:pPr>
        <w:numPr>
          <w:ilvl w:val="0"/>
          <w:numId w:val="286"/>
        </w:numPr>
        <w:tabs>
          <w:tab w:val="clear" w:pos="540"/>
          <w:tab w:val="left" w:pos="567"/>
          <w:tab w:val="left" w:pos="1021"/>
          <w:tab w:val="left" w:pos="1474"/>
        </w:tabs>
        <w:ind w:left="1475" w:hanging="454"/>
        <w:rPr>
          <w:lang w:val="en-GB"/>
        </w:rPr>
      </w:pPr>
      <w:r>
        <w:rPr>
          <w:lang w:val="en-US"/>
        </w:rPr>
        <w:t>VOCATIONAL EDUCATION CENTRE “CONSUL”</w:t>
      </w:r>
    </w:p>
    <w:p w:rsidR="00000000" w:rsidRDefault="00000000">
      <w:pPr>
        <w:numPr>
          <w:ilvl w:val="0"/>
          <w:numId w:val="286"/>
        </w:numPr>
        <w:tabs>
          <w:tab w:val="clear" w:pos="540"/>
          <w:tab w:val="left" w:pos="567"/>
          <w:tab w:val="left" w:pos="1021"/>
          <w:tab w:val="left" w:pos="1474"/>
        </w:tabs>
        <w:ind w:left="1475" w:hanging="454"/>
        <w:rPr>
          <w:lang w:val="en-GB"/>
        </w:rPr>
      </w:pPr>
      <w:r>
        <w:rPr>
          <w:lang w:val="en-US"/>
        </w:rPr>
        <w:t xml:space="preserve">GENERAL SECRETARIAT OF COMMUNICATION AND GENERAL SECRETARIAT OF INFORMATION </w:t>
      </w:r>
      <w:r>
        <w:rPr>
          <w:lang w:val="en-GB"/>
        </w:rPr>
        <w:t>(</w:t>
      </w:r>
      <w:r>
        <w:rPr>
          <w:lang w:val="en-US"/>
        </w:rPr>
        <w:t>EX MINISTRY OF PRESS AND MASS MEDIA</w:t>
      </w:r>
      <w:r>
        <w:rPr>
          <w:lang w:val="en-GB"/>
        </w:rPr>
        <w:t>)</w:t>
      </w:r>
    </w:p>
    <w:p w:rsidR="00000000" w:rsidRDefault="00000000">
      <w:pPr>
        <w:numPr>
          <w:ilvl w:val="0"/>
          <w:numId w:val="286"/>
        </w:numPr>
        <w:tabs>
          <w:tab w:val="clear" w:pos="540"/>
          <w:tab w:val="left" w:pos="567"/>
          <w:tab w:val="left" w:pos="1021"/>
          <w:tab w:val="left" w:pos="1474"/>
        </w:tabs>
        <w:ind w:left="1475" w:hanging="454"/>
        <w:rPr>
          <w:lang w:val="en-US"/>
        </w:rPr>
      </w:pPr>
      <w:r>
        <w:rPr>
          <w:lang w:val="en-US"/>
        </w:rPr>
        <w:t xml:space="preserve">GREEK RADIO-TELEVISION </w:t>
      </w:r>
      <w:r>
        <w:t>Ε</w:t>
      </w:r>
      <w:r>
        <w:rPr>
          <w:lang w:val="en-US"/>
        </w:rPr>
        <w:t>R</w:t>
      </w:r>
      <w:r>
        <w:t>Τ</w:t>
      </w:r>
      <w:r>
        <w:rPr>
          <w:lang w:val="en-US"/>
        </w:rPr>
        <w:t>3</w:t>
      </w:r>
    </w:p>
    <w:p w:rsidR="00000000" w:rsidRDefault="00000000">
      <w:pPr>
        <w:numPr>
          <w:ilvl w:val="0"/>
          <w:numId w:val="286"/>
        </w:numPr>
        <w:tabs>
          <w:tab w:val="clear" w:pos="540"/>
          <w:tab w:val="left" w:pos="567"/>
          <w:tab w:val="left" w:pos="1021"/>
          <w:tab w:val="left" w:pos="1474"/>
        </w:tabs>
        <w:ind w:left="1475" w:hanging="454"/>
        <w:rPr>
          <w:lang w:val="en-GB"/>
        </w:rPr>
      </w:pPr>
      <w:r>
        <w:rPr>
          <w:lang w:val="en-US"/>
        </w:rPr>
        <w:t>GREEK</w:t>
      </w:r>
      <w:r>
        <w:rPr>
          <w:lang w:val="en-GB"/>
        </w:rPr>
        <w:t xml:space="preserve"> </w:t>
      </w:r>
      <w:r>
        <w:rPr>
          <w:lang w:val="en-US"/>
        </w:rPr>
        <w:t>OBSERVATORY</w:t>
      </w:r>
      <w:r>
        <w:rPr>
          <w:lang w:val="en-GB"/>
        </w:rPr>
        <w:t xml:space="preserve"> </w:t>
      </w:r>
      <w:r>
        <w:rPr>
          <w:lang w:val="en-US"/>
        </w:rPr>
        <w:t>OF</w:t>
      </w:r>
      <w:r>
        <w:rPr>
          <w:lang w:val="en-GB"/>
        </w:rPr>
        <w:t xml:space="preserve"> </w:t>
      </w:r>
      <w:r>
        <w:rPr>
          <w:lang w:val="en-US"/>
        </w:rPr>
        <w:t>THE</w:t>
      </w:r>
      <w:r>
        <w:rPr>
          <w:lang w:val="en-GB"/>
        </w:rPr>
        <w:t xml:space="preserve"> </w:t>
      </w:r>
      <w:r>
        <w:rPr>
          <w:lang w:val="en-US"/>
        </w:rPr>
        <w:t>HELSINKI</w:t>
      </w:r>
      <w:r>
        <w:rPr>
          <w:lang w:val="en-GB"/>
        </w:rPr>
        <w:t xml:space="preserve"> </w:t>
      </w:r>
      <w:r>
        <w:rPr>
          <w:lang w:val="en-US"/>
        </w:rPr>
        <w:t>CONVENTIONS</w:t>
      </w:r>
      <w:r>
        <w:rPr>
          <w:lang w:val="en-GB"/>
        </w:rPr>
        <w:t xml:space="preserve"> «</w:t>
      </w:r>
      <w:r>
        <w:rPr>
          <w:lang w:val="en-US"/>
        </w:rPr>
        <w:t>COMPANY OF COMMUNICATION AND POLITICAL RESEARCH</w:t>
      </w:r>
      <w:r>
        <w:rPr>
          <w:lang w:val="en-GB"/>
        </w:rPr>
        <w:t xml:space="preserve"> – </w:t>
      </w:r>
      <w:r>
        <w:t>Ε</w:t>
      </w:r>
      <w:r>
        <w:rPr>
          <w:lang w:val="en-GB"/>
        </w:rPr>
        <w:t>.P.S.</w:t>
      </w:r>
      <w:r>
        <w:t>Ε</w:t>
      </w:r>
      <w:r>
        <w:rPr>
          <w:lang w:val="en-GB"/>
        </w:rPr>
        <w:t>.</w:t>
      </w:r>
    </w:p>
    <w:p w:rsidR="00000000" w:rsidRDefault="00000000">
      <w:pPr>
        <w:numPr>
          <w:ilvl w:val="0"/>
          <w:numId w:val="286"/>
        </w:numPr>
        <w:tabs>
          <w:tab w:val="clear" w:pos="540"/>
          <w:tab w:val="left" w:pos="567"/>
          <w:tab w:val="left" w:pos="1021"/>
          <w:tab w:val="left" w:pos="1474"/>
        </w:tabs>
        <w:ind w:left="1475" w:hanging="454"/>
        <w:rPr>
          <w:lang w:val="en-GB"/>
        </w:rPr>
      </w:pPr>
      <w:r>
        <w:rPr>
          <w:lang w:val="en-US"/>
        </w:rPr>
        <w:t>MUNICIPAL ORGANISATION OF SOCIAL INTERVENTION AND HEALTH</w:t>
      </w:r>
      <w:r>
        <w:rPr>
          <w:lang w:val="en-GB"/>
        </w:rPr>
        <w:t xml:space="preserve"> (</w:t>
      </w:r>
      <w:r>
        <w:rPr>
          <w:lang w:val="en-US"/>
        </w:rPr>
        <w:t>D</w:t>
      </w:r>
      <w:r>
        <w:rPr>
          <w:lang w:val="en-GB"/>
        </w:rPr>
        <w:t>.</w:t>
      </w:r>
      <w:r>
        <w:t>Ο</w:t>
      </w:r>
      <w:r>
        <w:rPr>
          <w:lang w:val="en-GB"/>
        </w:rPr>
        <w:t>.</w:t>
      </w:r>
      <w:r>
        <w:t>Κ</w:t>
      </w:r>
      <w:r>
        <w:rPr>
          <w:lang w:val="en-GB"/>
        </w:rPr>
        <w:t>.P.</w:t>
      </w:r>
      <w:r>
        <w:t>Υ</w:t>
      </w:r>
      <w:r>
        <w:rPr>
          <w:lang w:val="en-GB"/>
        </w:rPr>
        <w:t>.)</w:t>
      </w:r>
    </w:p>
    <w:p w:rsidR="00000000" w:rsidRDefault="00000000">
      <w:pPr>
        <w:numPr>
          <w:ilvl w:val="0"/>
          <w:numId w:val="286"/>
        </w:numPr>
        <w:tabs>
          <w:tab w:val="clear" w:pos="540"/>
          <w:tab w:val="left" w:pos="567"/>
          <w:tab w:val="left" w:pos="1021"/>
          <w:tab w:val="left" w:pos="1474"/>
        </w:tabs>
        <w:ind w:left="1475" w:hanging="454"/>
        <w:rPr>
          <w:lang w:val="en-US"/>
        </w:rPr>
      </w:pPr>
      <w:r>
        <w:rPr>
          <w:lang w:val="en-US"/>
        </w:rPr>
        <w:t>GENERAL SECRETARIAT OF EMIGRANT HELLENISM</w:t>
      </w:r>
    </w:p>
    <w:p w:rsidR="00000000" w:rsidRDefault="00000000">
      <w:pPr>
        <w:numPr>
          <w:ilvl w:val="0"/>
          <w:numId w:val="286"/>
        </w:numPr>
        <w:tabs>
          <w:tab w:val="clear" w:pos="540"/>
          <w:tab w:val="left" w:pos="567"/>
          <w:tab w:val="left" w:pos="1021"/>
          <w:tab w:val="left" w:pos="1474"/>
        </w:tabs>
        <w:ind w:left="1475" w:hanging="454"/>
        <w:rPr>
          <w:lang w:val="en-GB"/>
        </w:rPr>
      </w:pPr>
      <w:r>
        <w:rPr>
          <w:lang w:val="en-US"/>
        </w:rPr>
        <w:t>THE ARISTOTLE UNIVERSITY OF THESSALONIKI</w:t>
      </w:r>
      <w:r>
        <w:rPr>
          <w:lang w:val="en-GB"/>
        </w:rPr>
        <w:t xml:space="preserve"> – </w:t>
      </w:r>
      <w:r>
        <w:rPr>
          <w:lang w:val="en-US"/>
        </w:rPr>
        <w:t>COMMITTEE OF RESEARCH</w:t>
      </w:r>
    </w:p>
    <w:p w:rsidR="00000000" w:rsidRDefault="00000000">
      <w:pPr>
        <w:numPr>
          <w:ilvl w:val="0"/>
          <w:numId w:val="286"/>
        </w:numPr>
        <w:tabs>
          <w:tab w:val="clear" w:pos="540"/>
          <w:tab w:val="left" w:pos="567"/>
          <w:tab w:val="left" w:pos="1021"/>
          <w:tab w:val="left" w:pos="1474"/>
        </w:tabs>
        <w:ind w:left="1475" w:hanging="454"/>
        <w:rPr>
          <w:lang w:val="en-GB"/>
        </w:rPr>
      </w:pPr>
      <w:r>
        <w:t>Α</w:t>
      </w:r>
      <w:r>
        <w:rPr>
          <w:lang w:val="en-US"/>
        </w:rPr>
        <w:t>GIS</w:t>
      </w:r>
      <w:r>
        <w:t>Ο</w:t>
      </w:r>
      <w:r>
        <w:rPr>
          <w:lang w:val="en-GB"/>
        </w:rPr>
        <w:t xml:space="preserve"> (</w:t>
      </w:r>
      <w:r>
        <w:rPr>
          <w:lang w:val="en-US"/>
        </w:rPr>
        <w:t>ASSOCIATION</w:t>
      </w:r>
      <w:r>
        <w:rPr>
          <w:lang w:val="en-GB"/>
        </w:rPr>
        <w:t xml:space="preserve"> </w:t>
      </w:r>
      <w:r>
        <w:rPr>
          <w:lang w:val="en-US"/>
        </w:rPr>
        <w:t>OF</w:t>
      </w:r>
      <w:r>
        <w:rPr>
          <w:lang w:val="en-GB"/>
        </w:rPr>
        <w:t xml:space="preserve"> SETTLERS OF THE AGIA SOFIA</w:t>
      </w:r>
      <w:r>
        <w:rPr>
          <w:lang w:val="en-US"/>
        </w:rPr>
        <w:t xml:space="preserve"> SETTLEMENT</w:t>
      </w:r>
      <w:r>
        <w:rPr>
          <w:lang w:val="en-GB"/>
        </w:rPr>
        <w:t>, MUNICIPALITY OF ECHEDOROS)</w:t>
      </w:r>
    </w:p>
    <w:p w:rsidR="00000000" w:rsidRDefault="00000000">
      <w:pPr>
        <w:numPr>
          <w:ilvl w:val="0"/>
          <w:numId w:val="286"/>
        </w:numPr>
        <w:tabs>
          <w:tab w:val="clear" w:pos="540"/>
          <w:tab w:val="left" w:pos="567"/>
          <w:tab w:val="left" w:pos="1021"/>
          <w:tab w:val="left" w:pos="1474"/>
        </w:tabs>
        <w:ind w:left="1475" w:hanging="454"/>
        <w:rPr>
          <w:lang w:val="en-US"/>
        </w:rPr>
      </w:pPr>
      <w:r>
        <w:rPr>
          <w:lang w:val="en-US"/>
        </w:rPr>
        <w:t>DIMITRA – CENTRE OF INFORMATION AND EDUCATION S.A.</w:t>
      </w:r>
    </w:p>
    <w:p w:rsidR="00000000" w:rsidRDefault="00000000">
      <w:pPr>
        <w:numPr>
          <w:ilvl w:val="0"/>
          <w:numId w:val="286"/>
        </w:numPr>
        <w:tabs>
          <w:tab w:val="clear" w:pos="540"/>
          <w:tab w:val="left" w:pos="567"/>
          <w:tab w:val="left" w:pos="1021"/>
          <w:tab w:val="left" w:pos="1474"/>
        </w:tabs>
        <w:ind w:left="1475" w:hanging="454"/>
        <w:rPr>
          <w:lang w:val="en-GB"/>
        </w:rPr>
      </w:pPr>
      <w:r>
        <w:rPr>
          <w:lang w:val="en-US"/>
        </w:rPr>
        <w:t>COMPANY</w:t>
      </w:r>
      <w:r>
        <w:rPr>
          <w:lang w:val="en-GB"/>
        </w:rPr>
        <w:t xml:space="preserve"> </w:t>
      </w:r>
      <w:r>
        <w:rPr>
          <w:lang w:val="en-US"/>
        </w:rPr>
        <w:t xml:space="preserve">OF SOCIAL AND CULTURAL SUPPORT OF REPATRIATED GREEK EMIGRANTS </w:t>
      </w:r>
      <w:r>
        <w:rPr>
          <w:lang w:val="en-GB"/>
        </w:rPr>
        <w:t xml:space="preserve"> «</w:t>
      </w:r>
      <w:r>
        <w:t>ΝΟ</w:t>
      </w:r>
      <w:r>
        <w:rPr>
          <w:lang w:val="en-US"/>
        </w:rPr>
        <w:t>S</w:t>
      </w:r>
      <w:r>
        <w:t>ΤΟ</w:t>
      </w:r>
      <w:r>
        <w:rPr>
          <w:lang w:val="en-US"/>
        </w:rPr>
        <w:t>S</w:t>
      </w:r>
      <w:r>
        <w:rPr>
          <w:lang w:val="en-GB"/>
        </w:rPr>
        <w:t>»</w:t>
      </w:r>
    </w:p>
    <w:p w:rsidR="00000000" w:rsidRDefault="00000000">
      <w:pPr>
        <w:numPr>
          <w:ilvl w:val="0"/>
          <w:numId w:val="286"/>
        </w:numPr>
        <w:tabs>
          <w:tab w:val="clear" w:pos="540"/>
          <w:tab w:val="left" w:pos="567"/>
          <w:tab w:val="left" w:pos="1021"/>
          <w:tab w:val="left" w:pos="1474"/>
        </w:tabs>
        <w:ind w:left="1475" w:hanging="454"/>
        <w:rPr>
          <w:lang w:val="en-GB"/>
        </w:rPr>
      </w:pPr>
      <w:r>
        <w:rPr>
          <w:lang w:val="en-US"/>
        </w:rPr>
        <w:t>VOCATIONAL TRAINING</w:t>
      </w:r>
      <w:r>
        <w:rPr>
          <w:lang w:val="en-GB"/>
        </w:rPr>
        <w:t xml:space="preserve"> </w:t>
      </w:r>
      <w:r>
        <w:rPr>
          <w:lang w:val="en-US"/>
        </w:rPr>
        <w:t>CENTRE</w:t>
      </w:r>
      <w:r>
        <w:rPr>
          <w:lang w:val="en-GB"/>
        </w:rPr>
        <w:t xml:space="preserve"> “</w:t>
      </w:r>
      <w:r>
        <w:t>Ε</w:t>
      </w:r>
      <w:r>
        <w:rPr>
          <w:lang w:val="en-US"/>
        </w:rPr>
        <w:t>D</w:t>
      </w:r>
      <w:r>
        <w:t>Ι</w:t>
      </w:r>
      <w:r>
        <w:rPr>
          <w:lang w:val="en-US"/>
        </w:rPr>
        <w:t>P”, ADMINISTRATION AND INFORMATION TECHNOLOGY</w:t>
      </w:r>
      <w:r>
        <w:rPr>
          <w:lang w:val="en-GB"/>
        </w:rPr>
        <w:t xml:space="preserve"> ENTERPRISE – INFORMATION TECHNOLOGY FOR YOUNG PEOPLE</w:t>
      </w:r>
    </w:p>
    <w:p w:rsidR="00000000" w:rsidRDefault="00000000">
      <w:pPr>
        <w:tabs>
          <w:tab w:val="left" w:pos="567"/>
          <w:tab w:val="left" w:pos="1021"/>
          <w:tab w:val="left" w:pos="1474"/>
          <w:tab w:val="left" w:pos="1928"/>
        </w:tabs>
        <w:ind w:left="567"/>
        <w:rPr>
          <w:lang w:val="en-GB"/>
        </w:rPr>
      </w:pPr>
      <w:r>
        <w:rPr>
          <w:lang w:val="en-US"/>
        </w:rPr>
        <w:tab/>
        <w:t>The programme mainly aims at combating discriminations against social groups – victims of racism, through the active participation of all organizations involved, taking into consideration the power of the Mass Media in the formation of public opinion</w:t>
      </w:r>
      <w:r>
        <w:rPr>
          <w:lang w:val="en-GB"/>
        </w:rPr>
        <w:t>. More specifically:</w:t>
      </w:r>
    </w:p>
    <w:p w:rsidR="00000000" w:rsidRDefault="00000000">
      <w:pPr>
        <w:tabs>
          <w:tab w:val="left" w:pos="567"/>
          <w:tab w:val="left" w:pos="1021"/>
          <w:tab w:val="left" w:pos="1474"/>
          <w:tab w:val="left" w:pos="1928"/>
        </w:tabs>
        <w:ind w:left="567"/>
        <w:rPr>
          <w:lang w:val="en-GB"/>
        </w:rPr>
      </w:pPr>
      <w:r>
        <w:t>Α</w:t>
      </w:r>
      <w:r>
        <w:rPr>
          <w:lang w:val="en-GB"/>
        </w:rPr>
        <w:t>.</w:t>
      </w:r>
      <w:r>
        <w:rPr>
          <w:lang w:val="en-US"/>
        </w:rPr>
        <w:tab/>
        <w:t>In</w:t>
      </w:r>
      <w:r>
        <w:rPr>
          <w:lang w:val="en-GB"/>
        </w:rPr>
        <w:t xml:space="preserve"> the </w:t>
      </w:r>
      <w:r>
        <w:rPr>
          <w:lang w:val="en-US"/>
        </w:rPr>
        <w:t>Mass</w:t>
      </w:r>
      <w:r>
        <w:rPr>
          <w:lang w:val="en-GB"/>
        </w:rPr>
        <w:t xml:space="preserve"> </w:t>
      </w:r>
      <w:r>
        <w:rPr>
          <w:lang w:val="en-US"/>
        </w:rPr>
        <w:t>Media</w:t>
      </w:r>
      <w:r>
        <w:rPr>
          <w:lang w:val="en-GB"/>
        </w:rPr>
        <w:t xml:space="preserve">, </w:t>
      </w:r>
      <w:r>
        <w:rPr>
          <w:lang w:val="en-US"/>
        </w:rPr>
        <w:t>as</w:t>
      </w:r>
      <w:r>
        <w:rPr>
          <w:lang w:val="en-GB"/>
        </w:rPr>
        <w:t xml:space="preserve"> </w:t>
      </w:r>
      <w:r>
        <w:rPr>
          <w:lang w:val="en-US"/>
        </w:rPr>
        <w:t>a</w:t>
      </w:r>
      <w:r>
        <w:rPr>
          <w:lang w:val="en-GB"/>
        </w:rPr>
        <w:t xml:space="preserve"> </w:t>
      </w:r>
      <w:r>
        <w:rPr>
          <w:lang w:val="en-US"/>
        </w:rPr>
        <w:t>place</w:t>
      </w:r>
      <w:r>
        <w:rPr>
          <w:lang w:val="en-GB"/>
        </w:rPr>
        <w:t xml:space="preserve"> </w:t>
      </w:r>
      <w:r>
        <w:rPr>
          <w:lang w:val="en-US"/>
        </w:rPr>
        <w:t>of</w:t>
      </w:r>
      <w:r>
        <w:rPr>
          <w:lang w:val="en-GB"/>
        </w:rPr>
        <w:t xml:space="preserve"> </w:t>
      </w:r>
      <w:r>
        <w:rPr>
          <w:lang w:val="en-US"/>
        </w:rPr>
        <w:t>work</w:t>
      </w:r>
      <w:r>
        <w:rPr>
          <w:lang w:val="en-GB"/>
        </w:rPr>
        <w:t xml:space="preserve">, </w:t>
      </w:r>
      <w:r>
        <w:rPr>
          <w:lang w:val="en-US"/>
        </w:rPr>
        <w:t>creating</w:t>
      </w:r>
      <w:r>
        <w:rPr>
          <w:lang w:val="en-GB"/>
        </w:rPr>
        <w:t xml:space="preserve"> conditions </w:t>
      </w:r>
      <w:r>
        <w:rPr>
          <w:lang w:val="en-US"/>
        </w:rPr>
        <w:t>that</w:t>
      </w:r>
      <w:r>
        <w:rPr>
          <w:lang w:val="en-GB"/>
        </w:rPr>
        <w:t xml:space="preserve"> </w:t>
      </w:r>
      <w:r>
        <w:rPr>
          <w:lang w:val="en-US"/>
        </w:rPr>
        <w:t>will allow democratic representation</w:t>
      </w:r>
      <w:r>
        <w:rPr>
          <w:lang w:val="en-GB"/>
        </w:rPr>
        <w:t xml:space="preserve"> </w:t>
      </w:r>
      <w:r>
        <w:rPr>
          <w:lang w:val="en-US"/>
        </w:rPr>
        <w:t>in employment</w:t>
      </w:r>
      <w:r>
        <w:rPr>
          <w:lang w:val="en-GB"/>
        </w:rPr>
        <w:t xml:space="preserve"> </w:t>
      </w:r>
      <w:r>
        <w:rPr>
          <w:lang w:val="en-US"/>
        </w:rPr>
        <w:t>of individuals of the above mentioned groups</w:t>
      </w:r>
      <w:r>
        <w:rPr>
          <w:lang w:val="en-GB"/>
        </w:rPr>
        <w:t xml:space="preserve">. </w:t>
      </w:r>
    </w:p>
    <w:p w:rsidR="00000000" w:rsidRDefault="00000000">
      <w:pPr>
        <w:tabs>
          <w:tab w:val="left" w:pos="567"/>
          <w:tab w:val="left" w:pos="1021"/>
          <w:tab w:val="left" w:pos="1474"/>
          <w:tab w:val="left" w:pos="1928"/>
        </w:tabs>
        <w:ind w:left="567"/>
        <w:rPr>
          <w:lang w:val="en-GB"/>
        </w:rPr>
      </w:pPr>
      <w:r>
        <w:t>Β</w:t>
      </w:r>
      <w:r>
        <w:rPr>
          <w:lang w:val="en-GB"/>
        </w:rPr>
        <w:t>.</w:t>
      </w:r>
      <w:r>
        <w:rPr>
          <w:lang w:val="en-US"/>
        </w:rPr>
        <w:tab/>
        <w:t>In</w:t>
      </w:r>
      <w:r>
        <w:rPr>
          <w:lang w:val="en-GB"/>
        </w:rPr>
        <w:t xml:space="preserve"> the </w:t>
      </w:r>
      <w:r>
        <w:rPr>
          <w:lang w:val="en-US"/>
        </w:rPr>
        <w:t>Mass</w:t>
      </w:r>
      <w:r>
        <w:rPr>
          <w:lang w:val="en-GB"/>
        </w:rPr>
        <w:t xml:space="preserve"> </w:t>
      </w:r>
      <w:r>
        <w:rPr>
          <w:lang w:val="en-US"/>
        </w:rPr>
        <w:t>Media</w:t>
      </w:r>
      <w:r>
        <w:rPr>
          <w:lang w:val="en-GB"/>
        </w:rPr>
        <w:t xml:space="preserve">, </w:t>
      </w:r>
      <w:r>
        <w:rPr>
          <w:lang w:val="en-US"/>
        </w:rPr>
        <w:t>as</w:t>
      </w:r>
      <w:r>
        <w:rPr>
          <w:lang w:val="en-GB"/>
        </w:rPr>
        <w:t xml:space="preserve"> agencies which form and influence</w:t>
      </w:r>
      <w:r>
        <w:rPr>
          <w:lang w:val="en-US"/>
        </w:rPr>
        <w:t xml:space="preserve"> public opinion</w:t>
      </w:r>
      <w:r>
        <w:rPr>
          <w:lang w:val="en-GB"/>
        </w:rPr>
        <w:t xml:space="preserve">, </w:t>
      </w:r>
      <w:r>
        <w:rPr>
          <w:lang w:val="en-US"/>
        </w:rPr>
        <w:t xml:space="preserve">in order to combat stereotypes and </w:t>
      </w:r>
      <w:r>
        <w:rPr>
          <w:lang w:val="en-GB"/>
        </w:rPr>
        <w:t>biases that make the access of the above mentioned social groups to the labour market difficult.</w:t>
      </w:r>
    </w:p>
    <w:p w:rsidR="00000000" w:rsidRDefault="00000000">
      <w:pPr>
        <w:tabs>
          <w:tab w:val="left" w:pos="567"/>
          <w:tab w:val="left" w:pos="1021"/>
          <w:tab w:val="left" w:pos="1474"/>
          <w:tab w:val="left" w:pos="1928"/>
        </w:tabs>
        <w:ind w:left="567"/>
        <w:rPr>
          <w:lang w:val="en-GB"/>
        </w:rPr>
      </w:pPr>
      <w:r>
        <w:rPr>
          <w:lang w:val="en-GB"/>
        </w:rPr>
        <w:tab/>
      </w:r>
      <w:r>
        <w:rPr>
          <w:lang w:val="en-US"/>
        </w:rPr>
        <w:t>The equality of opportunities for both men and women also concerns all stages of the DREAM Plan</w:t>
      </w:r>
      <w:r>
        <w:rPr>
          <w:lang w:val="en-GB"/>
        </w:rPr>
        <w:t>. Among proposed activities, the following are included:</w:t>
      </w:r>
    </w:p>
    <w:p w:rsidR="00000000" w:rsidRDefault="00000000">
      <w:pPr>
        <w:pStyle w:val="110"/>
        <w:rPr>
          <w:lang w:val="en-GB"/>
        </w:rPr>
      </w:pPr>
      <w:r>
        <w:sym w:font="Symbol" w:char="F0B7"/>
      </w:r>
      <w:r>
        <w:tab/>
      </w:r>
      <w:r>
        <w:rPr>
          <w:lang w:val="en-US"/>
        </w:rPr>
        <w:t>Programmes of training in professions related to the Mass Media</w:t>
      </w:r>
    </w:p>
    <w:p w:rsidR="00000000" w:rsidRDefault="00000000">
      <w:pPr>
        <w:pStyle w:val="110"/>
        <w:rPr>
          <w:lang w:val="en-GB"/>
        </w:rPr>
      </w:pPr>
      <w:r>
        <w:sym w:font="Symbol" w:char="F0B7"/>
      </w:r>
      <w:r>
        <w:tab/>
      </w:r>
      <w:r>
        <w:rPr>
          <w:lang w:val="en-US"/>
        </w:rPr>
        <w:t>Collection, evaluation, and adjustment of material on discriminations in the Mass Media</w:t>
      </w:r>
    </w:p>
    <w:p w:rsidR="00000000" w:rsidRDefault="00000000">
      <w:pPr>
        <w:pStyle w:val="110"/>
        <w:rPr>
          <w:lang w:val="en-GB"/>
        </w:rPr>
      </w:pPr>
      <w:r>
        <w:sym w:font="Symbol" w:char="F0B7"/>
      </w:r>
      <w:r>
        <w:tab/>
      </w:r>
      <w:r>
        <w:rPr>
          <w:lang w:val="en-US"/>
        </w:rPr>
        <w:t>A</w:t>
      </w:r>
      <w:r>
        <w:rPr>
          <w:lang w:val="en-GB"/>
        </w:rPr>
        <w:t xml:space="preserve"> field </w:t>
      </w:r>
      <w:r>
        <w:rPr>
          <w:lang w:val="en-US"/>
        </w:rPr>
        <w:t>study</w:t>
      </w:r>
      <w:r>
        <w:rPr>
          <w:lang w:val="en-GB"/>
        </w:rPr>
        <w:t xml:space="preserve"> </w:t>
      </w:r>
      <w:r>
        <w:rPr>
          <w:lang w:val="en-US"/>
        </w:rPr>
        <w:t>at</w:t>
      </w:r>
      <w:r>
        <w:rPr>
          <w:lang w:val="en-GB"/>
        </w:rPr>
        <w:t xml:space="preserve"> </w:t>
      </w:r>
      <w:r>
        <w:rPr>
          <w:lang w:val="en-US"/>
        </w:rPr>
        <w:t>the</w:t>
      </w:r>
      <w:r>
        <w:rPr>
          <w:lang w:val="en-GB"/>
        </w:rPr>
        <w:t xml:space="preserve"> </w:t>
      </w:r>
      <w:r>
        <w:rPr>
          <w:lang w:val="en-US"/>
        </w:rPr>
        <w:t>place</w:t>
      </w:r>
      <w:r>
        <w:rPr>
          <w:lang w:val="en-GB"/>
        </w:rPr>
        <w:t xml:space="preserve"> </w:t>
      </w:r>
      <w:r>
        <w:rPr>
          <w:lang w:val="en-US"/>
        </w:rPr>
        <w:t>of</w:t>
      </w:r>
      <w:r>
        <w:rPr>
          <w:lang w:val="en-GB"/>
        </w:rPr>
        <w:t xml:space="preserve"> </w:t>
      </w:r>
      <w:r>
        <w:rPr>
          <w:lang w:val="en-US"/>
        </w:rPr>
        <w:t>work</w:t>
      </w:r>
      <w:r>
        <w:rPr>
          <w:lang w:val="en-GB"/>
        </w:rPr>
        <w:t xml:space="preserve"> </w:t>
      </w:r>
      <w:r>
        <w:rPr>
          <w:lang w:val="en-US"/>
        </w:rPr>
        <w:t>of</w:t>
      </w:r>
      <w:r>
        <w:rPr>
          <w:lang w:val="en-GB"/>
        </w:rPr>
        <w:t xml:space="preserve"> M</w:t>
      </w:r>
      <w:r>
        <w:rPr>
          <w:lang w:val="en-US"/>
        </w:rPr>
        <w:t>ass</w:t>
      </w:r>
      <w:r>
        <w:rPr>
          <w:lang w:val="en-GB"/>
        </w:rPr>
        <w:t xml:space="preserve"> M</w:t>
      </w:r>
      <w:r>
        <w:rPr>
          <w:lang w:val="en-US"/>
        </w:rPr>
        <w:t>edia</w:t>
      </w:r>
      <w:r>
        <w:rPr>
          <w:lang w:val="en-GB"/>
        </w:rPr>
        <w:t xml:space="preserve"> </w:t>
      </w:r>
      <w:r>
        <w:rPr>
          <w:lang w:val="en-US"/>
        </w:rPr>
        <w:t>employees</w:t>
      </w:r>
      <w:r>
        <w:rPr>
          <w:lang w:val="en-GB"/>
        </w:rPr>
        <w:t xml:space="preserve">, </w:t>
      </w:r>
      <w:r>
        <w:rPr>
          <w:lang w:val="en-US"/>
        </w:rPr>
        <w:t xml:space="preserve">concerning the way in which they regard and depict </w:t>
      </w:r>
      <w:r>
        <w:rPr>
          <w:lang w:val="en-GB"/>
        </w:rPr>
        <w:t>“vulnerable” social groups.</w:t>
      </w:r>
    </w:p>
    <w:p w:rsidR="00000000" w:rsidRDefault="00000000">
      <w:pPr>
        <w:pStyle w:val="110"/>
        <w:rPr>
          <w:lang w:val="en-GB"/>
        </w:rPr>
      </w:pPr>
      <w:r>
        <w:sym w:font="Symbol" w:char="F0B7"/>
      </w:r>
      <w:r>
        <w:tab/>
      </w:r>
      <w:r>
        <w:rPr>
          <w:lang w:val="en-US"/>
        </w:rPr>
        <w:t xml:space="preserve">Creation and application of educational material for employees in the Mass Media </w:t>
      </w:r>
    </w:p>
    <w:p w:rsidR="00000000" w:rsidRDefault="00000000">
      <w:pPr>
        <w:pStyle w:val="110"/>
        <w:rPr>
          <w:lang w:val="en-GB"/>
        </w:rPr>
      </w:pPr>
      <w:r>
        <w:sym w:font="Symbol" w:char="F0B7"/>
      </w:r>
      <w:r>
        <w:tab/>
      </w:r>
      <w:r>
        <w:rPr>
          <w:lang w:val="en-US"/>
        </w:rPr>
        <w:t>Training seminars</w:t>
      </w:r>
      <w:r>
        <w:rPr>
          <w:lang w:val="en-GB"/>
        </w:rPr>
        <w:t xml:space="preserve"> </w:t>
      </w:r>
      <w:r>
        <w:rPr>
          <w:lang w:val="en-US"/>
        </w:rPr>
        <w:t>for</w:t>
      </w:r>
      <w:r>
        <w:rPr>
          <w:lang w:val="en-GB"/>
        </w:rPr>
        <w:t xml:space="preserve"> </w:t>
      </w:r>
      <w:r>
        <w:rPr>
          <w:lang w:val="en-US"/>
        </w:rPr>
        <w:t>employees</w:t>
      </w:r>
      <w:r>
        <w:rPr>
          <w:lang w:val="en-GB"/>
        </w:rPr>
        <w:t xml:space="preserve"> in the M</w:t>
      </w:r>
      <w:r>
        <w:rPr>
          <w:lang w:val="en-US"/>
        </w:rPr>
        <w:t>ass</w:t>
      </w:r>
      <w:r>
        <w:rPr>
          <w:lang w:val="en-GB"/>
        </w:rPr>
        <w:t xml:space="preserve"> M</w:t>
      </w:r>
      <w:r>
        <w:rPr>
          <w:lang w:val="en-US"/>
        </w:rPr>
        <w:t>edia</w:t>
      </w:r>
      <w:r>
        <w:rPr>
          <w:lang w:val="en-GB"/>
        </w:rPr>
        <w:t xml:space="preserve">, </w:t>
      </w:r>
      <w:r>
        <w:rPr>
          <w:lang w:val="en-US"/>
        </w:rPr>
        <w:t>aiming at their sensitization</w:t>
      </w:r>
      <w:r>
        <w:rPr>
          <w:lang w:val="en-GB"/>
        </w:rPr>
        <w:t xml:space="preserve"> </w:t>
      </w:r>
      <w:r>
        <w:rPr>
          <w:lang w:val="en-US"/>
        </w:rPr>
        <w:t>on the struggle against discriminations</w:t>
      </w:r>
      <w:r>
        <w:rPr>
          <w:lang w:val="en-GB"/>
        </w:rPr>
        <w:t xml:space="preserve">, </w:t>
      </w:r>
      <w:r>
        <w:rPr>
          <w:lang w:val="en-US"/>
        </w:rPr>
        <w:t>etc</w:t>
      </w:r>
      <w:r>
        <w:rPr>
          <w:lang w:val="en-GB"/>
        </w:rPr>
        <w:t>.</w:t>
      </w:r>
    </w:p>
    <w:p w:rsidR="00000000" w:rsidRDefault="00000000">
      <w:pPr>
        <w:pStyle w:val="BodyText"/>
        <w:rPr>
          <w:lang w:val="en-GB"/>
        </w:rPr>
      </w:pPr>
      <w:r>
        <w:rPr>
          <w:b/>
          <w:lang w:val="en-GB"/>
        </w:rPr>
        <w:t>3.</w:t>
      </w:r>
      <w:r>
        <w:rPr>
          <w:lang w:val="en-GB"/>
        </w:rPr>
        <w:tab/>
      </w:r>
      <w:r>
        <w:rPr>
          <w:lang w:val="en-US"/>
        </w:rPr>
        <w:t>With</w:t>
      </w:r>
      <w:r>
        <w:rPr>
          <w:lang w:val="en-GB"/>
        </w:rPr>
        <w:t xml:space="preserve"> </w:t>
      </w:r>
      <w:r>
        <w:rPr>
          <w:lang w:val="en-US"/>
        </w:rPr>
        <w:t>the</w:t>
      </w:r>
      <w:r>
        <w:rPr>
          <w:lang w:val="en-GB"/>
        </w:rPr>
        <w:t xml:space="preserve"> </w:t>
      </w:r>
      <w:r>
        <w:rPr>
          <w:lang w:val="en-US"/>
        </w:rPr>
        <w:t>participation</w:t>
      </w:r>
      <w:r>
        <w:rPr>
          <w:lang w:val="en-GB"/>
        </w:rPr>
        <w:t xml:space="preserve"> </w:t>
      </w:r>
      <w:r>
        <w:rPr>
          <w:lang w:val="en-US"/>
        </w:rPr>
        <w:t>of</w:t>
      </w:r>
      <w:r>
        <w:rPr>
          <w:lang w:val="en-GB"/>
        </w:rPr>
        <w:t xml:space="preserve"> </w:t>
      </w:r>
      <w:r>
        <w:rPr>
          <w:lang w:val="en-US"/>
        </w:rPr>
        <w:t>the</w:t>
      </w:r>
      <w:r>
        <w:rPr>
          <w:lang w:val="en-GB"/>
        </w:rPr>
        <w:t xml:space="preserve"> </w:t>
      </w:r>
      <w:r>
        <w:rPr>
          <w:lang w:val="en-US"/>
        </w:rPr>
        <w:t>Journalists’ Union of the Athens Daily Newspapers (E.S.I.E.A.), the 25</w:t>
      </w:r>
      <w:r>
        <w:rPr>
          <w:vertAlign w:val="superscript"/>
          <w:lang w:val="en-US"/>
        </w:rPr>
        <w:t>th</w:t>
      </w:r>
      <w:r>
        <w:rPr>
          <w:lang w:val="en-US"/>
        </w:rPr>
        <w:t xml:space="preserve"> World Conference of the International Journalists’ Federation took place in Athens</w:t>
      </w:r>
      <w:r>
        <w:rPr>
          <w:lang w:val="en-GB"/>
        </w:rPr>
        <w:t xml:space="preserve"> (25-30 May 2004); it included a special thematic unit </w:t>
      </w:r>
      <w:r>
        <w:rPr>
          <w:lang w:val="en-US"/>
        </w:rPr>
        <w:t>titled</w:t>
      </w:r>
      <w:r>
        <w:rPr>
          <w:lang w:val="en-GB"/>
        </w:rPr>
        <w:t>: “Creating solidarity for Gender Equality”.</w:t>
      </w:r>
    </w:p>
    <w:p w:rsidR="00000000" w:rsidRDefault="00000000">
      <w:pPr>
        <w:pStyle w:val="BodyText"/>
        <w:rPr>
          <w:lang w:val="en-GB"/>
        </w:rPr>
      </w:pPr>
      <w:r>
        <w:rPr>
          <w:lang w:val="en-GB"/>
        </w:rPr>
        <w:tab/>
      </w:r>
      <w:r>
        <w:rPr>
          <w:lang w:val="en-GB"/>
        </w:rPr>
        <w:tab/>
      </w:r>
      <w:r>
        <w:rPr>
          <w:lang w:val="en-US"/>
        </w:rPr>
        <w:t>All</w:t>
      </w:r>
      <w:r>
        <w:rPr>
          <w:lang w:val="en-GB"/>
        </w:rPr>
        <w:t xml:space="preserve"> subjects </w:t>
      </w:r>
      <w:r>
        <w:rPr>
          <w:lang w:val="en-US"/>
        </w:rPr>
        <w:t>of</w:t>
      </w:r>
      <w:r>
        <w:rPr>
          <w:lang w:val="en-GB"/>
        </w:rPr>
        <w:t xml:space="preserve"> </w:t>
      </w:r>
      <w:r>
        <w:rPr>
          <w:lang w:val="en-US"/>
        </w:rPr>
        <w:t>the</w:t>
      </w:r>
      <w:r>
        <w:rPr>
          <w:lang w:val="en-GB"/>
        </w:rPr>
        <w:t xml:space="preserve"> </w:t>
      </w:r>
      <w:r>
        <w:rPr>
          <w:lang w:val="en-US"/>
        </w:rPr>
        <w:t>Conference</w:t>
      </w:r>
      <w:r>
        <w:rPr>
          <w:lang w:val="en-GB"/>
        </w:rPr>
        <w:t>’</w:t>
      </w:r>
      <w:r>
        <w:rPr>
          <w:lang w:val="en-US"/>
        </w:rPr>
        <w:t>s</w:t>
      </w:r>
      <w:r>
        <w:rPr>
          <w:lang w:val="en-GB"/>
        </w:rPr>
        <w:t xml:space="preserve"> </w:t>
      </w:r>
      <w:r>
        <w:rPr>
          <w:lang w:val="en-US"/>
        </w:rPr>
        <w:t>agenda</w:t>
      </w:r>
      <w:r>
        <w:rPr>
          <w:lang w:val="en-GB"/>
        </w:rPr>
        <w:t xml:space="preserve"> </w:t>
      </w:r>
      <w:r>
        <w:rPr>
          <w:lang w:val="en-US"/>
        </w:rPr>
        <w:t>were</w:t>
      </w:r>
      <w:r>
        <w:rPr>
          <w:lang w:val="en-GB"/>
        </w:rPr>
        <w:t xml:space="preserve"> </w:t>
      </w:r>
      <w:r>
        <w:rPr>
          <w:lang w:val="en-US"/>
        </w:rPr>
        <w:t>related</w:t>
      </w:r>
      <w:r>
        <w:rPr>
          <w:lang w:val="en-GB"/>
        </w:rPr>
        <w:t xml:space="preserve"> </w:t>
      </w:r>
      <w:r>
        <w:rPr>
          <w:lang w:val="en-US"/>
        </w:rPr>
        <w:t>to</w:t>
      </w:r>
      <w:r>
        <w:rPr>
          <w:lang w:val="en-GB"/>
        </w:rPr>
        <w:t xml:space="preserve"> </w:t>
      </w:r>
      <w:r>
        <w:rPr>
          <w:lang w:val="en-US"/>
        </w:rPr>
        <w:t>women</w:t>
      </w:r>
      <w:r>
        <w:rPr>
          <w:lang w:val="en-GB"/>
        </w:rPr>
        <w:t xml:space="preserve"> – conflicts, </w:t>
      </w:r>
      <w:r>
        <w:rPr>
          <w:lang w:val="en-US"/>
        </w:rPr>
        <w:t>strategies</w:t>
      </w:r>
      <w:r>
        <w:rPr>
          <w:lang w:val="en-GB"/>
        </w:rPr>
        <w:t xml:space="preserve"> </w:t>
      </w:r>
      <w:r>
        <w:rPr>
          <w:lang w:val="en-US"/>
        </w:rPr>
        <w:t>to</w:t>
      </w:r>
      <w:r>
        <w:rPr>
          <w:lang w:val="en-GB"/>
        </w:rPr>
        <w:t xml:space="preserve"> </w:t>
      </w:r>
      <w:r>
        <w:rPr>
          <w:lang w:val="en-US"/>
        </w:rPr>
        <w:t>address</w:t>
      </w:r>
      <w:r>
        <w:rPr>
          <w:lang w:val="en-GB"/>
        </w:rPr>
        <w:t xml:space="preserve"> challenges of globalisation, quality in the mass media and the future working programme of the </w:t>
      </w:r>
      <w:r>
        <w:rPr>
          <w:lang w:val="en-US"/>
        </w:rPr>
        <w:t>IFJ (International Federation of Journalists)</w:t>
      </w:r>
      <w:r>
        <w:rPr>
          <w:lang w:val="en-GB"/>
        </w:rPr>
        <w:t>. The panel examined the reasons why gender issues are still margin</w:t>
      </w:r>
      <w:r>
        <w:rPr>
          <w:lang w:val="en-US"/>
        </w:rPr>
        <w:t>al</w:t>
      </w:r>
      <w:r>
        <w:rPr>
          <w:lang w:val="en-GB"/>
        </w:rPr>
        <w:t xml:space="preserve">, </w:t>
      </w:r>
      <w:r>
        <w:rPr>
          <w:lang w:val="en-US"/>
        </w:rPr>
        <w:t>how to bring the action plan for equality at the core of the IFJ work, and the role of training</w:t>
      </w:r>
      <w:r>
        <w:rPr>
          <w:lang w:val="en-GB"/>
        </w:rPr>
        <w:t>. A crucial issue was the need for regional areas’ voice to be heard.</w:t>
      </w:r>
    </w:p>
    <w:p w:rsidR="00000000" w:rsidRDefault="00000000">
      <w:pPr>
        <w:pStyle w:val="Heading2"/>
        <w:spacing w:line="360" w:lineRule="auto"/>
        <w:rPr>
          <w:b/>
          <w:lang w:val="en-GB"/>
        </w:rPr>
      </w:pPr>
      <w:r>
        <w:rPr>
          <w:lang w:val="en-GB"/>
        </w:rPr>
        <w:br w:type="page"/>
      </w:r>
      <w:r>
        <w:rPr>
          <w:b/>
          <w:lang w:val="en-US"/>
        </w:rPr>
        <w:t>ANNEX</w:t>
      </w:r>
      <w:r>
        <w:rPr>
          <w:b/>
          <w:lang w:val="en-GB"/>
        </w:rPr>
        <w:t xml:space="preserve"> B</w:t>
      </w:r>
      <w:r>
        <w:rPr>
          <w:b/>
          <w:lang w:val="en-US"/>
        </w:rPr>
        <w:br/>
      </w:r>
      <w:r>
        <w:rPr>
          <w:lang w:val="en-GB"/>
        </w:rPr>
        <w:t>(</w:t>
      </w:r>
      <w:r>
        <w:rPr>
          <w:lang w:val="en-US"/>
        </w:rPr>
        <w:t>ARTICLE</w:t>
      </w:r>
      <w:r>
        <w:rPr>
          <w:lang w:val="en-GB"/>
        </w:rPr>
        <w:t xml:space="preserve"> 6)</w:t>
      </w:r>
    </w:p>
    <w:p w:rsidR="00000000" w:rsidRDefault="00000000">
      <w:pPr>
        <w:tabs>
          <w:tab w:val="left" w:pos="567"/>
          <w:tab w:val="left" w:pos="1021"/>
          <w:tab w:val="left" w:pos="1474"/>
          <w:tab w:val="left" w:pos="1928"/>
        </w:tabs>
        <w:jc w:val="center"/>
        <w:rPr>
          <w:lang w:val="en-GB"/>
        </w:rPr>
      </w:pPr>
      <w:r>
        <w:rPr>
          <w:lang w:val="en-US"/>
        </w:rPr>
        <w:t>GENERAL SECRETARIAT FOR GENDER EQUALITY</w:t>
      </w:r>
      <w:r>
        <w:rPr>
          <w:lang w:val="en-GB"/>
        </w:rPr>
        <w:t xml:space="preserve"> (2004)</w:t>
      </w:r>
    </w:p>
    <w:p w:rsidR="00000000" w:rsidRDefault="00000000">
      <w:pPr>
        <w:pStyle w:val="Heading2"/>
        <w:tabs>
          <w:tab w:val="left" w:pos="567"/>
          <w:tab w:val="left" w:pos="1021"/>
          <w:tab w:val="left" w:pos="1474"/>
          <w:tab w:val="left" w:pos="1928"/>
        </w:tabs>
        <w:rPr>
          <w:b/>
          <w:sz w:val="22"/>
          <w:lang w:val="en-GB"/>
        </w:rPr>
      </w:pPr>
      <w:r>
        <w:rPr>
          <w:b/>
          <w:sz w:val="22"/>
          <w:lang w:val="en-GB"/>
        </w:rPr>
        <w:t>DOMESTIC VIOLENCE</w:t>
      </w:r>
    </w:p>
    <w:p w:rsidR="00000000" w:rsidRDefault="00000000">
      <w:pPr>
        <w:tabs>
          <w:tab w:val="left" w:pos="567"/>
          <w:tab w:val="left" w:pos="1021"/>
          <w:tab w:val="left" w:pos="1474"/>
          <w:tab w:val="left" w:pos="1928"/>
        </w:tabs>
        <w:jc w:val="center"/>
        <w:rPr>
          <w:b/>
          <w:i/>
          <w:lang w:val="en-GB"/>
        </w:rPr>
      </w:pPr>
      <w:r>
        <w:rPr>
          <w:b/>
          <w:i/>
          <w:lang w:val="en-US"/>
        </w:rPr>
        <w:t>Sample</w:t>
      </w:r>
      <w:r>
        <w:rPr>
          <w:b/>
          <w:i/>
          <w:lang w:val="en-GB"/>
        </w:rPr>
        <w:t xml:space="preserve"> </w:t>
      </w:r>
      <w:r>
        <w:rPr>
          <w:b/>
          <w:i/>
          <w:lang w:val="en-US"/>
        </w:rPr>
        <w:t>statistical development of data on women’s abuse</w:t>
      </w:r>
    </w:p>
    <w:p w:rsidR="00000000" w:rsidRDefault="00000000">
      <w:pPr>
        <w:pStyle w:val="Heading3"/>
        <w:tabs>
          <w:tab w:val="clear" w:pos="340"/>
          <w:tab w:val="left" w:pos="567"/>
          <w:tab w:val="left" w:pos="1021"/>
          <w:tab w:val="left" w:pos="1474"/>
          <w:tab w:val="left" w:pos="1928"/>
        </w:tabs>
        <w:jc w:val="center"/>
        <w:rPr>
          <w:b w:val="0"/>
          <w:lang w:val="en-GB"/>
        </w:rPr>
      </w:pPr>
      <w:r>
        <w:rPr>
          <w:lang w:val="en-US"/>
        </w:rPr>
        <w:t>MAIN CONCLUSIONS</w:t>
      </w:r>
    </w:p>
    <w:p w:rsidR="00000000" w:rsidRDefault="00000000">
      <w:pPr>
        <w:pStyle w:val="BodyText"/>
        <w:rPr>
          <w:lang w:val="en-GB"/>
        </w:rPr>
      </w:pPr>
      <w:r>
        <w:rPr>
          <w:lang w:val="en-US"/>
        </w:rPr>
        <w:tab/>
        <w:t>The activities of the Consultation Centres of Athens - Piraeus</w:t>
      </w:r>
      <w:r>
        <w:rPr>
          <w:lang w:val="en-GB"/>
        </w:rPr>
        <w:t xml:space="preserve"> </w:t>
      </w:r>
      <w:r>
        <w:rPr>
          <w:lang w:val="en-US"/>
        </w:rPr>
        <w:t>of the General Secretariat for Gender Equality</w:t>
      </w:r>
      <w:r>
        <w:rPr>
          <w:lang w:val="en-GB"/>
        </w:rPr>
        <w:t xml:space="preserve">, </w:t>
      </w:r>
      <w:r>
        <w:rPr>
          <w:lang w:val="en-US"/>
        </w:rPr>
        <w:t xml:space="preserve">during the period from </w:t>
      </w:r>
      <w:r>
        <w:rPr>
          <w:lang w:val="en-GB"/>
        </w:rPr>
        <w:t xml:space="preserve">01/01/2004 </w:t>
      </w:r>
      <w:r>
        <w:rPr>
          <w:lang w:val="en-US"/>
        </w:rPr>
        <w:t>to</w:t>
      </w:r>
      <w:r>
        <w:rPr>
          <w:lang w:val="en-GB"/>
        </w:rPr>
        <w:t xml:space="preserve"> 31/10/2004, </w:t>
      </w:r>
      <w:r>
        <w:rPr>
          <w:lang w:val="en-US"/>
        </w:rPr>
        <w:t>have been as follows</w:t>
      </w:r>
      <w:r>
        <w:rPr>
          <w:lang w:val="en-GB"/>
        </w:rPr>
        <w:t>:</w:t>
      </w:r>
    </w:p>
    <w:p w:rsidR="00000000" w:rsidRDefault="00000000">
      <w:pPr>
        <w:pStyle w:val="18-8"/>
        <w:rPr>
          <w:lang w:val="en-GB"/>
        </w:rPr>
      </w:pPr>
      <w:r>
        <w:sym w:font="Symbol" w:char="F0B7"/>
      </w:r>
      <w:r>
        <w:tab/>
      </w:r>
      <w:r>
        <w:rPr>
          <w:lang w:val="en-US"/>
        </w:rPr>
        <w:t>Appointments</w:t>
      </w:r>
      <w:r>
        <w:rPr>
          <w:lang w:val="en-GB"/>
        </w:rPr>
        <w:t>: 728</w:t>
      </w:r>
    </w:p>
    <w:p w:rsidR="00000000" w:rsidRDefault="00000000">
      <w:pPr>
        <w:pStyle w:val="18-8"/>
        <w:rPr>
          <w:lang w:val="en-GB"/>
        </w:rPr>
      </w:pPr>
      <w:r>
        <w:sym w:font="Symbol" w:char="F0B7"/>
      </w:r>
      <w:r>
        <w:tab/>
      </w:r>
      <w:r>
        <w:rPr>
          <w:lang w:val="en-US"/>
        </w:rPr>
        <w:t>Telephone calls</w:t>
      </w:r>
      <w:r>
        <w:rPr>
          <w:lang w:val="en-GB"/>
        </w:rPr>
        <w:t>: 2302</w:t>
      </w:r>
    </w:p>
    <w:p w:rsidR="00000000" w:rsidRDefault="00000000">
      <w:pPr>
        <w:numPr>
          <w:ilvl w:val="1"/>
          <w:numId w:val="373"/>
        </w:numPr>
        <w:tabs>
          <w:tab w:val="clear" w:pos="1440"/>
          <w:tab w:val="left" w:pos="567"/>
          <w:tab w:val="left" w:pos="1021"/>
          <w:tab w:val="left" w:pos="1474"/>
          <w:tab w:val="left" w:pos="1928"/>
        </w:tabs>
        <w:ind w:left="1475" w:hanging="454"/>
        <w:rPr>
          <w:lang w:val="en-GB"/>
        </w:rPr>
      </w:pPr>
      <w:r>
        <w:rPr>
          <w:lang w:val="en-GB"/>
        </w:rPr>
        <w:t xml:space="preserve">16% </w:t>
      </w:r>
      <w:r>
        <w:rPr>
          <w:lang w:val="en-US"/>
        </w:rPr>
        <w:t>of</w:t>
      </w:r>
      <w:r>
        <w:rPr>
          <w:lang w:val="en-GB"/>
        </w:rPr>
        <w:t xml:space="preserve"> the </w:t>
      </w:r>
      <w:r>
        <w:rPr>
          <w:lang w:val="en-US"/>
        </w:rPr>
        <w:t>women</w:t>
      </w:r>
      <w:r>
        <w:rPr>
          <w:lang w:val="en-GB"/>
        </w:rPr>
        <w:t xml:space="preserve"> </w:t>
      </w:r>
      <w:r>
        <w:rPr>
          <w:lang w:val="en-US"/>
        </w:rPr>
        <w:t>who</w:t>
      </w:r>
      <w:r>
        <w:rPr>
          <w:lang w:val="en-GB"/>
        </w:rPr>
        <w:t xml:space="preserve"> </w:t>
      </w:r>
      <w:r>
        <w:rPr>
          <w:lang w:val="en-US"/>
        </w:rPr>
        <w:t>contacted</w:t>
      </w:r>
      <w:r>
        <w:rPr>
          <w:lang w:val="en-GB"/>
        </w:rPr>
        <w:t xml:space="preserve"> </w:t>
      </w:r>
      <w:r>
        <w:rPr>
          <w:lang w:val="en-US"/>
        </w:rPr>
        <w:t>the Consultation Centres</w:t>
      </w:r>
      <w:r>
        <w:rPr>
          <w:lang w:val="en-GB"/>
        </w:rPr>
        <w:t xml:space="preserve">, </w:t>
      </w:r>
      <w:r>
        <w:rPr>
          <w:lang w:val="en-US"/>
        </w:rPr>
        <w:t xml:space="preserve">during the time period from </w:t>
      </w:r>
      <w:r>
        <w:rPr>
          <w:lang w:val="en-GB"/>
        </w:rPr>
        <w:t xml:space="preserve">01/01/2002 </w:t>
      </w:r>
      <w:r>
        <w:rPr>
          <w:lang w:val="en-US"/>
        </w:rPr>
        <w:t>to</w:t>
      </w:r>
      <w:r>
        <w:rPr>
          <w:lang w:val="en-GB"/>
        </w:rPr>
        <w:t xml:space="preserve"> 31/10/2004, were</w:t>
      </w:r>
      <w:r>
        <w:rPr>
          <w:lang w:val="en-US"/>
        </w:rPr>
        <w:t xml:space="preserve"> foreign nationals</w:t>
      </w:r>
      <w:r>
        <w:rPr>
          <w:lang w:val="en-GB"/>
        </w:rPr>
        <w:t xml:space="preserve">. It is noted that </w:t>
      </w:r>
      <w:r>
        <w:rPr>
          <w:u w:val="single"/>
          <w:lang w:val="en-US"/>
        </w:rPr>
        <w:t>of the total number of foreign women</w:t>
      </w:r>
      <w:r>
        <w:rPr>
          <w:u w:val="single"/>
          <w:lang w:val="en-GB"/>
        </w:rPr>
        <w:t xml:space="preserve"> – </w:t>
      </w:r>
      <w:r>
        <w:rPr>
          <w:u w:val="single"/>
          <w:lang w:val="en-US"/>
        </w:rPr>
        <w:t>victims of domestic violence</w:t>
      </w:r>
      <w:r>
        <w:rPr>
          <w:lang w:val="en-GB"/>
        </w:rPr>
        <w:t xml:space="preserve">, </w:t>
      </w:r>
      <w:r>
        <w:rPr>
          <w:lang w:val="en-US"/>
        </w:rPr>
        <w:t>approximately</w:t>
      </w:r>
      <w:r>
        <w:rPr>
          <w:lang w:val="en-GB"/>
        </w:rPr>
        <w:t xml:space="preserve">, </w:t>
      </w:r>
      <w:r>
        <w:rPr>
          <w:u w:val="single"/>
          <w:lang w:val="en-GB"/>
        </w:rPr>
        <w:t xml:space="preserve">4 </w:t>
      </w:r>
      <w:r>
        <w:rPr>
          <w:u w:val="single"/>
          <w:lang w:val="en-US"/>
        </w:rPr>
        <w:t xml:space="preserve">out of </w:t>
      </w:r>
      <w:r>
        <w:rPr>
          <w:u w:val="single"/>
          <w:lang w:val="en-GB"/>
        </w:rPr>
        <w:t xml:space="preserve">10 </w:t>
      </w:r>
      <w:r>
        <w:rPr>
          <w:u w:val="single"/>
          <w:lang w:val="en-US"/>
        </w:rPr>
        <w:t>come from the Balkans</w:t>
      </w:r>
      <w:r>
        <w:rPr>
          <w:lang w:val="en-GB"/>
        </w:rPr>
        <w:t>.</w:t>
      </w:r>
    </w:p>
    <w:p w:rsidR="00000000" w:rsidRDefault="00000000">
      <w:pPr>
        <w:numPr>
          <w:ilvl w:val="1"/>
          <w:numId w:val="373"/>
        </w:numPr>
        <w:tabs>
          <w:tab w:val="clear" w:pos="1440"/>
          <w:tab w:val="left" w:pos="567"/>
          <w:tab w:val="left" w:pos="1021"/>
          <w:tab w:val="left" w:pos="1474"/>
          <w:tab w:val="left" w:pos="1928"/>
        </w:tabs>
        <w:ind w:left="1475" w:hanging="454"/>
        <w:rPr>
          <w:lang w:val="en-GB"/>
        </w:rPr>
      </w:pPr>
      <w:r>
        <w:rPr>
          <w:lang w:val="en-US"/>
        </w:rPr>
        <w:t>The majority of women</w:t>
      </w:r>
      <w:r>
        <w:rPr>
          <w:lang w:val="en-GB"/>
        </w:rPr>
        <w:t>-</w:t>
      </w:r>
      <w:r>
        <w:rPr>
          <w:lang w:val="en-US"/>
        </w:rPr>
        <w:t>victims of domestic violence</w:t>
      </w:r>
      <w:r>
        <w:rPr>
          <w:lang w:val="en-GB"/>
        </w:rPr>
        <w:t xml:space="preserve">, (64%) </w:t>
      </w:r>
      <w:r>
        <w:rPr>
          <w:lang w:val="en-US"/>
        </w:rPr>
        <w:t>belong to the age group from</w:t>
      </w:r>
      <w:r>
        <w:rPr>
          <w:lang w:val="en-GB"/>
        </w:rPr>
        <w:t xml:space="preserve"> 31 to 50 years</w:t>
      </w:r>
      <w:r>
        <w:rPr>
          <w:b/>
          <w:lang w:val="en-GB"/>
        </w:rPr>
        <w:t>.</w:t>
      </w:r>
    </w:p>
    <w:p w:rsidR="00000000" w:rsidRDefault="00000000">
      <w:pPr>
        <w:numPr>
          <w:ilvl w:val="1"/>
          <w:numId w:val="373"/>
        </w:numPr>
        <w:tabs>
          <w:tab w:val="clear" w:pos="1440"/>
          <w:tab w:val="left" w:pos="567"/>
          <w:tab w:val="left" w:pos="1021"/>
          <w:tab w:val="left" w:pos="1474"/>
          <w:tab w:val="left" w:pos="1928"/>
        </w:tabs>
        <w:ind w:left="1475" w:hanging="454"/>
        <w:rPr>
          <w:lang w:val="en-GB"/>
        </w:rPr>
      </w:pPr>
      <w:r>
        <w:rPr>
          <w:lang w:val="en-GB"/>
        </w:rPr>
        <w:t xml:space="preserve">67% </w:t>
      </w:r>
      <w:r>
        <w:rPr>
          <w:lang w:val="en-US"/>
        </w:rPr>
        <w:t>of</w:t>
      </w:r>
      <w:r>
        <w:rPr>
          <w:lang w:val="en-GB"/>
        </w:rPr>
        <w:t xml:space="preserve"> the </w:t>
      </w:r>
      <w:r>
        <w:rPr>
          <w:lang w:val="en-US"/>
        </w:rPr>
        <w:t>women</w:t>
      </w:r>
      <w:r>
        <w:rPr>
          <w:lang w:val="en-GB"/>
        </w:rPr>
        <w:t xml:space="preserve"> </w:t>
      </w:r>
      <w:r>
        <w:rPr>
          <w:lang w:val="en-US"/>
        </w:rPr>
        <w:t>having</w:t>
      </w:r>
      <w:r>
        <w:rPr>
          <w:lang w:val="en-GB"/>
        </w:rPr>
        <w:t xml:space="preserve"> </w:t>
      </w:r>
      <w:r>
        <w:rPr>
          <w:lang w:val="en-US"/>
        </w:rPr>
        <w:t>suffered</w:t>
      </w:r>
      <w:r>
        <w:rPr>
          <w:lang w:val="en-GB"/>
        </w:rPr>
        <w:t xml:space="preserve"> </w:t>
      </w:r>
      <w:r>
        <w:rPr>
          <w:lang w:val="en-US"/>
        </w:rPr>
        <w:t>abuse</w:t>
      </w:r>
      <w:r>
        <w:rPr>
          <w:lang w:val="en-GB"/>
        </w:rPr>
        <w:t xml:space="preserve"> </w:t>
      </w:r>
      <w:r>
        <w:rPr>
          <w:lang w:val="en-US"/>
        </w:rPr>
        <w:t>and contacted the Consultation Centres in Athens and Piraeus</w:t>
      </w:r>
      <w:r>
        <w:rPr>
          <w:lang w:val="en-GB"/>
        </w:rPr>
        <w:t>, are married.</w:t>
      </w:r>
    </w:p>
    <w:p w:rsidR="00000000" w:rsidRDefault="00000000">
      <w:pPr>
        <w:numPr>
          <w:ilvl w:val="1"/>
          <w:numId w:val="373"/>
        </w:numPr>
        <w:tabs>
          <w:tab w:val="clear" w:pos="1440"/>
          <w:tab w:val="left" w:pos="567"/>
          <w:tab w:val="left" w:pos="1021"/>
          <w:tab w:val="left" w:pos="1474"/>
          <w:tab w:val="left" w:pos="1928"/>
        </w:tabs>
        <w:ind w:left="1475" w:hanging="454"/>
        <w:rPr>
          <w:lang w:val="en-GB"/>
        </w:rPr>
      </w:pPr>
      <w:r>
        <w:rPr>
          <w:lang w:val="en-GB"/>
        </w:rPr>
        <w:t xml:space="preserve">Concerning the educational level of women </w:t>
      </w:r>
      <w:r>
        <w:rPr>
          <w:lang w:val="en-US"/>
        </w:rPr>
        <w:t>who visited the Consultation Centres of the General Secretariat for Gender Equality</w:t>
      </w:r>
      <w:r>
        <w:rPr>
          <w:lang w:val="en-GB"/>
        </w:rPr>
        <w:t xml:space="preserve">, it is worth-noting that, approximately, </w:t>
      </w:r>
      <w:r>
        <w:rPr>
          <w:u w:val="single"/>
          <w:lang w:val="en-GB"/>
        </w:rPr>
        <w:t>7 out of 10 are graduates of Secondary, Technological or Tertiary Education Institutes</w:t>
      </w:r>
      <w:r>
        <w:rPr>
          <w:lang w:val="en-GB"/>
        </w:rPr>
        <w:t>. The common belief</w:t>
      </w:r>
      <w:r>
        <w:rPr>
          <w:lang w:val="en-US"/>
        </w:rPr>
        <w:t xml:space="preserve"> that</w:t>
      </w:r>
      <w:r>
        <w:rPr>
          <w:lang w:val="en-GB"/>
        </w:rPr>
        <w:t xml:space="preserve"> </w:t>
      </w:r>
      <w:r>
        <w:rPr>
          <w:lang w:val="en-US"/>
        </w:rPr>
        <w:t>abused women are usually of low educational level is not confirmed</w:t>
      </w:r>
      <w:r>
        <w:rPr>
          <w:rStyle w:val="FootnoteReference"/>
        </w:rPr>
        <w:footnoteReference w:id="37"/>
      </w:r>
      <w:r>
        <w:rPr>
          <w:lang w:val="en-GB"/>
        </w:rPr>
        <w:t xml:space="preserve">. Consequently, </w:t>
      </w:r>
      <w:r>
        <w:rPr>
          <w:lang w:val="en-US"/>
        </w:rPr>
        <w:t>women may become victims of violence, regardless of their educational level</w:t>
      </w:r>
      <w:r>
        <w:rPr>
          <w:lang w:val="en-GB"/>
        </w:rPr>
        <w:t xml:space="preserve">. </w:t>
      </w:r>
    </w:p>
    <w:p w:rsidR="00000000" w:rsidRDefault="00000000">
      <w:pPr>
        <w:numPr>
          <w:ilvl w:val="1"/>
          <w:numId w:val="373"/>
        </w:numPr>
        <w:tabs>
          <w:tab w:val="clear" w:pos="1440"/>
          <w:tab w:val="left" w:pos="567"/>
          <w:tab w:val="left" w:pos="1021"/>
          <w:tab w:val="left" w:pos="1474"/>
          <w:tab w:val="left" w:pos="1928"/>
        </w:tabs>
        <w:ind w:left="1475" w:hanging="454"/>
        <w:rPr>
          <w:lang w:val="en-GB"/>
        </w:rPr>
      </w:pPr>
      <w:r>
        <w:rPr>
          <w:lang w:val="en-GB"/>
        </w:rPr>
        <w:t xml:space="preserve">Of </w:t>
      </w:r>
      <w:r>
        <w:rPr>
          <w:lang w:val="en-US"/>
        </w:rPr>
        <w:t>particular interest is the fact that</w:t>
      </w:r>
      <w:r>
        <w:rPr>
          <w:lang w:val="en-GB"/>
        </w:rPr>
        <w:t xml:space="preserve"> </w:t>
      </w:r>
      <w:r>
        <w:rPr>
          <w:lang w:val="en-US"/>
        </w:rPr>
        <w:t xml:space="preserve">approximately </w:t>
      </w:r>
      <w:r>
        <w:rPr>
          <w:u w:val="single"/>
          <w:lang w:val="en-GB"/>
        </w:rPr>
        <w:t xml:space="preserve">6 </w:t>
      </w:r>
      <w:r>
        <w:rPr>
          <w:u w:val="single"/>
          <w:lang w:val="en-US"/>
        </w:rPr>
        <w:t xml:space="preserve">out of </w:t>
      </w:r>
      <w:r>
        <w:rPr>
          <w:u w:val="single"/>
          <w:lang w:val="en-GB"/>
        </w:rPr>
        <w:t xml:space="preserve">10 </w:t>
      </w:r>
      <w:r>
        <w:rPr>
          <w:u w:val="single"/>
          <w:lang w:val="en-US"/>
        </w:rPr>
        <w:t>women who suffered abuse and</w:t>
      </w:r>
      <w:r>
        <w:rPr>
          <w:u w:val="single"/>
          <w:lang w:val="en-GB"/>
        </w:rPr>
        <w:t xml:space="preserve"> </w:t>
      </w:r>
      <w:r>
        <w:rPr>
          <w:u w:val="single"/>
          <w:lang w:val="en-US"/>
        </w:rPr>
        <w:t>visited the Consultation Centres of Athens</w:t>
      </w:r>
      <w:r>
        <w:rPr>
          <w:u w:val="single"/>
          <w:lang w:val="en-GB"/>
        </w:rPr>
        <w:t xml:space="preserve"> - Piraeus mentioned that they are of a medium or good financial situation</w:t>
      </w:r>
      <w:r>
        <w:rPr>
          <w:lang w:val="en-GB"/>
        </w:rPr>
        <w:t>.</w:t>
      </w:r>
    </w:p>
    <w:p w:rsidR="00000000" w:rsidRDefault="00000000">
      <w:pPr>
        <w:numPr>
          <w:ilvl w:val="1"/>
          <w:numId w:val="373"/>
        </w:numPr>
        <w:tabs>
          <w:tab w:val="clear" w:pos="1440"/>
          <w:tab w:val="left" w:pos="567"/>
          <w:tab w:val="left" w:pos="1021"/>
          <w:tab w:val="left" w:pos="1474"/>
          <w:tab w:val="left" w:pos="1928"/>
        </w:tabs>
        <w:ind w:left="1475" w:hanging="454"/>
        <w:rPr>
          <w:lang w:val="en-GB"/>
        </w:rPr>
      </w:pPr>
      <w:r>
        <w:rPr>
          <w:lang w:val="en-US"/>
        </w:rPr>
        <w:t>Out</w:t>
      </w:r>
      <w:r>
        <w:rPr>
          <w:lang w:val="en-GB"/>
        </w:rPr>
        <w:t xml:space="preserve"> </w:t>
      </w:r>
      <w:r>
        <w:rPr>
          <w:lang w:val="en-US"/>
        </w:rPr>
        <w:t>of</w:t>
      </w:r>
      <w:r>
        <w:rPr>
          <w:lang w:val="en-GB"/>
        </w:rPr>
        <w:t xml:space="preserve"> </w:t>
      </w:r>
      <w:r>
        <w:rPr>
          <w:lang w:val="en-US"/>
        </w:rPr>
        <w:t>the</w:t>
      </w:r>
      <w:r>
        <w:rPr>
          <w:lang w:val="en-GB"/>
        </w:rPr>
        <w:t xml:space="preserve"> </w:t>
      </w:r>
      <w:r>
        <w:rPr>
          <w:lang w:val="en-US"/>
        </w:rPr>
        <w:t>total</w:t>
      </w:r>
      <w:r>
        <w:rPr>
          <w:lang w:val="en-GB"/>
        </w:rPr>
        <w:t xml:space="preserve"> </w:t>
      </w:r>
      <w:r>
        <w:rPr>
          <w:lang w:val="en-US"/>
        </w:rPr>
        <w:t>sample</w:t>
      </w:r>
      <w:r>
        <w:rPr>
          <w:lang w:val="en-GB"/>
        </w:rPr>
        <w:t xml:space="preserve"> </w:t>
      </w:r>
      <w:r>
        <w:rPr>
          <w:lang w:val="en-US"/>
        </w:rPr>
        <w:t>of</w:t>
      </w:r>
      <w:r>
        <w:rPr>
          <w:lang w:val="en-GB"/>
        </w:rPr>
        <w:t xml:space="preserve"> </w:t>
      </w:r>
      <w:r>
        <w:rPr>
          <w:lang w:val="en-US"/>
        </w:rPr>
        <w:t>women</w:t>
      </w:r>
      <w:r>
        <w:rPr>
          <w:lang w:val="en-GB"/>
        </w:rPr>
        <w:t xml:space="preserve"> who </w:t>
      </w:r>
      <w:r>
        <w:rPr>
          <w:lang w:val="en-US"/>
        </w:rPr>
        <w:t>visited</w:t>
      </w:r>
      <w:r>
        <w:rPr>
          <w:lang w:val="en-GB"/>
        </w:rPr>
        <w:t xml:space="preserve"> </w:t>
      </w:r>
      <w:r>
        <w:rPr>
          <w:lang w:val="en-US"/>
        </w:rPr>
        <w:t>the</w:t>
      </w:r>
      <w:r>
        <w:rPr>
          <w:lang w:val="en-GB"/>
        </w:rPr>
        <w:t xml:space="preserve"> </w:t>
      </w:r>
      <w:r>
        <w:rPr>
          <w:lang w:val="en-US"/>
        </w:rPr>
        <w:t>Consultation Centres</w:t>
      </w:r>
      <w:r>
        <w:rPr>
          <w:lang w:val="en-GB"/>
        </w:rPr>
        <w:t xml:space="preserve"> </w:t>
      </w:r>
      <w:r>
        <w:rPr>
          <w:lang w:val="en-US"/>
        </w:rPr>
        <w:t>of</w:t>
      </w:r>
      <w:r>
        <w:rPr>
          <w:lang w:val="en-GB"/>
        </w:rPr>
        <w:t xml:space="preserve"> </w:t>
      </w:r>
      <w:r>
        <w:rPr>
          <w:lang w:val="en-US"/>
        </w:rPr>
        <w:t>Athens</w:t>
      </w:r>
      <w:r>
        <w:rPr>
          <w:lang w:val="en-GB"/>
        </w:rPr>
        <w:t xml:space="preserve"> </w:t>
      </w:r>
      <w:r>
        <w:rPr>
          <w:lang w:val="en-US"/>
        </w:rPr>
        <w:t>and</w:t>
      </w:r>
      <w:r>
        <w:rPr>
          <w:lang w:val="en-GB"/>
        </w:rPr>
        <w:t xml:space="preserve"> </w:t>
      </w:r>
      <w:r>
        <w:rPr>
          <w:lang w:val="en-US"/>
        </w:rPr>
        <w:t>Piraeus</w:t>
      </w:r>
      <w:r>
        <w:rPr>
          <w:lang w:val="en-GB"/>
        </w:rPr>
        <w:t>, only</w:t>
      </w:r>
      <w:r>
        <w:rPr>
          <w:lang w:val="en-US"/>
        </w:rPr>
        <w:t xml:space="preserve"> </w:t>
      </w:r>
      <w:r>
        <w:rPr>
          <w:lang w:val="en-GB"/>
        </w:rPr>
        <w:t xml:space="preserve">22% stated that they had suffered abuse in the past (by father, mother, brother, etc.), while the remaining </w:t>
      </w:r>
      <w:r>
        <w:rPr>
          <w:u w:val="single"/>
          <w:lang w:val="en-GB"/>
        </w:rPr>
        <w:t>78% stated that they had not been victims of abuse in the past</w:t>
      </w:r>
      <w:r>
        <w:rPr>
          <w:lang w:val="en-GB"/>
        </w:rPr>
        <w:t>.</w:t>
      </w:r>
    </w:p>
    <w:p w:rsidR="00000000" w:rsidRDefault="00000000">
      <w:pPr>
        <w:pStyle w:val="BodyText"/>
        <w:rPr>
          <w:lang w:val="en-GB"/>
        </w:rPr>
      </w:pPr>
      <w:r>
        <w:rPr>
          <w:lang w:val="en-GB"/>
        </w:rPr>
        <w:br w:type="page"/>
      </w:r>
      <w:r>
        <w:rPr>
          <w:lang w:val="en-GB"/>
        </w:rPr>
        <w:tab/>
        <w:t xml:space="preserve">Consequently, </w:t>
      </w:r>
      <w:r>
        <w:rPr>
          <w:lang w:val="en-US"/>
        </w:rPr>
        <w:t xml:space="preserve">tolerance of violent behaviour does not necessarily </w:t>
      </w:r>
      <w:r>
        <w:rPr>
          <w:lang w:val="en-GB"/>
        </w:rPr>
        <w:t xml:space="preserve">imply abuse of the woman-victim in the past (by father, mother or brother). </w:t>
      </w:r>
    </w:p>
    <w:p w:rsidR="00000000" w:rsidRDefault="00000000">
      <w:pPr>
        <w:numPr>
          <w:ilvl w:val="1"/>
          <w:numId w:val="373"/>
        </w:numPr>
        <w:tabs>
          <w:tab w:val="clear" w:pos="1440"/>
          <w:tab w:val="left" w:pos="567"/>
          <w:tab w:val="left" w:pos="1021"/>
          <w:tab w:val="left" w:pos="1474"/>
          <w:tab w:val="left" w:pos="1928"/>
        </w:tabs>
        <w:ind w:left="1475" w:hanging="454"/>
        <w:rPr>
          <w:lang w:val="en-GB"/>
        </w:rPr>
      </w:pPr>
      <w:r>
        <w:rPr>
          <w:lang w:val="en-US"/>
        </w:rPr>
        <w:t>It is worth-noting</w:t>
      </w:r>
      <w:r>
        <w:rPr>
          <w:lang w:val="en-GB"/>
        </w:rPr>
        <w:t xml:space="preserve"> </w:t>
      </w:r>
      <w:r>
        <w:rPr>
          <w:lang w:val="en-US"/>
        </w:rPr>
        <w:t>that</w:t>
      </w:r>
      <w:r>
        <w:rPr>
          <w:lang w:val="en-GB"/>
        </w:rPr>
        <w:t xml:space="preserve"> </w:t>
      </w:r>
      <w:r>
        <w:rPr>
          <w:u w:val="single"/>
          <w:lang w:val="en-GB"/>
        </w:rPr>
        <w:t xml:space="preserve">1 </w:t>
      </w:r>
      <w:r>
        <w:rPr>
          <w:u w:val="single"/>
          <w:lang w:val="en-US"/>
        </w:rPr>
        <w:t xml:space="preserve">out of </w:t>
      </w:r>
      <w:r>
        <w:rPr>
          <w:u w:val="single"/>
          <w:lang w:val="en-GB"/>
        </w:rPr>
        <w:t xml:space="preserve">3 </w:t>
      </w:r>
      <w:r>
        <w:rPr>
          <w:u w:val="single"/>
          <w:lang w:val="en-US"/>
        </w:rPr>
        <w:t>women victims of domestic violence</w:t>
      </w:r>
      <w:r>
        <w:rPr>
          <w:u w:val="single"/>
          <w:lang w:val="en-GB"/>
        </w:rPr>
        <w:t xml:space="preserve"> 33% </w:t>
      </w:r>
      <w:r>
        <w:rPr>
          <w:u w:val="single"/>
          <w:lang w:val="en-US"/>
        </w:rPr>
        <w:t>had suffered abuse</w:t>
      </w:r>
      <w:r>
        <w:rPr>
          <w:lang w:val="en-GB"/>
        </w:rPr>
        <w:t xml:space="preserve"> (</w:t>
      </w:r>
      <w:r>
        <w:rPr>
          <w:lang w:val="en-US"/>
        </w:rPr>
        <w:t>psychological</w:t>
      </w:r>
      <w:r>
        <w:rPr>
          <w:lang w:val="en-GB"/>
        </w:rPr>
        <w:t xml:space="preserve">, </w:t>
      </w:r>
      <w:r>
        <w:rPr>
          <w:lang w:val="en-US"/>
        </w:rPr>
        <w:t>physical</w:t>
      </w:r>
      <w:r>
        <w:rPr>
          <w:lang w:val="en-GB"/>
        </w:rPr>
        <w:t xml:space="preserve"> </w:t>
      </w:r>
      <w:r>
        <w:rPr>
          <w:lang w:val="en-US"/>
        </w:rPr>
        <w:t>or sexual</w:t>
      </w:r>
      <w:r>
        <w:rPr>
          <w:lang w:val="en-GB"/>
        </w:rPr>
        <w:t xml:space="preserve">) </w:t>
      </w:r>
      <w:r>
        <w:rPr>
          <w:u w:val="single"/>
          <w:lang w:val="en-US"/>
        </w:rPr>
        <w:t>by the perpetrator</w:t>
      </w:r>
      <w:r>
        <w:rPr>
          <w:u w:val="single"/>
          <w:lang w:val="en-GB"/>
        </w:rPr>
        <w:t xml:space="preserve"> before deciding to marry him</w:t>
      </w:r>
      <w:r>
        <w:rPr>
          <w:lang w:val="en-GB"/>
        </w:rPr>
        <w:t xml:space="preserve">. However, </w:t>
      </w:r>
      <w:r>
        <w:rPr>
          <w:lang w:val="en-US"/>
        </w:rPr>
        <w:t>this fact did not prevent them from getting married to the perpetrator</w:t>
      </w:r>
      <w:r>
        <w:rPr>
          <w:lang w:val="en-GB"/>
        </w:rPr>
        <w:t>.</w:t>
      </w:r>
    </w:p>
    <w:p w:rsidR="00000000" w:rsidRDefault="00000000">
      <w:pPr>
        <w:numPr>
          <w:ilvl w:val="1"/>
          <w:numId w:val="373"/>
        </w:numPr>
        <w:tabs>
          <w:tab w:val="clear" w:pos="1440"/>
          <w:tab w:val="left" w:pos="567"/>
          <w:tab w:val="left" w:pos="1021"/>
          <w:tab w:val="left" w:pos="1474"/>
          <w:tab w:val="left" w:pos="1928"/>
        </w:tabs>
        <w:ind w:left="1475" w:hanging="454"/>
        <w:rPr>
          <w:lang w:val="en-GB"/>
        </w:rPr>
      </w:pPr>
      <w:r>
        <w:rPr>
          <w:lang w:val="en-US"/>
        </w:rPr>
        <w:t>Concerning</w:t>
      </w:r>
      <w:r>
        <w:rPr>
          <w:lang w:val="en-GB"/>
        </w:rPr>
        <w:t xml:space="preserve"> </w:t>
      </w:r>
      <w:r>
        <w:rPr>
          <w:lang w:val="en-US"/>
        </w:rPr>
        <w:t>the</w:t>
      </w:r>
      <w:r>
        <w:rPr>
          <w:lang w:val="en-GB"/>
        </w:rPr>
        <w:t xml:space="preserve"> </w:t>
      </w:r>
      <w:r>
        <w:rPr>
          <w:lang w:val="en-US"/>
        </w:rPr>
        <w:t>relationship</w:t>
      </w:r>
      <w:r>
        <w:rPr>
          <w:lang w:val="en-GB"/>
        </w:rPr>
        <w:t xml:space="preserve"> </w:t>
      </w:r>
      <w:r>
        <w:rPr>
          <w:lang w:val="en-US"/>
        </w:rPr>
        <w:t>between</w:t>
      </w:r>
      <w:r>
        <w:rPr>
          <w:lang w:val="en-GB"/>
        </w:rPr>
        <w:t xml:space="preserve"> the </w:t>
      </w:r>
      <w:r>
        <w:rPr>
          <w:lang w:val="en-US"/>
        </w:rPr>
        <w:t>woman</w:t>
      </w:r>
      <w:r>
        <w:rPr>
          <w:lang w:val="en-GB"/>
        </w:rPr>
        <w:t>-</w:t>
      </w:r>
      <w:r>
        <w:rPr>
          <w:lang w:val="en-US"/>
        </w:rPr>
        <w:t>victim</w:t>
      </w:r>
      <w:r>
        <w:rPr>
          <w:lang w:val="en-GB"/>
        </w:rPr>
        <w:t xml:space="preserve"> </w:t>
      </w:r>
      <w:r>
        <w:rPr>
          <w:lang w:val="en-US"/>
        </w:rPr>
        <w:t>and</w:t>
      </w:r>
      <w:r>
        <w:rPr>
          <w:lang w:val="en-GB"/>
        </w:rPr>
        <w:t xml:space="preserve"> the </w:t>
      </w:r>
      <w:r>
        <w:rPr>
          <w:lang w:val="en-US"/>
        </w:rPr>
        <w:t>perpetrator</w:t>
      </w:r>
      <w:r>
        <w:rPr>
          <w:lang w:val="en-GB"/>
        </w:rPr>
        <w:t xml:space="preserve">, </w:t>
      </w:r>
      <w:r>
        <w:rPr>
          <w:lang w:val="en-US"/>
        </w:rPr>
        <w:t>in</w:t>
      </w:r>
      <w:r>
        <w:rPr>
          <w:lang w:val="en-GB"/>
        </w:rPr>
        <w:t xml:space="preserve"> 82% </w:t>
      </w:r>
      <w:r>
        <w:rPr>
          <w:lang w:val="en-US"/>
        </w:rPr>
        <w:t>of</w:t>
      </w:r>
      <w:r>
        <w:rPr>
          <w:lang w:val="en-GB"/>
        </w:rPr>
        <w:t xml:space="preserve"> </w:t>
      </w:r>
      <w:r>
        <w:rPr>
          <w:lang w:val="en-US"/>
        </w:rPr>
        <w:t>the</w:t>
      </w:r>
      <w:r>
        <w:rPr>
          <w:lang w:val="en-GB"/>
        </w:rPr>
        <w:t xml:space="preserve"> </w:t>
      </w:r>
      <w:r>
        <w:rPr>
          <w:lang w:val="en-US"/>
        </w:rPr>
        <w:t>cases</w:t>
      </w:r>
      <w:r>
        <w:rPr>
          <w:lang w:val="en-GB"/>
        </w:rPr>
        <w:t xml:space="preserve">, the </w:t>
      </w:r>
      <w:r>
        <w:rPr>
          <w:lang w:val="en-US"/>
        </w:rPr>
        <w:t>perpetrator</w:t>
      </w:r>
      <w:r>
        <w:rPr>
          <w:lang w:val="en-GB"/>
        </w:rPr>
        <w:t xml:space="preserve"> </w:t>
      </w:r>
      <w:r>
        <w:rPr>
          <w:lang w:val="en-US"/>
        </w:rPr>
        <w:t>is</w:t>
      </w:r>
      <w:r>
        <w:rPr>
          <w:lang w:val="en-GB"/>
        </w:rPr>
        <w:t xml:space="preserve"> </w:t>
      </w:r>
      <w:r>
        <w:rPr>
          <w:lang w:val="en-US"/>
        </w:rPr>
        <w:t>the</w:t>
      </w:r>
      <w:r>
        <w:rPr>
          <w:lang w:val="en-GB"/>
        </w:rPr>
        <w:t xml:space="preserve"> </w:t>
      </w:r>
      <w:r>
        <w:rPr>
          <w:lang w:val="en-US"/>
        </w:rPr>
        <w:t>husband of the victim</w:t>
      </w:r>
      <w:r>
        <w:rPr>
          <w:lang w:val="en-GB"/>
        </w:rPr>
        <w:t xml:space="preserve">, 11% he </w:t>
      </w:r>
      <w:r>
        <w:rPr>
          <w:lang w:val="en-US"/>
        </w:rPr>
        <w:t>is the partner</w:t>
      </w:r>
      <w:r>
        <w:rPr>
          <w:lang w:val="en-GB"/>
        </w:rPr>
        <w:t>,</w:t>
      </w:r>
      <w:r>
        <w:rPr>
          <w:lang w:val="en-US"/>
        </w:rPr>
        <w:t xml:space="preserve"> while</w:t>
      </w:r>
      <w:r>
        <w:rPr>
          <w:lang w:val="en-GB"/>
        </w:rPr>
        <w:t xml:space="preserve"> the percentage of cases of women’s abuse in which the perpetrator belongs to their family or social environment is lower.</w:t>
      </w:r>
    </w:p>
    <w:p w:rsidR="00000000" w:rsidRDefault="00000000">
      <w:pPr>
        <w:numPr>
          <w:ilvl w:val="1"/>
          <w:numId w:val="373"/>
        </w:numPr>
        <w:tabs>
          <w:tab w:val="clear" w:pos="1440"/>
          <w:tab w:val="left" w:pos="567"/>
          <w:tab w:val="left" w:pos="1021"/>
          <w:tab w:val="left" w:pos="1474"/>
          <w:tab w:val="left" w:pos="1928"/>
        </w:tabs>
        <w:ind w:left="1475" w:hanging="454"/>
        <w:rPr>
          <w:lang w:val="en-GB"/>
        </w:rPr>
      </w:pPr>
      <w:r>
        <w:rPr>
          <w:lang w:val="en-US"/>
        </w:rPr>
        <w:t>Examination</w:t>
      </w:r>
      <w:r>
        <w:rPr>
          <w:lang w:val="en-GB"/>
        </w:rPr>
        <w:t xml:space="preserve"> of </w:t>
      </w:r>
      <w:r>
        <w:rPr>
          <w:lang w:val="en-US"/>
        </w:rPr>
        <w:t>the duration</w:t>
      </w:r>
      <w:r>
        <w:rPr>
          <w:lang w:val="en-GB"/>
        </w:rPr>
        <w:t xml:space="preserve"> </w:t>
      </w:r>
      <w:r>
        <w:rPr>
          <w:lang w:val="en-US"/>
        </w:rPr>
        <w:t>of</w:t>
      </w:r>
      <w:r>
        <w:rPr>
          <w:lang w:val="en-GB"/>
        </w:rPr>
        <w:t xml:space="preserve"> </w:t>
      </w:r>
      <w:r>
        <w:rPr>
          <w:lang w:val="en-US"/>
        </w:rPr>
        <w:t>the</w:t>
      </w:r>
      <w:r>
        <w:rPr>
          <w:lang w:val="en-GB"/>
        </w:rPr>
        <w:t xml:space="preserve"> </w:t>
      </w:r>
      <w:r>
        <w:rPr>
          <w:lang w:val="en-US"/>
        </w:rPr>
        <w:t>relationship</w:t>
      </w:r>
      <w:r>
        <w:rPr>
          <w:lang w:val="en-GB"/>
        </w:rPr>
        <w:t xml:space="preserve"> </w:t>
      </w:r>
      <w:r>
        <w:rPr>
          <w:lang w:val="en-US"/>
        </w:rPr>
        <w:t>between</w:t>
      </w:r>
      <w:r>
        <w:rPr>
          <w:lang w:val="en-GB"/>
        </w:rPr>
        <w:t xml:space="preserve"> </w:t>
      </w:r>
      <w:r>
        <w:rPr>
          <w:lang w:val="en-US"/>
        </w:rPr>
        <w:t>woman-victim and perpetrator</w:t>
      </w:r>
      <w:r>
        <w:rPr>
          <w:lang w:val="en-GB"/>
        </w:rPr>
        <w:t>,</w:t>
      </w:r>
      <w:r>
        <w:rPr>
          <w:lang w:val="en-US"/>
        </w:rPr>
        <w:t xml:space="preserve"> showed that approximately </w:t>
      </w:r>
      <w:r>
        <w:rPr>
          <w:u w:val="single"/>
          <w:lang w:val="en-GB"/>
        </w:rPr>
        <w:t xml:space="preserve">5 </w:t>
      </w:r>
      <w:r>
        <w:rPr>
          <w:u w:val="single"/>
          <w:lang w:val="en-US"/>
        </w:rPr>
        <w:t xml:space="preserve">out of </w:t>
      </w:r>
      <w:r>
        <w:rPr>
          <w:u w:val="single"/>
          <w:lang w:val="en-GB"/>
        </w:rPr>
        <w:t xml:space="preserve">10 </w:t>
      </w:r>
      <w:r>
        <w:rPr>
          <w:u w:val="single"/>
          <w:lang w:val="en-US"/>
        </w:rPr>
        <w:t>women</w:t>
      </w:r>
      <w:r>
        <w:rPr>
          <w:u w:val="single"/>
          <w:lang w:val="en-GB"/>
        </w:rPr>
        <w:t>-</w:t>
      </w:r>
      <w:r>
        <w:rPr>
          <w:u w:val="single"/>
          <w:lang w:val="en-US"/>
        </w:rPr>
        <w:t>victims</w:t>
      </w:r>
      <w:r>
        <w:rPr>
          <w:u w:val="single"/>
          <w:lang w:val="en-GB"/>
        </w:rPr>
        <w:t xml:space="preserve"> </w:t>
      </w:r>
      <w:r>
        <w:rPr>
          <w:u w:val="single"/>
          <w:lang w:val="en-US"/>
        </w:rPr>
        <w:t>of domestic violence</w:t>
      </w:r>
      <w:r>
        <w:rPr>
          <w:u w:val="single"/>
          <w:lang w:val="en-GB"/>
        </w:rPr>
        <w:t xml:space="preserve"> have been in the relationship for more than 16 years</w:t>
      </w:r>
      <w:r>
        <w:rPr>
          <w:lang w:val="en-GB"/>
        </w:rPr>
        <w:t xml:space="preserve">. </w:t>
      </w:r>
    </w:p>
    <w:p w:rsidR="00000000" w:rsidRDefault="00000000">
      <w:pPr>
        <w:numPr>
          <w:ilvl w:val="1"/>
          <w:numId w:val="373"/>
        </w:numPr>
        <w:tabs>
          <w:tab w:val="clear" w:pos="1440"/>
          <w:tab w:val="left" w:pos="567"/>
          <w:tab w:val="left" w:pos="1021"/>
          <w:tab w:val="left" w:pos="1474"/>
          <w:tab w:val="left" w:pos="1928"/>
        </w:tabs>
        <w:ind w:left="1475" w:hanging="454"/>
        <w:rPr>
          <w:lang w:val="en-GB"/>
        </w:rPr>
      </w:pPr>
      <w:r>
        <w:rPr>
          <w:lang w:val="en-US"/>
        </w:rPr>
        <w:t>The majority of women</w:t>
      </w:r>
      <w:r>
        <w:rPr>
          <w:lang w:val="en-GB"/>
        </w:rPr>
        <w:t xml:space="preserve"> </w:t>
      </w:r>
      <w:r>
        <w:rPr>
          <w:lang w:val="en-US"/>
        </w:rPr>
        <w:t>that contacted the Consultation Centres of the General Secretariat for Gender Equality</w:t>
      </w:r>
      <w:r>
        <w:rPr>
          <w:lang w:val="en-GB"/>
        </w:rPr>
        <w:t xml:space="preserve">, </w:t>
      </w:r>
      <w:r>
        <w:rPr>
          <w:lang w:val="en-US"/>
        </w:rPr>
        <w:t xml:space="preserve">during the period from </w:t>
      </w:r>
      <w:r>
        <w:rPr>
          <w:lang w:val="en-GB"/>
        </w:rPr>
        <w:t>01/01/2002 to 31/10/2004, had suffered – at a percentage of 65%- a combination of psychological and physical violence, 21% of them had suffered psychological, physical, and sexual violence, while 14% of them had suffered psychological violence.</w:t>
      </w:r>
    </w:p>
    <w:p w:rsidR="00000000" w:rsidRDefault="00000000">
      <w:pPr>
        <w:numPr>
          <w:ilvl w:val="1"/>
          <w:numId w:val="373"/>
        </w:numPr>
        <w:tabs>
          <w:tab w:val="clear" w:pos="1440"/>
          <w:tab w:val="left" w:pos="567"/>
          <w:tab w:val="left" w:pos="1021"/>
          <w:tab w:val="left" w:pos="1474"/>
          <w:tab w:val="left" w:pos="1928"/>
        </w:tabs>
        <w:ind w:left="1475" w:hanging="454"/>
        <w:rPr>
          <w:lang w:val="en-GB"/>
        </w:rPr>
      </w:pPr>
      <w:r>
        <w:rPr>
          <w:u w:val="single"/>
          <w:lang w:val="en-GB"/>
        </w:rPr>
        <w:t xml:space="preserve">3 </w:t>
      </w:r>
      <w:r>
        <w:rPr>
          <w:u w:val="single"/>
          <w:lang w:val="en-US"/>
        </w:rPr>
        <w:t>out</w:t>
      </w:r>
      <w:r>
        <w:rPr>
          <w:u w:val="single"/>
          <w:lang w:val="en-GB"/>
        </w:rPr>
        <w:t xml:space="preserve"> </w:t>
      </w:r>
      <w:r>
        <w:rPr>
          <w:u w:val="single"/>
          <w:lang w:val="en-US"/>
        </w:rPr>
        <w:t>of</w:t>
      </w:r>
      <w:r>
        <w:rPr>
          <w:u w:val="single"/>
          <w:lang w:val="en-GB"/>
        </w:rPr>
        <w:t xml:space="preserve"> 4 </w:t>
      </w:r>
      <w:r>
        <w:rPr>
          <w:u w:val="single"/>
          <w:lang w:val="en-US"/>
        </w:rPr>
        <w:t>women</w:t>
      </w:r>
      <w:r>
        <w:rPr>
          <w:u w:val="single"/>
          <w:lang w:val="en-GB"/>
        </w:rPr>
        <w:t>-</w:t>
      </w:r>
      <w:r>
        <w:rPr>
          <w:u w:val="single"/>
          <w:lang w:val="en-US"/>
        </w:rPr>
        <w:t>victims</w:t>
      </w:r>
      <w:r>
        <w:rPr>
          <w:u w:val="single"/>
          <w:lang w:val="en-GB"/>
        </w:rPr>
        <w:t xml:space="preserve"> </w:t>
      </w:r>
      <w:r>
        <w:rPr>
          <w:u w:val="single"/>
          <w:lang w:val="en-US"/>
        </w:rPr>
        <w:t>of</w:t>
      </w:r>
      <w:r>
        <w:rPr>
          <w:u w:val="single"/>
          <w:lang w:val="en-GB"/>
        </w:rPr>
        <w:t xml:space="preserve"> </w:t>
      </w:r>
      <w:r>
        <w:rPr>
          <w:u w:val="single"/>
          <w:lang w:val="en-US"/>
        </w:rPr>
        <w:t>domestic</w:t>
      </w:r>
      <w:r>
        <w:rPr>
          <w:u w:val="single"/>
          <w:lang w:val="en-GB"/>
        </w:rPr>
        <w:t xml:space="preserve"> </w:t>
      </w:r>
      <w:r>
        <w:rPr>
          <w:u w:val="single"/>
          <w:lang w:val="en-US"/>
        </w:rPr>
        <w:t>violence</w:t>
      </w:r>
      <w:r>
        <w:rPr>
          <w:u w:val="single"/>
          <w:lang w:val="en-GB"/>
        </w:rPr>
        <w:t xml:space="preserve"> </w:t>
      </w:r>
      <w:r>
        <w:rPr>
          <w:u w:val="single"/>
          <w:lang w:val="en-US"/>
        </w:rPr>
        <w:t>had</w:t>
      </w:r>
      <w:r>
        <w:rPr>
          <w:u w:val="single"/>
          <w:lang w:val="en-GB"/>
        </w:rPr>
        <w:t xml:space="preserve"> </w:t>
      </w:r>
      <w:r>
        <w:rPr>
          <w:u w:val="single"/>
          <w:lang w:val="en-US"/>
        </w:rPr>
        <w:t>sought</w:t>
      </w:r>
      <w:r>
        <w:rPr>
          <w:u w:val="single"/>
          <w:lang w:val="en-GB"/>
        </w:rPr>
        <w:t xml:space="preserve"> </w:t>
      </w:r>
      <w:r>
        <w:rPr>
          <w:u w:val="single"/>
          <w:lang w:val="en-US"/>
        </w:rPr>
        <w:t>help</w:t>
      </w:r>
      <w:r>
        <w:rPr>
          <w:u w:val="single"/>
          <w:lang w:val="en-GB"/>
        </w:rPr>
        <w:t xml:space="preserve"> </w:t>
      </w:r>
      <w:r>
        <w:rPr>
          <w:u w:val="single"/>
          <w:lang w:val="en-US"/>
        </w:rPr>
        <w:t>in</w:t>
      </w:r>
      <w:r>
        <w:rPr>
          <w:u w:val="single"/>
          <w:lang w:val="en-GB"/>
        </w:rPr>
        <w:t xml:space="preserve"> </w:t>
      </w:r>
      <w:r>
        <w:rPr>
          <w:u w:val="single"/>
          <w:lang w:val="en-US"/>
        </w:rPr>
        <w:t>the</w:t>
      </w:r>
      <w:r>
        <w:rPr>
          <w:u w:val="single"/>
          <w:lang w:val="en-GB"/>
        </w:rPr>
        <w:t xml:space="preserve"> </w:t>
      </w:r>
      <w:r>
        <w:rPr>
          <w:u w:val="single"/>
          <w:lang w:val="en-US"/>
        </w:rPr>
        <w:t>past</w:t>
      </w:r>
      <w:r>
        <w:rPr>
          <w:lang w:val="en-GB"/>
        </w:rPr>
        <w:t xml:space="preserve"> (</w:t>
      </w:r>
      <w:r>
        <w:rPr>
          <w:lang w:val="en-US"/>
        </w:rPr>
        <w:t>Police</w:t>
      </w:r>
      <w:r>
        <w:rPr>
          <w:lang w:val="en-GB"/>
        </w:rPr>
        <w:t xml:space="preserve">, Courts, Hospitals, Welfare Services etc.), before </w:t>
      </w:r>
      <w:r>
        <w:rPr>
          <w:u w:val="single"/>
          <w:lang w:val="en-US"/>
        </w:rPr>
        <w:t>contacting the Consultation Centres of the General Secretariat for Gender Equality</w:t>
      </w:r>
      <w:r>
        <w:rPr>
          <w:lang w:val="en-GB"/>
        </w:rPr>
        <w:t xml:space="preserve">. This implies </w:t>
      </w:r>
      <w:r>
        <w:rPr>
          <w:lang w:val="en-US"/>
        </w:rPr>
        <w:t>the</w:t>
      </w:r>
      <w:r>
        <w:rPr>
          <w:lang w:val="en-GB"/>
        </w:rPr>
        <w:t xml:space="preserve"> </w:t>
      </w:r>
      <w:r>
        <w:rPr>
          <w:lang w:val="en-US"/>
        </w:rPr>
        <w:t>existence</w:t>
      </w:r>
      <w:r>
        <w:rPr>
          <w:lang w:val="en-GB"/>
        </w:rPr>
        <w:t xml:space="preserve"> </w:t>
      </w:r>
      <w:r>
        <w:rPr>
          <w:lang w:val="en-US"/>
        </w:rPr>
        <w:t>of</w:t>
      </w:r>
      <w:r>
        <w:rPr>
          <w:lang w:val="en-GB"/>
        </w:rPr>
        <w:t xml:space="preserve"> </w:t>
      </w:r>
      <w:r>
        <w:rPr>
          <w:lang w:val="en-US"/>
        </w:rPr>
        <w:t>real</w:t>
      </w:r>
      <w:r>
        <w:rPr>
          <w:lang w:val="en-GB"/>
        </w:rPr>
        <w:t xml:space="preserve"> </w:t>
      </w:r>
      <w:r>
        <w:rPr>
          <w:lang w:val="en-US"/>
        </w:rPr>
        <w:t>need and interest</w:t>
      </w:r>
      <w:r>
        <w:rPr>
          <w:lang w:val="en-GB"/>
        </w:rPr>
        <w:t xml:space="preserve"> </w:t>
      </w:r>
      <w:r>
        <w:rPr>
          <w:lang w:val="en-US"/>
        </w:rPr>
        <w:t>on behalf of the women themselves</w:t>
      </w:r>
      <w:r>
        <w:rPr>
          <w:lang w:val="en-GB"/>
        </w:rPr>
        <w:t xml:space="preserve"> regarding their disengagement from the abusive relationship.</w:t>
      </w:r>
    </w:p>
    <w:p w:rsidR="00000000" w:rsidRDefault="00000000">
      <w:pPr>
        <w:numPr>
          <w:ilvl w:val="1"/>
          <w:numId w:val="373"/>
        </w:numPr>
        <w:tabs>
          <w:tab w:val="clear" w:pos="1440"/>
          <w:tab w:val="left" w:pos="567"/>
          <w:tab w:val="left" w:pos="1021"/>
          <w:tab w:val="left" w:pos="1474"/>
          <w:tab w:val="left" w:pos="1928"/>
        </w:tabs>
        <w:ind w:left="1475" w:hanging="454"/>
        <w:rPr>
          <w:lang w:val="en-GB"/>
        </w:rPr>
      </w:pPr>
      <w:r>
        <w:rPr>
          <w:lang w:val="en-GB"/>
        </w:rPr>
        <w:t xml:space="preserve">40% </w:t>
      </w:r>
      <w:r>
        <w:rPr>
          <w:lang w:val="en-US"/>
        </w:rPr>
        <w:t>of</w:t>
      </w:r>
      <w:r>
        <w:rPr>
          <w:lang w:val="en-GB"/>
        </w:rPr>
        <w:t xml:space="preserve"> </w:t>
      </w:r>
      <w:r>
        <w:rPr>
          <w:lang w:val="en-US"/>
        </w:rPr>
        <w:t>women</w:t>
      </w:r>
      <w:r>
        <w:rPr>
          <w:lang w:val="en-GB"/>
        </w:rPr>
        <w:t xml:space="preserve"> </w:t>
      </w:r>
      <w:r>
        <w:rPr>
          <w:lang w:val="en-US"/>
        </w:rPr>
        <w:t>who</w:t>
      </w:r>
      <w:r>
        <w:rPr>
          <w:lang w:val="en-GB"/>
        </w:rPr>
        <w:t xml:space="preserve"> </w:t>
      </w:r>
      <w:r>
        <w:rPr>
          <w:lang w:val="en-US"/>
        </w:rPr>
        <w:t>contacted</w:t>
      </w:r>
      <w:r>
        <w:rPr>
          <w:lang w:val="en-GB"/>
        </w:rPr>
        <w:t xml:space="preserve"> </w:t>
      </w:r>
      <w:r>
        <w:rPr>
          <w:lang w:val="en-US"/>
        </w:rPr>
        <w:t>the</w:t>
      </w:r>
      <w:r>
        <w:rPr>
          <w:lang w:val="en-GB"/>
        </w:rPr>
        <w:t xml:space="preserve"> </w:t>
      </w:r>
      <w:r>
        <w:rPr>
          <w:lang w:val="en-US"/>
        </w:rPr>
        <w:t>Consultation Centres</w:t>
      </w:r>
      <w:r>
        <w:rPr>
          <w:lang w:val="en-GB"/>
        </w:rPr>
        <w:t xml:space="preserve"> </w:t>
      </w:r>
      <w:r>
        <w:rPr>
          <w:lang w:val="en-US"/>
        </w:rPr>
        <w:t>of</w:t>
      </w:r>
      <w:r>
        <w:rPr>
          <w:lang w:val="en-GB"/>
        </w:rPr>
        <w:t xml:space="preserve"> </w:t>
      </w:r>
      <w:r>
        <w:rPr>
          <w:lang w:val="en-US"/>
        </w:rPr>
        <w:t>the</w:t>
      </w:r>
      <w:r>
        <w:rPr>
          <w:lang w:val="en-GB"/>
        </w:rPr>
        <w:t xml:space="preserve"> </w:t>
      </w:r>
      <w:r>
        <w:rPr>
          <w:lang w:val="en-US"/>
        </w:rPr>
        <w:t>General Secretariat for Gender Equality</w:t>
      </w:r>
      <w:r>
        <w:rPr>
          <w:lang w:val="en-GB"/>
        </w:rPr>
        <w:t xml:space="preserve"> </w:t>
      </w:r>
      <w:r>
        <w:rPr>
          <w:lang w:val="en-US"/>
        </w:rPr>
        <w:t>from</w:t>
      </w:r>
      <w:r>
        <w:rPr>
          <w:lang w:val="en-GB"/>
        </w:rPr>
        <w:t xml:space="preserve"> 01/01/2002 </w:t>
      </w:r>
      <w:r>
        <w:rPr>
          <w:lang w:val="en-US"/>
        </w:rPr>
        <w:t xml:space="preserve">to </w:t>
      </w:r>
      <w:r>
        <w:rPr>
          <w:lang w:val="en-GB"/>
        </w:rPr>
        <w:t>31/10/2004, sought socio-psychological support, 19% of them sought legal advice, 19% needed a combination of the above mentioned provided services, while the remaining 8% sought accommodation at a shelter, as well.</w:t>
      </w:r>
    </w:p>
    <w:p w:rsidR="00000000" w:rsidRDefault="00000000">
      <w:pPr>
        <w:numPr>
          <w:ilvl w:val="1"/>
          <w:numId w:val="373"/>
        </w:numPr>
        <w:tabs>
          <w:tab w:val="clear" w:pos="1440"/>
          <w:tab w:val="left" w:pos="567"/>
          <w:tab w:val="left" w:pos="1021"/>
          <w:tab w:val="left" w:pos="1474"/>
          <w:tab w:val="left" w:pos="1928"/>
        </w:tabs>
        <w:ind w:left="1475" w:hanging="454"/>
        <w:rPr>
          <w:lang w:val="en-GB"/>
        </w:rPr>
      </w:pPr>
      <w:r>
        <w:rPr>
          <w:lang w:val="en-US"/>
        </w:rPr>
        <w:t>Regarding</w:t>
      </w:r>
      <w:r>
        <w:rPr>
          <w:lang w:val="en-GB"/>
        </w:rPr>
        <w:t xml:space="preserve"> the </w:t>
      </w:r>
      <w:r>
        <w:rPr>
          <w:color w:val="000000"/>
          <w:lang w:val="en-US"/>
        </w:rPr>
        <w:t>age</w:t>
      </w:r>
      <w:r>
        <w:rPr>
          <w:color w:val="000000"/>
          <w:lang w:val="en-GB"/>
        </w:rPr>
        <w:t xml:space="preserve"> </w:t>
      </w:r>
      <w:r>
        <w:rPr>
          <w:color w:val="000000"/>
          <w:lang w:val="en-US"/>
        </w:rPr>
        <w:t>distribution</w:t>
      </w:r>
      <w:r>
        <w:rPr>
          <w:color w:val="000000"/>
          <w:lang w:val="en-GB"/>
        </w:rPr>
        <w:t xml:space="preserve"> </w:t>
      </w:r>
      <w:r>
        <w:rPr>
          <w:color w:val="000000"/>
          <w:lang w:val="en-US"/>
        </w:rPr>
        <w:t>of</w:t>
      </w:r>
      <w:r>
        <w:rPr>
          <w:lang w:val="en-GB"/>
        </w:rPr>
        <w:t xml:space="preserve"> </w:t>
      </w:r>
      <w:r>
        <w:rPr>
          <w:lang w:val="en-US"/>
        </w:rPr>
        <w:t>perpetrators</w:t>
      </w:r>
      <w:r>
        <w:rPr>
          <w:lang w:val="en-GB"/>
        </w:rPr>
        <w:t xml:space="preserve">, about 6 </w:t>
      </w:r>
      <w:r>
        <w:rPr>
          <w:lang w:val="en-US"/>
        </w:rPr>
        <w:t>out of</w:t>
      </w:r>
      <w:r>
        <w:rPr>
          <w:lang w:val="en-GB"/>
        </w:rPr>
        <w:t xml:space="preserve"> 10 </w:t>
      </w:r>
      <w:r>
        <w:rPr>
          <w:lang w:val="en-US"/>
        </w:rPr>
        <w:t>are from</w:t>
      </w:r>
      <w:r>
        <w:rPr>
          <w:lang w:val="en-GB"/>
        </w:rPr>
        <w:t xml:space="preserve"> 31 </w:t>
      </w:r>
      <w:r>
        <w:rPr>
          <w:lang w:val="en-US"/>
        </w:rPr>
        <w:t xml:space="preserve">to </w:t>
      </w:r>
      <w:r>
        <w:rPr>
          <w:lang w:val="en-GB"/>
        </w:rPr>
        <w:t xml:space="preserve">50 </w:t>
      </w:r>
      <w:r>
        <w:rPr>
          <w:lang w:val="en-US"/>
        </w:rPr>
        <w:t>years old</w:t>
      </w:r>
      <w:r>
        <w:rPr>
          <w:lang w:val="en-GB"/>
        </w:rPr>
        <w:t>.</w:t>
      </w:r>
    </w:p>
    <w:p w:rsidR="00000000" w:rsidRDefault="00000000">
      <w:pPr>
        <w:numPr>
          <w:ilvl w:val="1"/>
          <w:numId w:val="373"/>
        </w:numPr>
        <w:tabs>
          <w:tab w:val="clear" w:pos="1440"/>
          <w:tab w:val="left" w:pos="567"/>
          <w:tab w:val="left" w:pos="1021"/>
          <w:tab w:val="left" w:pos="1474"/>
          <w:tab w:val="left" w:pos="1928"/>
        </w:tabs>
        <w:ind w:left="1475" w:hanging="454"/>
        <w:outlineLvl w:val="0"/>
        <w:rPr>
          <w:lang w:val="en-GB"/>
        </w:rPr>
      </w:pPr>
      <w:r>
        <w:rPr>
          <w:lang w:val="en-US"/>
        </w:rPr>
        <w:t>Concerning</w:t>
      </w:r>
      <w:r>
        <w:rPr>
          <w:lang w:val="en-GB"/>
        </w:rPr>
        <w:t xml:space="preserve"> the </w:t>
      </w:r>
      <w:r>
        <w:rPr>
          <w:lang w:val="en-US"/>
        </w:rPr>
        <w:t>educational</w:t>
      </w:r>
      <w:r>
        <w:rPr>
          <w:lang w:val="en-GB"/>
        </w:rPr>
        <w:t xml:space="preserve"> </w:t>
      </w:r>
      <w:r>
        <w:rPr>
          <w:lang w:val="en-US"/>
        </w:rPr>
        <w:t>level</w:t>
      </w:r>
      <w:r>
        <w:rPr>
          <w:lang w:val="en-GB"/>
        </w:rPr>
        <w:t xml:space="preserve"> </w:t>
      </w:r>
      <w:r>
        <w:rPr>
          <w:lang w:val="en-US"/>
        </w:rPr>
        <w:t>of</w:t>
      </w:r>
      <w:r>
        <w:rPr>
          <w:lang w:val="en-GB"/>
        </w:rPr>
        <w:t xml:space="preserve"> </w:t>
      </w:r>
      <w:r>
        <w:rPr>
          <w:lang w:val="en-US"/>
        </w:rPr>
        <w:t>perpetrators</w:t>
      </w:r>
      <w:r>
        <w:rPr>
          <w:lang w:val="en-GB"/>
        </w:rPr>
        <w:t xml:space="preserve">, </w:t>
      </w:r>
      <w:r>
        <w:rPr>
          <w:u w:val="single"/>
          <w:lang w:val="en-US"/>
        </w:rPr>
        <w:t xml:space="preserve">approximately </w:t>
      </w:r>
      <w:r>
        <w:rPr>
          <w:u w:val="single"/>
          <w:lang w:val="en-GB"/>
        </w:rPr>
        <w:t xml:space="preserve">6 </w:t>
      </w:r>
      <w:r>
        <w:rPr>
          <w:u w:val="single"/>
          <w:lang w:val="en-US"/>
        </w:rPr>
        <w:t>out of</w:t>
      </w:r>
      <w:r>
        <w:rPr>
          <w:u w:val="single"/>
          <w:lang w:val="en-GB"/>
        </w:rPr>
        <w:t xml:space="preserve"> 10 </w:t>
      </w:r>
      <w:r>
        <w:rPr>
          <w:u w:val="single"/>
          <w:lang w:val="en-US"/>
        </w:rPr>
        <w:t>perpetrators are graduates of Secondary, Technological or Tertiary Education Institutes</w:t>
      </w:r>
      <w:r>
        <w:rPr>
          <w:lang w:val="en-GB"/>
        </w:rPr>
        <w:t xml:space="preserve">. The above data </w:t>
      </w:r>
      <w:r>
        <w:rPr>
          <w:lang w:val="en-US"/>
        </w:rPr>
        <w:t>essentially</w:t>
      </w:r>
      <w:r>
        <w:rPr>
          <w:lang w:val="en-GB"/>
        </w:rPr>
        <w:t xml:space="preserve"> </w:t>
      </w:r>
      <w:r>
        <w:rPr>
          <w:lang w:val="en-US"/>
        </w:rPr>
        <w:t>contradict</w:t>
      </w:r>
      <w:r>
        <w:rPr>
          <w:lang w:val="en-GB"/>
        </w:rPr>
        <w:t xml:space="preserve"> </w:t>
      </w:r>
      <w:r>
        <w:rPr>
          <w:lang w:val="en-US"/>
        </w:rPr>
        <w:t>the</w:t>
      </w:r>
      <w:r>
        <w:rPr>
          <w:lang w:val="en-GB"/>
        </w:rPr>
        <w:t xml:space="preserve"> </w:t>
      </w:r>
      <w:r>
        <w:rPr>
          <w:lang w:val="en-US"/>
        </w:rPr>
        <w:t>predominant</w:t>
      </w:r>
      <w:r>
        <w:rPr>
          <w:lang w:val="en-GB"/>
        </w:rPr>
        <w:t xml:space="preserve"> </w:t>
      </w:r>
      <w:r>
        <w:rPr>
          <w:lang w:val="en-US"/>
        </w:rPr>
        <w:t>perception according to which, one of the basic reasons for violent behaviour</w:t>
      </w:r>
      <w:r>
        <w:rPr>
          <w:lang w:val="en-GB"/>
        </w:rPr>
        <w:t xml:space="preserve"> is the low educational level of perpetrators. According to </w:t>
      </w:r>
      <w:r>
        <w:rPr>
          <w:lang w:val="en-US"/>
        </w:rPr>
        <w:t>a</w:t>
      </w:r>
      <w:r>
        <w:rPr>
          <w:lang w:val="en-GB"/>
        </w:rPr>
        <w:t xml:space="preserve"> </w:t>
      </w:r>
      <w:r>
        <w:rPr>
          <w:lang w:val="en-US"/>
        </w:rPr>
        <w:t>research</w:t>
      </w:r>
      <w:r>
        <w:rPr>
          <w:lang w:val="en-GB"/>
        </w:rPr>
        <w:t xml:space="preserve"> by </w:t>
      </w:r>
      <w:r>
        <w:rPr>
          <w:lang w:val="en-US"/>
        </w:rPr>
        <w:t>Eurobarometer</w:t>
      </w:r>
      <w:r>
        <w:rPr>
          <w:rStyle w:val="FootnoteReference"/>
        </w:rPr>
        <w:footnoteReference w:id="38"/>
      </w:r>
      <w:r>
        <w:rPr>
          <w:lang w:val="en-GB"/>
        </w:rPr>
        <w:t xml:space="preserve">, </w:t>
      </w:r>
      <w:r>
        <w:rPr>
          <w:lang w:val="en-US"/>
        </w:rPr>
        <w:t>which</w:t>
      </w:r>
      <w:r>
        <w:rPr>
          <w:lang w:val="en-GB"/>
        </w:rPr>
        <w:t xml:space="preserve"> </w:t>
      </w:r>
      <w:r>
        <w:rPr>
          <w:lang w:val="en-US"/>
        </w:rPr>
        <w:t>registers</w:t>
      </w:r>
      <w:r>
        <w:rPr>
          <w:lang w:val="en-GB"/>
        </w:rPr>
        <w:t xml:space="preserve"> </w:t>
      </w:r>
      <w:r>
        <w:rPr>
          <w:lang w:val="en-US"/>
        </w:rPr>
        <w:t>European</w:t>
      </w:r>
      <w:r>
        <w:rPr>
          <w:lang w:val="en-GB"/>
        </w:rPr>
        <w:t xml:space="preserve"> </w:t>
      </w:r>
      <w:r>
        <w:rPr>
          <w:lang w:val="en-US"/>
        </w:rPr>
        <w:t>public</w:t>
      </w:r>
      <w:r>
        <w:rPr>
          <w:lang w:val="en-GB"/>
        </w:rPr>
        <w:t xml:space="preserve"> </w:t>
      </w:r>
      <w:r>
        <w:rPr>
          <w:lang w:val="en-US"/>
        </w:rPr>
        <w:t>opinion</w:t>
      </w:r>
      <w:r>
        <w:rPr>
          <w:lang w:val="en-GB"/>
        </w:rPr>
        <w:t xml:space="preserve"> </w:t>
      </w:r>
      <w:r>
        <w:rPr>
          <w:lang w:val="en-US"/>
        </w:rPr>
        <w:t>in relation to domestic violence</w:t>
      </w:r>
      <w:r>
        <w:rPr>
          <w:lang w:val="en-GB"/>
        </w:rPr>
        <w:t xml:space="preserve">, 84,5% </w:t>
      </w:r>
      <w:r>
        <w:rPr>
          <w:lang w:val="en-US"/>
        </w:rPr>
        <w:t>of the Greeks who took part in the research replied that they consider low educational level as a factor leading to demonstration of violent</w:t>
      </w:r>
      <w:r>
        <w:rPr>
          <w:lang w:val="en-GB"/>
        </w:rPr>
        <w:t xml:space="preserve"> behaviour against women.  </w:t>
      </w:r>
    </w:p>
    <w:p w:rsidR="00000000" w:rsidRDefault="00000000">
      <w:pPr>
        <w:numPr>
          <w:ilvl w:val="1"/>
          <w:numId w:val="373"/>
        </w:numPr>
        <w:tabs>
          <w:tab w:val="clear" w:pos="1440"/>
          <w:tab w:val="left" w:pos="567"/>
          <w:tab w:val="left" w:pos="1021"/>
          <w:tab w:val="left" w:pos="1474"/>
          <w:tab w:val="left" w:pos="1928"/>
        </w:tabs>
        <w:ind w:left="1475" w:hanging="454"/>
        <w:rPr>
          <w:lang w:val="en-GB"/>
        </w:rPr>
      </w:pPr>
      <w:r>
        <w:rPr>
          <w:lang w:val="en-US"/>
        </w:rPr>
        <w:t>Concerning the employment status of the perpetrators, it seems that</w:t>
      </w:r>
      <w:r>
        <w:rPr>
          <w:lang w:val="en-GB"/>
        </w:rPr>
        <w:t xml:space="preserve"> </w:t>
      </w:r>
      <w:r>
        <w:rPr>
          <w:u w:val="single"/>
          <w:lang w:val="en-GB"/>
        </w:rPr>
        <w:t xml:space="preserve">8 </w:t>
      </w:r>
      <w:r>
        <w:rPr>
          <w:u w:val="single"/>
          <w:lang w:val="en-US"/>
        </w:rPr>
        <w:t xml:space="preserve">out of </w:t>
      </w:r>
      <w:r>
        <w:rPr>
          <w:u w:val="single"/>
          <w:lang w:val="en-GB"/>
        </w:rPr>
        <w:t>10 perpetrators of domestic violence are employed.</w:t>
      </w:r>
      <w:r>
        <w:rPr>
          <w:lang w:val="en-GB"/>
        </w:rPr>
        <w:t xml:space="preserve"> This </w:t>
      </w:r>
      <w:r>
        <w:rPr>
          <w:lang w:val="en-US"/>
        </w:rPr>
        <w:t>finding</w:t>
      </w:r>
      <w:r>
        <w:rPr>
          <w:lang w:val="en-GB"/>
        </w:rPr>
        <w:t xml:space="preserve"> refutes </w:t>
      </w:r>
      <w:r>
        <w:rPr>
          <w:lang w:val="en-US"/>
        </w:rPr>
        <w:t>the</w:t>
      </w:r>
      <w:r>
        <w:rPr>
          <w:lang w:val="en-GB"/>
        </w:rPr>
        <w:t xml:space="preserve"> common belief </w:t>
      </w:r>
      <w:r>
        <w:rPr>
          <w:lang w:val="en-US"/>
        </w:rPr>
        <w:t>according to which, one of the predominant factors</w:t>
      </w:r>
      <w:r>
        <w:rPr>
          <w:lang w:val="en-GB"/>
        </w:rPr>
        <w:t xml:space="preserve"> for demonstrating violent behaviour is unemployment. A</w:t>
      </w:r>
      <w:r>
        <w:rPr>
          <w:lang w:val="en-US"/>
        </w:rPr>
        <w:t>ccording</w:t>
      </w:r>
      <w:r>
        <w:rPr>
          <w:lang w:val="en-GB"/>
        </w:rPr>
        <w:t xml:space="preserve"> </w:t>
      </w:r>
      <w:r>
        <w:rPr>
          <w:lang w:val="en-US"/>
        </w:rPr>
        <w:t>to</w:t>
      </w:r>
      <w:r>
        <w:rPr>
          <w:lang w:val="en-GB"/>
        </w:rPr>
        <w:t xml:space="preserve"> </w:t>
      </w:r>
      <w:r>
        <w:rPr>
          <w:lang w:val="en-US"/>
        </w:rPr>
        <w:t>the</w:t>
      </w:r>
      <w:r>
        <w:rPr>
          <w:lang w:val="en-GB"/>
        </w:rPr>
        <w:t xml:space="preserve"> </w:t>
      </w:r>
      <w:r>
        <w:rPr>
          <w:lang w:val="en-US"/>
        </w:rPr>
        <w:t>Eurobarometer</w:t>
      </w:r>
      <w:r>
        <w:rPr>
          <w:rStyle w:val="FootnoteReference"/>
        </w:rPr>
        <w:footnoteReference w:id="39"/>
      </w:r>
      <w:r>
        <w:rPr>
          <w:lang w:val="en-GB"/>
        </w:rPr>
        <w:t xml:space="preserve"> </w:t>
      </w:r>
      <w:r>
        <w:rPr>
          <w:lang w:val="en-US"/>
        </w:rPr>
        <w:t>research</w:t>
      </w:r>
      <w:r>
        <w:rPr>
          <w:lang w:val="en-GB"/>
        </w:rPr>
        <w:t xml:space="preserve">, 88% </w:t>
      </w:r>
      <w:r>
        <w:rPr>
          <w:lang w:val="en-US"/>
        </w:rPr>
        <w:t>of the Greeks who participated in this research</w:t>
      </w:r>
      <w:r>
        <w:rPr>
          <w:lang w:val="en-GB"/>
        </w:rPr>
        <w:t xml:space="preserve"> </w:t>
      </w:r>
      <w:r>
        <w:rPr>
          <w:lang w:val="en-US"/>
        </w:rPr>
        <w:t>replied that they consider unemployment as a factor</w:t>
      </w:r>
      <w:r>
        <w:rPr>
          <w:lang w:val="en-GB"/>
        </w:rPr>
        <w:t xml:space="preserve"> leading to demonstration of violent behaviour against women.</w:t>
      </w:r>
    </w:p>
    <w:p w:rsidR="00000000" w:rsidRDefault="00000000">
      <w:pPr>
        <w:numPr>
          <w:ilvl w:val="1"/>
          <w:numId w:val="373"/>
        </w:numPr>
        <w:tabs>
          <w:tab w:val="clear" w:pos="1440"/>
          <w:tab w:val="left" w:pos="567"/>
          <w:tab w:val="left" w:pos="1021"/>
          <w:tab w:val="left" w:pos="1474"/>
          <w:tab w:val="left" w:pos="1928"/>
        </w:tabs>
        <w:ind w:left="1475" w:hanging="454"/>
        <w:rPr>
          <w:color w:val="808080"/>
          <w:lang w:val="en-GB"/>
        </w:rPr>
      </w:pPr>
      <w:r>
        <w:rPr>
          <w:lang w:val="en-US"/>
        </w:rPr>
        <w:t>Concerning</w:t>
      </w:r>
      <w:r>
        <w:rPr>
          <w:lang w:val="en-GB"/>
        </w:rPr>
        <w:t xml:space="preserve"> the </w:t>
      </w:r>
      <w:r>
        <w:rPr>
          <w:lang w:val="en-US"/>
        </w:rPr>
        <w:t>use</w:t>
      </w:r>
      <w:r>
        <w:rPr>
          <w:lang w:val="en-GB"/>
        </w:rPr>
        <w:t xml:space="preserve"> </w:t>
      </w:r>
      <w:r>
        <w:rPr>
          <w:lang w:val="en-US"/>
        </w:rPr>
        <w:t>of</w:t>
      </w:r>
      <w:r>
        <w:rPr>
          <w:lang w:val="en-GB"/>
        </w:rPr>
        <w:t xml:space="preserve"> narcotic substances </w:t>
      </w:r>
      <w:r>
        <w:rPr>
          <w:lang w:val="en-US"/>
        </w:rPr>
        <w:t>by</w:t>
      </w:r>
      <w:r>
        <w:rPr>
          <w:lang w:val="en-GB"/>
        </w:rPr>
        <w:t xml:space="preserve"> the </w:t>
      </w:r>
      <w:r>
        <w:rPr>
          <w:lang w:val="en-US"/>
        </w:rPr>
        <w:t>perpetrators</w:t>
      </w:r>
      <w:r>
        <w:rPr>
          <w:lang w:val="en-GB"/>
        </w:rPr>
        <w:t xml:space="preserve">, </w:t>
      </w:r>
      <w:r>
        <w:rPr>
          <w:u w:val="single"/>
          <w:lang w:val="en-GB"/>
        </w:rPr>
        <w:t xml:space="preserve">62% of them </w:t>
      </w:r>
      <w:r>
        <w:rPr>
          <w:u w:val="single"/>
          <w:lang w:val="en-US"/>
        </w:rPr>
        <w:t>do not make any use</w:t>
      </w:r>
      <w:r>
        <w:rPr>
          <w:lang w:val="en-GB"/>
        </w:rPr>
        <w:t xml:space="preserve">, </w:t>
      </w:r>
      <w:r>
        <w:rPr>
          <w:lang w:val="en-US"/>
        </w:rPr>
        <w:t>as mentioned by women</w:t>
      </w:r>
      <w:r>
        <w:rPr>
          <w:lang w:val="en-GB"/>
        </w:rPr>
        <w:t>-</w:t>
      </w:r>
      <w:r>
        <w:rPr>
          <w:lang w:val="en-US"/>
        </w:rPr>
        <w:t>victims</w:t>
      </w:r>
      <w:r>
        <w:rPr>
          <w:lang w:val="en-GB"/>
        </w:rPr>
        <w:t xml:space="preserve"> </w:t>
      </w:r>
      <w:r>
        <w:rPr>
          <w:lang w:val="en-US"/>
        </w:rPr>
        <w:t>of domestic violence</w:t>
      </w:r>
      <w:r>
        <w:rPr>
          <w:lang w:val="en-GB"/>
        </w:rPr>
        <w:t xml:space="preserve">, </w:t>
      </w:r>
      <w:r>
        <w:rPr>
          <w:lang w:val="en-US"/>
        </w:rPr>
        <w:t xml:space="preserve">while </w:t>
      </w:r>
      <w:r>
        <w:rPr>
          <w:lang w:val="en-GB"/>
        </w:rPr>
        <w:t>38% make use of such substances. According to the research of Eurobarometer</w:t>
      </w:r>
      <w:r>
        <w:rPr>
          <w:rStyle w:val="FootnoteReference"/>
        </w:rPr>
        <w:footnoteReference w:id="40"/>
      </w:r>
      <w:r>
        <w:rPr>
          <w:lang w:val="en-GB"/>
        </w:rPr>
        <w:t xml:space="preserve">, </w:t>
      </w:r>
      <w:r>
        <w:rPr>
          <w:lang w:val="en-US"/>
        </w:rPr>
        <w:t>which registers European public opinion</w:t>
      </w:r>
      <w:r>
        <w:rPr>
          <w:lang w:val="en-GB"/>
        </w:rPr>
        <w:t xml:space="preserve"> </w:t>
      </w:r>
      <w:r>
        <w:rPr>
          <w:lang w:val="en-US"/>
        </w:rPr>
        <w:t>on domestic</w:t>
      </w:r>
      <w:r>
        <w:rPr>
          <w:lang w:val="en-GB"/>
        </w:rPr>
        <w:t xml:space="preserve"> </w:t>
      </w:r>
      <w:r>
        <w:rPr>
          <w:lang w:val="en-US"/>
        </w:rPr>
        <w:t>violence</w:t>
      </w:r>
      <w:r>
        <w:rPr>
          <w:lang w:val="en-GB"/>
        </w:rPr>
        <w:t xml:space="preserve">, percentages 95,7% </w:t>
      </w:r>
      <w:r>
        <w:rPr>
          <w:lang w:val="en-US"/>
        </w:rPr>
        <w:t>and</w:t>
      </w:r>
      <w:r>
        <w:rPr>
          <w:lang w:val="en-GB"/>
        </w:rPr>
        <w:t xml:space="preserve"> 94,4% </w:t>
      </w:r>
      <w:r>
        <w:rPr>
          <w:lang w:val="en-US"/>
        </w:rPr>
        <w:t>of the Greeks, who participated in the research,</w:t>
      </w:r>
      <w:r>
        <w:rPr>
          <w:lang w:val="en-GB"/>
        </w:rPr>
        <w:t xml:space="preserve"> </w:t>
      </w:r>
      <w:r>
        <w:rPr>
          <w:lang w:val="en-US"/>
        </w:rPr>
        <w:t>replied that they consider alcoholism and the use of narcotics/medicinal products for mental disturbances</w:t>
      </w:r>
      <w:r>
        <w:rPr>
          <w:lang w:val="en-GB"/>
        </w:rPr>
        <w:t>, respectively, as factors leading to demonstration of violent behaviour against women.</w:t>
      </w:r>
    </w:p>
    <w:p w:rsidR="00000000" w:rsidRDefault="00000000">
      <w:pPr>
        <w:pStyle w:val="Heading2"/>
        <w:spacing w:line="360" w:lineRule="auto"/>
        <w:rPr>
          <w:lang w:val="en-GB"/>
        </w:rPr>
      </w:pPr>
      <w:r>
        <w:rPr>
          <w:b/>
          <w:lang w:val="en-GB"/>
        </w:rPr>
        <w:t>ANNEX C</w:t>
      </w:r>
      <w:r>
        <w:rPr>
          <w:b/>
          <w:lang w:val="en-GB"/>
        </w:rPr>
        <w:br/>
      </w:r>
      <w:r>
        <w:rPr>
          <w:lang w:val="en-GB"/>
        </w:rPr>
        <w:t>(ARTICLE 7)</w:t>
      </w:r>
    </w:p>
    <w:p w:rsidR="00000000" w:rsidRDefault="00000000">
      <w:pPr>
        <w:pStyle w:val="BodyText3"/>
        <w:tabs>
          <w:tab w:val="left" w:pos="567"/>
          <w:tab w:val="left" w:pos="1021"/>
          <w:tab w:val="left" w:pos="1474"/>
          <w:tab w:val="left" w:pos="1928"/>
        </w:tabs>
        <w:jc w:val="center"/>
        <w:rPr>
          <w:b/>
          <w:sz w:val="22"/>
          <w:lang w:val="en-GB"/>
        </w:rPr>
      </w:pPr>
      <w:r>
        <w:rPr>
          <w:b/>
          <w:sz w:val="22"/>
          <w:lang w:val="en-GB"/>
        </w:rPr>
        <w:t>ACTIONS</w:t>
      </w:r>
    </w:p>
    <w:p w:rsidR="00000000" w:rsidRDefault="00000000">
      <w:pPr>
        <w:pStyle w:val="18-8"/>
        <w:rPr>
          <w:lang w:val="en-GB"/>
        </w:rPr>
      </w:pPr>
      <w:r>
        <w:sym w:font="Symbol" w:char="F0B7"/>
      </w:r>
      <w:r>
        <w:tab/>
      </w:r>
      <w:r>
        <w:rPr>
          <w:lang w:val="en-GB"/>
        </w:rPr>
        <w:t>A Panhellenic campaign of information and sensitization for the largest possible participation of women as candidates for elections, and also, the reinforcement of their eligibility, through TV and radio messages as well as printed material and visits of executives of the General Secretariat for Gender Equality and the Regional Committees for Equality to the 13 Regions of the country aiming at informing citizens (Prefectural/Municipal-National Parliamentary elections)</w:t>
      </w:r>
    </w:p>
    <w:p w:rsidR="00000000" w:rsidRDefault="00000000">
      <w:pPr>
        <w:pStyle w:val="18-8"/>
        <w:rPr>
          <w:lang w:val="en-US"/>
        </w:rPr>
      </w:pPr>
      <w:r>
        <w:sym w:font="Symbol" w:char="F0B7"/>
      </w:r>
      <w:r>
        <w:tab/>
      </w:r>
      <w:r>
        <w:rPr>
          <w:lang w:val="en-US"/>
        </w:rPr>
        <w:t xml:space="preserve">A Panhellenic Conference on “Women and Local Authority: New Dynamics in Local Communities”, where the newly-elected women prefectural and municipal officers (elected in October 2002) were invited to participate for information and empowerment, Athens, 18/12/2002 (Co-organized by the General Secretariat for Gender Equality of the Ministry of the Interior, Public Administration and Decentralization, and </w:t>
      </w:r>
      <w:r>
        <w:t>ΚΕ</w:t>
      </w:r>
      <w:r>
        <w:rPr>
          <w:lang w:val="en-US"/>
        </w:rPr>
        <w:t>D</w:t>
      </w:r>
      <w:r>
        <w:t>ΚΕ</w:t>
      </w:r>
      <w:r>
        <w:rPr>
          <w:lang w:val="en-US"/>
        </w:rPr>
        <w:t xml:space="preserve">). </w:t>
      </w:r>
    </w:p>
    <w:p w:rsidR="00000000" w:rsidRDefault="00000000">
      <w:pPr>
        <w:pStyle w:val="18-8"/>
        <w:rPr>
          <w:lang w:val="en-GB"/>
        </w:rPr>
      </w:pPr>
      <w:r>
        <w:sym w:font="Symbol" w:char="F0B7"/>
      </w:r>
      <w:r>
        <w:tab/>
      </w:r>
      <w:r>
        <w:rPr>
          <w:lang w:val="en-US"/>
        </w:rPr>
        <w:t>European</w:t>
      </w:r>
      <w:r>
        <w:rPr>
          <w:lang w:val="en-GB"/>
        </w:rPr>
        <w:t xml:space="preserve"> </w:t>
      </w:r>
      <w:r>
        <w:rPr>
          <w:lang w:val="en-US"/>
        </w:rPr>
        <w:t>Conference</w:t>
      </w:r>
      <w:r>
        <w:rPr>
          <w:lang w:val="en-GB"/>
        </w:rPr>
        <w:t xml:space="preserve"> (</w:t>
      </w:r>
      <w:r>
        <w:rPr>
          <w:lang w:val="en-US"/>
        </w:rPr>
        <w:t>Greek Presidency</w:t>
      </w:r>
      <w:r>
        <w:rPr>
          <w:lang w:val="en-GB"/>
        </w:rPr>
        <w:t>) on the subject</w:t>
      </w:r>
      <w:r>
        <w:rPr>
          <w:lang w:val="en-US"/>
        </w:rPr>
        <w:t xml:space="preserve"> </w:t>
      </w:r>
      <w:r>
        <w:rPr>
          <w:lang w:val="en-GB"/>
        </w:rPr>
        <w:t>“</w:t>
      </w:r>
      <w:r>
        <w:rPr>
          <w:lang w:val="en-US"/>
        </w:rPr>
        <w:t>Women’s Participation in High Responsibility Positions</w:t>
      </w:r>
      <w:r>
        <w:rPr>
          <w:lang w:val="en-GB"/>
        </w:rPr>
        <w:t xml:space="preserve">: </w:t>
      </w:r>
      <w:r>
        <w:rPr>
          <w:lang w:val="en-US"/>
        </w:rPr>
        <w:t>New European Policies”</w:t>
      </w:r>
      <w:r>
        <w:rPr>
          <w:lang w:val="en-GB"/>
        </w:rPr>
        <w:t xml:space="preserve"> </w:t>
      </w:r>
      <w:r>
        <w:rPr>
          <w:lang w:val="en-US"/>
        </w:rPr>
        <w:t>Athens</w:t>
      </w:r>
      <w:r>
        <w:rPr>
          <w:lang w:val="en-GB"/>
        </w:rPr>
        <w:t>, 7/5/2003, (</w:t>
      </w:r>
      <w:r>
        <w:rPr>
          <w:lang w:val="en-US"/>
        </w:rPr>
        <w:t>Co-organized by the General Secretariat for Gender Equality, the Greek Section of the European Women’s Lobby, and Women’s Association of Greece).</w:t>
      </w:r>
    </w:p>
    <w:p w:rsidR="00000000" w:rsidRDefault="00000000">
      <w:pPr>
        <w:tabs>
          <w:tab w:val="left" w:pos="567"/>
          <w:tab w:val="left" w:pos="1021"/>
          <w:tab w:val="left" w:pos="1474"/>
          <w:tab w:val="left" w:pos="1928"/>
        </w:tabs>
        <w:rPr>
          <w:lang w:val="en-GB"/>
        </w:rPr>
      </w:pPr>
    </w:p>
    <w:p w:rsidR="00000000" w:rsidRDefault="00000000">
      <w:pPr>
        <w:tabs>
          <w:tab w:val="left" w:pos="567"/>
          <w:tab w:val="left" w:pos="1021"/>
          <w:tab w:val="left" w:pos="1474"/>
          <w:tab w:val="left" w:pos="1928"/>
        </w:tabs>
        <w:jc w:val="center"/>
        <w:rPr>
          <w:lang w:val="en-GB"/>
        </w:rPr>
      </w:pPr>
      <w:r>
        <w:rPr>
          <w:lang w:val="en-US"/>
        </w:rPr>
        <w:t>ACTIONS</w:t>
      </w:r>
      <w:r>
        <w:rPr>
          <w:lang w:val="en-GB"/>
        </w:rPr>
        <w:t xml:space="preserve"> </w:t>
      </w:r>
      <w:r>
        <w:rPr>
          <w:lang w:val="en-US"/>
        </w:rPr>
        <w:t>BY</w:t>
      </w:r>
      <w:r>
        <w:rPr>
          <w:lang w:val="en-GB"/>
        </w:rPr>
        <w:t xml:space="preserve"> </w:t>
      </w:r>
      <w:r>
        <w:t>Κ</w:t>
      </w:r>
      <w:r>
        <w:rPr>
          <w:lang w:val="en-GB"/>
        </w:rPr>
        <w:t>.</w:t>
      </w:r>
      <w:r>
        <w:t>Ε</w:t>
      </w:r>
      <w:r>
        <w:rPr>
          <w:lang w:val="en-GB"/>
        </w:rPr>
        <w:t>.</w:t>
      </w:r>
      <w:r>
        <w:rPr>
          <w:lang w:val="en-US"/>
        </w:rPr>
        <w:t>TH</w:t>
      </w:r>
      <w:r>
        <w:rPr>
          <w:lang w:val="en-GB"/>
        </w:rPr>
        <w:t>.</w:t>
      </w:r>
      <w:r>
        <w:t>Ι</w:t>
      </w:r>
      <w:r>
        <w:rPr>
          <w:lang w:val="en-GB"/>
        </w:rPr>
        <w:t>. FOR</w:t>
      </w:r>
      <w:r>
        <w:rPr>
          <w:lang w:val="en-US"/>
        </w:rPr>
        <w:t xml:space="preserve"> EQUAL PARTICIPATION IN DECISION-MAKING CENTRES</w:t>
      </w:r>
    </w:p>
    <w:p w:rsidR="00000000" w:rsidRDefault="00000000">
      <w:pPr>
        <w:pStyle w:val="18-8"/>
        <w:rPr>
          <w:lang w:val="en-GB"/>
        </w:rPr>
      </w:pPr>
      <w:r>
        <w:sym w:font="Symbol" w:char="F0B7"/>
      </w:r>
      <w:r>
        <w:tab/>
      </w:r>
      <w:r>
        <w:rPr>
          <w:lang w:val="en-US"/>
        </w:rPr>
        <w:t xml:space="preserve">The Research Centre for Gender Equality participates, as the Greek partner, in the Programme </w:t>
      </w:r>
      <w:r>
        <w:rPr>
          <w:lang w:val="en-GB"/>
        </w:rPr>
        <w:t>“</w:t>
      </w:r>
      <w:r>
        <w:rPr>
          <w:lang w:val="en-US"/>
        </w:rPr>
        <w:t xml:space="preserve">European Database </w:t>
      </w:r>
      <w:r>
        <w:rPr>
          <w:lang w:val="en-GB"/>
        </w:rPr>
        <w:t>(</w:t>
      </w:r>
      <w:r>
        <w:rPr>
          <w:lang w:val="en-US"/>
        </w:rPr>
        <w:t>www</w:t>
      </w:r>
      <w:r>
        <w:rPr>
          <w:lang w:val="en-GB"/>
        </w:rPr>
        <w:t>.</w:t>
      </w:r>
      <w:r>
        <w:rPr>
          <w:lang w:val="en-US"/>
        </w:rPr>
        <w:t>db</w:t>
      </w:r>
      <w:r>
        <w:rPr>
          <w:lang w:val="en-GB"/>
        </w:rPr>
        <w:t>-</w:t>
      </w:r>
      <w:r>
        <w:rPr>
          <w:lang w:val="en-US"/>
        </w:rPr>
        <w:t>decision</w:t>
      </w:r>
      <w:r>
        <w:rPr>
          <w:lang w:val="en-GB"/>
        </w:rPr>
        <w:t>.</w:t>
      </w:r>
      <w:r>
        <w:rPr>
          <w:lang w:val="en-US"/>
        </w:rPr>
        <w:t>de</w:t>
      </w:r>
      <w:r>
        <w:rPr>
          <w:lang w:val="en-GB"/>
        </w:rPr>
        <w:t>): Women in decision-making centres”, that contains data and numbers relat</w:t>
      </w:r>
      <w:r>
        <w:rPr>
          <w:lang w:val="en-US"/>
        </w:rPr>
        <w:t>ed</w:t>
      </w:r>
      <w:r>
        <w:rPr>
          <w:lang w:val="en-GB"/>
        </w:rPr>
        <w:t xml:space="preserve"> to women’s participation in the E.U. and the countries of the European Economic Space.</w:t>
      </w:r>
    </w:p>
    <w:p w:rsidR="00000000" w:rsidRDefault="00000000">
      <w:pPr>
        <w:pStyle w:val="18-8"/>
        <w:rPr>
          <w:lang w:val="en-GB"/>
        </w:rPr>
      </w:pPr>
      <w:r>
        <w:sym w:font="Symbol" w:char="F0B7"/>
      </w:r>
      <w:r>
        <w:tab/>
      </w:r>
      <w:r>
        <w:rPr>
          <w:lang w:val="en-GB"/>
        </w:rPr>
        <w:t xml:space="preserve">Conducting </w:t>
      </w:r>
      <w:r>
        <w:rPr>
          <w:lang w:val="en-US"/>
        </w:rPr>
        <w:t>a</w:t>
      </w:r>
      <w:r>
        <w:rPr>
          <w:lang w:val="en-GB"/>
        </w:rPr>
        <w:t xml:space="preserve"> </w:t>
      </w:r>
      <w:r>
        <w:rPr>
          <w:lang w:val="en-US"/>
        </w:rPr>
        <w:t>research</w:t>
      </w:r>
      <w:r>
        <w:rPr>
          <w:lang w:val="en-GB"/>
        </w:rPr>
        <w:t xml:space="preserve"> </w:t>
      </w:r>
      <w:r>
        <w:rPr>
          <w:lang w:val="en-US"/>
        </w:rPr>
        <w:t>in</w:t>
      </w:r>
      <w:r>
        <w:rPr>
          <w:lang w:val="en-GB"/>
        </w:rPr>
        <w:t xml:space="preserve"> </w:t>
      </w:r>
      <w:r>
        <w:rPr>
          <w:lang w:val="en-US"/>
        </w:rPr>
        <w:t>cooperation</w:t>
      </w:r>
      <w:r>
        <w:rPr>
          <w:lang w:val="en-GB"/>
        </w:rPr>
        <w:t xml:space="preserve"> </w:t>
      </w:r>
      <w:r>
        <w:rPr>
          <w:lang w:val="en-US"/>
        </w:rPr>
        <w:t>with</w:t>
      </w:r>
      <w:r>
        <w:rPr>
          <w:lang w:val="en-GB"/>
        </w:rPr>
        <w:t xml:space="preserve"> the “</w:t>
      </w:r>
      <w:r>
        <w:rPr>
          <w:lang w:val="en-US"/>
        </w:rPr>
        <w:t>Network</w:t>
      </w:r>
      <w:r>
        <w:rPr>
          <w:lang w:val="en-GB"/>
        </w:rPr>
        <w:t xml:space="preserve"> </w:t>
      </w:r>
      <w:r>
        <w:rPr>
          <w:lang w:val="en-US"/>
        </w:rPr>
        <w:t>of</w:t>
      </w:r>
      <w:r>
        <w:rPr>
          <w:lang w:val="en-GB"/>
        </w:rPr>
        <w:t xml:space="preserve"> Elected Women </w:t>
      </w:r>
      <w:r>
        <w:rPr>
          <w:lang w:val="en-US"/>
        </w:rPr>
        <w:t>in Local Authorities” on</w:t>
      </w:r>
      <w:r>
        <w:rPr>
          <w:lang w:val="en-GB"/>
        </w:rPr>
        <w:t xml:space="preserve"> “The female force in</w:t>
      </w:r>
      <w:r>
        <w:rPr>
          <w:lang w:val="en-US"/>
        </w:rPr>
        <w:t xml:space="preserve"> Local Authorities</w:t>
      </w:r>
      <w:r>
        <w:rPr>
          <w:lang w:val="en-GB"/>
        </w:rPr>
        <w:t xml:space="preserve"> – Women Elected all</w:t>
      </w:r>
      <w:r>
        <w:rPr>
          <w:lang w:val="en-US"/>
        </w:rPr>
        <w:t xml:space="preserve"> over</w:t>
      </w:r>
      <w:r>
        <w:rPr>
          <w:lang w:val="en-GB"/>
        </w:rPr>
        <w:t xml:space="preserve"> Greece”. The research concerns Local Authorities (Municipalities) for the period 1998-2000.</w:t>
      </w:r>
    </w:p>
    <w:p w:rsidR="00000000" w:rsidRDefault="00000000">
      <w:pPr>
        <w:pStyle w:val="18-8"/>
        <w:rPr>
          <w:lang w:val="en-GB"/>
        </w:rPr>
      </w:pPr>
      <w:r>
        <w:sym w:font="Symbol" w:char="F0B7"/>
      </w:r>
      <w:r>
        <w:tab/>
      </w:r>
      <w:r>
        <w:rPr>
          <w:lang w:val="en-US"/>
        </w:rPr>
        <w:t>In</w:t>
      </w:r>
      <w:r>
        <w:rPr>
          <w:lang w:val="en-GB"/>
        </w:rPr>
        <w:t xml:space="preserve"> 2001 </w:t>
      </w:r>
      <w:r>
        <w:rPr>
          <w:lang w:val="en-US"/>
        </w:rPr>
        <w:t>the</w:t>
      </w:r>
      <w:r>
        <w:rPr>
          <w:lang w:val="en-GB"/>
        </w:rPr>
        <w:t xml:space="preserve"> </w:t>
      </w:r>
      <w:r>
        <w:rPr>
          <w:lang w:val="en-US"/>
        </w:rPr>
        <w:t>brochure</w:t>
      </w:r>
      <w:r>
        <w:rPr>
          <w:lang w:val="en-GB"/>
        </w:rPr>
        <w:t xml:space="preserve"> “</w:t>
      </w:r>
      <w:r>
        <w:rPr>
          <w:lang w:val="en-US"/>
        </w:rPr>
        <w:t>Women in Political Decision-making Centres</w:t>
      </w:r>
      <w:r>
        <w:rPr>
          <w:lang w:val="en-GB"/>
        </w:rPr>
        <w:t xml:space="preserve">, Facts and numbers 2000” was published in Greek. </w:t>
      </w:r>
    </w:p>
    <w:p w:rsidR="00000000" w:rsidRDefault="00000000">
      <w:pPr>
        <w:pStyle w:val="18-8"/>
        <w:rPr>
          <w:lang w:val="en-GB"/>
        </w:rPr>
      </w:pPr>
      <w:r>
        <w:sym w:font="Symbol" w:char="F0B7"/>
      </w:r>
      <w:r>
        <w:tab/>
      </w:r>
      <w:r>
        <w:rPr>
          <w:lang w:val="en-US"/>
        </w:rPr>
        <w:t>In</w:t>
      </w:r>
      <w:r>
        <w:rPr>
          <w:lang w:val="en-GB"/>
        </w:rPr>
        <w:t xml:space="preserve"> 2000 </w:t>
      </w:r>
      <w:r>
        <w:rPr>
          <w:lang w:val="en-US"/>
        </w:rPr>
        <w:t>the</w:t>
      </w:r>
      <w:r>
        <w:rPr>
          <w:lang w:val="en-GB"/>
        </w:rPr>
        <w:t xml:space="preserve"> </w:t>
      </w:r>
      <w:r>
        <w:rPr>
          <w:lang w:val="en-US"/>
        </w:rPr>
        <w:t>study</w:t>
      </w:r>
      <w:r>
        <w:rPr>
          <w:lang w:val="en-GB"/>
        </w:rPr>
        <w:t xml:space="preserve"> “</w:t>
      </w:r>
      <w:r>
        <w:rPr>
          <w:lang w:val="en-US"/>
        </w:rPr>
        <w:t>Women</w:t>
      </w:r>
      <w:r>
        <w:rPr>
          <w:lang w:val="en-GB"/>
        </w:rPr>
        <w:t xml:space="preserve"> </w:t>
      </w:r>
      <w:r>
        <w:rPr>
          <w:lang w:val="en-US"/>
        </w:rPr>
        <w:t>and</w:t>
      </w:r>
      <w:r>
        <w:rPr>
          <w:lang w:val="en-GB"/>
        </w:rPr>
        <w:t xml:space="preserve"> </w:t>
      </w:r>
      <w:r>
        <w:rPr>
          <w:lang w:val="en-US"/>
        </w:rPr>
        <w:t>Politics” was also conducted.</w:t>
      </w:r>
    </w:p>
    <w:p w:rsidR="00000000" w:rsidRDefault="00000000">
      <w:pPr>
        <w:pStyle w:val="18-8"/>
        <w:rPr>
          <w:lang w:val="en-GB"/>
        </w:rPr>
      </w:pPr>
      <w:r>
        <w:sym w:font="Symbol" w:char="F0B7"/>
      </w:r>
      <w:r>
        <w:tab/>
      </w:r>
      <w:r>
        <w:rPr>
          <w:lang w:val="en-GB"/>
        </w:rPr>
        <w:t xml:space="preserve">During the period 2000-2001 </w:t>
      </w:r>
      <w:r>
        <w:rPr>
          <w:lang w:val="en-US"/>
        </w:rPr>
        <w:t>a survey was conducted in 2</w:t>
      </w:r>
      <w:r>
        <w:rPr>
          <w:vertAlign w:val="superscript"/>
          <w:lang w:val="en-US"/>
        </w:rPr>
        <w:t>nd</w:t>
      </w:r>
      <w:r>
        <w:rPr>
          <w:lang w:val="en-US"/>
        </w:rPr>
        <w:t xml:space="preserve"> and 3</w:t>
      </w:r>
      <w:r>
        <w:rPr>
          <w:vertAlign w:val="superscript"/>
          <w:lang w:val="en-US"/>
        </w:rPr>
        <w:t>rd</w:t>
      </w:r>
      <w:r>
        <w:rPr>
          <w:lang w:val="en-US"/>
        </w:rPr>
        <w:t xml:space="preserve"> degree trade unions and federations concerning collection about </w:t>
      </w:r>
      <w:r>
        <w:rPr>
          <w:lang w:val="en-GB"/>
        </w:rPr>
        <w:t xml:space="preserve">numerical data of women’s participation in the administration boards of trade unions. This survey was also enriched, in its course, with historical data, </w:t>
      </w:r>
      <w:r>
        <w:rPr>
          <w:lang w:val="en-US"/>
        </w:rPr>
        <w:t xml:space="preserve">record material and comments, and was published in </w:t>
      </w:r>
      <w:r>
        <w:rPr>
          <w:lang w:val="en-GB"/>
        </w:rPr>
        <w:t>2003 in the form of a book under the title “The Chronicle of an Absence, Women in Trade Unions’ decision-making centres”.</w:t>
      </w:r>
    </w:p>
    <w:p w:rsidR="00000000" w:rsidRDefault="00000000">
      <w:pPr>
        <w:pStyle w:val="18-8"/>
        <w:rPr>
          <w:lang w:val="en-GB"/>
        </w:rPr>
      </w:pPr>
      <w:r>
        <w:sym w:font="Symbol" w:char="F0B7"/>
      </w:r>
      <w:r>
        <w:tab/>
      </w:r>
      <w:r>
        <w:rPr>
          <w:lang w:val="en-US"/>
        </w:rPr>
        <w:t>In</w:t>
      </w:r>
      <w:r>
        <w:rPr>
          <w:lang w:val="en-GB"/>
        </w:rPr>
        <w:t xml:space="preserve"> </w:t>
      </w:r>
      <w:r>
        <w:rPr>
          <w:lang w:val="en-US"/>
        </w:rPr>
        <w:t>the</w:t>
      </w:r>
      <w:r>
        <w:rPr>
          <w:lang w:val="en-GB"/>
        </w:rPr>
        <w:t xml:space="preserve"> context </w:t>
      </w:r>
      <w:r>
        <w:rPr>
          <w:lang w:val="en-US"/>
        </w:rPr>
        <w:t>of</w:t>
      </w:r>
      <w:r>
        <w:rPr>
          <w:lang w:val="en-GB"/>
        </w:rPr>
        <w:t xml:space="preserve"> </w:t>
      </w:r>
      <w:r>
        <w:rPr>
          <w:lang w:val="en-US"/>
        </w:rPr>
        <w:t>the</w:t>
      </w:r>
      <w:r>
        <w:rPr>
          <w:lang w:val="en-GB"/>
        </w:rPr>
        <w:t xml:space="preserve"> </w:t>
      </w:r>
      <w:r>
        <w:rPr>
          <w:lang w:val="en-US"/>
        </w:rPr>
        <w:t>European</w:t>
      </w:r>
      <w:r>
        <w:rPr>
          <w:lang w:val="en-GB"/>
        </w:rPr>
        <w:t xml:space="preserve"> </w:t>
      </w:r>
      <w:r>
        <w:rPr>
          <w:lang w:val="en-US"/>
        </w:rPr>
        <w:t>Programme</w:t>
      </w:r>
      <w:r>
        <w:rPr>
          <w:lang w:val="en-GB"/>
        </w:rPr>
        <w:t xml:space="preserve"> “</w:t>
      </w:r>
      <w:r>
        <w:rPr>
          <w:lang w:val="en-US"/>
        </w:rPr>
        <w:t>Equal</w:t>
      </w:r>
      <w:r>
        <w:rPr>
          <w:lang w:val="en-GB"/>
        </w:rPr>
        <w:t xml:space="preserve"> </w:t>
      </w:r>
      <w:r>
        <w:rPr>
          <w:lang w:val="en-US"/>
        </w:rPr>
        <w:t>Participation</w:t>
      </w:r>
      <w:r>
        <w:rPr>
          <w:lang w:val="en-GB"/>
        </w:rPr>
        <w:t xml:space="preserve"> </w:t>
      </w:r>
      <w:r>
        <w:rPr>
          <w:lang w:val="en-US"/>
        </w:rPr>
        <w:t>in</w:t>
      </w:r>
      <w:r>
        <w:rPr>
          <w:lang w:val="en-GB"/>
        </w:rPr>
        <w:t xml:space="preserve"> </w:t>
      </w:r>
      <w:r>
        <w:rPr>
          <w:lang w:val="en-US"/>
        </w:rPr>
        <w:t>Decision</w:t>
      </w:r>
      <w:r>
        <w:rPr>
          <w:lang w:val="en-GB"/>
        </w:rPr>
        <w:t>-</w:t>
      </w:r>
      <w:r>
        <w:rPr>
          <w:lang w:val="en-US"/>
        </w:rPr>
        <w:t>making</w:t>
      </w:r>
      <w:r>
        <w:rPr>
          <w:lang w:val="en-GB"/>
        </w:rPr>
        <w:t xml:space="preserve"> </w:t>
      </w:r>
      <w:r>
        <w:rPr>
          <w:lang w:val="en-US"/>
        </w:rPr>
        <w:t>Centres</w:t>
      </w:r>
      <w:r>
        <w:rPr>
          <w:lang w:val="en-GB"/>
        </w:rPr>
        <w:t xml:space="preserve"> – </w:t>
      </w:r>
      <w:r>
        <w:rPr>
          <w:lang w:val="en-US"/>
        </w:rPr>
        <w:t>Women</w:t>
      </w:r>
      <w:r>
        <w:rPr>
          <w:lang w:val="en-GB"/>
        </w:rPr>
        <w:t xml:space="preserve"> </w:t>
      </w:r>
      <w:r>
        <w:rPr>
          <w:lang w:val="en-US"/>
        </w:rPr>
        <w:t>in</w:t>
      </w:r>
      <w:r>
        <w:rPr>
          <w:lang w:val="en-GB"/>
        </w:rPr>
        <w:t xml:space="preserve"> </w:t>
      </w:r>
      <w:r>
        <w:rPr>
          <w:lang w:val="en-US"/>
        </w:rPr>
        <w:t>the</w:t>
      </w:r>
      <w:r>
        <w:rPr>
          <w:lang w:val="en-GB"/>
        </w:rPr>
        <w:t xml:space="preserve"> </w:t>
      </w:r>
      <w:r>
        <w:rPr>
          <w:lang w:val="en-US"/>
        </w:rPr>
        <w:t>heart</w:t>
      </w:r>
      <w:r>
        <w:rPr>
          <w:lang w:val="en-GB"/>
        </w:rPr>
        <w:t xml:space="preserve"> </w:t>
      </w:r>
      <w:r>
        <w:rPr>
          <w:lang w:val="en-US"/>
        </w:rPr>
        <w:t>of</w:t>
      </w:r>
      <w:r>
        <w:rPr>
          <w:lang w:val="en-GB"/>
        </w:rPr>
        <w:t xml:space="preserve"> </w:t>
      </w:r>
      <w:r>
        <w:rPr>
          <w:lang w:val="en-US"/>
        </w:rPr>
        <w:t>Europe”</w:t>
      </w:r>
      <w:r>
        <w:rPr>
          <w:lang w:val="en-GB"/>
        </w:rPr>
        <w:t>,</w:t>
      </w:r>
      <w:r>
        <w:rPr>
          <w:lang w:val="en-US"/>
        </w:rPr>
        <w:t xml:space="preserve"> implemented by </w:t>
      </w:r>
      <w:r>
        <w:t>Κ</w:t>
      </w:r>
      <w:r>
        <w:rPr>
          <w:lang w:val="en-GB"/>
        </w:rPr>
        <w:t>.</w:t>
      </w:r>
      <w:r>
        <w:t>Ε</w:t>
      </w:r>
      <w:r>
        <w:rPr>
          <w:lang w:val="en-GB"/>
        </w:rPr>
        <w:t>.TH.</w:t>
      </w:r>
      <w:r>
        <w:t>Ι</w:t>
      </w:r>
      <w:r>
        <w:rPr>
          <w:lang w:val="en-GB"/>
        </w:rPr>
        <w:t>. since 2003, and aiming at increasing women’s participation in political decision-making centres, particularly in connection to the national and European Parliamentary elections of 2004, the following have been realised:</w:t>
      </w:r>
    </w:p>
    <w:p w:rsidR="00000000" w:rsidRDefault="00000000">
      <w:pPr>
        <w:pStyle w:val="26-8"/>
        <w:rPr>
          <w:lang w:val="en-GB"/>
        </w:rPr>
      </w:pPr>
      <w:r>
        <w:rPr>
          <w:lang w:val="en-US"/>
        </w:rPr>
        <w:t>–</w:t>
      </w:r>
      <w:r>
        <w:rPr>
          <w:lang w:val="en-US"/>
        </w:rPr>
        <w:tab/>
      </w:r>
      <w:r>
        <w:rPr>
          <w:lang w:val="en-GB"/>
        </w:rPr>
        <w:t xml:space="preserve">9 </w:t>
      </w:r>
      <w:r>
        <w:rPr>
          <w:lang w:val="en-US"/>
        </w:rPr>
        <w:t>one</w:t>
      </w:r>
      <w:r>
        <w:rPr>
          <w:lang w:val="en-GB"/>
        </w:rPr>
        <w:t>-</w:t>
      </w:r>
      <w:r>
        <w:rPr>
          <w:lang w:val="en-US"/>
        </w:rPr>
        <w:t>day</w:t>
      </w:r>
      <w:r>
        <w:rPr>
          <w:lang w:val="en-GB"/>
        </w:rPr>
        <w:t xml:space="preserve"> </w:t>
      </w:r>
      <w:r>
        <w:rPr>
          <w:lang w:val="en-US"/>
        </w:rPr>
        <w:t>conferences</w:t>
      </w:r>
      <w:r>
        <w:rPr>
          <w:lang w:val="en-GB"/>
        </w:rPr>
        <w:t xml:space="preserve"> </w:t>
      </w:r>
      <w:r>
        <w:rPr>
          <w:lang w:val="en-US"/>
        </w:rPr>
        <w:t>from</w:t>
      </w:r>
      <w:r>
        <w:rPr>
          <w:lang w:val="en-GB"/>
        </w:rPr>
        <w:t xml:space="preserve"> </w:t>
      </w:r>
      <w:r>
        <w:rPr>
          <w:lang w:val="en-US"/>
        </w:rPr>
        <w:t>December</w:t>
      </w:r>
      <w:r>
        <w:rPr>
          <w:lang w:val="en-GB"/>
        </w:rPr>
        <w:t xml:space="preserve"> 2003 </w:t>
      </w:r>
      <w:r>
        <w:rPr>
          <w:lang w:val="en-US"/>
        </w:rPr>
        <w:t>till</w:t>
      </w:r>
      <w:r>
        <w:rPr>
          <w:lang w:val="en-GB"/>
        </w:rPr>
        <w:t xml:space="preserve"> </w:t>
      </w:r>
      <w:r>
        <w:rPr>
          <w:lang w:val="en-US"/>
        </w:rPr>
        <w:t>June</w:t>
      </w:r>
      <w:r>
        <w:rPr>
          <w:lang w:val="en-GB"/>
        </w:rPr>
        <w:t xml:space="preserve"> 2004 </w:t>
      </w:r>
      <w:r>
        <w:rPr>
          <w:lang w:val="en-US"/>
        </w:rPr>
        <w:t>in</w:t>
      </w:r>
      <w:r>
        <w:rPr>
          <w:lang w:val="en-GB"/>
        </w:rPr>
        <w:t xml:space="preserve"> </w:t>
      </w:r>
      <w:r>
        <w:rPr>
          <w:lang w:val="en-US"/>
        </w:rPr>
        <w:t>Athens</w:t>
      </w:r>
      <w:r>
        <w:rPr>
          <w:lang w:val="en-GB"/>
        </w:rPr>
        <w:t xml:space="preserve">, </w:t>
      </w:r>
      <w:r>
        <w:rPr>
          <w:lang w:val="en-US"/>
        </w:rPr>
        <w:t>Thessaloniki</w:t>
      </w:r>
      <w:r>
        <w:rPr>
          <w:lang w:val="en-GB"/>
        </w:rPr>
        <w:t xml:space="preserve">, </w:t>
      </w:r>
      <w:r>
        <w:rPr>
          <w:lang w:val="en-US"/>
        </w:rPr>
        <w:t>Larissa</w:t>
      </w:r>
      <w:r>
        <w:rPr>
          <w:lang w:val="en-GB"/>
        </w:rPr>
        <w:t xml:space="preserve">, </w:t>
      </w:r>
      <w:r>
        <w:rPr>
          <w:lang w:val="en-US"/>
        </w:rPr>
        <w:t>Volos</w:t>
      </w:r>
      <w:r>
        <w:rPr>
          <w:lang w:val="en-GB"/>
        </w:rPr>
        <w:t xml:space="preserve">, </w:t>
      </w:r>
      <w:r>
        <w:rPr>
          <w:lang w:val="en-US"/>
        </w:rPr>
        <w:t>Patra</w:t>
      </w:r>
      <w:r>
        <w:rPr>
          <w:lang w:val="en-GB"/>
        </w:rPr>
        <w:t xml:space="preserve">, </w:t>
      </w:r>
      <w:r>
        <w:rPr>
          <w:lang w:val="en-US"/>
        </w:rPr>
        <w:t>Herakleion/Crete, and Komotini</w:t>
      </w:r>
      <w:r>
        <w:rPr>
          <w:lang w:val="en-GB"/>
        </w:rPr>
        <w:t xml:space="preserve"> </w:t>
      </w:r>
      <w:r>
        <w:rPr>
          <w:lang w:val="en-US"/>
        </w:rPr>
        <w:t>concerning promotion of candidate women of all political parties to the national parliamentary elections, and promotion</w:t>
      </w:r>
      <w:r>
        <w:rPr>
          <w:lang w:val="en-GB"/>
        </w:rPr>
        <w:t xml:space="preserve"> of the value of equal participation in European Parliamentary elections.</w:t>
      </w:r>
    </w:p>
    <w:p w:rsidR="00000000" w:rsidRDefault="00000000">
      <w:pPr>
        <w:pStyle w:val="26-8"/>
        <w:rPr>
          <w:lang w:val="en-GB"/>
        </w:rPr>
      </w:pPr>
      <w:r>
        <w:rPr>
          <w:lang w:val="en-GB"/>
        </w:rPr>
        <w:t>–</w:t>
      </w:r>
      <w:r>
        <w:rPr>
          <w:lang w:val="en-GB"/>
        </w:rPr>
        <w:tab/>
      </w:r>
      <w:r>
        <w:rPr>
          <w:lang w:val="en-US"/>
        </w:rPr>
        <w:t>Campaign by means of radio spots</w:t>
      </w:r>
      <w:r>
        <w:rPr>
          <w:lang w:val="en-GB"/>
        </w:rPr>
        <w:t xml:space="preserve"> concerning</w:t>
      </w:r>
      <w:r>
        <w:rPr>
          <w:lang w:val="en-US"/>
        </w:rPr>
        <w:t xml:space="preserve"> the National Parliamentary elections and TV spots concerning the European Parliamentary elections</w:t>
      </w:r>
      <w:r>
        <w:rPr>
          <w:lang w:val="en-GB"/>
        </w:rPr>
        <w:t xml:space="preserve">. Publication of leaflets </w:t>
      </w:r>
      <w:r>
        <w:rPr>
          <w:lang w:val="en-US"/>
        </w:rPr>
        <w:t>for both elections</w:t>
      </w:r>
      <w:r>
        <w:rPr>
          <w:lang w:val="en-GB"/>
        </w:rPr>
        <w:t xml:space="preserve">, </w:t>
      </w:r>
      <w:r>
        <w:rPr>
          <w:lang w:val="en-US"/>
        </w:rPr>
        <w:t xml:space="preserve">which have been sent to the </w:t>
      </w:r>
      <w:r>
        <w:t>ΚΕ</w:t>
      </w:r>
      <w:r>
        <w:rPr>
          <w:lang w:val="en-US"/>
        </w:rPr>
        <w:t>TH</w:t>
      </w:r>
      <w:r>
        <w:t>Ι</w:t>
      </w:r>
      <w:r>
        <w:rPr>
          <w:lang w:val="en-US"/>
        </w:rPr>
        <w:t xml:space="preserve"> mailing list,</w:t>
      </w:r>
      <w:r>
        <w:rPr>
          <w:lang w:val="en-GB"/>
        </w:rPr>
        <w:t xml:space="preserve"> to women candidates, and have been distributed at pre-election events.</w:t>
      </w:r>
    </w:p>
    <w:p w:rsidR="00000000" w:rsidRDefault="00000000">
      <w:pPr>
        <w:pStyle w:val="26-8"/>
        <w:rPr>
          <w:color w:val="auto"/>
          <w:lang w:val="en-GB"/>
        </w:rPr>
      </w:pPr>
      <w:r>
        <w:rPr>
          <w:lang w:val="en-US"/>
        </w:rPr>
        <w:t>–</w:t>
      </w:r>
      <w:r>
        <w:rPr>
          <w:lang w:val="en-US"/>
        </w:rPr>
        <w:tab/>
      </w:r>
      <w:r>
        <w:rPr>
          <w:color w:val="auto"/>
          <w:lang w:val="en-US"/>
        </w:rPr>
        <w:t>On</w:t>
      </w:r>
      <w:r>
        <w:rPr>
          <w:color w:val="auto"/>
          <w:lang w:val="en-GB"/>
        </w:rPr>
        <w:t xml:space="preserve"> 28</w:t>
      </w:r>
      <w:r>
        <w:rPr>
          <w:color w:val="auto"/>
          <w:vertAlign w:val="superscript"/>
          <w:lang w:val="en-GB"/>
        </w:rPr>
        <w:t>th</w:t>
      </w:r>
      <w:r>
        <w:rPr>
          <w:color w:val="auto"/>
          <w:lang w:val="en-GB"/>
        </w:rPr>
        <w:t xml:space="preserve"> &amp; 29</w:t>
      </w:r>
      <w:r>
        <w:rPr>
          <w:color w:val="auto"/>
          <w:vertAlign w:val="superscript"/>
          <w:lang w:val="en-GB"/>
        </w:rPr>
        <w:t>th</w:t>
      </w:r>
      <w:r>
        <w:rPr>
          <w:color w:val="auto"/>
          <w:lang w:val="en-GB"/>
        </w:rPr>
        <w:t xml:space="preserve"> </w:t>
      </w:r>
      <w:r>
        <w:rPr>
          <w:color w:val="auto"/>
          <w:lang w:val="en-US"/>
        </w:rPr>
        <w:t>April</w:t>
      </w:r>
      <w:r>
        <w:rPr>
          <w:color w:val="auto"/>
          <w:lang w:val="en-GB"/>
        </w:rPr>
        <w:t xml:space="preserve">, </w:t>
      </w:r>
      <w:r>
        <w:rPr>
          <w:color w:val="auto"/>
          <w:lang w:val="en-US"/>
        </w:rPr>
        <w:t>in</w:t>
      </w:r>
      <w:r>
        <w:rPr>
          <w:color w:val="auto"/>
          <w:lang w:val="en-GB"/>
        </w:rPr>
        <w:t xml:space="preserve"> </w:t>
      </w:r>
      <w:r>
        <w:rPr>
          <w:color w:val="auto"/>
          <w:lang w:val="en-US"/>
        </w:rPr>
        <w:t>Athens</w:t>
      </w:r>
      <w:r>
        <w:rPr>
          <w:color w:val="auto"/>
          <w:lang w:val="en-GB"/>
        </w:rPr>
        <w:t xml:space="preserve">, </w:t>
      </w:r>
      <w:r>
        <w:rPr>
          <w:color w:val="auto"/>
          <w:lang w:val="en-US"/>
        </w:rPr>
        <w:t>seminar on</w:t>
      </w:r>
      <w:r>
        <w:rPr>
          <w:color w:val="auto"/>
          <w:lang w:val="en-GB"/>
        </w:rPr>
        <w:t xml:space="preserve"> “The Art of Communication”; 22 </w:t>
      </w:r>
      <w:r>
        <w:rPr>
          <w:color w:val="auto"/>
          <w:lang w:val="en-US"/>
        </w:rPr>
        <w:t>women trainees</w:t>
      </w:r>
      <w:r>
        <w:rPr>
          <w:color w:val="auto"/>
          <w:lang w:val="en-GB"/>
        </w:rPr>
        <w:t xml:space="preserve"> – </w:t>
      </w:r>
      <w:r>
        <w:rPr>
          <w:color w:val="auto"/>
          <w:lang w:val="en-US"/>
        </w:rPr>
        <w:t>executives of political parties and national partners of the Programme took part</w:t>
      </w:r>
      <w:r>
        <w:rPr>
          <w:color w:val="auto"/>
          <w:lang w:val="en-GB"/>
        </w:rPr>
        <w:t xml:space="preserve">. </w:t>
      </w:r>
    </w:p>
    <w:p w:rsidR="00000000" w:rsidRDefault="00000000">
      <w:pPr>
        <w:pStyle w:val="26-8"/>
        <w:rPr>
          <w:lang w:val="en-GB"/>
        </w:rPr>
      </w:pPr>
      <w:r>
        <w:rPr>
          <w:lang w:val="en-GB"/>
        </w:rPr>
        <w:t>–</w:t>
      </w:r>
      <w:r>
        <w:rPr>
          <w:lang w:val="en-GB"/>
        </w:rPr>
        <w:tab/>
        <w:t>On 1</w:t>
      </w:r>
      <w:r>
        <w:rPr>
          <w:vertAlign w:val="superscript"/>
          <w:lang w:val="en-GB"/>
        </w:rPr>
        <w:t>st</w:t>
      </w:r>
      <w:r>
        <w:rPr>
          <w:lang w:val="en-GB"/>
        </w:rPr>
        <w:t xml:space="preserve"> &amp; 2</w:t>
      </w:r>
      <w:r>
        <w:rPr>
          <w:vertAlign w:val="superscript"/>
          <w:lang w:val="en-GB"/>
        </w:rPr>
        <w:t>nd</w:t>
      </w:r>
      <w:r>
        <w:rPr>
          <w:lang w:val="en-GB"/>
        </w:rPr>
        <w:t xml:space="preserve"> June, in Athens, seminar on “Women in Politics – Communication Skills"; 22 people took part, the same team as in the previous seminar. </w:t>
      </w:r>
    </w:p>
    <w:p w:rsidR="00000000" w:rsidRDefault="00000000">
      <w:pPr>
        <w:pStyle w:val="26-8"/>
        <w:rPr>
          <w:lang w:val="en-GB"/>
        </w:rPr>
      </w:pPr>
      <w:r>
        <w:rPr>
          <w:lang w:val="en-GB"/>
        </w:rPr>
        <w:t>–</w:t>
      </w:r>
      <w:r>
        <w:rPr>
          <w:lang w:val="en-GB"/>
        </w:rPr>
        <w:tab/>
        <w:t>On 3</w:t>
      </w:r>
      <w:r>
        <w:rPr>
          <w:vertAlign w:val="superscript"/>
          <w:lang w:val="en-GB"/>
        </w:rPr>
        <w:t>rd</w:t>
      </w:r>
      <w:r>
        <w:rPr>
          <w:lang w:val="en-GB"/>
        </w:rPr>
        <w:t xml:space="preserve"> &amp; 4</w:t>
      </w:r>
      <w:r>
        <w:rPr>
          <w:vertAlign w:val="superscript"/>
          <w:lang w:val="en-GB"/>
        </w:rPr>
        <w:t>th</w:t>
      </w:r>
      <w:r>
        <w:rPr>
          <w:lang w:val="en-GB"/>
        </w:rPr>
        <w:t xml:space="preserve"> June, the seminar “Women in Politics – Communication Skills" was repeated in Thessaloniki, with 39 women-trainees. </w:t>
      </w:r>
    </w:p>
    <w:p w:rsidR="00000000" w:rsidRDefault="00000000">
      <w:pPr>
        <w:pStyle w:val="26-8"/>
        <w:rPr>
          <w:rStyle w:val="Strong"/>
          <w:b w:val="0"/>
          <w:lang w:val="en-GB"/>
        </w:rPr>
      </w:pPr>
      <w:bookmarkStart w:id="57" w:name="3"/>
      <w:r>
        <w:rPr>
          <w:lang w:val="en-GB"/>
        </w:rPr>
        <w:t>–</w:t>
      </w:r>
      <w:r>
        <w:rPr>
          <w:lang w:val="en-GB"/>
        </w:rPr>
        <w:tab/>
      </w:r>
      <w:r>
        <w:rPr>
          <w:rStyle w:val="Strong"/>
          <w:b w:val="0"/>
          <w:lang w:val="en-GB"/>
        </w:rPr>
        <w:t>Separate</w:t>
      </w:r>
      <w:r>
        <w:rPr>
          <w:rStyle w:val="Strong"/>
          <w:lang w:val="en-GB"/>
        </w:rPr>
        <w:t xml:space="preserve"> </w:t>
      </w:r>
      <w:r>
        <w:rPr>
          <w:rStyle w:val="Strong"/>
          <w:b w:val="0"/>
          <w:lang w:val="en-GB"/>
        </w:rPr>
        <w:t>page</w:t>
      </w:r>
      <w:r>
        <w:rPr>
          <w:rStyle w:val="Strong"/>
          <w:lang w:val="en-GB"/>
        </w:rPr>
        <w:t xml:space="preserve"> </w:t>
      </w:r>
      <w:r>
        <w:rPr>
          <w:rStyle w:val="Strong"/>
          <w:b w:val="0"/>
          <w:lang w:val="en-GB"/>
        </w:rPr>
        <w:t>in K.E.TH.I.’s Web site, aiming at the promotion of women candidates and their empowerment, by providing arguments for their cause.</w:t>
      </w:r>
      <w:r>
        <w:rPr>
          <w:rStyle w:val="Strong"/>
          <w:lang w:val="en-GB"/>
        </w:rPr>
        <w:t xml:space="preserve"> </w:t>
      </w:r>
      <w:bookmarkEnd w:id="57"/>
      <w:r>
        <w:rPr>
          <w:rStyle w:val="Strong"/>
          <w:b w:val="0"/>
          <w:lang w:val="en-GB"/>
        </w:rPr>
        <w:t>After the elections, it was enriched with the results of both electoral procedures.</w:t>
      </w:r>
    </w:p>
    <w:p w:rsidR="00000000" w:rsidRDefault="00000000">
      <w:pPr>
        <w:pStyle w:val="BodyText"/>
        <w:rPr>
          <w:rStyle w:val="Strong"/>
          <w:b w:val="0"/>
          <w:lang w:val="en-GB"/>
        </w:rPr>
      </w:pPr>
      <w:r>
        <w:rPr>
          <w:rStyle w:val="Strong"/>
          <w:b w:val="0"/>
          <w:lang w:val="en-US"/>
        </w:rPr>
        <w:br w:type="page"/>
      </w:r>
      <w:r>
        <w:rPr>
          <w:rStyle w:val="Strong"/>
          <w:b w:val="0"/>
          <w:lang w:val="en-US"/>
        </w:rPr>
        <w:tab/>
      </w:r>
      <w:r>
        <w:rPr>
          <w:rStyle w:val="Strong"/>
          <w:b w:val="0"/>
          <w:lang w:val="en-GB"/>
        </w:rPr>
        <w:t>In the context of the European Programme “Women at the top” (2004), aiming at increasing the number of women number in the highest ranking offices of enterprises:</w:t>
      </w:r>
    </w:p>
    <w:p w:rsidR="00000000" w:rsidRDefault="00000000">
      <w:pPr>
        <w:pStyle w:val="26-8"/>
        <w:rPr>
          <w:rStyle w:val="Strong"/>
          <w:b w:val="0"/>
          <w:color w:val="auto"/>
          <w:lang w:val="en-GB"/>
        </w:rPr>
      </w:pPr>
      <w:r>
        <w:rPr>
          <w:lang w:val="en-GB"/>
        </w:rPr>
        <w:t>–</w:t>
      </w:r>
      <w:r>
        <w:rPr>
          <w:lang w:val="en-GB"/>
        </w:rPr>
        <w:tab/>
      </w:r>
      <w:r>
        <w:rPr>
          <w:rStyle w:val="Strong"/>
          <w:b w:val="0"/>
          <w:color w:val="auto"/>
          <w:lang w:val="en-US"/>
        </w:rPr>
        <w:t>Seminar</w:t>
      </w:r>
      <w:r>
        <w:rPr>
          <w:rStyle w:val="Strong"/>
          <w:b w:val="0"/>
          <w:color w:val="auto"/>
          <w:lang w:val="en-GB"/>
        </w:rPr>
        <w:t xml:space="preserve"> (</w:t>
      </w:r>
      <w:r>
        <w:rPr>
          <w:rStyle w:val="Strong"/>
          <w:b w:val="0"/>
          <w:color w:val="auto"/>
          <w:lang w:val="en-US"/>
        </w:rPr>
        <w:t>September</w:t>
      </w:r>
      <w:r>
        <w:rPr>
          <w:rStyle w:val="Strong"/>
          <w:b w:val="0"/>
          <w:color w:val="auto"/>
          <w:lang w:val="en-GB"/>
        </w:rPr>
        <w:t xml:space="preserve"> 2004) “</w:t>
      </w:r>
      <w:r>
        <w:rPr>
          <w:rStyle w:val="Strong"/>
          <w:b w:val="0"/>
          <w:color w:val="auto"/>
          <w:lang w:val="en-US"/>
        </w:rPr>
        <w:t>Enterprise and Gender”</w:t>
      </w:r>
    </w:p>
    <w:p w:rsidR="00000000" w:rsidRDefault="00000000">
      <w:pPr>
        <w:pStyle w:val="26-8"/>
        <w:rPr>
          <w:rStyle w:val="Strong"/>
          <w:b w:val="0"/>
          <w:color w:val="auto"/>
          <w:lang w:val="en-GB"/>
        </w:rPr>
      </w:pPr>
      <w:r>
        <w:rPr>
          <w:lang w:val="en-GB"/>
        </w:rPr>
        <w:t>–</w:t>
      </w:r>
      <w:r>
        <w:rPr>
          <w:lang w:val="en-GB"/>
        </w:rPr>
        <w:tab/>
      </w:r>
      <w:r>
        <w:rPr>
          <w:rStyle w:val="Strong"/>
          <w:b w:val="0"/>
          <w:color w:val="auto"/>
          <w:lang w:val="en-GB"/>
        </w:rPr>
        <w:t>Survey</w:t>
      </w:r>
      <w:r>
        <w:rPr>
          <w:rStyle w:val="Strong"/>
          <w:b w:val="0"/>
          <w:color w:val="auto"/>
          <w:lang w:val="en-US"/>
        </w:rPr>
        <w:t xml:space="preserve"> in offices of evaluation and employment of staff, concerning the profiles of companies</w:t>
      </w:r>
      <w:r>
        <w:rPr>
          <w:rStyle w:val="Strong"/>
          <w:b w:val="0"/>
          <w:color w:val="auto"/>
          <w:lang w:val="en-GB"/>
        </w:rPr>
        <w:t xml:space="preserve"> and candidate executives who resort to them.</w:t>
      </w:r>
    </w:p>
    <w:p w:rsidR="00000000" w:rsidRDefault="00000000">
      <w:pPr>
        <w:pStyle w:val="26-8"/>
        <w:rPr>
          <w:rStyle w:val="Strong"/>
          <w:b w:val="0"/>
          <w:color w:val="auto"/>
          <w:lang w:val="en-GB"/>
        </w:rPr>
      </w:pPr>
      <w:r>
        <w:rPr>
          <w:lang w:val="en-GB"/>
        </w:rPr>
        <w:t>–</w:t>
      </w:r>
      <w:r>
        <w:rPr>
          <w:lang w:val="en-GB"/>
        </w:rPr>
        <w:tab/>
      </w:r>
      <w:r>
        <w:rPr>
          <w:rStyle w:val="Strong"/>
          <w:b w:val="0"/>
          <w:color w:val="auto"/>
          <w:lang w:val="en-US"/>
        </w:rPr>
        <w:t>Consultation</w:t>
      </w:r>
      <w:r>
        <w:rPr>
          <w:rStyle w:val="Strong"/>
          <w:b w:val="0"/>
          <w:color w:val="auto"/>
          <w:lang w:val="en-GB"/>
        </w:rPr>
        <w:t xml:space="preserve"> </w:t>
      </w:r>
      <w:r>
        <w:rPr>
          <w:rStyle w:val="Strong"/>
          <w:b w:val="0"/>
          <w:color w:val="auto"/>
          <w:lang w:val="en-US"/>
        </w:rPr>
        <w:t>for</w:t>
      </w:r>
      <w:r>
        <w:rPr>
          <w:rStyle w:val="Strong"/>
          <w:b w:val="0"/>
          <w:color w:val="auto"/>
          <w:lang w:val="en-GB"/>
        </w:rPr>
        <w:t xml:space="preserve"> </w:t>
      </w:r>
      <w:r>
        <w:rPr>
          <w:rStyle w:val="Strong"/>
          <w:b w:val="0"/>
          <w:color w:val="auto"/>
          <w:lang w:val="en-US"/>
        </w:rPr>
        <w:t>professional</w:t>
      </w:r>
      <w:r>
        <w:rPr>
          <w:rStyle w:val="Strong"/>
          <w:b w:val="0"/>
          <w:color w:val="auto"/>
          <w:lang w:val="en-GB"/>
        </w:rPr>
        <w:t xml:space="preserve"> </w:t>
      </w:r>
      <w:r>
        <w:rPr>
          <w:rStyle w:val="Strong"/>
          <w:b w:val="0"/>
          <w:color w:val="auto"/>
          <w:lang w:val="en-US"/>
        </w:rPr>
        <w:t xml:space="preserve">development/support to </w:t>
      </w:r>
      <w:r>
        <w:rPr>
          <w:rStyle w:val="Strong"/>
          <w:b w:val="0"/>
          <w:color w:val="auto"/>
          <w:lang w:val="en-GB"/>
        </w:rPr>
        <w:t xml:space="preserve">8 </w:t>
      </w:r>
      <w:r>
        <w:rPr>
          <w:rStyle w:val="Strong"/>
          <w:b w:val="0"/>
          <w:color w:val="auto"/>
          <w:lang w:val="en-US"/>
        </w:rPr>
        <w:t>women executives of the companies “</w:t>
      </w:r>
      <w:r>
        <w:rPr>
          <w:rStyle w:val="Strong"/>
          <w:b w:val="0"/>
          <w:color w:val="auto"/>
        </w:rPr>
        <w:t>Ε</w:t>
      </w:r>
      <w:r>
        <w:rPr>
          <w:rStyle w:val="Strong"/>
          <w:b w:val="0"/>
          <w:color w:val="auto"/>
          <w:lang w:val="en-US"/>
        </w:rPr>
        <w:t>LG</w:t>
      </w:r>
      <w:r>
        <w:rPr>
          <w:rStyle w:val="Strong"/>
          <w:b w:val="0"/>
          <w:color w:val="auto"/>
        </w:rPr>
        <w:t>ΕΚΑ</w:t>
      </w:r>
      <w:r>
        <w:rPr>
          <w:rStyle w:val="Strong"/>
          <w:b w:val="0"/>
          <w:color w:val="auto"/>
          <w:lang w:val="en-US"/>
        </w:rPr>
        <w:t xml:space="preserve">” </w:t>
      </w:r>
      <w:r>
        <w:rPr>
          <w:rStyle w:val="Strong"/>
          <w:b w:val="0"/>
          <w:color w:val="auto"/>
          <w:lang w:val="en-GB"/>
        </w:rPr>
        <w:t>and “</w:t>
      </w:r>
      <w:r>
        <w:rPr>
          <w:rStyle w:val="Strong"/>
          <w:b w:val="0"/>
          <w:color w:val="auto"/>
        </w:rPr>
        <w:t>ΑΤΤΙΚΟ</w:t>
      </w:r>
      <w:r>
        <w:rPr>
          <w:rStyle w:val="Strong"/>
          <w:b w:val="0"/>
          <w:color w:val="auto"/>
          <w:lang w:val="en-GB"/>
        </w:rPr>
        <w:t xml:space="preserve"> </w:t>
      </w:r>
      <w:r>
        <w:rPr>
          <w:rStyle w:val="Strong"/>
          <w:b w:val="0"/>
          <w:color w:val="auto"/>
        </w:rPr>
        <w:t>ΜΕΤ</w:t>
      </w:r>
      <w:r>
        <w:rPr>
          <w:rStyle w:val="Strong"/>
          <w:b w:val="0"/>
          <w:color w:val="auto"/>
          <w:lang w:val="en-US"/>
        </w:rPr>
        <w:t>R</w:t>
      </w:r>
      <w:r>
        <w:rPr>
          <w:rStyle w:val="Strong"/>
          <w:b w:val="0"/>
          <w:color w:val="auto"/>
        </w:rPr>
        <w:t>Ο</w:t>
      </w:r>
      <w:r>
        <w:rPr>
          <w:rStyle w:val="Strong"/>
          <w:b w:val="0"/>
          <w:color w:val="auto"/>
          <w:lang w:val="en-US"/>
        </w:rPr>
        <w:t>”</w:t>
      </w:r>
      <w:r>
        <w:rPr>
          <w:rStyle w:val="Strong"/>
          <w:b w:val="0"/>
          <w:color w:val="auto"/>
          <w:lang w:val="en-GB"/>
        </w:rPr>
        <w:t xml:space="preserve"> and of the Municipality of Athens, for empowerment and promotion to higher positions.</w:t>
      </w:r>
    </w:p>
    <w:p w:rsidR="00000000" w:rsidRDefault="00000000">
      <w:pPr>
        <w:pStyle w:val="Heading2"/>
        <w:spacing w:before="120" w:line="360" w:lineRule="auto"/>
        <w:rPr>
          <w:lang w:val="en-GB"/>
        </w:rPr>
      </w:pPr>
      <w:r>
        <w:rPr>
          <w:b/>
          <w:lang w:val="en-US"/>
        </w:rPr>
        <w:t>ANNEX D</w:t>
      </w:r>
      <w:r>
        <w:rPr>
          <w:b/>
          <w:lang w:val="en-US"/>
        </w:rPr>
        <w:br/>
      </w:r>
      <w:r>
        <w:rPr>
          <w:lang w:val="en-GB"/>
        </w:rPr>
        <w:t>(</w:t>
      </w:r>
      <w:r>
        <w:rPr>
          <w:lang w:val="en-US"/>
        </w:rPr>
        <w:t>ARTICLE</w:t>
      </w:r>
      <w:r>
        <w:rPr>
          <w:lang w:val="en-GB"/>
        </w:rPr>
        <w:t xml:space="preserve"> 10)</w:t>
      </w:r>
    </w:p>
    <w:p w:rsidR="00000000" w:rsidRDefault="00000000">
      <w:pPr>
        <w:tabs>
          <w:tab w:val="left" w:pos="567"/>
          <w:tab w:val="left" w:pos="1021"/>
          <w:tab w:val="left" w:pos="1474"/>
          <w:tab w:val="left" w:pos="1928"/>
        </w:tabs>
        <w:jc w:val="center"/>
        <w:rPr>
          <w:b/>
          <w:lang w:val="en-GB"/>
        </w:rPr>
      </w:pPr>
      <w:r>
        <w:rPr>
          <w:b/>
          <w:lang w:val="en-US"/>
        </w:rPr>
        <w:t>PUBLIC &amp; PRIVATE SECONDARY EDUCATION</w:t>
      </w:r>
      <w:r>
        <w:rPr>
          <w:b/>
          <w:lang w:val="en-GB"/>
        </w:rPr>
        <w:t xml:space="preserve"> </w:t>
      </w:r>
      <w:r>
        <w:rPr>
          <w:b/>
          <w:lang w:val="en-US"/>
        </w:rPr>
        <w:t>IN GREECE</w:t>
      </w:r>
    </w:p>
    <w:p w:rsidR="00000000" w:rsidRDefault="00000000">
      <w:pPr>
        <w:tabs>
          <w:tab w:val="left" w:pos="567"/>
          <w:tab w:val="left" w:pos="1021"/>
          <w:tab w:val="left" w:pos="1474"/>
          <w:tab w:val="left" w:pos="1928"/>
        </w:tabs>
        <w:jc w:val="center"/>
        <w:rPr>
          <w:b/>
          <w:lang w:val="en-US"/>
        </w:rPr>
      </w:pPr>
      <w:r>
        <w:rPr>
          <w:b/>
          <w:lang w:val="en-GB"/>
        </w:rPr>
        <w:t>SCHOOL YEAR</w:t>
      </w:r>
      <w:r>
        <w:rPr>
          <w:b/>
          <w:lang w:val="en-US"/>
        </w:rPr>
        <w:t xml:space="preserve"> 2000-2001</w:t>
      </w:r>
    </w:p>
    <w:tbl>
      <w:tblPr>
        <w:tblW w:w="0" w:type="auto"/>
        <w:tblInd w:w="3"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4252"/>
        <w:gridCol w:w="1559"/>
        <w:gridCol w:w="1858"/>
        <w:gridCol w:w="1732"/>
      </w:tblGrid>
      <w:tr w:rsidR="00000000">
        <w:tblPrEx>
          <w:tblCellMar>
            <w:top w:w="0" w:type="dxa"/>
            <w:bottom w:w="0" w:type="dxa"/>
          </w:tblCellMar>
        </w:tblPrEx>
        <w:tc>
          <w:tcPr>
            <w:tcW w:w="4252" w:type="dxa"/>
            <w:tcBorders>
              <w:top w:val="single" w:sz="4" w:space="0" w:color="auto"/>
              <w:left w:val="nil"/>
              <w:bottom w:val="single" w:sz="4" w:space="0" w:color="auto"/>
              <w:right w:val="nil"/>
            </w:tcBorders>
            <w:vAlign w:val="bottom"/>
          </w:tcPr>
          <w:p w:rsidR="00000000" w:rsidRDefault="00000000">
            <w:pPr>
              <w:pStyle w:val="a6"/>
              <w:rPr>
                <w:b/>
                <w:lang w:val="en-US"/>
              </w:rPr>
            </w:pPr>
            <w:r>
              <w:rPr>
                <w:b/>
                <w:lang w:val="en-US"/>
              </w:rPr>
              <w:t>PUBLIC</w:t>
            </w:r>
          </w:p>
        </w:tc>
        <w:tc>
          <w:tcPr>
            <w:tcW w:w="1559" w:type="dxa"/>
            <w:tcBorders>
              <w:top w:val="single" w:sz="4" w:space="0" w:color="auto"/>
              <w:left w:val="nil"/>
              <w:bottom w:val="single" w:sz="4" w:space="0" w:color="auto"/>
              <w:right w:val="nil"/>
            </w:tcBorders>
            <w:vAlign w:val="bottom"/>
          </w:tcPr>
          <w:p w:rsidR="00000000" w:rsidRDefault="00000000">
            <w:pPr>
              <w:pStyle w:val="a6"/>
              <w:rPr>
                <w:b/>
                <w:lang w:val="en-US"/>
              </w:rPr>
            </w:pPr>
            <w:r>
              <w:rPr>
                <w:b/>
                <w:lang w:val="en-US"/>
              </w:rPr>
              <w:t>NUMBER OF SCHOOLS</w:t>
            </w:r>
          </w:p>
        </w:tc>
        <w:tc>
          <w:tcPr>
            <w:tcW w:w="1858" w:type="dxa"/>
            <w:tcBorders>
              <w:top w:val="single" w:sz="4" w:space="0" w:color="auto"/>
              <w:left w:val="nil"/>
              <w:bottom w:val="single" w:sz="4" w:space="0" w:color="auto"/>
              <w:right w:val="nil"/>
            </w:tcBorders>
            <w:vAlign w:val="bottom"/>
          </w:tcPr>
          <w:p w:rsidR="00000000" w:rsidRDefault="00000000">
            <w:pPr>
              <w:pStyle w:val="a6"/>
              <w:rPr>
                <w:b/>
                <w:lang w:val="en-US"/>
              </w:rPr>
            </w:pPr>
            <w:r>
              <w:rPr>
                <w:b/>
                <w:lang w:val="en-US"/>
              </w:rPr>
              <w:t>TOTAL No OF STUDENTS</w:t>
            </w:r>
          </w:p>
        </w:tc>
        <w:tc>
          <w:tcPr>
            <w:tcW w:w="1732" w:type="dxa"/>
            <w:tcBorders>
              <w:top w:val="single" w:sz="4" w:space="0" w:color="auto"/>
              <w:left w:val="nil"/>
              <w:bottom w:val="single" w:sz="4" w:space="0" w:color="auto"/>
              <w:right w:val="nil"/>
            </w:tcBorders>
            <w:vAlign w:val="bottom"/>
          </w:tcPr>
          <w:p w:rsidR="00000000" w:rsidRDefault="00000000">
            <w:pPr>
              <w:pStyle w:val="a6"/>
              <w:rPr>
                <w:b/>
                <w:lang w:val="en-US"/>
              </w:rPr>
            </w:pPr>
            <w:r>
              <w:rPr>
                <w:b/>
                <w:lang w:val="en-US"/>
              </w:rPr>
              <w:t>GIRLS</w:t>
            </w:r>
          </w:p>
        </w:tc>
      </w:tr>
      <w:tr w:rsidR="00000000">
        <w:tblPrEx>
          <w:tblCellMar>
            <w:top w:w="0" w:type="dxa"/>
            <w:bottom w:w="0" w:type="dxa"/>
          </w:tblCellMar>
        </w:tblPrEx>
        <w:tc>
          <w:tcPr>
            <w:tcW w:w="4252" w:type="dxa"/>
            <w:tcBorders>
              <w:top w:val="single" w:sz="4" w:space="0" w:color="auto"/>
              <w:left w:val="nil"/>
              <w:right w:val="nil"/>
            </w:tcBorders>
            <w:vAlign w:val="bottom"/>
          </w:tcPr>
          <w:p w:rsidR="00000000" w:rsidRDefault="00000000">
            <w:pPr>
              <w:pStyle w:val="a6"/>
              <w:jc w:val="left"/>
              <w:rPr>
                <w:lang w:val="en-US"/>
              </w:rPr>
            </w:pPr>
            <w:r>
              <w:rPr>
                <w:lang w:val="en-US"/>
              </w:rPr>
              <w:t>DAY GYMNASIA</w:t>
            </w:r>
          </w:p>
        </w:tc>
        <w:tc>
          <w:tcPr>
            <w:tcW w:w="1559" w:type="dxa"/>
            <w:tcBorders>
              <w:top w:val="single" w:sz="4" w:space="0" w:color="auto"/>
              <w:left w:val="nil"/>
              <w:right w:val="nil"/>
            </w:tcBorders>
            <w:vAlign w:val="bottom"/>
          </w:tcPr>
          <w:p w:rsidR="00000000" w:rsidRDefault="00000000">
            <w:pPr>
              <w:pStyle w:val="a6"/>
              <w:rPr>
                <w:lang w:val="en-US"/>
              </w:rPr>
            </w:pPr>
            <w:r>
              <w:rPr>
                <w:lang w:val="en-US"/>
              </w:rPr>
              <w:t>1768</w:t>
            </w:r>
          </w:p>
        </w:tc>
        <w:tc>
          <w:tcPr>
            <w:tcW w:w="1858" w:type="dxa"/>
            <w:tcBorders>
              <w:top w:val="single" w:sz="4" w:space="0" w:color="auto"/>
              <w:left w:val="nil"/>
              <w:right w:val="nil"/>
            </w:tcBorders>
            <w:vAlign w:val="bottom"/>
          </w:tcPr>
          <w:p w:rsidR="00000000" w:rsidRDefault="00000000">
            <w:pPr>
              <w:pStyle w:val="a6"/>
              <w:rPr>
                <w:lang w:val="en-US"/>
              </w:rPr>
            </w:pPr>
            <w:r>
              <w:rPr>
                <w:lang w:val="en-US"/>
              </w:rPr>
              <w:t>332407</w:t>
            </w:r>
          </w:p>
        </w:tc>
        <w:tc>
          <w:tcPr>
            <w:tcW w:w="1732" w:type="dxa"/>
            <w:tcBorders>
              <w:top w:val="single" w:sz="4" w:space="0" w:color="auto"/>
              <w:left w:val="nil"/>
              <w:right w:val="nil"/>
            </w:tcBorders>
            <w:vAlign w:val="bottom"/>
          </w:tcPr>
          <w:p w:rsidR="00000000" w:rsidRDefault="00000000">
            <w:pPr>
              <w:pStyle w:val="a6"/>
              <w:rPr>
                <w:lang w:val="en-US"/>
              </w:rPr>
            </w:pPr>
            <w:r>
              <w:rPr>
                <w:lang w:val="en-US"/>
              </w:rPr>
              <w:t>160680</w:t>
            </w:r>
          </w:p>
        </w:tc>
      </w:tr>
      <w:tr w:rsidR="00000000">
        <w:tblPrEx>
          <w:tblCellMar>
            <w:top w:w="0" w:type="dxa"/>
            <w:bottom w:w="0" w:type="dxa"/>
          </w:tblCellMar>
        </w:tblPrEx>
        <w:tc>
          <w:tcPr>
            <w:tcW w:w="4252" w:type="dxa"/>
            <w:tcBorders>
              <w:left w:val="nil"/>
              <w:right w:val="nil"/>
            </w:tcBorders>
            <w:vAlign w:val="bottom"/>
          </w:tcPr>
          <w:p w:rsidR="00000000" w:rsidRDefault="00000000">
            <w:pPr>
              <w:pStyle w:val="a6"/>
              <w:jc w:val="left"/>
              <w:rPr>
                <w:lang w:val="en-US"/>
              </w:rPr>
            </w:pPr>
            <w:r>
              <w:rPr>
                <w:lang w:val="en-US"/>
              </w:rPr>
              <w:t>EVENING GYMNASIA</w:t>
            </w:r>
          </w:p>
        </w:tc>
        <w:tc>
          <w:tcPr>
            <w:tcW w:w="1559" w:type="dxa"/>
            <w:tcBorders>
              <w:left w:val="nil"/>
              <w:right w:val="nil"/>
            </w:tcBorders>
            <w:vAlign w:val="bottom"/>
          </w:tcPr>
          <w:p w:rsidR="00000000" w:rsidRDefault="00000000">
            <w:pPr>
              <w:pStyle w:val="a6"/>
              <w:rPr>
                <w:lang w:val="en-US"/>
              </w:rPr>
            </w:pPr>
            <w:r>
              <w:rPr>
                <w:lang w:val="en-US"/>
              </w:rPr>
              <w:t>69</w:t>
            </w:r>
          </w:p>
        </w:tc>
        <w:tc>
          <w:tcPr>
            <w:tcW w:w="1858" w:type="dxa"/>
            <w:tcBorders>
              <w:left w:val="nil"/>
              <w:right w:val="nil"/>
            </w:tcBorders>
            <w:vAlign w:val="bottom"/>
          </w:tcPr>
          <w:p w:rsidR="00000000" w:rsidRDefault="00000000">
            <w:pPr>
              <w:pStyle w:val="a6"/>
              <w:rPr>
                <w:lang w:val="en-US"/>
              </w:rPr>
            </w:pPr>
            <w:r>
              <w:rPr>
                <w:lang w:val="en-US"/>
              </w:rPr>
              <w:t>9568</w:t>
            </w:r>
          </w:p>
        </w:tc>
        <w:tc>
          <w:tcPr>
            <w:tcW w:w="1732" w:type="dxa"/>
            <w:tcBorders>
              <w:left w:val="nil"/>
              <w:right w:val="nil"/>
            </w:tcBorders>
            <w:vAlign w:val="bottom"/>
          </w:tcPr>
          <w:p w:rsidR="00000000" w:rsidRDefault="00000000">
            <w:pPr>
              <w:pStyle w:val="a6"/>
              <w:rPr>
                <w:lang w:val="en-US"/>
              </w:rPr>
            </w:pPr>
            <w:r>
              <w:rPr>
                <w:lang w:val="en-US"/>
              </w:rPr>
              <w:t>2388</w:t>
            </w:r>
          </w:p>
        </w:tc>
      </w:tr>
      <w:tr w:rsidR="00000000">
        <w:tblPrEx>
          <w:tblCellMar>
            <w:top w:w="0" w:type="dxa"/>
            <w:bottom w:w="0" w:type="dxa"/>
          </w:tblCellMar>
        </w:tblPrEx>
        <w:tc>
          <w:tcPr>
            <w:tcW w:w="4252" w:type="dxa"/>
            <w:tcBorders>
              <w:left w:val="nil"/>
              <w:right w:val="nil"/>
            </w:tcBorders>
            <w:vAlign w:val="bottom"/>
          </w:tcPr>
          <w:p w:rsidR="00000000" w:rsidRDefault="00000000">
            <w:pPr>
              <w:pStyle w:val="a6"/>
              <w:spacing w:before="0" w:after="0"/>
              <w:jc w:val="left"/>
              <w:rPr>
                <w:sz w:val="22"/>
                <w:lang w:val="en-US"/>
              </w:rPr>
            </w:pPr>
          </w:p>
        </w:tc>
        <w:tc>
          <w:tcPr>
            <w:tcW w:w="1559" w:type="dxa"/>
            <w:tcBorders>
              <w:left w:val="nil"/>
              <w:right w:val="nil"/>
            </w:tcBorders>
            <w:vAlign w:val="bottom"/>
          </w:tcPr>
          <w:p w:rsidR="00000000" w:rsidRDefault="00000000">
            <w:pPr>
              <w:pStyle w:val="a6"/>
              <w:spacing w:before="0" w:after="0"/>
              <w:rPr>
                <w:lang w:val="en-US"/>
              </w:rPr>
            </w:pPr>
          </w:p>
        </w:tc>
        <w:tc>
          <w:tcPr>
            <w:tcW w:w="1858" w:type="dxa"/>
            <w:tcBorders>
              <w:left w:val="nil"/>
              <w:right w:val="nil"/>
            </w:tcBorders>
            <w:vAlign w:val="bottom"/>
          </w:tcPr>
          <w:p w:rsidR="00000000" w:rsidRDefault="00000000">
            <w:pPr>
              <w:pStyle w:val="a6"/>
              <w:spacing w:before="0" w:after="0"/>
              <w:rPr>
                <w:lang w:val="en-US"/>
              </w:rPr>
            </w:pPr>
          </w:p>
        </w:tc>
        <w:tc>
          <w:tcPr>
            <w:tcW w:w="1732" w:type="dxa"/>
            <w:tcBorders>
              <w:left w:val="nil"/>
              <w:right w:val="nil"/>
            </w:tcBorders>
            <w:vAlign w:val="bottom"/>
          </w:tcPr>
          <w:p w:rsidR="00000000" w:rsidRDefault="00000000">
            <w:pPr>
              <w:pStyle w:val="a6"/>
              <w:spacing w:before="0" w:after="0"/>
              <w:rPr>
                <w:lang w:val="en-US"/>
              </w:rPr>
            </w:pPr>
          </w:p>
        </w:tc>
      </w:tr>
      <w:tr w:rsidR="00000000">
        <w:tblPrEx>
          <w:tblCellMar>
            <w:top w:w="0" w:type="dxa"/>
            <w:bottom w:w="0" w:type="dxa"/>
          </w:tblCellMar>
        </w:tblPrEx>
        <w:tc>
          <w:tcPr>
            <w:tcW w:w="4252" w:type="dxa"/>
            <w:tcBorders>
              <w:left w:val="nil"/>
              <w:right w:val="nil"/>
            </w:tcBorders>
            <w:vAlign w:val="bottom"/>
          </w:tcPr>
          <w:p w:rsidR="00000000" w:rsidRDefault="00000000">
            <w:pPr>
              <w:pStyle w:val="a6"/>
              <w:jc w:val="left"/>
              <w:rPr>
                <w:lang w:val="en-US"/>
              </w:rPr>
            </w:pPr>
            <w:r>
              <w:rPr>
                <w:lang w:val="en-US"/>
              </w:rPr>
              <w:t>DAY INTEGRATED LYKEIA</w:t>
            </w:r>
          </w:p>
        </w:tc>
        <w:tc>
          <w:tcPr>
            <w:tcW w:w="1559" w:type="dxa"/>
            <w:tcBorders>
              <w:left w:val="nil"/>
              <w:right w:val="nil"/>
            </w:tcBorders>
            <w:vAlign w:val="bottom"/>
          </w:tcPr>
          <w:p w:rsidR="00000000" w:rsidRDefault="00000000">
            <w:pPr>
              <w:pStyle w:val="a6"/>
              <w:rPr>
                <w:lang w:val="en-US"/>
              </w:rPr>
            </w:pPr>
            <w:r>
              <w:rPr>
                <w:lang w:val="en-US"/>
              </w:rPr>
              <w:t>1185</w:t>
            </w:r>
          </w:p>
        </w:tc>
        <w:tc>
          <w:tcPr>
            <w:tcW w:w="1858" w:type="dxa"/>
            <w:tcBorders>
              <w:left w:val="nil"/>
              <w:right w:val="nil"/>
            </w:tcBorders>
            <w:vAlign w:val="bottom"/>
          </w:tcPr>
          <w:p w:rsidR="00000000" w:rsidRDefault="00000000">
            <w:pPr>
              <w:pStyle w:val="a6"/>
              <w:rPr>
                <w:lang w:val="en-US"/>
              </w:rPr>
            </w:pPr>
            <w:r>
              <w:rPr>
                <w:lang w:val="en-US"/>
              </w:rPr>
              <w:t>224573</w:t>
            </w:r>
          </w:p>
        </w:tc>
        <w:tc>
          <w:tcPr>
            <w:tcW w:w="1732" w:type="dxa"/>
            <w:tcBorders>
              <w:left w:val="nil"/>
              <w:right w:val="nil"/>
            </w:tcBorders>
            <w:vAlign w:val="bottom"/>
          </w:tcPr>
          <w:p w:rsidR="00000000" w:rsidRDefault="00000000">
            <w:pPr>
              <w:pStyle w:val="a6"/>
              <w:rPr>
                <w:lang w:val="en-US"/>
              </w:rPr>
            </w:pPr>
            <w:r>
              <w:rPr>
                <w:lang w:val="en-US"/>
              </w:rPr>
              <w:t>123409</w:t>
            </w:r>
          </w:p>
        </w:tc>
      </w:tr>
      <w:tr w:rsidR="00000000">
        <w:tblPrEx>
          <w:tblCellMar>
            <w:top w:w="0" w:type="dxa"/>
            <w:bottom w:w="0" w:type="dxa"/>
          </w:tblCellMar>
        </w:tblPrEx>
        <w:tc>
          <w:tcPr>
            <w:tcW w:w="4252" w:type="dxa"/>
            <w:tcBorders>
              <w:left w:val="nil"/>
              <w:right w:val="nil"/>
            </w:tcBorders>
            <w:vAlign w:val="bottom"/>
          </w:tcPr>
          <w:p w:rsidR="00000000" w:rsidRDefault="00000000">
            <w:pPr>
              <w:pStyle w:val="a6"/>
              <w:jc w:val="left"/>
              <w:rPr>
                <w:lang w:val="en-US"/>
              </w:rPr>
            </w:pPr>
            <w:r>
              <w:rPr>
                <w:lang w:val="en-US"/>
              </w:rPr>
              <w:t>EVENING INTEGR. LYKEIA</w:t>
            </w:r>
          </w:p>
        </w:tc>
        <w:tc>
          <w:tcPr>
            <w:tcW w:w="1559" w:type="dxa"/>
            <w:tcBorders>
              <w:left w:val="nil"/>
              <w:right w:val="nil"/>
            </w:tcBorders>
            <w:vAlign w:val="bottom"/>
          </w:tcPr>
          <w:p w:rsidR="00000000" w:rsidRDefault="00000000">
            <w:pPr>
              <w:pStyle w:val="a6"/>
              <w:rPr>
                <w:lang w:val="en-US"/>
              </w:rPr>
            </w:pPr>
            <w:r>
              <w:rPr>
                <w:lang w:val="en-US"/>
              </w:rPr>
              <w:t>52</w:t>
            </w:r>
          </w:p>
        </w:tc>
        <w:tc>
          <w:tcPr>
            <w:tcW w:w="1858" w:type="dxa"/>
            <w:tcBorders>
              <w:left w:val="nil"/>
              <w:right w:val="nil"/>
            </w:tcBorders>
            <w:vAlign w:val="bottom"/>
          </w:tcPr>
          <w:p w:rsidR="00000000" w:rsidRDefault="00000000">
            <w:pPr>
              <w:pStyle w:val="a6"/>
              <w:rPr>
                <w:lang w:val="en-US"/>
              </w:rPr>
            </w:pPr>
            <w:r>
              <w:rPr>
                <w:lang w:val="en-US"/>
              </w:rPr>
              <w:t>6298</w:t>
            </w:r>
          </w:p>
        </w:tc>
        <w:tc>
          <w:tcPr>
            <w:tcW w:w="1732" w:type="dxa"/>
            <w:tcBorders>
              <w:left w:val="nil"/>
              <w:right w:val="nil"/>
            </w:tcBorders>
            <w:vAlign w:val="bottom"/>
          </w:tcPr>
          <w:p w:rsidR="00000000" w:rsidRDefault="00000000">
            <w:pPr>
              <w:pStyle w:val="a6"/>
              <w:rPr>
                <w:lang w:val="en-US"/>
              </w:rPr>
            </w:pPr>
            <w:r>
              <w:rPr>
                <w:lang w:val="en-US"/>
              </w:rPr>
              <w:t>2474</w:t>
            </w:r>
          </w:p>
        </w:tc>
      </w:tr>
      <w:tr w:rsidR="00000000">
        <w:tblPrEx>
          <w:tblCellMar>
            <w:top w:w="0" w:type="dxa"/>
            <w:bottom w:w="0" w:type="dxa"/>
          </w:tblCellMar>
        </w:tblPrEx>
        <w:tc>
          <w:tcPr>
            <w:tcW w:w="4252" w:type="dxa"/>
            <w:tcBorders>
              <w:left w:val="nil"/>
              <w:right w:val="nil"/>
            </w:tcBorders>
            <w:vAlign w:val="bottom"/>
          </w:tcPr>
          <w:p w:rsidR="00000000" w:rsidRDefault="00000000">
            <w:pPr>
              <w:pStyle w:val="a6"/>
              <w:spacing w:before="0" w:after="0"/>
              <w:jc w:val="left"/>
              <w:rPr>
                <w:lang w:val="en-US"/>
              </w:rPr>
            </w:pPr>
          </w:p>
        </w:tc>
        <w:tc>
          <w:tcPr>
            <w:tcW w:w="1559" w:type="dxa"/>
            <w:tcBorders>
              <w:left w:val="nil"/>
              <w:right w:val="nil"/>
            </w:tcBorders>
            <w:vAlign w:val="bottom"/>
          </w:tcPr>
          <w:p w:rsidR="00000000" w:rsidRDefault="00000000">
            <w:pPr>
              <w:pStyle w:val="a6"/>
              <w:spacing w:before="0" w:after="0"/>
              <w:rPr>
                <w:lang w:val="en-US"/>
              </w:rPr>
            </w:pPr>
          </w:p>
        </w:tc>
        <w:tc>
          <w:tcPr>
            <w:tcW w:w="1858" w:type="dxa"/>
            <w:tcBorders>
              <w:left w:val="nil"/>
              <w:right w:val="nil"/>
            </w:tcBorders>
            <w:vAlign w:val="bottom"/>
          </w:tcPr>
          <w:p w:rsidR="00000000" w:rsidRDefault="00000000">
            <w:pPr>
              <w:pStyle w:val="a6"/>
              <w:spacing w:before="0" w:after="0"/>
              <w:rPr>
                <w:lang w:val="en-US"/>
              </w:rPr>
            </w:pPr>
          </w:p>
        </w:tc>
        <w:tc>
          <w:tcPr>
            <w:tcW w:w="1732" w:type="dxa"/>
            <w:tcBorders>
              <w:left w:val="nil"/>
              <w:right w:val="nil"/>
            </w:tcBorders>
            <w:vAlign w:val="bottom"/>
          </w:tcPr>
          <w:p w:rsidR="00000000" w:rsidRDefault="00000000">
            <w:pPr>
              <w:pStyle w:val="a6"/>
              <w:spacing w:before="0" w:after="0"/>
              <w:rPr>
                <w:lang w:val="en-US"/>
              </w:rPr>
            </w:pPr>
          </w:p>
        </w:tc>
      </w:tr>
      <w:tr w:rsidR="00000000">
        <w:tblPrEx>
          <w:tblCellMar>
            <w:top w:w="0" w:type="dxa"/>
            <w:bottom w:w="0" w:type="dxa"/>
          </w:tblCellMar>
        </w:tblPrEx>
        <w:tc>
          <w:tcPr>
            <w:tcW w:w="4252" w:type="dxa"/>
            <w:tcBorders>
              <w:left w:val="nil"/>
              <w:right w:val="nil"/>
            </w:tcBorders>
            <w:vAlign w:val="bottom"/>
          </w:tcPr>
          <w:p w:rsidR="00000000" w:rsidRDefault="00000000">
            <w:pPr>
              <w:pStyle w:val="a6"/>
              <w:jc w:val="left"/>
              <w:rPr>
                <w:lang w:val="en-US"/>
              </w:rPr>
            </w:pPr>
            <w:r>
              <w:rPr>
                <w:lang w:val="en-US"/>
              </w:rPr>
              <w:t>DAY TECHNICAL VOCATIONAL SCHOOLS</w:t>
            </w:r>
          </w:p>
        </w:tc>
        <w:tc>
          <w:tcPr>
            <w:tcW w:w="1559" w:type="dxa"/>
            <w:tcBorders>
              <w:left w:val="nil"/>
              <w:right w:val="nil"/>
            </w:tcBorders>
            <w:vAlign w:val="bottom"/>
          </w:tcPr>
          <w:p w:rsidR="00000000" w:rsidRDefault="00000000">
            <w:pPr>
              <w:pStyle w:val="a6"/>
              <w:rPr>
                <w:lang w:val="en-US"/>
              </w:rPr>
            </w:pPr>
            <w:r>
              <w:rPr>
                <w:lang w:val="en-US"/>
              </w:rPr>
              <w:t>412</w:t>
            </w:r>
          </w:p>
        </w:tc>
        <w:tc>
          <w:tcPr>
            <w:tcW w:w="1858" w:type="dxa"/>
            <w:tcBorders>
              <w:left w:val="nil"/>
              <w:right w:val="nil"/>
            </w:tcBorders>
            <w:vAlign w:val="bottom"/>
          </w:tcPr>
          <w:p w:rsidR="00000000" w:rsidRDefault="00000000">
            <w:pPr>
              <w:pStyle w:val="a6"/>
              <w:rPr>
                <w:lang w:val="en-US"/>
              </w:rPr>
            </w:pPr>
            <w:r>
              <w:rPr>
                <w:lang w:val="en-US"/>
              </w:rPr>
              <w:t>117603</w:t>
            </w:r>
          </w:p>
        </w:tc>
        <w:tc>
          <w:tcPr>
            <w:tcW w:w="1732" w:type="dxa"/>
            <w:tcBorders>
              <w:left w:val="nil"/>
              <w:right w:val="nil"/>
            </w:tcBorders>
            <w:vAlign w:val="bottom"/>
          </w:tcPr>
          <w:p w:rsidR="00000000" w:rsidRDefault="00000000">
            <w:pPr>
              <w:pStyle w:val="a6"/>
              <w:rPr>
                <w:lang w:val="en-US"/>
              </w:rPr>
            </w:pPr>
            <w:r>
              <w:rPr>
                <w:lang w:val="en-US"/>
              </w:rPr>
              <w:t>51503</w:t>
            </w:r>
          </w:p>
        </w:tc>
      </w:tr>
      <w:tr w:rsidR="00000000">
        <w:tblPrEx>
          <w:tblCellMar>
            <w:top w:w="0" w:type="dxa"/>
            <w:bottom w:w="0" w:type="dxa"/>
          </w:tblCellMar>
        </w:tblPrEx>
        <w:tc>
          <w:tcPr>
            <w:tcW w:w="4252" w:type="dxa"/>
            <w:tcBorders>
              <w:left w:val="nil"/>
              <w:right w:val="nil"/>
            </w:tcBorders>
            <w:vAlign w:val="bottom"/>
          </w:tcPr>
          <w:p w:rsidR="00000000" w:rsidRDefault="00000000">
            <w:pPr>
              <w:pStyle w:val="a6"/>
              <w:jc w:val="left"/>
              <w:rPr>
                <w:lang w:val="en-US"/>
              </w:rPr>
            </w:pPr>
            <w:r>
              <w:rPr>
                <w:lang w:val="en-US"/>
              </w:rPr>
              <w:t>EVENING TECHN. VOCAT. SCHOOLS</w:t>
            </w:r>
          </w:p>
        </w:tc>
        <w:tc>
          <w:tcPr>
            <w:tcW w:w="1559" w:type="dxa"/>
            <w:tcBorders>
              <w:left w:val="nil"/>
              <w:right w:val="nil"/>
            </w:tcBorders>
            <w:vAlign w:val="bottom"/>
          </w:tcPr>
          <w:p w:rsidR="00000000" w:rsidRDefault="00000000">
            <w:pPr>
              <w:pStyle w:val="a6"/>
              <w:rPr>
                <w:lang w:val="en-US"/>
              </w:rPr>
            </w:pPr>
            <w:r>
              <w:rPr>
                <w:lang w:val="en-US"/>
              </w:rPr>
              <w:t>36</w:t>
            </w:r>
          </w:p>
        </w:tc>
        <w:tc>
          <w:tcPr>
            <w:tcW w:w="1858" w:type="dxa"/>
            <w:tcBorders>
              <w:left w:val="nil"/>
              <w:right w:val="nil"/>
            </w:tcBorders>
            <w:vAlign w:val="bottom"/>
          </w:tcPr>
          <w:p w:rsidR="00000000" w:rsidRDefault="00000000">
            <w:pPr>
              <w:pStyle w:val="a6"/>
              <w:rPr>
                <w:lang w:val="en-US"/>
              </w:rPr>
            </w:pPr>
            <w:r>
              <w:rPr>
                <w:lang w:val="en-US"/>
              </w:rPr>
              <w:t>8898</w:t>
            </w:r>
          </w:p>
        </w:tc>
        <w:tc>
          <w:tcPr>
            <w:tcW w:w="1732" w:type="dxa"/>
            <w:tcBorders>
              <w:left w:val="nil"/>
              <w:right w:val="nil"/>
            </w:tcBorders>
            <w:vAlign w:val="bottom"/>
          </w:tcPr>
          <w:p w:rsidR="00000000" w:rsidRDefault="00000000">
            <w:pPr>
              <w:pStyle w:val="a6"/>
              <w:rPr>
                <w:lang w:val="en-US"/>
              </w:rPr>
            </w:pPr>
            <w:r>
              <w:rPr>
                <w:lang w:val="en-US"/>
              </w:rPr>
              <w:t>2181</w:t>
            </w:r>
          </w:p>
        </w:tc>
      </w:tr>
      <w:tr w:rsidR="00000000">
        <w:tblPrEx>
          <w:tblCellMar>
            <w:top w:w="0" w:type="dxa"/>
            <w:bottom w:w="0" w:type="dxa"/>
          </w:tblCellMar>
        </w:tblPrEx>
        <w:tc>
          <w:tcPr>
            <w:tcW w:w="4252" w:type="dxa"/>
            <w:tcBorders>
              <w:left w:val="nil"/>
              <w:bottom w:val="single" w:sz="4" w:space="0" w:color="auto"/>
              <w:right w:val="nil"/>
            </w:tcBorders>
            <w:vAlign w:val="bottom"/>
          </w:tcPr>
          <w:p w:rsidR="00000000" w:rsidRDefault="00000000">
            <w:pPr>
              <w:pStyle w:val="a6"/>
              <w:spacing w:before="0" w:after="0"/>
              <w:jc w:val="left"/>
              <w:rPr>
                <w:lang w:val="en-US"/>
              </w:rPr>
            </w:pPr>
          </w:p>
        </w:tc>
        <w:tc>
          <w:tcPr>
            <w:tcW w:w="1559" w:type="dxa"/>
            <w:tcBorders>
              <w:left w:val="nil"/>
              <w:bottom w:val="single" w:sz="4" w:space="0" w:color="auto"/>
              <w:right w:val="nil"/>
            </w:tcBorders>
            <w:vAlign w:val="bottom"/>
          </w:tcPr>
          <w:p w:rsidR="00000000" w:rsidRDefault="00000000">
            <w:pPr>
              <w:pStyle w:val="a6"/>
              <w:spacing w:before="0" w:after="0"/>
              <w:rPr>
                <w:lang w:val="en-US"/>
              </w:rPr>
            </w:pPr>
          </w:p>
        </w:tc>
        <w:tc>
          <w:tcPr>
            <w:tcW w:w="1858" w:type="dxa"/>
            <w:tcBorders>
              <w:left w:val="nil"/>
              <w:bottom w:val="single" w:sz="4" w:space="0" w:color="auto"/>
              <w:right w:val="nil"/>
            </w:tcBorders>
            <w:vAlign w:val="bottom"/>
          </w:tcPr>
          <w:p w:rsidR="00000000" w:rsidRDefault="00000000">
            <w:pPr>
              <w:pStyle w:val="a6"/>
              <w:spacing w:before="0" w:after="0"/>
              <w:rPr>
                <w:lang w:val="en-US"/>
              </w:rPr>
            </w:pPr>
          </w:p>
        </w:tc>
        <w:tc>
          <w:tcPr>
            <w:tcW w:w="1732" w:type="dxa"/>
            <w:tcBorders>
              <w:left w:val="nil"/>
              <w:bottom w:val="single" w:sz="4" w:space="0" w:color="auto"/>
              <w:right w:val="nil"/>
            </w:tcBorders>
            <w:vAlign w:val="bottom"/>
          </w:tcPr>
          <w:p w:rsidR="00000000" w:rsidRDefault="00000000">
            <w:pPr>
              <w:pStyle w:val="a6"/>
              <w:spacing w:before="0" w:after="0"/>
              <w:rPr>
                <w:lang w:val="en-US"/>
              </w:rPr>
            </w:pPr>
          </w:p>
        </w:tc>
      </w:tr>
      <w:tr w:rsidR="00000000">
        <w:tblPrEx>
          <w:tblCellMar>
            <w:top w:w="0" w:type="dxa"/>
            <w:bottom w:w="0" w:type="dxa"/>
          </w:tblCellMar>
        </w:tblPrEx>
        <w:tc>
          <w:tcPr>
            <w:tcW w:w="4252" w:type="dxa"/>
            <w:tcBorders>
              <w:top w:val="single" w:sz="4" w:space="0" w:color="auto"/>
              <w:left w:val="nil"/>
              <w:bottom w:val="single" w:sz="4" w:space="0" w:color="auto"/>
              <w:right w:val="nil"/>
            </w:tcBorders>
            <w:vAlign w:val="center"/>
          </w:tcPr>
          <w:p w:rsidR="00000000" w:rsidRDefault="00000000">
            <w:pPr>
              <w:pStyle w:val="a6"/>
              <w:rPr>
                <w:b/>
                <w:lang w:val="en-US"/>
              </w:rPr>
            </w:pPr>
            <w:r>
              <w:rPr>
                <w:b/>
                <w:lang w:val="en-US"/>
              </w:rPr>
              <w:t>PRIVATE</w:t>
            </w:r>
          </w:p>
        </w:tc>
        <w:tc>
          <w:tcPr>
            <w:tcW w:w="1559" w:type="dxa"/>
            <w:tcBorders>
              <w:top w:val="single" w:sz="4" w:space="0" w:color="auto"/>
              <w:left w:val="nil"/>
              <w:bottom w:val="single" w:sz="4" w:space="0" w:color="auto"/>
              <w:right w:val="nil"/>
            </w:tcBorders>
            <w:vAlign w:val="bottom"/>
          </w:tcPr>
          <w:p w:rsidR="00000000" w:rsidRDefault="00000000">
            <w:pPr>
              <w:pStyle w:val="a6"/>
              <w:rPr>
                <w:b/>
                <w:lang w:val="en-US"/>
              </w:rPr>
            </w:pPr>
            <w:r>
              <w:rPr>
                <w:b/>
                <w:lang w:val="en-US"/>
              </w:rPr>
              <w:t>NUMBER OF SCHOOLS</w:t>
            </w:r>
          </w:p>
        </w:tc>
        <w:tc>
          <w:tcPr>
            <w:tcW w:w="1858" w:type="dxa"/>
            <w:tcBorders>
              <w:top w:val="single" w:sz="4" w:space="0" w:color="auto"/>
              <w:left w:val="nil"/>
              <w:bottom w:val="single" w:sz="4" w:space="0" w:color="auto"/>
              <w:right w:val="nil"/>
            </w:tcBorders>
            <w:vAlign w:val="bottom"/>
          </w:tcPr>
          <w:p w:rsidR="00000000" w:rsidRDefault="00000000">
            <w:pPr>
              <w:pStyle w:val="a6"/>
              <w:rPr>
                <w:b/>
                <w:lang w:val="en-US"/>
              </w:rPr>
            </w:pPr>
            <w:r>
              <w:rPr>
                <w:b/>
                <w:lang w:val="en-US"/>
              </w:rPr>
              <w:t>TOTAL No OF STUDENTS</w:t>
            </w:r>
          </w:p>
        </w:tc>
        <w:tc>
          <w:tcPr>
            <w:tcW w:w="1732" w:type="dxa"/>
            <w:tcBorders>
              <w:top w:val="single" w:sz="4" w:space="0" w:color="auto"/>
              <w:left w:val="nil"/>
              <w:bottom w:val="single" w:sz="4" w:space="0" w:color="auto"/>
              <w:right w:val="nil"/>
            </w:tcBorders>
            <w:vAlign w:val="bottom"/>
          </w:tcPr>
          <w:p w:rsidR="00000000" w:rsidRDefault="00000000">
            <w:pPr>
              <w:pStyle w:val="a6"/>
              <w:rPr>
                <w:b/>
                <w:lang w:val="en-US"/>
              </w:rPr>
            </w:pPr>
            <w:r>
              <w:rPr>
                <w:b/>
                <w:lang w:val="en-US"/>
              </w:rPr>
              <w:t>GIRLS</w:t>
            </w:r>
          </w:p>
        </w:tc>
      </w:tr>
      <w:tr w:rsidR="00000000">
        <w:tblPrEx>
          <w:tblCellMar>
            <w:top w:w="0" w:type="dxa"/>
            <w:bottom w:w="0" w:type="dxa"/>
          </w:tblCellMar>
        </w:tblPrEx>
        <w:tc>
          <w:tcPr>
            <w:tcW w:w="4252" w:type="dxa"/>
            <w:tcBorders>
              <w:top w:val="single" w:sz="4" w:space="0" w:color="auto"/>
              <w:left w:val="nil"/>
              <w:right w:val="nil"/>
            </w:tcBorders>
            <w:vAlign w:val="bottom"/>
          </w:tcPr>
          <w:p w:rsidR="00000000" w:rsidRDefault="00000000">
            <w:pPr>
              <w:pStyle w:val="a6"/>
              <w:jc w:val="left"/>
              <w:rPr>
                <w:lang w:val="en-US"/>
              </w:rPr>
            </w:pPr>
            <w:r>
              <w:rPr>
                <w:lang w:val="en-US"/>
              </w:rPr>
              <w:t>DAY GYMNASIA</w:t>
            </w:r>
          </w:p>
        </w:tc>
        <w:tc>
          <w:tcPr>
            <w:tcW w:w="1559" w:type="dxa"/>
            <w:tcBorders>
              <w:top w:val="single" w:sz="4" w:space="0" w:color="auto"/>
              <w:left w:val="nil"/>
              <w:right w:val="nil"/>
            </w:tcBorders>
            <w:vAlign w:val="bottom"/>
          </w:tcPr>
          <w:p w:rsidR="00000000" w:rsidRDefault="00000000">
            <w:pPr>
              <w:pStyle w:val="a6"/>
              <w:rPr>
                <w:lang w:val="en-US"/>
              </w:rPr>
            </w:pPr>
            <w:r>
              <w:rPr>
                <w:lang w:val="en-US"/>
              </w:rPr>
              <w:t>108</w:t>
            </w:r>
          </w:p>
        </w:tc>
        <w:tc>
          <w:tcPr>
            <w:tcW w:w="1858" w:type="dxa"/>
            <w:tcBorders>
              <w:top w:val="single" w:sz="4" w:space="0" w:color="auto"/>
              <w:left w:val="nil"/>
              <w:right w:val="nil"/>
            </w:tcBorders>
            <w:vAlign w:val="bottom"/>
          </w:tcPr>
          <w:p w:rsidR="00000000" w:rsidRDefault="00000000">
            <w:pPr>
              <w:pStyle w:val="a6"/>
              <w:rPr>
                <w:lang w:val="en-US"/>
              </w:rPr>
            </w:pPr>
            <w:r>
              <w:rPr>
                <w:lang w:val="en-US"/>
              </w:rPr>
              <w:t>18895</w:t>
            </w:r>
          </w:p>
        </w:tc>
        <w:tc>
          <w:tcPr>
            <w:tcW w:w="1732" w:type="dxa"/>
            <w:tcBorders>
              <w:top w:val="single" w:sz="4" w:space="0" w:color="auto"/>
              <w:left w:val="nil"/>
              <w:right w:val="nil"/>
            </w:tcBorders>
            <w:vAlign w:val="bottom"/>
          </w:tcPr>
          <w:p w:rsidR="00000000" w:rsidRDefault="00000000">
            <w:pPr>
              <w:pStyle w:val="a6"/>
              <w:rPr>
                <w:lang w:val="en-US"/>
              </w:rPr>
            </w:pPr>
            <w:r>
              <w:rPr>
                <w:lang w:val="en-US"/>
              </w:rPr>
              <w:t>8952</w:t>
            </w:r>
          </w:p>
        </w:tc>
      </w:tr>
      <w:tr w:rsidR="00000000">
        <w:tblPrEx>
          <w:tblCellMar>
            <w:top w:w="0" w:type="dxa"/>
            <w:bottom w:w="0" w:type="dxa"/>
          </w:tblCellMar>
        </w:tblPrEx>
        <w:tc>
          <w:tcPr>
            <w:tcW w:w="4252" w:type="dxa"/>
            <w:tcBorders>
              <w:left w:val="nil"/>
              <w:right w:val="nil"/>
            </w:tcBorders>
            <w:vAlign w:val="bottom"/>
          </w:tcPr>
          <w:p w:rsidR="00000000" w:rsidRDefault="00000000">
            <w:pPr>
              <w:pStyle w:val="a6"/>
              <w:jc w:val="left"/>
              <w:rPr>
                <w:lang w:val="en-US"/>
              </w:rPr>
            </w:pPr>
            <w:r>
              <w:rPr>
                <w:lang w:val="en-US"/>
              </w:rPr>
              <w:t>EVENING GYMNASIA</w:t>
            </w:r>
          </w:p>
        </w:tc>
        <w:tc>
          <w:tcPr>
            <w:tcW w:w="1559" w:type="dxa"/>
            <w:tcBorders>
              <w:left w:val="nil"/>
              <w:right w:val="nil"/>
            </w:tcBorders>
            <w:vAlign w:val="bottom"/>
          </w:tcPr>
          <w:p w:rsidR="00000000" w:rsidRDefault="00000000">
            <w:pPr>
              <w:pStyle w:val="a6"/>
              <w:rPr>
                <w:lang w:val="en-US"/>
              </w:rPr>
            </w:pPr>
            <w:r>
              <w:rPr>
                <w:lang w:val="en-US"/>
              </w:rPr>
              <w:t>5</w:t>
            </w:r>
          </w:p>
        </w:tc>
        <w:tc>
          <w:tcPr>
            <w:tcW w:w="1858" w:type="dxa"/>
            <w:tcBorders>
              <w:left w:val="nil"/>
              <w:right w:val="nil"/>
            </w:tcBorders>
            <w:vAlign w:val="bottom"/>
          </w:tcPr>
          <w:p w:rsidR="00000000" w:rsidRDefault="00000000">
            <w:pPr>
              <w:pStyle w:val="a6"/>
              <w:rPr>
                <w:lang w:val="en-US"/>
              </w:rPr>
            </w:pPr>
            <w:r>
              <w:rPr>
                <w:lang w:val="en-US"/>
              </w:rPr>
              <w:t>242</w:t>
            </w:r>
          </w:p>
        </w:tc>
        <w:tc>
          <w:tcPr>
            <w:tcW w:w="1732" w:type="dxa"/>
            <w:tcBorders>
              <w:left w:val="nil"/>
              <w:right w:val="nil"/>
            </w:tcBorders>
            <w:vAlign w:val="bottom"/>
          </w:tcPr>
          <w:p w:rsidR="00000000" w:rsidRDefault="00000000">
            <w:pPr>
              <w:pStyle w:val="a6"/>
              <w:rPr>
                <w:lang w:val="en-US"/>
              </w:rPr>
            </w:pPr>
            <w:r>
              <w:rPr>
                <w:lang w:val="en-US"/>
              </w:rPr>
              <w:t>72</w:t>
            </w:r>
          </w:p>
        </w:tc>
      </w:tr>
      <w:tr w:rsidR="00000000">
        <w:tblPrEx>
          <w:tblCellMar>
            <w:top w:w="0" w:type="dxa"/>
            <w:bottom w:w="0" w:type="dxa"/>
          </w:tblCellMar>
        </w:tblPrEx>
        <w:tc>
          <w:tcPr>
            <w:tcW w:w="4252" w:type="dxa"/>
            <w:tcBorders>
              <w:left w:val="nil"/>
              <w:right w:val="nil"/>
            </w:tcBorders>
            <w:vAlign w:val="bottom"/>
          </w:tcPr>
          <w:p w:rsidR="00000000" w:rsidRDefault="00000000">
            <w:pPr>
              <w:pStyle w:val="a6"/>
              <w:spacing w:before="0" w:after="0"/>
              <w:jc w:val="left"/>
              <w:rPr>
                <w:sz w:val="22"/>
                <w:lang w:val="en-US"/>
              </w:rPr>
            </w:pPr>
          </w:p>
        </w:tc>
        <w:tc>
          <w:tcPr>
            <w:tcW w:w="1559" w:type="dxa"/>
            <w:tcBorders>
              <w:left w:val="nil"/>
              <w:right w:val="nil"/>
            </w:tcBorders>
            <w:vAlign w:val="bottom"/>
          </w:tcPr>
          <w:p w:rsidR="00000000" w:rsidRDefault="00000000">
            <w:pPr>
              <w:pStyle w:val="a6"/>
              <w:spacing w:before="0" w:after="0"/>
              <w:rPr>
                <w:lang w:val="en-US"/>
              </w:rPr>
            </w:pPr>
          </w:p>
        </w:tc>
        <w:tc>
          <w:tcPr>
            <w:tcW w:w="1858" w:type="dxa"/>
            <w:tcBorders>
              <w:left w:val="nil"/>
              <w:right w:val="nil"/>
            </w:tcBorders>
            <w:vAlign w:val="bottom"/>
          </w:tcPr>
          <w:p w:rsidR="00000000" w:rsidRDefault="00000000">
            <w:pPr>
              <w:pStyle w:val="a6"/>
              <w:spacing w:before="0" w:after="0"/>
              <w:rPr>
                <w:lang w:val="en-US"/>
              </w:rPr>
            </w:pPr>
          </w:p>
        </w:tc>
        <w:tc>
          <w:tcPr>
            <w:tcW w:w="1732" w:type="dxa"/>
            <w:tcBorders>
              <w:left w:val="nil"/>
              <w:right w:val="nil"/>
            </w:tcBorders>
            <w:vAlign w:val="bottom"/>
          </w:tcPr>
          <w:p w:rsidR="00000000" w:rsidRDefault="00000000">
            <w:pPr>
              <w:pStyle w:val="a6"/>
              <w:spacing w:before="0" w:after="0"/>
              <w:rPr>
                <w:lang w:val="en-US"/>
              </w:rPr>
            </w:pPr>
          </w:p>
        </w:tc>
      </w:tr>
      <w:tr w:rsidR="00000000">
        <w:tblPrEx>
          <w:tblCellMar>
            <w:top w:w="0" w:type="dxa"/>
            <w:bottom w:w="0" w:type="dxa"/>
          </w:tblCellMar>
        </w:tblPrEx>
        <w:tc>
          <w:tcPr>
            <w:tcW w:w="4252" w:type="dxa"/>
            <w:tcBorders>
              <w:left w:val="nil"/>
              <w:right w:val="nil"/>
            </w:tcBorders>
            <w:vAlign w:val="bottom"/>
          </w:tcPr>
          <w:p w:rsidR="00000000" w:rsidRDefault="00000000">
            <w:pPr>
              <w:pStyle w:val="a6"/>
              <w:jc w:val="left"/>
              <w:rPr>
                <w:lang w:val="en-US"/>
              </w:rPr>
            </w:pPr>
            <w:r>
              <w:rPr>
                <w:lang w:val="en-US"/>
              </w:rPr>
              <w:t>DAYINTEGR. LYKEIA</w:t>
            </w:r>
          </w:p>
        </w:tc>
        <w:tc>
          <w:tcPr>
            <w:tcW w:w="1559" w:type="dxa"/>
            <w:tcBorders>
              <w:left w:val="nil"/>
              <w:right w:val="nil"/>
            </w:tcBorders>
            <w:vAlign w:val="bottom"/>
          </w:tcPr>
          <w:p w:rsidR="00000000" w:rsidRDefault="00000000">
            <w:pPr>
              <w:pStyle w:val="a6"/>
              <w:rPr>
                <w:lang w:val="en-US"/>
              </w:rPr>
            </w:pPr>
            <w:r>
              <w:rPr>
                <w:lang w:val="en-US"/>
              </w:rPr>
              <w:t>97</w:t>
            </w:r>
          </w:p>
        </w:tc>
        <w:tc>
          <w:tcPr>
            <w:tcW w:w="1858" w:type="dxa"/>
            <w:tcBorders>
              <w:left w:val="nil"/>
              <w:right w:val="nil"/>
            </w:tcBorders>
            <w:vAlign w:val="bottom"/>
          </w:tcPr>
          <w:p w:rsidR="00000000" w:rsidRDefault="00000000">
            <w:pPr>
              <w:pStyle w:val="a6"/>
              <w:rPr>
                <w:lang w:val="en-US"/>
              </w:rPr>
            </w:pPr>
            <w:r>
              <w:rPr>
                <w:lang w:val="en-US"/>
              </w:rPr>
              <w:t>16508</w:t>
            </w:r>
          </w:p>
        </w:tc>
        <w:tc>
          <w:tcPr>
            <w:tcW w:w="1732" w:type="dxa"/>
            <w:tcBorders>
              <w:left w:val="nil"/>
              <w:right w:val="nil"/>
            </w:tcBorders>
            <w:vAlign w:val="bottom"/>
          </w:tcPr>
          <w:p w:rsidR="00000000" w:rsidRDefault="00000000">
            <w:pPr>
              <w:pStyle w:val="a6"/>
              <w:rPr>
                <w:lang w:val="en-US"/>
              </w:rPr>
            </w:pPr>
            <w:r>
              <w:rPr>
                <w:lang w:val="en-US"/>
              </w:rPr>
              <w:t>8431</w:t>
            </w:r>
          </w:p>
        </w:tc>
      </w:tr>
      <w:tr w:rsidR="00000000">
        <w:tblPrEx>
          <w:tblCellMar>
            <w:top w:w="0" w:type="dxa"/>
            <w:bottom w:w="0" w:type="dxa"/>
          </w:tblCellMar>
        </w:tblPrEx>
        <w:tc>
          <w:tcPr>
            <w:tcW w:w="4252" w:type="dxa"/>
            <w:tcBorders>
              <w:left w:val="nil"/>
              <w:right w:val="nil"/>
            </w:tcBorders>
            <w:vAlign w:val="bottom"/>
          </w:tcPr>
          <w:p w:rsidR="00000000" w:rsidRDefault="00000000">
            <w:pPr>
              <w:pStyle w:val="a6"/>
              <w:jc w:val="left"/>
              <w:rPr>
                <w:lang w:val="en-US"/>
              </w:rPr>
            </w:pPr>
            <w:r>
              <w:rPr>
                <w:lang w:val="en-US"/>
              </w:rPr>
              <w:t>EVENING INTEGR. LYKEIA</w:t>
            </w:r>
          </w:p>
        </w:tc>
        <w:tc>
          <w:tcPr>
            <w:tcW w:w="1559" w:type="dxa"/>
            <w:tcBorders>
              <w:left w:val="nil"/>
              <w:right w:val="nil"/>
            </w:tcBorders>
            <w:vAlign w:val="bottom"/>
          </w:tcPr>
          <w:p w:rsidR="00000000" w:rsidRDefault="00000000">
            <w:pPr>
              <w:pStyle w:val="a6"/>
              <w:rPr>
                <w:lang w:val="en-US"/>
              </w:rPr>
            </w:pPr>
            <w:r>
              <w:rPr>
                <w:lang w:val="en-US"/>
              </w:rPr>
              <w:t>6</w:t>
            </w:r>
          </w:p>
        </w:tc>
        <w:tc>
          <w:tcPr>
            <w:tcW w:w="1858" w:type="dxa"/>
            <w:tcBorders>
              <w:left w:val="nil"/>
              <w:right w:val="nil"/>
            </w:tcBorders>
            <w:vAlign w:val="bottom"/>
          </w:tcPr>
          <w:p w:rsidR="00000000" w:rsidRDefault="00000000">
            <w:pPr>
              <w:pStyle w:val="a6"/>
              <w:rPr>
                <w:lang w:val="en-US"/>
              </w:rPr>
            </w:pPr>
            <w:r>
              <w:rPr>
                <w:lang w:val="en-US"/>
              </w:rPr>
              <w:t>456</w:t>
            </w:r>
          </w:p>
        </w:tc>
        <w:tc>
          <w:tcPr>
            <w:tcW w:w="1732" w:type="dxa"/>
            <w:tcBorders>
              <w:left w:val="nil"/>
              <w:right w:val="nil"/>
            </w:tcBorders>
            <w:vAlign w:val="bottom"/>
          </w:tcPr>
          <w:p w:rsidR="00000000" w:rsidRDefault="00000000">
            <w:pPr>
              <w:pStyle w:val="a6"/>
              <w:rPr>
                <w:lang w:val="en-US"/>
              </w:rPr>
            </w:pPr>
            <w:r>
              <w:rPr>
                <w:lang w:val="en-US"/>
              </w:rPr>
              <w:t>158</w:t>
            </w:r>
          </w:p>
        </w:tc>
      </w:tr>
      <w:tr w:rsidR="00000000">
        <w:tblPrEx>
          <w:tblCellMar>
            <w:top w:w="0" w:type="dxa"/>
            <w:bottom w:w="0" w:type="dxa"/>
          </w:tblCellMar>
        </w:tblPrEx>
        <w:tc>
          <w:tcPr>
            <w:tcW w:w="4252" w:type="dxa"/>
            <w:tcBorders>
              <w:left w:val="nil"/>
              <w:right w:val="nil"/>
            </w:tcBorders>
            <w:vAlign w:val="bottom"/>
          </w:tcPr>
          <w:p w:rsidR="00000000" w:rsidRDefault="00000000">
            <w:pPr>
              <w:pStyle w:val="a6"/>
              <w:spacing w:before="0" w:after="0"/>
              <w:jc w:val="left"/>
              <w:rPr>
                <w:lang w:val="en-US"/>
              </w:rPr>
            </w:pPr>
          </w:p>
        </w:tc>
        <w:tc>
          <w:tcPr>
            <w:tcW w:w="1559" w:type="dxa"/>
            <w:tcBorders>
              <w:left w:val="nil"/>
              <w:right w:val="nil"/>
            </w:tcBorders>
            <w:vAlign w:val="bottom"/>
          </w:tcPr>
          <w:p w:rsidR="00000000" w:rsidRDefault="00000000">
            <w:pPr>
              <w:pStyle w:val="a6"/>
              <w:spacing w:before="0" w:after="0"/>
              <w:rPr>
                <w:lang w:val="en-US"/>
              </w:rPr>
            </w:pPr>
          </w:p>
        </w:tc>
        <w:tc>
          <w:tcPr>
            <w:tcW w:w="1858" w:type="dxa"/>
            <w:tcBorders>
              <w:left w:val="nil"/>
              <w:right w:val="nil"/>
            </w:tcBorders>
            <w:vAlign w:val="bottom"/>
          </w:tcPr>
          <w:p w:rsidR="00000000" w:rsidRDefault="00000000">
            <w:pPr>
              <w:pStyle w:val="a6"/>
              <w:spacing w:before="0" w:after="0"/>
              <w:rPr>
                <w:lang w:val="en-US"/>
              </w:rPr>
            </w:pPr>
          </w:p>
        </w:tc>
        <w:tc>
          <w:tcPr>
            <w:tcW w:w="1732" w:type="dxa"/>
            <w:tcBorders>
              <w:left w:val="nil"/>
              <w:right w:val="nil"/>
            </w:tcBorders>
            <w:vAlign w:val="bottom"/>
          </w:tcPr>
          <w:p w:rsidR="00000000" w:rsidRDefault="00000000">
            <w:pPr>
              <w:pStyle w:val="a6"/>
              <w:spacing w:before="0" w:after="0"/>
              <w:rPr>
                <w:lang w:val="en-US"/>
              </w:rPr>
            </w:pPr>
          </w:p>
        </w:tc>
      </w:tr>
      <w:tr w:rsidR="00000000">
        <w:tblPrEx>
          <w:tblCellMar>
            <w:top w:w="0" w:type="dxa"/>
            <w:bottom w:w="0" w:type="dxa"/>
          </w:tblCellMar>
        </w:tblPrEx>
        <w:tc>
          <w:tcPr>
            <w:tcW w:w="4252" w:type="dxa"/>
            <w:tcBorders>
              <w:left w:val="nil"/>
              <w:right w:val="nil"/>
            </w:tcBorders>
            <w:vAlign w:val="bottom"/>
          </w:tcPr>
          <w:p w:rsidR="00000000" w:rsidRDefault="00000000">
            <w:pPr>
              <w:pStyle w:val="a6"/>
              <w:jc w:val="left"/>
              <w:rPr>
                <w:lang w:val="en-US"/>
              </w:rPr>
            </w:pPr>
            <w:r>
              <w:rPr>
                <w:lang w:val="en-US"/>
              </w:rPr>
              <w:t xml:space="preserve">DAY </w:t>
            </w:r>
            <w:r>
              <w:t>Τ</w:t>
            </w:r>
            <w:r>
              <w:rPr>
                <w:lang w:val="en-US"/>
              </w:rPr>
              <w:t>ECHN. VOCAT. SCHOOLS</w:t>
            </w:r>
          </w:p>
        </w:tc>
        <w:tc>
          <w:tcPr>
            <w:tcW w:w="1559" w:type="dxa"/>
            <w:tcBorders>
              <w:left w:val="nil"/>
              <w:right w:val="nil"/>
            </w:tcBorders>
            <w:vAlign w:val="bottom"/>
          </w:tcPr>
          <w:p w:rsidR="00000000" w:rsidRDefault="00000000">
            <w:pPr>
              <w:pStyle w:val="a6"/>
              <w:rPr>
                <w:lang w:val="en-US"/>
              </w:rPr>
            </w:pPr>
            <w:r>
              <w:rPr>
                <w:lang w:val="en-US"/>
              </w:rPr>
              <w:t>80</w:t>
            </w:r>
          </w:p>
        </w:tc>
        <w:tc>
          <w:tcPr>
            <w:tcW w:w="1858" w:type="dxa"/>
            <w:tcBorders>
              <w:left w:val="nil"/>
              <w:right w:val="nil"/>
            </w:tcBorders>
            <w:vAlign w:val="bottom"/>
          </w:tcPr>
          <w:p w:rsidR="00000000" w:rsidRDefault="00000000">
            <w:pPr>
              <w:pStyle w:val="a6"/>
              <w:rPr>
                <w:lang w:val="en-US"/>
              </w:rPr>
            </w:pPr>
            <w:r>
              <w:rPr>
                <w:lang w:val="en-US"/>
              </w:rPr>
              <w:t>6502</w:t>
            </w:r>
          </w:p>
        </w:tc>
        <w:tc>
          <w:tcPr>
            <w:tcW w:w="1732" w:type="dxa"/>
            <w:tcBorders>
              <w:left w:val="nil"/>
              <w:right w:val="nil"/>
            </w:tcBorders>
            <w:vAlign w:val="bottom"/>
          </w:tcPr>
          <w:p w:rsidR="00000000" w:rsidRDefault="00000000">
            <w:pPr>
              <w:pStyle w:val="a6"/>
              <w:rPr>
                <w:lang w:val="en-US"/>
              </w:rPr>
            </w:pPr>
            <w:r>
              <w:rPr>
                <w:lang w:val="en-US"/>
              </w:rPr>
              <w:t>4069</w:t>
            </w:r>
          </w:p>
        </w:tc>
      </w:tr>
      <w:tr w:rsidR="00000000">
        <w:tblPrEx>
          <w:tblCellMar>
            <w:top w:w="0" w:type="dxa"/>
            <w:bottom w:w="0" w:type="dxa"/>
          </w:tblCellMar>
        </w:tblPrEx>
        <w:tc>
          <w:tcPr>
            <w:tcW w:w="4252" w:type="dxa"/>
            <w:tcBorders>
              <w:left w:val="nil"/>
              <w:bottom w:val="single" w:sz="4" w:space="0" w:color="auto"/>
              <w:right w:val="nil"/>
            </w:tcBorders>
            <w:vAlign w:val="bottom"/>
          </w:tcPr>
          <w:p w:rsidR="00000000" w:rsidRDefault="00000000">
            <w:pPr>
              <w:pStyle w:val="a6"/>
              <w:jc w:val="left"/>
              <w:rPr>
                <w:lang w:val="en-US"/>
              </w:rPr>
            </w:pPr>
            <w:r>
              <w:rPr>
                <w:lang w:val="en-US"/>
              </w:rPr>
              <w:t xml:space="preserve">EVENING TECHN. VOCAT. SCHOOLS </w:t>
            </w:r>
          </w:p>
        </w:tc>
        <w:tc>
          <w:tcPr>
            <w:tcW w:w="1559" w:type="dxa"/>
            <w:tcBorders>
              <w:left w:val="nil"/>
              <w:bottom w:val="single" w:sz="4" w:space="0" w:color="auto"/>
              <w:right w:val="nil"/>
            </w:tcBorders>
          </w:tcPr>
          <w:p w:rsidR="00000000" w:rsidRDefault="00000000">
            <w:pPr>
              <w:pStyle w:val="a6"/>
              <w:rPr>
                <w:lang w:val="en-US"/>
              </w:rPr>
            </w:pPr>
            <w:r>
              <w:rPr>
                <w:lang w:val="en-US"/>
              </w:rPr>
              <w:t>5</w:t>
            </w:r>
          </w:p>
        </w:tc>
        <w:tc>
          <w:tcPr>
            <w:tcW w:w="1858" w:type="dxa"/>
            <w:tcBorders>
              <w:left w:val="nil"/>
              <w:bottom w:val="single" w:sz="4" w:space="0" w:color="auto"/>
              <w:right w:val="nil"/>
            </w:tcBorders>
          </w:tcPr>
          <w:p w:rsidR="00000000" w:rsidRDefault="00000000">
            <w:pPr>
              <w:pStyle w:val="a6"/>
              <w:rPr>
                <w:lang w:val="en-US"/>
              </w:rPr>
            </w:pPr>
            <w:r>
              <w:rPr>
                <w:lang w:val="en-US"/>
              </w:rPr>
              <w:t>659</w:t>
            </w:r>
          </w:p>
        </w:tc>
        <w:tc>
          <w:tcPr>
            <w:tcW w:w="1732" w:type="dxa"/>
            <w:tcBorders>
              <w:left w:val="nil"/>
              <w:bottom w:val="single" w:sz="4" w:space="0" w:color="auto"/>
              <w:right w:val="nil"/>
            </w:tcBorders>
          </w:tcPr>
          <w:p w:rsidR="00000000" w:rsidRDefault="00000000">
            <w:pPr>
              <w:pStyle w:val="a6"/>
              <w:rPr>
                <w:lang w:val="en-US"/>
              </w:rPr>
            </w:pPr>
            <w:r>
              <w:rPr>
                <w:lang w:val="en-US"/>
              </w:rPr>
              <w:t>2</w:t>
            </w:r>
          </w:p>
        </w:tc>
      </w:tr>
    </w:tbl>
    <w:p w:rsidR="00000000" w:rsidRDefault="00000000">
      <w:pPr>
        <w:tabs>
          <w:tab w:val="left" w:pos="567"/>
          <w:tab w:val="left" w:pos="1021"/>
          <w:tab w:val="left" w:pos="1474"/>
          <w:tab w:val="left" w:pos="1928"/>
        </w:tabs>
        <w:spacing w:after="120"/>
        <w:jc w:val="center"/>
        <w:rPr>
          <w:b/>
          <w:lang w:val="en-US"/>
        </w:rPr>
      </w:pPr>
    </w:p>
    <w:p w:rsidR="00000000" w:rsidRDefault="00000000">
      <w:pPr>
        <w:tabs>
          <w:tab w:val="left" w:pos="567"/>
          <w:tab w:val="left" w:pos="1021"/>
          <w:tab w:val="left" w:pos="1474"/>
          <w:tab w:val="left" w:pos="1928"/>
        </w:tabs>
        <w:spacing w:after="120"/>
        <w:jc w:val="center"/>
        <w:rPr>
          <w:b/>
          <w:color w:val="000000"/>
          <w:lang w:val="en-GB"/>
        </w:rPr>
      </w:pPr>
      <w:r>
        <w:rPr>
          <w:b/>
          <w:color w:val="000000"/>
          <w:lang w:val="en-US"/>
        </w:rPr>
        <w:t>TABLE</w:t>
      </w:r>
      <w:r>
        <w:rPr>
          <w:b/>
          <w:color w:val="000000"/>
          <w:lang w:val="en-GB"/>
        </w:rPr>
        <w:t xml:space="preserve"> 1</w:t>
      </w:r>
    </w:p>
    <w:p w:rsidR="00000000" w:rsidRDefault="00000000">
      <w:pPr>
        <w:pStyle w:val="-0"/>
        <w:rPr>
          <w:lang w:val="en-GB"/>
        </w:rPr>
      </w:pPr>
      <w:r>
        <w:rPr>
          <w:lang w:val="en-GB"/>
        </w:rPr>
        <w:t>(</w:t>
      </w:r>
      <w:r>
        <w:rPr>
          <w:lang w:val="en-US"/>
        </w:rPr>
        <w:t>Source:Ministry of National Education and Religious Affairs,</w:t>
      </w:r>
      <w:r>
        <w:rPr>
          <w:lang w:val="en-GB"/>
        </w:rPr>
        <w:t xml:space="preserve"> Directorate for Planning and Operational Research, Dept. of Oper.Research &amp; Statistics)</w:t>
      </w:r>
    </w:p>
    <w:p w:rsidR="00000000" w:rsidRDefault="00000000">
      <w:pPr>
        <w:tabs>
          <w:tab w:val="left" w:pos="567"/>
          <w:tab w:val="left" w:pos="1021"/>
          <w:tab w:val="left" w:pos="1474"/>
          <w:tab w:val="left" w:pos="1928"/>
        </w:tabs>
        <w:jc w:val="center"/>
        <w:rPr>
          <w:b/>
          <w:lang w:val="en-US"/>
        </w:rPr>
      </w:pPr>
      <w:r>
        <w:rPr>
          <w:b/>
          <w:lang w:val="en-GB"/>
        </w:rPr>
        <w:br w:type="page"/>
        <w:t>SCHOOL YEAR</w:t>
      </w:r>
      <w:r>
        <w:rPr>
          <w:b/>
          <w:lang w:val="en-US"/>
        </w:rPr>
        <w:t xml:space="preserve"> 2001-2002</w:t>
      </w:r>
    </w:p>
    <w:tbl>
      <w:tblPr>
        <w:tblW w:w="0" w:type="auto"/>
        <w:tblInd w:w="3" w:type="dxa"/>
        <w:tblBorders>
          <w:top w:val="single" w:sz="4" w:space="0" w:color="auto"/>
          <w:bottom w:val="single" w:sz="4" w:space="0" w:color="auto"/>
        </w:tblBorders>
        <w:tblLayout w:type="fixed"/>
        <w:tblCellMar>
          <w:left w:w="56" w:type="dxa"/>
          <w:right w:w="56" w:type="dxa"/>
        </w:tblCellMar>
        <w:tblLook w:val="0000" w:firstRow="0" w:lastRow="0" w:firstColumn="0" w:lastColumn="0" w:noHBand="0" w:noVBand="0"/>
      </w:tblPr>
      <w:tblGrid>
        <w:gridCol w:w="4252"/>
        <w:gridCol w:w="1559"/>
        <w:gridCol w:w="1843"/>
        <w:gridCol w:w="1701"/>
      </w:tblGrid>
      <w:tr w:rsidR="00000000">
        <w:tblPrEx>
          <w:tblCellMar>
            <w:top w:w="0" w:type="dxa"/>
            <w:bottom w:w="0" w:type="dxa"/>
          </w:tblCellMar>
        </w:tblPrEx>
        <w:tc>
          <w:tcPr>
            <w:tcW w:w="4252" w:type="dxa"/>
            <w:tcBorders>
              <w:top w:val="single" w:sz="4" w:space="0" w:color="auto"/>
              <w:bottom w:val="single" w:sz="4" w:space="0" w:color="auto"/>
            </w:tcBorders>
            <w:vAlign w:val="bottom"/>
          </w:tcPr>
          <w:p w:rsidR="00000000" w:rsidRDefault="00000000">
            <w:pPr>
              <w:pStyle w:val="a6"/>
              <w:rPr>
                <w:b/>
                <w:lang w:val="en-US"/>
              </w:rPr>
            </w:pPr>
            <w:r>
              <w:rPr>
                <w:b/>
                <w:lang w:val="en-US"/>
              </w:rPr>
              <w:t>PUBLIC</w:t>
            </w:r>
          </w:p>
        </w:tc>
        <w:tc>
          <w:tcPr>
            <w:tcW w:w="1559" w:type="dxa"/>
            <w:tcBorders>
              <w:top w:val="single" w:sz="4" w:space="0" w:color="auto"/>
              <w:bottom w:val="single" w:sz="4" w:space="0" w:color="auto"/>
            </w:tcBorders>
            <w:vAlign w:val="bottom"/>
          </w:tcPr>
          <w:p w:rsidR="00000000" w:rsidRDefault="00000000">
            <w:pPr>
              <w:pStyle w:val="a6"/>
              <w:rPr>
                <w:b/>
                <w:lang w:val="en-US"/>
              </w:rPr>
            </w:pPr>
            <w:r>
              <w:rPr>
                <w:b/>
                <w:lang w:val="en-US"/>
              </w:rPr>
              <w:t>NUMBER OF SCHOOLS</w:t>
            </w:r>
          </w:p>
        </w:tc>
        <w:tc>
          <w:tcPr>
            <w:tcW w:w="1843" w:type="dxa"/>
            <w:tcBorders>
              <w:top w:val="single" w:sz="4" w:space="0" w:color="auto"/>
              <w:bottom w:val="single" w:sz="4" w:space="0" w:color="auto"/>
            </w:tcBorders>
            <w:vAlign w:val="bottom"/>
          </w:tcPr>
          <w:p w:rsidR="00000000" w:rsidRDefault="00000000">
            <w:pPr>
              <w:pStyle w:val="a6"/>
              <w:rPr>
                <w:b/>
                <w:lang w:val="en-US"/>
              </w:rPr>
            </w:pPr>
            <w:r>
              <w:rPr>
                <w:b/>
                <w:lang w:val="en-US"/>
              </w:rPr>
              <w:t>TOTAL No OF STUDENTS</w:t>
            </w:r>
          </w:p>
        </w:tc>
        <w:tc>
          <w:tcPr>
            <w:tcW w:w="1701" w:type="dxa"/>
            <w:tcBorders>
              <w:top w:val="single" w:sz="4" w:space="0" w:color="auto"/>
              <w:bottom w:val="single" w:sz="4" w:space="0" w:color="auto"/>
            </w:tcBorders>
            <w:vAlign w:val="bottom"/>
          </w:tcPr>
          <w:p w:rsidR="00000000" w:rsidRDefault="00000000">
            <w:pPr>
              <w:pStyle w:val="a6"/>
              <w:rPr>
                <w:b/>
                <w:lang w:val="en-US"/>
              </w:rPr>
            </w:pPr>
            <w:r>
              <w:rPr>
                <w:b/>
                <w:lang w:val="en-US"/>
              </w:rPr>
              <w:t>GIRLS</w:t>
            </w:r>
          </w:p>
        </w:tc>
      </w:tr>
      <w:tr w:rsidR="00000000">
        <w:tblPrEx>
          <w:tblCellMar>
            <w:top w:w="0" w:type="dxa"/>
            <w:bottom w:w="0" w:type="dxa"/>
          </w:tblCellMar>
        </w:tblPrEx>
        <w:tc>
          <w:tcPr>
            <w:tcW w:w="4252" w:type="dxa"/>
            <w:tcBorders>
              <w:top w:val="single" w:sz="4" w:space="0" w:color="auto"/>
            </w:tcBorders>
            <w:vAlign w:val="bottom"/>
          </w:tcPr>
          <w:p w:rsidR="00000000" w:rsidRDefault="00000000">
            <w:pPr>
              <w:pStyle w:val="a6"/>
              <w:jc w:val="left"/>
              <w:rPr>
                <w:lang w:val="en-US"/>
              </w:rPr>
            </w:pPr>
            <w:r>
              <w:rPr>
                <w:lang w:val="en-US"/>
              </w:rPr>
              <w:t>DAY GYMNASIA</w:t>
            </w:r>
          </w:p>
        </w:tc>
        <w:tc>
          <w:tcPr>
            <w:tcW w:w="1559" w:type="dxa"/>
            <w:tcBorders>
              <w:top w:val="single" w:sz="4" w:space="0" w:color="auto"/>
            </w:tcBorders>
            <w:vAlign w:val="bottom"/>
          </w:tcPr>
          <w:p w:rsidR="00000000" w:rsidRDefault="00000000">
            <w:pPr>
              <w:pStyle w:val="a6"/>
              <w:rPr>
                <w:lang w:val="en-US"/>
              </w:rPr>
            </w:pPr>
            <w:r>
              <w:rPr>
                <w:lang w:val="en-US"/>
              </w:rPr>
              <w:t>1768</w:t>
            </w:r>
          </w:p>
        </w:tc>
        <w:tc>
          <w:tcPr>
            <w:tcW w:w="1843" w:type="dxa"/>
            <w:tcBorders>
              <w:top w:val="single" w:sz="4" w:space="0" w:color="auto"/>
            </w:tcBorders>
            <w:vAlign w:val="bottom"/>
          </w:tcPr>
          <w:p w:rsidR="00000000" w:rsidRDefault="00000000">
            <w:pPr>
              <w:pStyle w:val="a6"/>
              <w:rPr>
                <w:lang w:val="en-US"/>
              </w:rPr>
            </w:pPr>
            <w:r>
              <w:rPr>
                <w:lang w:val="en-US"/>
              </w:rPr>
              <w:t>321674</w:t>
            </w:r>
          </w:p>
        </w:tc>
        <w:tc>
          <w:tcPr>
            <w:tcW w:w="1701" w:type="dxa"/>
            <w:tcBorders>
              <w:top w:val="single" w:sz="4" w:space="0" w:color="auto"/>
            </w:tcBorders>
            <w:vAlign w:val="bottom"/>
          </w:tcPr>
          <w:p w:rsidR="00000000" w:rsidRDefault="00000000">
            <w:pPr>
              <w:pStyle w:val="a6"/>
              <w:rPr>
                <w:lang w:val="en-US"/>
              </w:rPr>
            </w:pPr>
            <w:r>
              <w:rPr>
                <w:lang w:val="en-US"/>
              </w:rPr>
              <w:t>155739</w:t>
            </w:r>
          </w:p>
        </w:tc>
      </w:tr>
      <w:tr w:rsidR="00000000">
        <w:tblPrEx>
          <w:tblCellMar>
            <w:top w:w="0" w:type="dxa"/>
            <w:bottom w:w="0" w:type="dxa"/>
          </w:tblCellMar>
        </w:tblPrEx>
        <w:tc>
          <w:tcPr>
            <w:tcW w:w="4252" w:type="dxa"/>
            <w:vAlign w:val="bottom"/>
          </w:tcPr>
          <w:p w:rsidR="00000000" w:rsidRDefault="00000000">
            <w:pPr>
              <w:pStyle w:val="a6"/>
              <w:jc w:val="left"/>
              <w:rPr>
                <w:lang w:val="en-US"/>
              </w:rPr>
            </w:pPr>
          </w:p>
        </w:tc>
        <w:tc>
          <w:tcPr>
            <w:tcW w:w="1559" w:type="dxa"/>
            <w:vAlign w:val="bottom"/>
          </w:tcPr>
          <w:p w:rsidR="00000000" w:rsidRDefault="00000000">
            <w:pPr>
              <w:pStyle w:val="a6"/>
              <w:rPr>
                <w:lang w:val="en-US"/>
              </w:rPr>
            </w:pPr>
            <w:r>
              <w:rPr>
                <w:lang w:val="en-US"/>
              </w:rPr>
              <w:t>75</w:t>
            </w:r>
          </w:p>
        </w:tc>
        <w:tc>
          <w:tcPr>
            <w:tcW w:w="1843" w:type="dxa"/>
            <w:vAlign w:val="bottom"/>
          </w:tcPr>
          <w:p w:rsidR="00000000" w:rsidRDefault="00000000">
            <w:pPr>
              <w:pStyle w:val="a6"/>
              <w:rPr>
                <w:lang w:val="en-US"/>
              </w:rPr>
            </w:pPr>
            <w:r>
              <w:rPr>
                <w:lang w:val="en-US"/>
              </w:rPr>
              <w:t>9533</w:t>
            </w:r>
          </w:p>
        </w:tc>
        <w:tc>
          <w:tcPr>
            <w:tcW w:w="1701" w:type="dxa"/>
            <w:vAlign w:val="bottom"/>
          </w:tcPr>
          <w:p w:rsidR="00000000" w:rsidRDefault="00000000">
            <w:pPr>
              <w:pStyle w:val="a6"/>
              <w:rPr>
                <w:lang w:val="en-US"/>
              </w:rPr>
            </w:pPr>
            <w:r>
              <w:rPr>
                <w:lang w:val="en-US"/>
              </w:rPr>
              <w:t>2547</w:t>
            </w:r>
          </w:p>
        </w:tc>
      </w:tr>
      <w:tr w:rsidR="00000000">
        <w:tblPrEx>
          <w:tblCellMar>
            <w:top w:w="0" w:type="dxa"/>
            <w:bottom w:w="0" w:type="dxa"/>
          </w:tblCellMar>
        </w:tblPrEx>
        <w:tc>
          <w:tcPr>
            <w:tcW w:w="4252" w:type="dxa"/>
            <w:vAlign w:val="bottom"/>
          </w:tcPr>
          <w:p w:rsidR="00000000" w:rsidRDefault="00000000">
            <w:pPr>
              <w:pStyle w:val="a6"/>
              <w:jc w:val="left"/>
              <w:rPr>
                <w:sz w:val="22"/>
                <w:lang w:val="en-US"/>
              </w:rPr>
            </w:pPr>
          </w:p>
        </w:tc>
        <w:tc>
          <w:tcPr>
            <w:tcW w:w="1559" w:type="dxa"/>
            <w:vAlign w:val="bottom"/>
          </w:tcPr>
          <w:p w:rsidR="00000000" w:rsidRDefault="00000000">
            <w:pPr>
              <w:pStyle w:val="a6"/>
              <w:rPr>
                <w:lang w:val="en-US"/>
              </w:rPr>
            </w:pPr>
          </w:p>
        </w:tc>
        <w:tc>
          <w:tcPr>
            <w:tcW w:w="1843" w:type="dxa"/>
            <w:vAlign w:val="bottom"/>
          </w:tcPr>
          <w:p w:rsidR="00000000" w:rsidRDefault="00000000">
            <w:pPr>
              <w:pStyle w:val="a6"/>
              <w:rPr>
                <w:lang w:val="en-US"/>
              </w:rPr>
            </w:pPr>
          </w:p>
        </w:tc>
        <w:tc>
          <w:tcPr>
            <w:tcW w:w="1701" w:type="dxa"/>
            <w:vAlign w:val="bottom"/>
          </w:tcPr>
          <w:p w:rsidR="00000000" w:rsidRDefault="00000000">
            <w:pPr>
              <w:pStyle w:val="a6"/>
              <w:rPr>
                <w:lang w:val="en-US"/>
              </w:rPr>
            </w:pPr>
          </w:p>
        </w:tc>
      </w:tr>
      <w:tr w:rsidR="00000000">
        <w:tblPrEx>
          <w:tblCellMar>
            <w:top w:w="0" w:type="dxa"/>
            <w:bottom w:w="0" w:type="dxa"/>
          </w:tblCellMar>
        </w:tblPrEx>
        <w:tc>
          <w:tcPr>
            <w:tcW w:w="4252" w:type="dxa"/>
            <w:vAlign w:val="bottom"/>
          </w:tcPr>
          <w:p w:rsidR="00000000" w:rsidRDefault="00000000">
            <w:pPr>
              <w:pStyle w:val="a6"/>
              <w:jc w:val="left"/>
              <w:rPr>
                <w:lang w:val="en-US"/>
              </w:rPr>
            </w:pPr>
            <w:r>
              <w:rPr>
                <w:lang w:val="en-US"/>
              </w:rPr>
              <w:t>DAY INTEGR. LYKEIA</w:t>
            </w:r>
          </w:p>
        </w:tc>
        <w:tc>
          <w:tcPr>
            <w:tcW w:w="1559" w:type="dxa"/>
            <w:vAlign w:val="bottom"/>
          </w:tcPr>
          <w:p w:rsidR="00000000" w:rsidRDefault="00000000">
            <w:pPr>
              <w:pStyle w:val="a6"/>
              <w:rPr>
                <w:lang w:val="en-US"/>
              </w:rPr>
            </w:pPr>
            <w:r>
              <w:rPr>
                <w:lang w:val="en-US"/>
              </w:rPr>
              <w:t>1182</w:t>
            </w:r>
          </w:p>
        </w:tc>
        <w:tc>
          <w:tcPr>
            <w:tcW w:w="1843" w:type="dxa"/>
            <w:vAlign w:val="bottom"/>
          </w:tcPr>
          <w:p w:rsidR="00000000" w:rsidRDefault="00000000">
            <w:pPr>
              <w:pStyle w:val="a6"/>
              <w:rPr>
                <w:lang w:val="en-US"/>
              </w:rPr>
            </w:pPr>
            <w:r>
              <w:rPr>
                <w:lang w:val="en-US"/>
              </w:rPr>
              <w:t>219269</w:t>
            </w:r>
          </w:p>
        </w:tc>
        <w:tc>
          <w:tcPr>
            <w:tcW w:w="1701" w:type="dxa"/>
            <w:vAlign w:val="bottom"/>
          </w:tcPr>
          <w:p w:rsidR="00000000" w:rsidRDefault="00000000">
            <w:pPr>
              <w:pStyle w:val="a6"/>
              <w:rPr>
                <w:lang w:val="en-US"/>
              </w:rPr>
            </w:pPr>
            <w:r>
              <w:rPr>
                <w:lang w:val="en-US"/>
              </w:rPr>
              <w:t>120532</w:t>
            </w:r>
          </w:p>
        </w:tc>
      </w:tr>
      <w:tr w:rsidR="00000000">
        <w:tblPrEx>
          <w:tblCellMar>
            <w:top w:w="0" w:type="dxa"/>
            <w:bottom w:w="0" w:type="dxa"/>
          </w:tblCellMar>
        </w:tblPrEx>
        <w:tc>
          <w:tcPr>
            <w:tcW w:w="4252" w:type="dxa"/>
            <w:vAlign w:val="bottom"/>
          </w:tcPr>
          <w:p w:rsidR="00000000" w:rsidRDefault="00000000">
            <w:pPr>
              <w:pStyle w:val="a6"/>
              <w:jc w:val="left"/>
              <w:rPr>
                <w:lang w:val="en-US"/>
              </w:rPr>
            </w:pPr>
            <w:r>
              <w:rPr>
                <w:lang w:val="en-US"/>
              </w:rPr>
              <w:t>EVENING INTEGR. LYKEIA</w:t>
            </w:r>
          </w:p>
        </w:tc>
        <w:tc>
          <w:tcPr>
            <w:tcW w:w="1559" w:type="dxa"/>
            <w:vAlign w:val="bottom"/>
          </w:tcPr>
          <w:p w:rsidR="00000000" w:rsidRDefault="00000000">
            <w:pPr>
              <w:pStyle w:val="a6"/>
              <w:rPr>
                <w:lang w:val="en-US"/>
              </w:rPr>
            </w:pPr>
            <w:r>
              <w:rPr>
                <w:lang w:val="en-US"/>
              </w:rPr>
              <w:t>55</w:t>
            </w:r>
          </w:p>
        </w:tc>
        <w:tc>
          <w:tcPr>
            <w:tcW w:w="1843" w:type="dxa"/>
            <w:vAlign w:val="bottom"/>
          </w:tcPr>
          <w:p w:rsidR="00000000" w:rsidRDefault="00000000">
            <w:pPr>
              <w:pStyle w:val="a6"/>
              <w:rPr>
                <w:lang w:val="en-US"/>
              </w:rPr>
            </w:pPr>
            <w:r>
              <w:rPr>
                <w:lang w:val="en-US"/>
              </w:rPr>
              <w:t>7178</w:t>
            </w:r>
          </w:p>
        </w:tc>
        <w:tc>
          <w:tcPr>
            <w:tcW w:w="1701" w:type="dxa"/>
            <w:vAlign w:val="bottom"/>
          </w:tcPr>
          <w:p w:rsidR="00000000" w:rsidRDefault="00000000">
            <w:pPr>
              <w:pStyle w:val="a6"/>
              <w:rPr>
                <w:lang w:val="en-US"/>
              </w:rPr>
            </w:pPr>
            <w:r>
              <w:rPr>
                <w:lang w:val="en-US"/>
              </w:rPr>
              <w:t>2629</w:t>
            </w:r>
          </w:p>
        </w:tc>
      </w:tr>
      <w:tr w:rsidR="00000000">
        <w:tblPrEx>
          <w:tblCellMar>
            <w:top w:w="0" w:type="dxa"/>
            <w:bottom w:w="0" w:type="dxa"/>
          </w:tblCellMar>
        </w:tblPrEx>
        <w:tc>
          <w:tcPr>
            <w:tcW w:w="4252" w:type="dxa"/>
            <w:vAlign w:val="bottom"/>
          </w:tcPr>
          <w:p w:rsidR="00000000" w:rsidRDefault="00000000">
            <w:pPr>
              <w:pStyle w:val="a6"/>
              <w:jc w:val="left"/>
              <w:rPr>
                <w:lang w:val="en-US"/>
              </w:rPr>
            </w:pPr>
          </w:p>
        </w:tc>
        <w:tc>
          <w:tcPr>
            <w:tcW w:w="1559" w:type="dxa"/>
            <w:vAlign w:val="bottom"/>
          </w:tcPr>
          <w:p w:rsidR="00000000" w:rsidRDefault="00000000">
            <w:pPr>
              <w:pStyle w:val="a6"/>
              <w:rPr>
                <w:lang w:val="en-US"/>
              </w:rPr>
            </w:pPr>
          </w:p>
        </w:tc>
        <w:tc>
          <w:tcPr>
            <w:tcW w:w="1843" w:type="dxa"/>
            <w:vAlign w:val="bottom"/>
          </w:tcPr>
          <w:p w:rsidR="00000000" w:rsidRDefault="00000000">
            <w:pPr>
              <w:pStyle w:val="a6"/>
              <w:rPr>
                <w:lang w:val="en-US"/>
              </w:rPr>
            </w:pPr>
          </w:p>
        </w:tc>
        <w:tc>
          <w:tcPr>
            <w:tcW w:w="1701" w:type="dxa"/>
            <w:vAlign w:val="bottom"/>
          </w:tcPr>
          <w:p w:rsidR="00000000" w:rsidRDefault="00000000">
            <w:pPr>
              <w:pStyle w:val="a6"/>
              <w:rPr>
                <w:lang w:val="en-US"/>
              </w:rPr>
            </w:pPr>
          </w:p>
        </w:tc>
      </w:tr>
      <w:tr w:rsidR="00000000">
        <w:tblPrEx>
          <w:tblCellMar>
            <w:top w:w="0" w:type="dxa"/>
            <w:bottom w:w="0" w:type="dxa"/>
          </w:tblCellMar>
        </w:tblPrEx>
        <w:tc>
          <w:tcPr>
            <w:tcW w:w="4252" w:type="dxa"/>
            <w:vAlign w:val="bottom"/>
          </w:tcPr>
          <w:p w:rsidR="00000000" w:rsidRDefault="00000000">
            <w:pPr>
              <w:pStyle w:val="a6"/>
              <w:jc w:val="left"/>
              <w:rPr>
                <w:lang w:val="en-US"/>
              </w:rPr>
            </w:pPr>
            <w:r>
              <w:rPr>
                <w:lang w:val="en-US"/>
              </w:rPr>
              <w:t>DAY TECHN. VOCAT. SCHOOLS</w:t>
            </w:r>
          </w:p>
        </w:tc>
        <w:tc>
          <w:tcPr>
            <w:tcW w:w="1559" w:type="dxa"/>
            <w:vAlign w:val="bottom"/>
          </w:tcPr>
          <w:p w:rsidR="00000000" w:rsidRDefault="00000000">
            <w:pPr>
              <w:pStyle w:val="a6"/>
              <w:rPr>
                <w:lang w:val="en-US"/>
              </w:rPr>
            </w:pPr>
            <w:r>
              <w:rPr>
                <w:lang w:val="en-US"/>
              </w:rPr>
              <w:t>418</w:t>
            </w:r>
          </w:p>
        </w:tc>
        <w:tc>
          <w:tcPr>
            <w:tcW w:w="1843" w:type="dxa"/>
            <w:vAlign w:val="bottom"/>
          </w:tcPr>
          <w:p w:rsidR="00000000" w:rsidRDefault="00000000">
            <w:pPr>
              <w:pStyle w:val="a6"/>
              <w:rPr>
                <w:lang w:val="en-US"/>
              </w:rPr>
            </w:pPr>
            <w:r>
              <w:rPr>
                <w:lang w:val="en-US"/>
              </w:rPr>
              <w:t>122581</w:t>
            </w:r>
          </w:p>
        </w:tc>
        <w:tc>
          <w:tcPr>
            <w:tcW w:w="1701" w:type="dxa"/>
            <w:vAlign w:val="bottom"/>
          </w:tcPr>
          <w:p w:rsidR="00000000" w:rsidRDefault="00000000">
            <w:pPr>
              <w:pStyle w:val="a6"/>
              <w:rPr>
                <w:lang w:val="en-US"/>
              </w:rPr>
            </w:pPr>
            <w:r>
              <w:rPr>
                <w:lang w:val="en-US"/>
              </w:rPr>
              <w:t>53361</w:t>
            </w:r>
          </w:p>
        </w:tc>
      </w:tr>
      <w:tr w:rsidR="00000000">
        <w:tblPrEx>
          <w:tblCellMar>
            <w:top w:w="0" w:type="dxa"/>
            <w:bottom w:w="0" w:type="dxa"/>
          </w:tblCellMar>
        </w:tblPrEx>
        <w:tc>
          <w:tcPr>
            <w:tcW w:w="4252" w:type="dxa"/>
            <w:vAlign w:val="bottom"/>
          </w:tcPr>
          <w:p w:rsidR="00000000" w:rsidRDefault="00000000">
            <w:pPr>
              <w:pStyle w:val="a6"/>
              <w:jc w:val="left"/>
              <w:rPr>
                <w:lang w:val="en-US"/>
              </w:rPr>
            </w:pPr>
            <w:r>
              <w:rPr>
                <w:lang w:val="en-US"/>
              </w:rPr>
              <w:t>EVENING TECHN. VOCAT. SCHOOLS</w:t>
            </w:r>
          </w:p>
        </w:tc>
        <w:tc>
          <w:tcPr>
            <w:tcW w:w="1559" w:type="dxa"/>
            <w:vAlign w:val="bottom"/>
          </w:tcPr>
          <w:p w:rsidR="00000000" w:rsidRDefault="00000000">
            <w:pPr>
              <w:pStyle w:val="a6"/>
              <w:rPr>
                <w:lang w:val="en-US"/>
              </w:rPr>
            </w:pPr>
            <w:r>
              <w:rPr>
                <w:lang w:val="en-US"/>
              </w:rPr>
              <w:t>39</w:t>
            </w:r>
          </w:p>
        </w:tc>
        <w:tc>
          <w:tcPr>
            <w:tcW w:w="1843" w:type="dxa"/>
            <w:vAlign w:val="bottom"/>
          </w:tcPr>
          <w:p w:rsidR="00000000" w:rsidRDefault="00000000">
            <w:pPr>
              <w:pStyle w:val="a6"/>
              <w:rPr>
                <w:lang w:val="en-US"/>
              </w:rPr>
            </w:pPr>
            <w:r>
              <w:rPr>
                <w:lang w:val="en-US"/>
              </w:rPr>
              <w:t>11337</w:t>
            </w:r>
          </w:p>
        </w:tc>
        <w:tc>
          <w:tcPr>
            <w:tcW w:w="1701" w:type="dxa"/>
            <w:vAlign w:val="bottom"/>
          </w:tcPr>
          <w:p w:rsidR="00000000" w:rsidRDefault="00000000">
            <w:pPr>
              <w:pStyle w:val="a6"/>
              <w:rPr>
                <w:lang w:val="en-US"/>
              </w:rPr>
            </w:pPr>
            <w:r>
              <w:rPr>
                <w:lang w:val="en-US"/>
              </w:rPr>
              <w:t>3031</w:t>
            </w:r>
          </w:p>
        </w:tc>
      </w:tr>
      <w:tr w:rsidR="00000000">
        <w:tblPrEx>
          <w:tblCellMar>
            <w:top w:w="0" w:type="dxa"/>
            <w:bottom w:w="0" w:type="dxa"/>
          </w:tblCellMar>
        </w:tblPrEx>
        <w:tc>
          <w:tcPr>
            <w:tcW w:w="4252" w:type="dxa"/>
            <w:tcBorders>
              <w:bottom w:val="single" w:sz="4" w:space="0" w:color="auto"/>
            </w:tcBorders>
            <w:vAlign w:val="bottom"/>
          </w:tcPr>
          <w:p w:rsidR="00000000" w:rsidRDefault="00000000">
            <w:pPr>
              <w:pStyle w:val="a6"/>
              <w:jc w:val="left"/>
              <w:rPr>
                <w:lang w:val="en-US"/>
              </w:rPr>
            </w:pPr>
          </w:p>
        </w:tc>
        <w:tc>
          <w:tcPr>
            <w:tcW w:w="1559" w:type="dxa"/>
            <w:tcBorders>
              <w:bottom w:val="single" w:sz="4" w:space="0" w:color="auto"/>
            </w:tcBorders>
            <w:vAlign w:val="bottom"/>
          </w:tcPr>
          <w:p w:rsidR="00000000" w:rsidRDefault="00000000">
            <w:pPr>
              <w:pStyle w:val="a6"/>
              <w:rPr>
                <w:lang w:val="en-US"/>
              </w:rPr>
            </w:pPr>
          </w:p>
        </w:tc>
        <w:tc>
          <w:tcPr>
            <w:tcW w:w="1843" w:type="dxa"/>
            <w:tcBorders>
              <w:bottom w:val="single" w:sz="4" w:space="0" w:color="auto"/>
            </w:tcBorders>
            <w:vAlign w:val="bottom"/>
          </w:tcPr>
          <w:p w:rsidR="00000000" w:rsidRDefault="00000000">
            <w:pPr>
              <w:pStyle w:val="a6"/>
              <w:rPr>
                <w:lang w:val="en-US"/>
              </w:rPr>
            </w:pPr>
          </w:p>
        </w:tc>
        <w:tc>
          <w:tcPr>
            <w:tcW w:w="1701" w:type="dxa"/>
            <w:tcBorders>
              <w:bottom w:val="single" w:sz="4" w:space="0" w:color="auto"/>
            </w:tcBorders>
            <w:vAlign w:val="bottom"/>
          </w:tcPr>
          <w:p w:rsidR="00000000" w:rsidRDefault="00000000">
            <w:pPr>
              <w:pStyle w:val="a6"/>
              <w:rPr>
                <w:lang w:val="en-US"/>
              </w:rPr>
            </w:pPr>
          </w:p>
        </w:tc>
      </w:tr>
      <w:tr w:rsidR="00000000">
        <w:tblPrEx>
          <w:tblCellMar>
            <w:top w:w="0" w:type="dxa"/>
            <w:bottom w:w="0" w:type="dxa"/>
          </w:tblCellMar>
        </w:tblPrEx>
        <w:tc>
          <w:tcPr>
            <w:tcW w:w="4252" w:type="dxa"/>
            <w:tcBorders>
              <w:top w:val="single" w:sz="4" w:space="0" w:color="auto"/>
              <w:bottom w:val="single" w:sz="4" w:space="0" w:color="auto"/>
            </w:tcBorders>
            <w:vAlign w:val="bottom"/>
          </w:tcPr>
          <w:p w:rsidR="00000000" w:rsidRDefault="00000000">
            <w:pPr>
              <w:pStyle w:val="a6"/>
              <w:rPr>
                <w:b/>
                <w:lang w:val="en-US"/>
              </w:rPr>
            </w:pPr>
            <w:r>
              <w:rPr>
                <w:b/>
                <w:lang w:val="en-US"/>
              </w:rPr>
              <w:t>PRIVATE</w:t>
            </w:r>
          </w:p>
        </w:tc>
        <w:tc>
          <w:tcPr>
            <w:tcW w:w="1559" w:type="dxa"/>
            <w:tcBorders>
              <w:top w:val="single" w:sz="4" w:space="0" w:color="auto"/>
              <w:bottom w:val="single" w:sz="4" w:space="0" w:color="auto"/>
            </w:tcBorders>
            <w:vAlign w:val="bottom"/>
          </w:tcPr>
          <w:p w:rsidR="00000000" w:rsidRDefault="00000000">
            <w:pPr>
              <w:pStyle w:val="a6"/>
              <w:rPr>
                <w:b/>
                <w:lang w:val="en-US"/>
              </w:rPr>
            </w:pPr>
            <w:r>
              <w:rPr>
                <w:b/>
                <w:lang w:val="en-US"/>
              </w:rPr>
              <w:t>NUMBER OF SCHOOLS</w:t>
            </w:r>
          </w:p>
        </w:tc>
        <w:tc>
          <w:tcPr>
            <w:tcW w:w="1843" w:type="dxa"/>
            <w:tcBorders>
              <w:top w:val="single" w:sz="4" w:space="0" w:color="auto"/>
              <w:bottom w:val="single" w:sz="4" w:space="0" w:color="auto"/>
            </w:tcBorders>
            <w:vAlign w:val="bottom"/>
          </w:tcPr>
          <w:p w:rsidR="00000000" w:rsidRDefault="00000000">
            <w:pPr>
              <w:pStyle w:val="a6"/>
              <w:rPr>
                <w:b/>
                <w:lang w:val="en-US"/>
              </w:rPr>
            </w:pPr>
            <w:r>
              <w:rPr>
                <w:b/>
                <w:lang w:val="en-US"/>
              </w:rPr>
              <w:t>TOTAL No OF STUDENTS</w:t>
            </w:r>
          </w:p>
        </w:tc>
        <w:tc>
          <w:tcPr>
            <w:tcW w:w="1701" w:type="dxa"/>
            <w:tcBorders>
              <w:top w:val="single" w:sz="4" w:space="0" w:color="auto"/>
              <w:bottom w:val="single" w:sz="4" w:space="0" w:color="auto"/>
            </w:tcBorders>
            <w:vAlign w:val="bottom"/>
          </w:tcPr>
          <w:p w:rsidR="00000000" w:rsidRDefault="00000000">
            <w:pPr>
              <w:pStyle w:val="a6"/>
              <w:rPr>
                <w:b/>
                <w:lang w:val="en-US"/>
              </w:rPr>
            </w:pPr>
            <w:r>
              <w:rPr>
                <w:b/>
                <w:lang w:val="en-US"/>
              </w:rPr>
              <w:t>GIRLS</w:t>
            </w:r>
          </w:p>
        </w:tc>
      </w:tr>
      <w:tr w:rsidR="00000000">
        <w:tblPrEx>
          <w:tblCellMar>
            <w:top w:w="0" w:type="dxa"/>
            <w:bottom w:w="0" w:type="dxa"/>
          </w:tblCellMar>
        </w:tblPrEx>
        <w:tc>
          <w:tcPr>
            <w:tcW w:w="4252" w:type="dxa"/>
            <w:tcBorders>
              <w:top w:val="single" w:sz="4" w:space="0" w:color="auto"/>
            </w:tcBorders>
            <w:vAlign w:val="bottom"/>
          </w:tcPr>
          <w:p w:rsidR="00000000" w:rsidRDefault="00000000">
            <w:pPr>
              <w:pStyle w:val="a6"/>
              <w:jc w:val="left"/>
              <w:rPr>
                <w:lang w:val="en-US"/>
              </w:rPr>
            </w:pPr>
            <w:r>
              <w:rPr>
                <w:lang w:val="en-US"/>
              </w:rPr>
              <w:t>DAY GYMNASIA</w:t>
            </w:r>
          </w:p>
        </w:tc>
        <w:tc>
          <w:tcPr>
            <w:tcW w:w="1559" w:type="dxa"/>
            <w:tcBorders>
              <w:top w:val="single" w:sz="4" w:space="0" w:color="auto"/>
            </w:tcBorders>
            <w:vAlign w:val="bottom"/>
          </w:tcPr>
          <w:p w:rsidR="00000000" w:rsidRDefault="00000000">
            <w:pPr>
              <w:pStyle w:val="a6"/>
              <w:rPr>
                <w:lang w:val="en-US"/>
              </w:rPr>
            </w:pPr>
            <w:r>
              <w:rPr>
                <w:lang w:val="en-US"/>
              </w:rPr>
              <w:t>112</w:t>
            </w:r>
          </w:p>
        </w:tc>
        <w:tc>
          <w:tcPr>
            <w:tcW w:w="1843" w:type="dxa"/>
            <w:tcBorders>
              <w:top w:val="single" w:sz="4" w:space="0" w:color="auto"/>
            </w:tcBorders>
            <w:vAlign w:val="bottom"/>
          </w:tcPr>
          <w:p w:rsidR="00000000" w:rsidRDefault="00000000">
            <w:pPr>
              <w:pStyle w:val="a6"/>
              <w:rPr>
                <w:lang w:val="en-US"/>
              </w:rPr>
            </w:pPr>
            <w:r>
              <w:rPr>
                <w:lang w:val="en-US"/>
              </w:rPr>
              <w:t>19054</w:t>
            </w:r>
          </w:p>
        </w:tc>
        <w:tc>
          <w:tcPr>
            <w:tcW w:w="1701" w:type="dxa"/>
            <w:tcBorders>
              <w:top w:val="single" w:sz="4" w:space="0" w:color="auto"/>
            </w:tcBorders>
            <w:vAlign w:val="bottom"/>
          </w:tcPr>
          <w:p w:rsidR="00000000" w:rsidRDefault="00000000">
            <w:pPr>
              <w:pStyle w:val="a6"/>
              <w:rPr>
                <w:lang w:val="en-US"/>
              </w:rPr>
            </w:pPr>
            <w:r>
              <w:rPr>
                <w:lang w:val="en-US"/>
              </w:rPr>
              <w:t>9028</w:t>
            </w:r>
          </w:p>
        </w:tc>
      </w:tr>
      <w:tr w:rsidR="00000000">
        <w:tblPrEx>
          <w:tblCellMar>
            <w:top w:w="0" w:type="dxa"/>
            <w:bottom w:w="0" w:type="dxa"/>
          </w:tblCellMar>
        </w:tblPrEx>
        <w:tc>
          <w:tcPr>
            <w:tcW w:w="4252" w:type="dxa"/>
            <w:vAlign w:val="bottom"/>
          </w:tcPr>
          <w:p w:rsidR="00000000" w:rsidRDefault="00000000">
            <w:pPr>
              <w:pStyle w:val="a6"/>
              <w:jc w:val="left"/>
              <w:rPr>
                <w:lang w:val="en-US"/>
              </w:rPr>
            </w:pPr>
            <w:r>
              <w:rPr>
                <w:lang w:val="en-US"/>
              </w:rPr>
              <w:t>EVENING GYMNASIA</w:t>
            </w:r>
          </w:p>
        </w:tc>
        <w:tc>
          <w:tcPr>
            <w:tcW w:w="1559" w:type="dxa"/>
            <w:vAlign w:val="bottom"/>
          </w:tcPr>
          <w:p w:rsidR="00000000" w:rsidRDefault="00000000">
            <w:pPr>
              <w:pStyle w:val="a6"/>
              <w:rPr>
                <w:lang w:val="en-US"/>
              </w:rPr>
            </w:pPr>
            <w:r>
              <w:rPr>
                <w:lang w:val="en-US"/>
              </w:rPr>
              <w:t>5</w:t>
            </w:r>
          </w:p>
        </w:tc>
        <w:tc>
          <w:tcPr>
            <w:tcW w:w="1843" w:type="dxa"/>
            <w:vAlign w:val="bottom"/>
          </w:tcPr>
          <w:p w:rsidR="00000000" w:rsidRDefault="00000000">
            <w:pPr>
              <w:pStyle w:val="a6"/>
              <w:rPr>
                <w:lang w:val="en-US"/>
              </w:rPr>
            </w:pPr>
            <w:r>
              <w:rPr>
                <w:lang w:val="en-US"/>
              </w:rPr>
              <w:t>232</w:t>
            </w:r>
          </w:p>
        </w:tc>
        <w:tc>
          <w:tcPr>
            <w:tcW w:w="1701" w:type="dxa"/>
            <w:vAlign w:val="bottom"/>
          </w:tcPr>
          <w:p w:rsidR="00000000" w:rsidRDefault="00000000">
            <w:pPr>
              <w:pStyle w:val="a6"/>
              <w:rPr>
                <w:lang w:val="en-US"/>
              </w:rPr>
            </w:pPr>
            <w:r>
              <w:rPr>
                <w:lang w:val="en-US"/>
              </w:rPr>
              <w:t>65</w:t>
            </w:r>
          </w:p>
        </w:tc>
      </w:tr>
      <w:tr w:rsidR="00000000">
        <w:tblPrEx>
          <w:tblCellMar>
            <w:top w:w="0" w:type="dxa"/>
            <w:bottom w:w="0" w:type="dxa"/>
          </w:tblCellMar>
        </w:tblPrEx>
        <w:tc>
          <w:tcPr>
            <w:tcW w:w="4252" w:type="dxa"/>
            <w:vAlign w:val="bottom"/>
          </w:tcPr>
          <w:p w:rsidR="00000000" w:rsidRDefault="00000000">
            <w:pPr>
              <w:pStyle w:val="a6"/>
              <w:jc w:val="left"/>
              <w:rPr>
                <w:sz w:val="22"/>
                <w:lang w:val="en-US"/>
              </w:rPr>
            </w:pPr>
          </w:p>
        </w:tc>
        <w:tc>
          <w:tcPr>
            <w:tcW w:w="1559" w:type="dxa"/>
            <w:vAlign w:val="bottom"/>
          </w:tcPr>
          <w:p w:rsidR="00000000" w:rsidRDefault="00000000">
            <w:pPr>
              <w:pStyle w:val="a6"/>
              <w:rPr>
                <w:lang w:val="en-US"/>
              </w:rPr>
            </w:pPr>
          </w:p>
        </w:tc>
        <w:tc>
          <w:tcPr>
            <w:tcW w:w="1843" w:type="dxa"/>
            <w:vAlign w:val="bottom"/>
          </w:tcPr>
          <w:p w:rsidR="00000000" w:rsidRDefault="00000000">
            <w:pPr>
              <w:pStyle w:val="a6"/>
              <w:rPr>
                <w:lang w:val="en-US"/>
              </w:rPr>
            </w:pPr>
          </w:p>
        </w:tc>
        <w:tc>
          <w:tcPr>
            <w:tcW w:w="1701" w:type="dxa"/>
            <w:vAlign w:val="bottom"/>
          </w:tcPr>
          <w:p w:rsidR="00000000" w:rsidRDefault="00000000">
            <w:pPr>
              <w:pStyle w:val="a6"/>
              <w:rPr>
                <w:lang w:val="en-US"/>
              </w:rPr>
            </w:pPr>
          </w:p>
        </w:tc>
      </w:tr>
      <w:tr w:rsidR="00000000">
        <w:tblPrEx>
          <w:tblCellMar>
            <w:top w:w="0" w:type="dxa"/>
            <w:bottom w:w="0" w:type="dxa"/>
          </w:tblCellMar>
        </w:tblPrEx>
        <w:tc>
          <w:tcPr>
            <w:tcW w:w="4252" w:type="dxa"/>
            <w:vAlign w:val="bottom"/>
          </w:tcPr>
          <w:p w:rsidR="00000000" w:rsidRDefault="00000000">
            <w:pPr>
              <w:pStyle w:val="a6"/>
              <w:jc w:val="left"/>
              <w:rPr>
                <w:lang w:val="en-US"/>
              </w:rPr>
            </w:pPr>
            <w:r>
              <w:rPr>
                <w:lang w:val="en-US"/>
              </w:rPr>
              <w:t>DAY INTEGR. LYKEIA</w:t>
            </w:r>
          </w:p>
        </w:tc>
        <w:tc>
          <w:tcPr>
            <w:tcW w:w="1559" w:type="dxa"/>
            <w:vAlign w:val="bottom"/>
          </w:tcPr>
          <w:p w:rsidR="00000000" w:rsidRDefault="00000000">
            <w:pPr>
              <w:pStyle w:val="a6"/>
              <w:rPr>
                <w:lang w:val="en-US"/>
              </w:rPr>
            </w:pPr>
            <w:r>
              <w:rPr>
                <w:lang w:val="en-US"/>
              </w:rPr>
              <w:t>98</w:t>
            </w:r>
          </w:p>
        </w:tc>
        <w:tc>
          <w:tcPr>
            <w:tcW w:w="1843" w:type="dxa"/>
            <w:vAlign w:val="bottom"/>
          </w:tcPr>
          <w:p w:rsidR="00000000" w:rsidRDefault="00000000">
            <w:pPr>
              <w:pStyle w:val="a6"/>
              <w:rPr>
                <w:lang w:val="en-US"/>
              </w:rPr>
            </w:pPr>
            <w:r>
              <w:rPr>
                <w:lang w:val="en-US"/>
              </w:rPr>
              <w:t>16814</w:t>
            </w:r>
          </w:p>
        </w:tc>
        <w:tc>
          <w:tcPr>
            <w:tcW w:w="1701" w:type="dxa"/>
            <w:vAlign w:val="bottom"/>
          </w:tcPr>
          <w:p w:rsidR="00000000" w:rsidRDefault="00000000">
            <w:pPr>
              <w:pStyle w:val="a6"/>
              <w:rPr>
                <w:lang w:val="en-US"/>
              </w:rPr>
            </w:pPr>
            <w:r>
              <w:rPr>
                <w:lang w:val="en-US"/>
              </w:rPr>
              <w:t>8502</w:t>
            </w:r>
          </w:p>
        </w:tc>
      </w:tr>
      <w:tr w:rsidR="00000000">
        <w:tblPrEx>
          <w:tblCellMar>
            <w:top w:w="0" w:type="dxa"/>
            <w:bottom w:w="0" w:type="dxa"/>
          </w:tblCellMar>
        </w:tblPrEx>
        <w:tc>
          <w:tcPr>
            <w:tcW w:w="4252" w:type="dxa"/>
            <w:vAlign w:val="bottom"/>
          </w:tcPr>
          <w:p w:rsidR="00000000" w:rsidRDefault="00000000">
            <w:pPr>
              <w:pStyle w:val="a6"/>
              <w:jc w:val="left"/>
              <w:rPr>
                <w:lang w:val="en-US"/>
              </w:rPr>
            </w:pPr>
            <w:r>
              <w:rPr>
                <w:lang w:val="en-US"/>
              </w:rPr>
              <w:t>EVENING INTEGR. LYKEIA</w:t>
            </w:r>
          </w:p>
        </w:tc>
        <w:tc>
          <w:tcPr>
            <w:tcW w:w="1559" w:type="dxa"/>
            <w:vAlign w:val="bottom"/>
          </w:tcPr>
          <w:p w:rsidR="00000000" w:rsidRDefault="00000000">
            <w:pPr>
              <w:pStyle w:val="a6"/>
              <w:rPr>
                <w:lang w:val="en-US"/>
              </w:rPr>
            </w:pPr>
            <w:r>
              <w:rPr>
                <w:lang w:val="en-US"/>
              </w:rPr>
              <w:t>6</w:t>
            </w:r>
          </w:p>
        </w:tc>
        <w:tc>
          <w:tcPr>
            <w:tcW w:w="1843" w:type="dxa"/>
            <w:vAlign w:val="bottom"/>
          </w:tcPr>
          <w:p w:rsidR="00000000" w:rsidRDefault="00000000">
            <w:pPr>
              <w:pStyle w:val="a6"/>
              <w:rPr>
                <w:lang w:val="en-US"/>
              </w:rPr>
            </w:pPr>
            <w:r>
              <w:rPr>
                <w:lang w:val="en-US"/>
              </w:rPr>
              <w:t>587</w:t>
            </w:r>
          </w:p>
        </w:tc>
        <w:tc>
          <w:tcPr>
            <w:tcW w:w="1701" w:type="dxa"/>
            <w:vAlign w:val="bottom"/>
          </w:tcPr>
          <w:p w:rsidR="00000000" w:rsidRDefault="00000000">
            <w:pPr>
              <w:pStyle w:val="a6"/>
              <w:rPr>
                <w:lang w:val="en-US"/>
              </w:rPr>
            </w:pPr>
            <w:r>
              <w:rPr>
                <w:lang w:val="en-US"/>
              </w:rPr>
              <w:t>188</w:t>
            </w:r>
          </w:p>
        </w:tc>
      </w:tr>
      <w:tr w:rsidR="00000000">
        <w:tblPrEx>
          <w:tblCellMar>
            <w:top w:w="0" w:type="dxa"/>
            <w:bottom w:w="0" w:type="dxa"/>
          </w:tblCellMar>
        </w:tblPrEx>
        <w:tc>
          <w:tcPr>
            <w:tcW w:w="4252" w:type="dxa"/>
            <w:vAlign w:val="bottom"/>
          </w:tcPr>
          <w:p w:rsidR="00000000" w:rsidRDefault="00000000">
            <w:pPr>
              <w:pStyle w:val="a6"/>
              <w:jc w:val="left"/>
              <w:rPr>
                <w:lang w:val="en-US"/>
              </w:rPr>
            </w:pPr>
          </w:p>
        </w:tc>
        <w:tc>
          <w:tcPr>
            <w:tcW w:w="1559" w:type="dxa"/>
            <w:vAlign w:val="bottom"/>
          </w:tcPr>
          <w:p w:rsidR="00000000" w:rsidRDefault="00000000">
            <w:pPr>
              <w:pStyle w:val="a6"/>
              <w:rPr>
                <w:lang w:val="en-US"/>
              </w:rPr>
            </w:pPr>
          </w:p>
        </w:tc>
        <w:tc>
          <w:tcPr>
            <w:tcW w:w="1843" w:type="dxa"/>
            <w:vAlign w:val="bottom"/>
          </w:tcPr>
          <w:p w:rsidR="00000000" w:rsidRDefault="00000000">
            <w:pPr>
              <w:pStyle w:val="a6"/>
              <w:rPr>
                <w:lang w:val="en-US"/>
              </w:rPr>
            </w:pPr>
          </w:p>
        </w:tc>
        <w:tc>
          <w:tcPr>
            <w:tcW w:w="1701" w:type="dxa"/>
            <w:vAlign w:val="bottom"/>
          </w:tcPr>
          <w:p w:rsidR="00000000" w:rsidRDefault="00000000">
            <w:pPr>
              <w:pStyle w:val="a6"/>
              <w:rPr>
                <w:lang w:val="en-US"/>
              </w:rPr>
            </w:pPr>
          </w:p>
        </w:tc>
      </w:tr>
      <w:tr w:rsidR="00000000">
        <w:tblPrEx>
          <w:tblCellMar>
            <w:top w:w="0" w:type="dxa"/>
            <w:bottom w:w="0" w:type="dxa"/>
          </w:tblCellMar>
        </w:tblPrEx>
        <w:tc>
          <w:tcPr>
            <w:tcW w:w="4252" w:type="dxa"/>
            <w:vAlign w:val="bottom"/>
          </w:tcPr>
          <w:p w:rsidR="00000000" w:rsidRDefault="00000000">
            <w:pPr>
              <w:pStyle w:val="a6"/>
              <w:jc w:val="left"/>
              <w:rPr>
                <w:lang w:val="en-US"/>
              </w:rPr>
            </w:pPr>
            <w:r>
              <w:rPr>
                <w:lang w:val="en-US"/>
              </w:rPr>
              <w:t>DAY TECHN. VOCAT. SCHOOLLS</w:t>
            </w:r>
          </w:p>
        </w:tc>
        <w:tc>
          <w:tcPr>
            <w:tcW w:w="1559" w:type="dxa"/>
            <w:vAlign w:val="bottom"/>
          </w:tcPr>
          <w:p w:rsidR="00000000" w:rsidRDefault="00000000">
            <w:pPr>
              <w:pStyle w:val="a6"/>
              <w:rPr>
                <w:lang w:val="en-US"/>
              </w:rPr>
            </w:pPr>
            <w:r>
              <w:rPr>
                <w:lang w:val="en-US"/>
              </w:rPr>
              <w:t>77</w:t>
            </w:r>
          </w:p>
        </w:tc>
        <w:tc>
          <w:tcPr>
            <w:tcW w:w="1843" w:type="dxa"/>
            <w:vAlign w:val="bottom"/>
          </w:tcPr>
          <w:p w:rsidR="00000000" w:rsidRDefault="00000000">
            <w:pPr>
              <w:pStyle w:val="a6"/>
              <w:rPr>
                <w:lang w:val="en-US"/>
              </w:rPr>
            </w:pPr>
            <w:r>
              <w:rPr>
                <w:lang w:val="en-US"/>
              </w:rPr>
              <w:t>6236</w:t>
            </w:r>
          </w:p>
        </w:tc>
        <w:tc>
          <w:tcPr>
            <w:tcW w:w="1701" w:type="dxa"/>
            <w:vAlign w:val="bottom"/>
          </w:tcPr>
          <w:p w:rsidR="00000000" w:rsidRDefault="00000000">
            <w:pPr>
              <w:pStyle w:val="a6"/>
              <w:rPr>
                <w:lang w:val="en-US"/>
              </w:rPr>
            </w:pPr>
            <w:r>
              <w:rPr>
                <w:lang w:val="en-US"/>
              </w:rPr>
              <w:t>3866</w:t>
            </w:r>
          </w:p>
        </w:tc>
      </w:tr>
      <w:tr w:rsidR="00000000">
        <w:tblPrEx>
          <w:tblCellMar>
            <w:top w:w="0" w:type="dxa"/>
            <w:bottom w:w="0" w:type="dxa"/>
          </w:tblCellMar>
        </w:tblPrEx>
        <w:tc>
          <w:tcPr>
            <w:tcW w:w="4252" w:type="dxa"/>
            <w:vAlign w:val="bottom"/>
          </w:tcPr>
          <w:p w:rsidR="00000000" w:rsidRDefault="00000000">
            <w:pPr>
              <w:pStyle w:val="a6"/>
              <w:jc w:val="left"/>
              <w:rPr>
                <w:lang w:val="en-US"/>
              </w:rPr>
            </w:pPr>
            <w:r>
              <w:rPr>
                <w:lang w:val="en-US"/>
              </w:rPr>
              <w:t>EVENING TECHN. VOCAT. SCHOOLS</w:t>
            </w:r>
          </w:p>
        </w:tc>
        <w:tc>
          <w:tcPr>
            <w:tcW w:w="1559" w:type="dxa"/>
            <w:vAlign w:val="bottom"/>
          </w:tcPr>
          <w:p w:rsidR="00000000" w:rsidRDefault="00000000">
            <w:pPr>
              <w:pStyle w:val="a6"/>
              <w:rPr>
                <w:lang w:val="en-US"/>
              </w:rPr>
            </w:pPr>
            <w:r>
              <w:rPr>
                <w:lang w:val="en-US"/>
              </w:rPr>
              <w:t>4</w:t>
            </w:r>
          </w:p>
        </w:tc>
        <w:tc>
          <w:tcPr>
            <w:tcW w:w="1843" w:type="dxa"/>
            <w:vAlign w:val="bottom"/>
          </w:tcPr>
          <w:p w:rsidR="00000000" w:rsidRDefault="00000000">
            <w:pPr>
              <w:pStyle w:val="a6"/>
              <w:rPr>
                <w:lang w:val="en-US"/>
              </w:rPr>
            </w:pPr>
            <w:r>
              <w:rPr>
                <w:lang w:val="en-US"/>
              </w:rPr>
              <w:t>580</w:t>
            </w:r>
          </w:p>
        </w:tc>
        <w:tc>
          <w:tcPr>
            <w:tcW w:w="1701" w:type="dxa"/>
            <w:vAlign w:val="bottom"/>
          </w:tcPr>
          <w:p w:rsidR="00000000" w:rsidRDefault="00000000">
            <w:pPr>
              <w:pStyle w:val="a6"/>
              <w:rPr>
                <w:lang w:val="en-US"/>
              </w:rPr>
            </w:pPr>
            <w:r>
              <w:rPr>
                <w:lang w:val="en-US"/>
              </w:rPr>
              <w:t>6</w:t>
            </w:r>
          </w:p>
        </w:tc>
      </w:tr>
    </w:tbl>
    <w:p w:rsidR="00000000" w:rsidRDefault="00000000">
      <w:pPr>
        <w:tabs>
          <w:tab w:val="left" w:pos="567"/>
          <w:tab w:val="left" w:pos="1021"/>
          <w:tab w:val="left" w:pos="1474"/>
          <w:tab w:val="left" w:pos="1928"/>
        </w:tabs>
        <w:jc w:val="center"/>
        <w:rPr>
          <w:b/>
          <w:lang w:val="en-US"/>
        </w:rPr>
      </w:pPr>
    </w:p>
    <w:p w:rsidR="00000000" w:rsidRDefault="00000000">
      <w:pPr>
        <w:tabs>
          <w:tab w:val="left" w:pos="567"/>
          <w:tab w:val="left" w:pos="1021"/>
          <w:tab w:val="left" w:pos="1474"/>
          <w:tab w:val="left" w:pos="1928"/>
        </w:tabs>
        <w:jc w:val="center"/>
        <w:rPr>
          <w:b/>
          <w:color w:val="000000"/>
          <w:lang w:val="en-GB"/>
        </w:rPr>
      </w:pPr>
      <w:r>
        <w:rPr>
          <w:b/>
          <w:color w:val="000000"/>
          <w:lang w:val="en-US"/>
        </w:rPr>
        <w:t>TABLE</w:t>
      </w:r>
      <w:r>
        <w:rPr>
          <w:b/>
          <w:color w:val="000000"/>
          <w:lang w:val="en-GB"/>
        </w:rPr>
        <w:t xml:space="preserve"> 2</w:t>
      </w:r>
    </w:p>
    <w:p w:rsidR="00000000" w:rsidRDefault="00000000">
      <w:pPr>
        <w:pStyle w:val="-0"/>
        <w:rPr>
          <w:lang w:val="en-GB"/>
        </w:rPr>
      </w:pPr>
      <w:r>
        <w:rPr>
          <w:lang w:val="en-GB"/>
        </w:rPr>
        <w:t>(</w:t>
      </w:r>
      <w:r>
        <w:rPr>
          <w:lang w:val="en-US"/>
        </w:rPr>
        <w:t>Source:Ministry of National Education and Religious Affairs</w:t>
      </w:r>
      <w:r>
        <w:rPr>
          <w:lang w:val="en-GB"/>
        </w:rPr>
        <w:t>, Directorate for Planning and Operational Research, Dept. of  Oper.Research &amp; Statistics)</w:t>
      </w:r>
    </w:p>
    <w:p w:rsidR="00000000" w:rsidRDefault="00000000">
      <w:pPr>
        <w:tabs>
          <w:tab w:val="left" w:pos="567"/>
          <w:tab w:val="left" w:pos="1021"/>
          <w:tab w:val="left" w:pos="1474"/>
          <w:tab w:val="left" w:pos="1928"/>
        </w:tabs>
        <w:jc w:val="center"/>
        <w:rPr>
          <w:b/>
          <w:lang w:val="en-GB"/>
        </w:rPr>
      </w:pPr>
      <w:r>
        <w:rPr>
          <w:b/>
          <w:lang w:val="en-GB"/>
        </w:rPr>
        <w:br w:type="page"/>
        <w:t>SCHOOL YEAR</w:t>
      </w:r>
      <w:r>
        <w:rPr>
          <w:b/>
          <w:lang w:val="en-US"/>
        </w:rPr>
        <w:t xml:space="preserve"> 2002-2003</w:t>
      </w:r>
    </w:p>
    <w:tbl>
      <w:tblPr>
        <w:tblW w:w="0" w:type="auto"/>
        <w:tblInd w:w="3" w:type="dxa"/>
        <w:tblBorders>
          <w:top w:val="single" w:sz="4" w:space="0" w:color="auto"/>
          <w:bottom w:val="single" w:sz="4" w:space="0" w:color="auto"/>
        </w:tblBorders>
        <w:tblLayout w:type="fixed"/>
        <w:tblCellMar>
          <w:left w:w="56" w:type="dxa"/>
          <w:right w:w="56" w:type="dxa"/>
        </w:tblCellMar>
        <w:tblLook w:val="0000" w:firstRow="0" w:lastRow="0" w:firstColumn="0" w:lastColumn="0" w:noHBand="0" w:noVBand="0"/>
      </w:tblPr>
      <w:tblGrid>
        <w:gridCol w:w="4252"/>
        <w:gridCol w:w="1559"/>
        <w:gridCol w:w="1843"/>
        <w:gridCol w:w="1701"/>
      </w:tblGrid>
      <w:tr w:rsidR="00000000">
        <w:tblPrEx>
          <w:tblCellMar>
            <w:top w:w="0" w:type="dxa"/>
            <w:bottom w:w="0" w:type="dxa"/>
          </w:tblCellMar>
        </w:tblPrEx>
        <w:tc>
          <w:tcPr>
            <w:tcW w:w="4252" w:type="dxa"/>
            <w:tcBorders>
              <w:top w:val="single" w:sz="4" w:space="0" w:color="auto"/>
              <w:bottom w:val="single" w:sz="4" w:space="0" w:color="auto"/>
            </w:tcBorders>
            <w:vAlign w:val="bottom"/>
          </w:tcPr>
          <w:p w:rsidR="00000000" w:rsidRDefault="00000000">
            <w:pPr>
              <w:pStyle w:val="a6"/>
              <w:rPr>
                <w:b/>
                <w:lang w:val="en-US"/>
              </w:rPr>
            </w:pPr>
            <w:r>
              <w:rPr>
                <w:b/>
                <w:lang w:val="en-US"/>
              </w:rPr>
              <w:t>PUBLIC</w:t>
            </w:r>
          </w:p>
        </w:tc>
        <w:tc>
          <w:tcPr>
            <w:tcW w:w="1559" w:type="dxa"/>
            <w:tcBorders>
              <w:top w:val="single" w:sz="4" w:space="0" w:color="auto"/>
              <w:bottom w:val="single" w:sz="4" w:space="0" w:color="auto"/>
            </w:tcBorders>
            <w:vAlign w:val="bottom"/>
          </w:tcPr>
          <w:p w:rsidR="00000000" w:rsidRDefault="00000000">
            <w:pPr>
              <w:pStyle w:val="a6"/>
              <w:rPr>
                <w:b/>
                <w:lang w:val="en-US"/>
              </w:rPr>
            </w:pPr>
            <w:r>
              <w:rPr>
                <w:b/>
                <w:lang w:val="en-US"/>
              </w:rPr>
              <w:t>NUMBER OF SCHOOLS</w:t>
            </w:r>
          </w:p>
        </w:tc>
        <w:tc>
          <w:tcPr>
            <w:tcW w:w="1843" w:type="dxa"/>
            <w:tcBorders>
              <w:top w:val="single" w:sz="4" w:space="0" w:color="auto"/>
              <w:bottom w:val="single" w:sz="4" w:space="0" w:color="auto"/>
            </w:tcBorders>
            <w:vAlign w:val="bottom"/>
          </w:tcPr>
          <w:p w:rsidR="00000000" w:rsidRDefault="00000000">
            <w:pPr>
              <w:pStyle w:val="a6"/>
              <w:rPr>
                <w:b/>
                <w:lang w:val="en-US"/>
              </w:rPr>
            </w:pPr>
            <w:r>
              <w:rPr>
                <w:b/>
                <w:lang w:val="en-US"/>
              </w:rPr>
              <w:t>TOTAL No OF  STUDENTS</w:t>
            </w:r>
          </w:p>
        </w:tc>
        <w:tc>
          <w:tcPr>
            <w:tcW w:w="1701" w:type="dxa"/>
            <w:tcBorders>
              <w:top w:val="single" w:sz="4" w:space="0" w:color="auto"/>
              <w:bottom w:val="single" w:sz="4" w:space="0" w:color="auto"/>
            </w:tcBorders>
            <w:vAlign w:val="bottom"/>
          </w:tcPr>
          <w:p w:rsidR="00000000" w:rsidRDefault="00000000">
            <w:pPr>
              <w:pStyle w:val="a6"/>
              <w:rPr>
                <w:b/>
                <w:lang w:val="en-US"/>
              </w:rPr>
            </w:pPr>
            <w:r>
              <w:rPr>
                <w:b/>
                <w:lang w:val="en-US"/>
              </w:rPr>
              <w:t>GIRLS</w:t>
            </w:r>
          </w:p>
        </w:tc>
      </w:tr>
      <w:tr w:rsidR="00000000">
        <w:tblPrEx>
          <w:tblCellMar>
            <w:top w:w="0" w:type="dxa"/>
            <w:bottom w:w="0" w:type="dxa"/>
          </w:tblCellMar>
        </w:tblPrEx>
        <w:tc>
          <w:tcPr>
            <w:tcW w:w="4252" w:type="dxa"/>
            <w:tcBorders>
              <w:top w:val="single" w:sz="4" w:space="0" w:color="auto"/>
            </w:tcBorders>
            <w:vAlign w:val="bottom"/>
          </w:tcPr>
          <w:p w:rsidR="00000000" w:rsidRDefault="00000000">
            <w:pPr>
              <w:pStyle w:val="a6"/>
              <w:jc w:val="left"/>
              <w:rPr>
                <w:lang w:val="en-US"/>
              </w:rPr>
            </w:pPr>
            <w:r>
              <w:rPr>
                <w:lang w:val="en-US"/>
              </w:rPr>
              <w:t xml:space="preserve">DAY GYMNASIA </w:t>
            </w:r>
          </w:p>
        </w:tc>
        <w:tc>
          <w:tcPr>
            <w:tcW w:w="1559" w:type="dxa"/>
            <w:tcBorders>
              <w:top w:val="single" w:sz="4" w:space="0" w:color="auto"/>
            </w:tcBorders>
            <w:vAlign w:val="bottom"/>
          </w:tcPr>
          <w:p w:rsidR="00000000" w:rsidRDefault="00000000">
            <w:pPr>
              <w:pStyle w:val="a6"/>
              <w:rPr>
                <w:lang w:val="en-US"/>
              </w:rPr>
            </w:pPr>
            <w:r>
              <w:rPr>
                <w:lang w:val="en-US"/>
              </w:rPr>
              <w:t>1776</w:t>
            </w:r>
          </w:p>
        </w:tc>
        <w:tc>
          <w:tcPr>
            <w:tcW w:w="1843" w:type="dxa"/>
            <w:tcBorders>
              <w:top w:val="single" w:sz="4" w:space="0" w:color="auto"/>
            </w:tcBorders>
            <w:vAlign w:val="bottom"/>
          </w:tcPr>
          <w:p w:rsidR="00000000" w:rsidRDefault="00000000">
            <w:pPr>
              <w:pStyle w:val="a6"/>
              <w:rPr>
                <w:lang w:val="en-US"/>
              </w:rPr>
            </w:pPr>
            <w:r>
              <w:rPr>
                <w:lang w:val="en-US"/>
              </w:rPr>
              <w:t>311871</w:t>
            </w:r>
          </w:p>
        </w:tc>
        <w:tc>
          <w:tcPr>
            <w:tcW w:w="1701" w:type="dxa"/>
            <w:tcBorders>
              <w:top w:val="single" w:sz="4" w:space="0" w:color="auto"/>
            </w:tcBorders>
            <w:vAlign w:val="bottom"/>
          </w:tcPr>
          <w:p w:rsidR="00000000" w:rsidRDefault="00000000">
            <w:pPr>
              <w:pStyle w:val="a6"/>
              <w:rPr>
                <w:lang w:val="en-US"/>
              </w:rPr>
            </w:pPr>
            <w:r>
              <w:rPr>
                <w:lang w:val="en-US"/>
              </w:rPr>
              <w:t>151057</w:t>
            </w:r>
          </w:p>
        </w:tc>
      </w:tr>
      <w:tr w:rsidR="00000000">
        <w:tblPrEx>
          <w:tblCellMar>
            <w:top w:w="0" w:type="dxa"/>
            <w:bottom w:w="0" w:type="dxa"/>
          </w:tblCellMar>
        </w:tblPrEx>
        <w:tc>
          <w:tcPr>
            <w:tcW w:w="4252" w:type="dxa"/>
            <w:vAlign w:val="bottom"/>
          </w:tcPr>
          <w:p w:rsidR="00000000" w:rsidRDefault="00000000">
            <w:pPr>
              <w:pStyle w:val="a6"/>
              <w:jc w:val="left"/>
              <w:rPr>
                <w:lang w:val="en-US"/>
              </w:rPr>
            </w:pPr>
            <w:r>
              <w:rPr>
                <w:lang w:val="en-US"/>
              </w:rPr>
              <w:t>EVENING GYMNASIA</w:t>
            </w:r>
          </w:p>
        </w:tc>
        <w:tc>
          <w:tcPr>
            <w:tcW w:w="1559" w:type="dxa"/>
            <w:vAlign w:val="bottom"/>
          </w:tcPr>
          <w:p w:rsidR="00000000" w:rsidRDefault="00000000">
            <w:pPr>
              <w:pStyle w:val="a6"/>
              <w:rPr>
                <w:lang w:val="en-US"/>
              </w:rPr>
            </w:pPr>
            <w:r>
              <w:rPr>
                <w:lang w:val="en-US"/>
              </w:rPr>
              <w:t>77</w:t>
            </w:r>
          </w:p>
        </w:tc>
        <w:tc>
          <w:tcPr>
            <w:tcW w:w="1843" w:type="dxa"/>
            <w:vAlign w:val="bottom"/>
          </w:tcPr>
          <w:p w:rsidR="00000000" w:rsidRDefault="00000000">
            <w:pPr>
              <w:pStyle w:val="a6"/>
              <w:rPr>
                <w:lang w:val="en-US"/>
              </w:rPr>
            </w:pPr>
            <w:r>
              <w:rPr>
                <w:lang w:val="en-US"/>
              </w:rPr>
              <w:t>10301</w:t>
            </w:r>
          </w:p>
        </w:tc>
        <w:tc>
          <w:tcPr>
            <w:tcW w:w="1701" w:type="dxa"/>
            <w:vAlign w:val="bottom"/>
          </w:tcPr>
          <w:p w:rsidR="00000000" w:rsidRDefault="00000000">
            <w:pPr>
              <w:pStyle w:val="a6"/>
              <w:rPr>
                <w:lang w:val="en-US"/>
              </w:rPr>
            </w:pPr>
            <w:r>
              <w:rPr>
                <w:lang w:val="en-US"/>
              </w:rPr>
              <w:t>2614</w:t>
            </w:r>
          </w:p>
        </w:tc>
      </w:tr>
      <w:tr w:rsidR="00000000">
        <w:tblPrEx>
          <w:tblCellMar>
            <w:top w:w="0" w:type="dxa"/>
            <w:bottom w:w="0" w:type="dxa"/>
          </w:tblCellMar>
        </w:tblPrEx>
        <w:tc>
          <w:tcPr>
            <w:tcW w:w="4252" w:type="dxa"/>
            <w:vAlign w:val="bottom"/>
          </w:tcPr>
          <w:p w:rsidR="00000000" w:rsidRDefault="00000000">
            <w:pPr>
              <w:pStyle w:val="a6"/>
              <w:jc w:val="left"/>
              <w:rPr>
                <w:sz w:val="22"/>
                <w:lang w:val="en-US"/>
              </w:rPr>
            </w:pPr>
          </w:p>
        </w:tc>
        <w:tc>
          <w:tcPr>
            <w:tcW w:w="1559" w:type="dxa"/>
            <w:vAlign w:val="bottom"/>
          </w:tcPr>
          <w:p w:rsidR="00000000" w:rsidRDefault="00000000">
            <w:pPr>
              <w:pStyle w:val="a6"/>
              <w:rPr>
                <w:lang w:val="en-US"/>
              </w:rPr>
            </w:pPr>
          </w:p>
        </w:tc>
        <w:tc>
          <w:tcPr>
            <w:tcW w:w="1843" w:type="dxa"/>
            <w:vAlign w:val="bottom"/>
          </w:tcPr>
          <w:p w:rsidR="00000000" w:rsidRDefault="00000000">
            <w:pPr>
              <w:pStyle w:val="a6"/>
              <w:rPr>
                <w:lang w:val="en-US"/>
              </w:rPr>
            </w:pPr>
          </w:p>
        </w:tc>
        <w:tc>
          <w:tcPr>
            <w:tcW w:w="1701" w:type="dxa"/>
            <w:vAlign w:val="bottom"/>
          </w:tcPr>
          <w:p w:rsidR="00000000" w:rsidRDefault="00000000">
            <w:pPr>
              <w:pStyle w:val="a6"/>
              <w:rPr>
                <w:lang w:val="en-US"/>
              </w:rPr>
            </w:pPr>
          </w:p>
        </w:tc>
      </w:tr>
      <w:tr w:rsidR="00000000">
        <w:tblPrEx>
          <w:tblCellMar>
            <w:top w:w="0" w:type="dxa"/>
            <w:bottom w:w="0" w:type="dxa"/>
          </w:tblCellMar>
        </w:tblPrEx>
        <w:tc>
          <w:tcPr>
            <w:tcW w:w="4252" w:type="dxa"/>
            <w:vAlign w:val="bottom"/>
          </w:tcPr>
          <w:p w:rsidR="00000000" w:rsidRDefault="00000000">
            <w:pPr>
              <w:pStyle w:val="a6"/>
              <w:jc w:val="left"/>
              <w:rPr>
                <w:lang w:val="en-US"/>
              </w:rPr>
            </w:pPr>
            <w:r>
              <w:rPr>
                <w:lang w:val="en-US"/>
              </w:rPr>
              <w:t>DAY INTEGR. LYKEIA</w:t>
            </w:r>
          </w:p>
        </w:tc>
        <w:tc>
          <w:tcPr>
            <w:tcW w:w="1559" w:type="dxa"/>
            <w:vAlign w:val="bottom"/>
          </w:tcPr>
          <w:p w:rsidR="00000000" w:rsidRDefault="00000000">
            <w:pPr>
              <w:pStyle w:val="a6"/>
              <w:rPr>
                <w:lang w:val="en-US"/>
              </w:rPr>
            </w:pPr>
            <w:r>
              <w:rPr>
                <w:lang w:val="en-US"/>
              </w:rPr>
              <w:t>1184</w:t>
            </w:r>
          </w:p>
        </w:tc>
        <w:tc>
          <w:tcPr>
            <w:tcW w:w="1843" w:type="dxa"/>
            <w:vAlign w:val="bottom"/>
          </w:tcPr>
          <w:p w:rsidR="00000000" w:rsidRDefault="00000000">
            <w:pPr>
              <w:pStyle w:val="a6"/>
              <w:rPr>
                <w:lang w:val="en-US"/>
              </w:rPr>
            </w:pPr>
            <w:r>
              <w:rPr>
                <w:lang w:val="en-US"/>
              </w:rPr>
              <w:t>213617</w:t>
            </w:r>
          </w:p>
        </w:tc>
        <w:tc>
          <w:tcPr>
            <w:tcW w:w="1701" w:type="dxa"/>
            <w:vAlign w:val="bottom"/>
          </w:tcPr>
          <w:p w:rsidR="00000000" w:rsidRDefault="00000000">
            <w:pPr>
              <w:pStyle w:val="a6"/>
              <w:rPr>
                <w:lang w:val="en-US"/>
              </w:rPr>
            </w:pPr>
            <w:r>
              <w:rPr>
                <w:lang w:val="en-US"/>
              </w:rPr>
              <w:t>116940</w:t>
            </w:r>
          </w:p>
        </w:tc>
      </w:tr>
      <w:tr w:rsidR="00000000">
        <w:tblPrEx>
          <w:tblCellMar>
            <w:top w:w="0" w:type="dxa"/>
            <w:bottom w:w="0" w:type="dxa"/>
          </w:tblCellMar>
        </w:tblPrEx>
        <w:tc>
          <w:tcPr>
            <w:tcW w:w="4252" w:type="dxa"/>
            <w:vAlign w:val="bottom"/>
          </w:tcPr>
          <w:p w:rsidR="00000000" w:rsidRDefault="00000000">
            <w:pPr>
              <w:pStyle w:val="a6"/>
              <w:jc w:val="left"/>
              <w:rPr>
                <w:lang w:val="en-US"/>
              </w:rPr>
            </w:pPr>
            <w:r>
              <w:rPr>
                <w:lang w:val="en-US"/>
              </w:rPr>
              <w:t>EVENING INTEGR. LYKEIA</w:t>
            </w:r>
          </w:p>
        </w:tc>
        <w:tc>
          <w:tcPr>
            <w:tcW w:w="1559" w:type="dxa"/>
            <w:vAlign w:val="bottom"/>
          </w:tcPr>
          <w:p w:rsidR="00000000" w:rsidRDefault="00000000">
            <w:pPr>
              <w:pStyle w:val="a6"/>
              <w:rPr>
                <w:lang w:val="en-US"/>
              </w:rPr>
            </w:pPr>
            <w:r>
              <w:rPr>
                <w:lang w:val="en-US"/>
              </w:rPr>
              <w:t>59</w:t>
            </w:r>
          </w:p>
        </w:tc>
        <w:tc>
          <w:tcPr>
            <w:tcW w:w="1843" w:type="dxa"/>
            <w:vAlign w:val="bottom"/>
          </w:tcPr>
          <w:p w:rsidR="00000000" w:rsidRDefault="00000000">
            <w:pPr>
              <w:pStyle w:val="a6"/>
              <w:rPr>
                <w:lang w:val="en-US"/>
              </w:rPr>
            </w:pPr>
            <w:r>
              <w:rPr>
                <w:lang w:val="en-US"/>
              </w:rPr>
              <w:t>8014</w:t>
            </w:r>
          </w:p>
        </w:tc>
        <w:tc>
          <w:tcPr>
            <w:tcW w:w="1701" w:type="dxa"/>
            <w:vAlign w:val="bottom"/>
          </w:tcPr>
          <w:p w:rsidR="00000000" w:rsidRDefault="00000000">
            <w:pPr>
              <w:pStyle w:val="a6"/>
              <w:rPr>
                <w:lang w:val="en-US"/>
              </w:rPr>
            </w:pPr>
            <w:r>
              <w:rPr>
                <w:lang w:val="en-US"/>
              </w:rPr>
              <w:t>2826</w:t>
            </w:r>
          </w:p>
        </w:tc>
      </w:tr>
      <w:tr w:rsidR="00000000">
        <w:tblPrEx>
          <w:tblCellMar>
            <w:top w:w="0" w:type="dxa"/>
            <w:bottom w:w="0" w:type="dxa"/>
          </w:tblCellMar>
        </w:tblPrEx>
        <w:tc>
          <w:tcPr>
            <w:tcW w:w="4252" w:type="dxa"/>
            <w:vAlign w:val="bottom"/>
          </w:tcPr>
          <w:p w:rsidR="00000000" w:rsidRDefault="00000000">
            <w:pPr>
              <w:pStyle w:val="a6"/>
              <w:jc w:val="left"/>
              <w:rPr>
                <w:lang w:val="en-US"/>
              </w:rPr>
            </w:pPr>
          </w:p>
        </w:tc>
        <w:tc>
          <w:tcPr>
            <w:tcW w:w="1559" w:type="dxa"/>
            <w:vAlign w:val="bottom"/>
          </w:tcPr>
          <w:p w:rsidR="00000000" w:rsidRDefault="00000000">
            <w:pPr>
              <w:pStyle w:val="a6"/>
              <w:rPr>
                <w:lang w:val="en-US"/>
              </w:rPr>
            </w:pPr>
          </w:p>
        </w:tc>
        <w:tc>
          <w:tcPr>
            <w:tcW w:w="1843" w:type="dxa"/>
            <w:vAlign w:val="bottom"/>
          </w:tcPr>
          <w:p w:rsidR="00000000" w:rsidRDefault="00000000">
            <w:pPr>
              <w:pStyle w:val="a6"/>
              <w:rPr>
                <w:lang w:val="en-US"/>
              </w:rPr>
            </w:pPr>
          </w:p>
        </w:tc>
        <w:tc>
          <w:tcPr>
            <w:tcW w:w="1701" w:type="dxa"/>
            <w:vAlign w:val="bottom"/>
          </w:tcPr>
          <w:p w:rsidR="00000000" w:rsidRDefault="00000000">
            <w:pPr>
              <w:pStyle w:val="a6"/>
              <w:rPr>
                <w:lang w:val="en-US"/>
              </w:rPr>
            </w:pPr>
          </w:p>
        </w:tc>
      </w:tr>
      <w:tr w:rsidR="00000000">
        <w:tblPrEx>
          <w:tblCellMar>
            <w:top w:w="0" w:type="dxa"/>
            <w:bottom w:w="0" w:type="dxa"/>
          </w:tblCellMar>
        </w:tblPrEx>
        <w:tc>
          <w:tcPr>
            <w:tcW w:w="4252" w:type="dxa"/>
            <w:vAlign w:val="bottom"/>
          </w:tcPr>
          <w:p w:rsidR="00000000" w:rsidRDefault="00000000">
            <w:pPr>
              <w:pStyle w:val="a6"/>
              <w:jc w:val="left"/>
              <w:rPr>
                <w:lang w:val="en-US"/>
              </w:rPr>
            </w:pPr>
            <w:r>
              <w:rPr>
                <w:lang w:val="en-US"/>
              </w:rPr>
              <w:t>DAY TECHN. VOCAT. SCHOOLS</w:t>
            </w:r>
          </w:p>
        </w:tc>
        <w:tc>
          <w:tcPr>
            <w:tcW w:w="1559" w:type="dxa"/>
            <w:vAlign w:val="bottom"/>
          </w:tcPr>
          <w:p w:rsidR="00000000" w:rsidRDefault="00000000">
            <w:pPr>
              <w:pStyle w:val="a6"/>
              <w:rPr>
                <w:lang w:val="en-US"/>
              </w:rPr>
            </w:pPr>
            <w:r>
              <w:rPr>
                <w:lang w:val="en-US"/>
              </w:rPr>
              <w:t>421</w:t>
            </w:r>
          </w:p>
        </w:tc>
        <w:tc>
          <w:tcPr>
            <w:tcW w:w="1843" w:type="dxa"/>
            <w:vAlign w:val="bottom"/>
          </w:tcPr>
          <w:p w:rsidR="00000000" w:rsidRDefault="00000000">
            <w:pPr>
              <w:pStyle w:val="a6"/>
              <w:rPr>
                <w:lang w:val="en-US"/>
              </w:rPr>
            </w:pPr>
            <w:r>
              <w:rPr>
                <w:lang w:val="en-US"/>
              </w:rPr>
              <w:t>112314</w:t>
            </w:r>
          </w:p>
        </w:tc>
        <w:tc>
          <w:tcPr>
            <w:tcW w:w="1701" w:type="dxa"/>
            <w:vAlign w:val="bottom"/>
          </w:tcPr>
          <w:p w:rsidR="00000000" w:rsidRDefault="00000000">
            <w:pPr>
              <w:pStyle w:val="a6"/>
              <w:rPr>
                <w:lang w:val="en-US"/>
              </w:rPr>
            </w:pPr>
            <w:r>
              <w:rPr>
                <w:lang w:val="en-US"/>
              </w:rPr>
              <w:t>47128</w:t>
            </w:r>
          </w:p>
        </w:tc>
      </w:tr>
      <w:tr w:rsidR="00000000">
        <w:tblPrEx>
          <w:tblCellMar>
            <w:top w:w="0" w:type="dxa"/>
            <w:bottom w:w="0" w:type="dxa"/>
          </w:tblCellMar>
        </w:tblPrEx>
        <w:tc>
          <w:tcPr>
            <w:tcW w:w="4252" w:type="dxa"/>
            <w:vAlign w:val="bottom"/>
          </w:tcPr>
          <w:p w:rsidR="00000000" w:rsidRDefault="00000000">
            <w:pPr>
              <w:pStyle w:val="a6"/>
              <w:jc w:val="left"/>
              <w:rPr>
                <w:lang w:val="en-US"/>
              </w:rPr>
            </w:pPr>
            <w:r>
              <w:rPr>
                <w:lang w:val="en-US"/>
              </w:rPr>
              <w:t>EVENING TECHN. VOCAT. SCHOOLS</w:t>
            </w:r>
          </w:p>
        </w:tc>
        <w:tc>
          <w:tcPr>
            <w:tcW w:w="1559" w:type="dxa"/>
            <w:vAlign w:val="bottom"/>
          </w:tcPr>
          <w:p w:rsidR="00000000" w:rsidRDefault="00000000">
            <w:pPr>
              <w:pStyle w:val="a6"/>
              <w:rPr>
                <w:lang w:val="en-US"/>
              </w:rPr>
            </w:pPr>
            <w:r>
              <w:rPr>
                <w:lang w:val="en-US"/>
              </w:rPr>
              <w:t>41</w:t>
            </w:r>
          </w:p>
        </w:tc>
        <w:tc>
          <w:tcPr>
            <w:tcW w:w="1843" w:type="dxa"/>
            <w:vAlign w:val="bottom"/>
          </w:tcPr>
          <w:p w:rsidR="00000000" w:rsidRDefault="00000000">
            <w:pPr>
              <w:pStyle w:val="a6"/>
              <w:rPr>
                <w:lang w:val="en-US"/>
              </w:rPr>
            </w:pPr>
            <w:r>
              <w:rPr>
                <w:lang w:val="en-US"/>
              </w:rPr>
              <w:t>13714</w:t>
            </w:r>
          </w:p>
        </w:tc>
        <w:tc>
          <w:tcPr>
            <w:tcW w:w="1701" w:type="dxa"/>
            <w:vAlign w:val="bottom"/>
          </w:tcPr>
          <w:p w:rsidR="00000000" w:rsidRDefault="00000000">
            <w:pPr>
              <w:pStyle w:val="a6"/>
              <w:rPr>
                <w:lang w:val="en-US"/>
              </w:rPr>
            </w:pPr>
            <w:r>
              <w:rPr>
                <w:lang w:val="en-US"/>
              </w:rPr>
              <w:t>3582</w:t>
            </w:r>
          </w:p>
        </w:tc>
      </w:tr>
      <w:tr w:rsidR="00000000">
        <w:tblPrEx>
          <w:tblCellMar>
            <w:top w:w="0" w:type="dxa"/>
            <w:bottom w:w="0" w:type="dxa"/>
          </w:tblCellMar>
        </w:tblPrEx>
        <w:tc>
          <w:tcPr>
            <w:tcW w:w="4252" w:type="dxa"/>
            <w:tcBorders>
              <w:bottom w:val="single" w:sz="4" w:space="0" w:color="auto"/>
            </w:tcBorders>
            <w:vAlign w:val="bottom"/>
          </w:tcPr>
          <w:p w:rsidR="00000000" w:rsidRDefault="00000000">
            <w:pPr>
              <w:pStyle w:val="a6"/>
              <w:jc w:val="left"/>
              <w:rPr>
                <w:lang w:val="en-US"/>
              </w:rPr>
            </w:pPr>
          </w:p>
        </w:tc>
        <w:tc>
          <w:tcPr>
            <w:tcW w:w="1559" w:type="dxa"/>
            <w:tcBorders>
              <w:bottom w:val="single" w:sz="4" w:space="0" w:color="auto"/>
            </w:tcBorders>
            <w:vAlign w:val="bottom"/>
          </w:tcPr>
          <w:p w:rsidR="00000000" w:rsidRDefault="00000000">
            <w:pPr>
              <w:pStyle w:val="a6"/>
              <w:rPr>
                <w:lang w:val="en-US"/>
              </w:rPr>
            </w:pPr>
          </w:p>
        </w:tc>
        <w:tc>
          <w:tcPr>
            <w:tcW w:w="1843" w:type="dxa"/>
            <w:tcBorders>
              <w:bottom w:val="single" w:sz="4" w:space="0" w:color="auto"/>
            </w:tcBorders>
            <w:vAlign w:val="bottom"/>
          </w:tcPr>
          <w:p w:rsidR="00000000" w:rsidRDefault="00000000">
            <w:pPr>
              <w:pStyle w:val="a6"/>
              <w:rPr>
                <w:lang w:val="en-US"/>
              </w:rPr>
            </w:pPr>
          </w:p>
        </w:tc>
        <w:tc>
          <w:tcPr>
            <w:tcW w:w="1701" w:type="dxa"/>
            <w:tcBorders>
              <w:bottom w:val="single" w:sz="4" w:space="0" w:color="auto"/>
            </w:tcBorders>
            <w:vAlign w:val="bottom"/>
          </w:tcPr>
          <w:p w:rsidR="00000000" w:rsidRDefault="00000000">
            <w:pPr>
              <w:pStyle w:val="a6"/>
              <w:rPr>
                <w:lang w:val="en-US"/>
              </w:rPr>
            </w:pPr>
          </w:p>
        </w:tc>
      </w:tr>
      <w:tr w:rsidR="00000000">
        <w:tblPrEx>
          <w:tblCellMar>
            <w:top w:w="0" w:type="dxa"/>
            <w:bottom w:w="0" w:type="dxa"/>
          </w:tblCellMar>
        </w:tblPrEx>
        <w:tc>
          <w:tcPr>
            <w:tcW w:w="4252" w:type="dxa"/>
            <w:tcBorders>
              <w:top w:val="single" w:sz="4" w:space="0" w:color="auto"/>
              <w:bottom w:val="single" w:sz="4" w:space="0" w:color="auto"/>
            </w:tcBorders>
            <w:vAlign w:val="bottom"/>
          </w:tcPr>
          <w:p w:rsidR="00000000" w:rsidRDefault="00000000">
            <w:pPr>
              <w:pStyle w:val="a6"/>
              <w:rPr>
                <w:b/>
                <w:lang w:val="en-US"/>
              </w:rPr>
            </w:pPr>
            <w:r>
              <w:rPr>
                <w:b/>
                <w:lang w:val="en-US"/>
              </w:rPr>
              <w:t>PRIVATE</w:t>
            </w:r>
          </w:p>
        </w:tc>
        <w:tc>
          <w:tcPr>
            <w:tcW w:w="1559" w:type="dxa"/>
            <w:tcBorders>
              <w:top w:val="single" w:sz="4" w:space="0" w:color="auto"/>
              <w:bottom w:val="single" w:sz="4" w:space="0" w:color="auto"/>
            </w:tcBorders>
            <w:vAlign w:val="bottom"/>
          </w:tcPr>
          <w:p w:rsidR="00000000" w:rsidRDefault="00000000">
            <w:pPr>
              <w:pStyle w:val="a6"/>
              <w:rPr>
                <w:b/>
                <w:lang w:val="en-US"/>
              </w:rPr>
            </w:pPr>
            <w:r>
              <w:rPr>
                <w:b/>
                <w:lang w:val="en-US"/>
              </w:rPr>
              <w:t>NUMBER OF SCHOOLS</w:t>
            </w:r>
          </w:p>
        </w:tc>
        <w:tc>
          <w:tcPr>
            <w:tcW w:w="1843" w:type="dxa"/>
            <w:tcBorders>
              <w:top w:val="single" w:sz="4" w:space="0" w:color="auto"/>
              <w:bottom w:val="single" w:sz="4" w:space="0" w:color="auto"/>
            </w:tcBorders>
            <w:vAlign w:val="bottom"/>
          </w:tcPr>
          <w:p w:rsidR="00000000" w:rsidRDefault="00000000">
            <w:pPr>
              <w:pStyle w:val="a6"/>
              <w:rPr>
                <w:b/>
                <w:lang w:val="en-US"/>
              </w:rPr>
            </w:pPr>
            <w:r>
              <w:rPr>
                <w:b/>
                <w:lang w:val="en-US"/>
              </w:rPr>
              <w:t>TOTAL No OF STUDENTS</w:t>
            </w:r>
          </w:p>
        </w:tc>
        <w:tc>
          <w:tcPr>
            <w:tcW w:w="1701" w:type="dxa"/>
            <w:tcBorders>
              <w:top w:val="single" w:sz="4" w:space="0" w:color="auto"/>
              <w:bottom w:val="single" w:sz="4" w:space="0" w:color="auto"/>
            </w:tcBorders>
            <w:vAlign w:val="bottom"/>
          </w:tcPr>
          <w:p w:rsidR="00000000" w:rsidRDefault="00000000">
            <w:pPr>
              <w:pStyle w:val="a6"/>
              <w:rPr>
                <w:b/>
                <w:lang w:val="en-US"/>
              </w:rPr>
            </w:pPr>
            <w:r>
              <w:rPr>
                <w:b/>
                <w:lang w:val="en-US"/>
              </w:rPr>
              <w:t>GIRLS</w:t>
            </w:r>
          </w:p>
        </w:tc>
      </w:tr>
      <w:tr w:rsidR="00000000">
        <w:tblPrEx>
          <w:tblCellMar>
            <w:top w:w="0" w:type="dxa"/>
            <w:bottom w:w="0" w:type="dxa"/>
          </w:tblCellMar>
        </w:tblPrEx>
        <w:tc>
          <w:tcPr>
            <w:tcW w:w="4252" w:type="dxa"/>
            <w:tcBorders>
              <w:top w:val="single" w:sz="4" w:space="0" w:color="auto"/>
            </w:tcBorders>
            <w:vAlign w:val="bottom"/>
          </w:tcPr>
          <w:p w:rsidR="00000000" w:rsidRDefault="00000000">
            <w:pPr>
              <w:pStyle w:val="a6"/>
              <w:jc w:val="left"/>
              <w:rPr>
                <w:lang w:val="en-US"/>
              </w:rPr>
            </w:pPr>
            <w:r>
              <w:rPr>
                <w:lang w:val="en-US"/>
              </w:rPr>
              <w:t xml:space="preserve">DAY GYMNASIA </w:t>
            </w:r>
          </w:p>
        </w:tc>
        <w:tc>
          <w:tcPr>
            <w:tcW w:w="1559" w:type="dxa"/>
            <w:tcBorders>
              <w:top w:val="single" w:sz="4" w:space="0" w:color="auto"/>
            </w:tcBorders>
            <w:vAlign w:val="bottom"/>
          </w:tcPr>
          <w:p w:rsidR="00000000" w:rsidRDefault="00000000">
            <w:pPr>
              <w:pStyle w:val="a6"/>
              <w:rPr>
                <w:lang w:val="en-US"/>
              </w:rPr>
            </w:pPr>
            <w:r>
              <w:rPr>
                <w:lang w:val="en-US"/>
              </w:rPr>
              <w:t>113</w:t>
            </w:r>
          </w:p>
        </w:tc>
        <w:tc>
          <w:tcPr>
            <w:tcW w:w="1843" w:type="dxa"/>
            <w:tcBorders>
              <w:top w:val="single" w:sz="4" w:space="0" w:color="auto"/>
            </w:tcBorders>
            <w:vAlign w:val="bottom"/>
          </w:tcPr>
          <w:p w:rsidR="00000000" w:rsidRDefault="00000000">
            <w:pPr>
              <w:pStyle w:val="a6"/>
              <w:rPr>
                <w:lang w:val="en-US"/>
              </w:rPr>
            </w:pPr>
            <w:r>
              <w:rPr>
                <w:lang w:val="en-US"/>
              </w:rPr>
              <w:t>18659</w:t>
            </w:r>
          </w:p>
        </w:tc>
        <w:tc>
          <w:tcPr>
            <w:tcW w:w="1701" w:type="dxa"/>
            <w:tcBorders>
              <w:top w:val="single" w:sz="4" w:space="0" w:color="auto"/>
            </w:tcBorders>
            <w:vAlign w:val="bottom"/>
          </w:tcPr>
          <w:p w:rsidR="00000000" w:rsidRDefault="00000000">
            <w:pPr>
              <w:pStyle w:val="a6"/>
              <w:rPr>
                <w:lang w:val="en-US"/>
              </w:rPr>
            </w:pPr>
            <w:r>
              <w:rPr>
                <w:lang w:val="en-US"/>
              </w:rPr>
              <w:t>9028</w:t>
            </w:r>
          </w:p>
        </w:tc>
      </w:tr>
      <w:tr w:rsidR="00000000">
        <w:tblPrEx>
          <w:tblCellMar>
            <w:top w:w="0" w:type="dxa"/>
            <w:bottom w:w="0" w:type="dxa"/>
          </w:tblCellMar>
        </w:tblPrEx>
        <w:tc>
          <w:tcPr>
            <w:tcW w:w="4252" w:type="dxa"/>
            <w:vAlign w:val="bottom"/>
          </w:tcPr>
          <w:p w:rsidR="00000000" w:rsidRDefault="00000000">
            <w:pPr>
              <w:pStyle w:val="a6"/>
              <w:jc w:val="left"/>
              <w:rPr>
                <w:lang w:val="en-US"/>
              </w:rPr>
            </w:pPr>
            <w:r>
              <w:rPr>
                <w:lang w:val="en-US"/>
              </w:rPr>
              <w:t>EVENING GYMNASIA</w:t>
            </w:r>
          </w:p>
        </w:tc>
        <w:tc>
          <w:tcPr>
            <w:tcW w:w="1559" w:type="dxa"/>
            <w:vAlign w:val="bottom"/>
          </w:tcPr>
          <w:p w:rsidR="00000000" w:rsidRDefault="00000000">
            <w:pPr>
              <w:pStyle w:val="a6"/>
              <w:rPr>
                <w:lang w:val="en-US"/>
              </w:rPr>
            </w:pPr>
            <w:r>
              <w:rPr>
                <w:lang w:val="en-US"/>
              </w:rPr>
              <w:t>6</w:t>
            </w:r>
          </w:p>
        </w:tc>
        <w:tc>
          <w:tcPr>
            <w:tcW w:w="1843" w:type="dxa"/>
            <w:vAlign w:val="bottom"/>
          </w:tcPr>
          <w:p w:rsidR="00000000" w:rsidRDefault="00000000">
            <w:pPr>
              <w:pStyle w:val="a6"/>
              <w:rPr>
                <w:lang w:val="en-US"/>
              </w:rPr>
            </w:pPr>
            <w:r>
              <w:rPr>
                <w:lang w:val="en-US"/>
              </w:rPr>
              <w:t>217</w:t>
            </w:r>
          </w:p>
        </w:tc>
        <w:tc>
          <w:tcPr>
            <w:tcW w:w="1701" w:type="dxa"/>
            <w:vAlign w:val="bottom"/>
          </w:tcPr>
          <w:p w:rsidR="00000000" w:rsidRDefault="00000000">
            <w:pPr>
              <w:pStyle w:val="a6"/>
              <w:rPr>
                <w:lang w:val="en-US"/>
              </w:rPr>
            </w:pPr>
            <w:r>
              <w:rPr>
                <w:lang w:val="en-US"/>
              </w:rPr>
              <w:t>61</w:t>
            </w:r>
          </w:p>
        </w:tc>
      </w:tr>
      <w:tr w:rsidR="00000000">
        <w:tblPrEx>
          <w:tblCellMar>
            <w:top w:w="0" w:type="dxa"/>
            <w:bottom w:w="0" w:type="dxa"/>
          </w:tblCellMar>
        </w:tblPrEx>
        <w:tc>
          <w:tcPr>
            <w:tcW w:w="4252" w:type="dxa"/>
            <w:vAlign w:val="bottom"/>
          </w:tcPr>
          <w:p w:rsidR="00000000" w:rsidRDefault="00000000">
            <w:pPr>
              <w:pStyle w:val="a6"/>
              <w:jc w:val="left"/>
              <w:rPr>
                <w:sz w:val="22"/>
                <w:lang w:val="en-US"/>
              </w:rPr>
            </w:pPr>
          </w:p>
        </w:tc>
        <w:tc>
          <w:tcPr>
            <w:tcW w:w="1559" w:type="dxa"/>
            <w:vAlign w:val="bottom"/>
          </w:tcPr>
          <w:p w:rsidR="00000000" w:rsidRDefault="00000000">
            <w:pPr>
              <w:pStyle w:val="a6"/>
              <w:rPr>
                <w:lang w:val="en-US"/>
              </w:rPr>
            </w:pPr>
          </w:p>
        </w:tc>
        <w:tc>
          <w:tcPr>
            <w:tcW w:w="1843" w:type="dxa"/>
            <w:vAlign w:val="bottom"/>
          </w:tcPr>
          <w:p w:rsidR="00000000" w:rsidRDefault="00000000">
            <w:pPr>
              <w:pStyle w:val="a6"/>
              <w:rPr>
                <w:lang w:val="en-US"/>
              </w:rPr>
            </w:pPr>
          </w:p>
        </w:tc>
        <w:tc>
          <w:tcPr>
            <w:tcW w:w="1701" w:type="dxa"/>
            <w:vAlign w:val="bottom"/>
          </w:tcPr>
          <w:p w:rsidR="00000000" w:rsidRDefault="00000000">
            <w:pPr>
              <w:pStyle w:val="a6"/>
              <w:rPr>
                <w:lang w:val="en-US"/>
              </w:rPr>
            </w:pPr>
          </w:p>
        </w:tc>
      </w:tr>
      <w:tr w:rsidR="00000000">
        <w:tblPrEx>
          <w:tblCellMar>
            <w:top w:w="0" w:type="dxa"/>
            <w:bottom w:w="0" w:type="dxa"/>
          </w:tblCellMar>
        </w:tblPrEx>
        <w:tc>
          <w:tcPr>
            <w:tcW w:w="4252" w:type="dxa"/>
            <w:vAlign w:val="bottom"/>
          </w:tcPr>
          <w:p w:rsidR="00000000" w:rsidRDefault="00000000">
            <w:pPr>
              <w:pStyle w:val="a6"/>
              <w:jc w:val="left"/>
              <w:rPr>
                <w:lang w:val="en-US"/>
              </w:rPr>
            </w:pPr>
            <w:r>
              <w:rPr>
                <w:lang w:val="en-US"/>
              </w:rPr>
              <w:t>DAY INTEGR. LYKEIA</w:t>
            </w:r>
          </w:p>
        </w:tc>
        <w:tc>
          <w:tcPr>
            <w:tcW w:w="1559" w:type="dxa"/>
            <w:vAlign w:val="bottom"/>
          </w:tcPr>
          <w:p w:rsidR="00000000" w:rsidRDefault="00000000">
            <w:pPr>
              <w:pStyle w:val="a6"/>
              <w:rPr>
                <w:lang w:val="en-US"/>
              </w:rPr>
            </w:pPr>
            <w:r>
              <w:rPr>
                <w:lang w:val="en-US"/>
              </w:rPr>
              <w:t>103</w:t>
            </w:r>
          </w:p>
        </w:tc>
        <w:tc>
          <w:tcPr>
            <w:tcW w:w="1843" w:type="dxa"/>
            <w:vAlign w:val="bottom"/>
          </w:tcPr>
          <w:p w:rsidR="00000000" w:rsidRDefault="00000000">
            <w:pPr>
              <w:pStyle w:val="a6"/>
              <w:rPr>
                <w:lang w:val="en-US"/>
              </w:rPr>
            </w:pPr>
            <w:r>
              <w:rPr>
                <w:lang w:val="en-US"/>
              </w:rPr>
              <w:t>16534</w:t>
            </w:r>
          </w:p>
        </w:tc>
        <w:tc>
          <w:tcPr>
            <w:tcW w:w="1701" w:type="dxa"/>
            <w:vAlign w:val="bottom"/>
          </w:tcPr>
          <w:p w:rsidR="00000000" w:rsidRDefault="00000000">
            <w:pPr>
              <w:pStyle w:val="a6"/>
              <w:rPr>
                <w:lang w:val="en-US"/>
              </w:rPr>
            </w:pPr>
            <w:r>
              <w:rPr>
                <w:lang w:val="en-US"/>
              </w:rPr>
              <w:t>8285</w:t>
            </w:r>
          </w:p>
        </w:tc>
      </w:tr>
      <w:tr w:rsidR="00000000">
        <w:tblPrEx>
          <w:tblCellMar>
            <w:top w:w="0" w:type="dxa"/>
            <w:bottom w:w="0" w:type="dxa"/>
          </w:tblCellMar>
        </w:tblPrEx>
        <w:tc>
          <w:tcPr>
            <w:tcW w:w="4252" w:type="dxa"/>
            <w:vAlign w:val="bottom"/>
          </w:tcPr>
          <w:p w:rsidR="00000000" w:rsidRDefault="00000000">
            <w:pPr>
              <w:pStyle w:val="a6"/>
              <w:jc w:val="left"/>
              <w:rPr>
                <w:lang w:val="en-US"/>
              </w:rPr>
            </w:pPr>
            <w:r>
              <w:rPr>
                <w:lang w:val="en-US"/>
              </w:rPr>
              <w:t>EVENING INTEGR. LYKEIA</w:t>
            </w:r>
          </w:p>
        </w:tc>
        <w:tc>
          <w:tcPr>
            <w:tcW w:w="1559" w:type="dxa"/>
            <w:vAlign w:val="bottom"/>
          </w:tcPr>
          <w:p w:rsidR="00000000" w:rsidRDefault="00000000">
            <w:pPr>
              <w:pStyle w:val="a6"/>
              <w:rPr>
                <w:lang w:val="en-US"/>
              </w:rPr>
            </w:pPr>
            <w:r>
              <w:rPr>
                <w:lang w:val="en-US"/>
              </w:rPr>
              <w:t>6</w:t>
            </w:r>
          </w:p>
        </w:tc>
        <w:tc>
          <w:tcPr>
            <w:tcW w:w="1843" w:type="dxa"/>
            <w:vAlign w:val="bottom"/>
          </w:tcPr>
          <w:p w:rsidR="00000000" w:rsidRDefault="00000000">
            <w:pPr>
              <w:pStyle w:val="a6"/>
              <w:rPr>
                <w:lang w:val="en-US"/>
              </w:rPr>
            </w:pPr>
            <w:r>
              <w:rPr>
                <w:lang w:val="en-US"/>
              </w:rPr>
              <w:t>538</w:t>
            </w:r>
          </w:p>
        </w:tc>
        <w:tc>
          <w:tcPr>
            <w:tcW w:w="1701" w:type="dxa"/>
            <w:vAlign w:val="bottom"/>
          </w:tcPr>
          <w:p w:rsidR="00000000" w:rsidRDefault="00000000">
            <w:pPr>
              <w:pStyle w:val="a6"/>
              <w:rPr>
                <w:lang w:val="en-US"/>
              </w:rPr>
            </w:pPr>
            <w:r>
              <w:rPr>
                <w:lang w:val="en-US"/>
              </w:rPr>
              <w:t>174</w:t>
            </w:r>
          </w:p>
        </w:tc>
      </w:tr>
      <w:tr w:rsidR="00000000">
        <w:tblPrEx>
          <w:tblCellMar>
            <w:top w:w="0" w:type="dxa"/>
            <w:bottom w:w="0" w:type="dxa"/>
          </w:tblCellMar>
        </w:tblPrEx>
        <w:tc>
          <w:tcPr>
            <w:tcW w:w="4252" w:type="dxa"/>
            <w:vAlign w:val="bottom"/>
          </w:tcPr>
          <w:p w:rsidR="00000000" w:rsidRDefault="00000000">
            <w:pPr>
              <w:pStyle w:val="a6"/>
              <w:jc w:val="left"/>
              <w:rPr>
                <w:lang w:val="en-US"/>
              </w:rPr>
            </w:pPr>
          </w:p>
        </w:tc>
        <w:tc>
          <w:tcPr>
            <w:tcW w:w="1559" w:type="dxa"/>
            <w:vAlign w:val="bottom"/>
          </w:tcPr>
          <w:p w:rsidR="00000000" w:rsidRDefault="00000000">
            <w:pPr>
              <w:pStyle w:val="a6"/>
              <w:rPr>
                <w:lang w:val="en-US"/>
              </w:rPr>
            </w:pPr>
          </w:p>
        </w:tc>
        <w:tc>
          <w:tcPr>
            <w:tcW w:w="1843" w:type="dxa"/>
            <w:vAlign w:val="bottom"/>
          </w:tcPr>
          <w:p w:rsidR="00000000" w:rsidRDefault="00000000">
            <w:pPr>
              <w:pStyle w:val="a6"/>
              <w:rPr>
                <w:lang w:val="en-US"/>
              </w:rPr>
            </w:pPr>
          </w:p>
        </w:tc>
        <w:tc>
          <w:tcPr>
            <w:tcW w:w="1701" w:type="dxa"/>
            <w:vAlign w:val="bottom"/>
          </w:tcPr>
          <w:p w:rsidR="00000000" w:rsidRDefault="00000000">
            <w:pPr>
              <w:pStyle w:val="a6"/>
              <w:rPr>
                <w:lang w:val="en-US"/>
              </w:rPr>
            </w:pPr>
          </w:p>
        </w:tc>
      </w:tr>
      <w:tr w:rsidR="00000000">
        <w:tblPrEx>
          <w:tblCellMar>
            <w:top w:w="0" w:type="dxa"/>
            <w:bottom w:w="0" w:type="dxa"/>
          </w:tblCellMar>
        </w:tblPrEx>
        <w:tc>
          <w:tcPr>
            <w:tcW w:w="4252" w:type="dxa"/>
            <w:vAlign w:val="bottom"/>
          </w:tcPr>
          <w:p w:rsidR="00000000" w:rsidRDefault="00000000">
            <w:pPr>
              <w:pStyle w:val="a6"/>
              <w:jc w:val="left"/>
              <w:rPr>
                <w:lang w:val="en-US"/>
              </w:rPr>
            </w:pPr>
            <w:r>
              <w:rPr>
                <w:lang w:val="en-US"/>
              </w:rPr>
              <w:t>DAY TECHN. VOCAT. SCHOOLS</w:t>
            </w:r>
          </w:p>
        </w:tc>
        <w:tc>
          <w:tcPr>
            <w:tcW w:w="1559" w:type="dxa"/>
            <w:vAlign w:val="bottom"/>
          </w:tcPr>
          <w:p w:rsidR="00000000" w:rsidRDefault="00000000">
            <w:pPr>
              <w:pStyle w:val="a6"/>
              <w:rPr>
                <w:lang w:val="en-US"/>
              </w:rPr>
            </w:pPr>
            <w:r>
              <w:rPr>
                <w:lang w:val="en-US"/>
              </w:rPr>
              <w:t>79</w:t>
            </w:r>
          </w:p>
        </w:tc>
        <w:tc>
          <w:tcPr>
            <w:tcW w:w="1843" w:type="dxa"/>
            <w:vAlign w:val="bottom"/>
          </w:tcPr>
          <w:p w:rsidR="00000000" w:rsidRDefault="00000000">
            <w:pPr>
              <w:pStyle w:val="a6"/>
              <w:rPr>
                <w:lang w:val="en-US"/>
              </w:rPr>
            </w:pPr>
            <w:r>
              <w:rPr>
                <w:lang w:val="en-US"/>
              </w:rPr>
              <w:t>6030</w:t>
            </w:r>
          </w:p>
        </w:tc>
        <w:tc>
          <w:tcPr>
            <w:tcW w:w="1701" w:type="dxa"/>
            <w:vAlign w:val="bottom"/>
          </w:tcPr>
          <w:p w:rsidR="00000000" w:rsidRDefault="00000000">
            <w:pPr>
              <w:pStyle w:val="a6"/>
              <w:rPr>
                <w:lang w:val="en-US"/>
              </w:rPr>
            </w:pPr>
            <w:r>
              <w:rPr>
                <w:lang w:val="en-US"/>
              </w:rPr>
              <w:t>3823</w:t>
            </w:r>
          </w:p>
        </w:tc>
      </w:tr>
      <w:tr w:rsidR="00000000">
        <w:tblPrEx>
          <w:tblCellMar>
            <w:top w:w="0" w:type="dxa"/>
            <w:bottom w:w="0" w:type="dxa"/>
          </w:tblCellMar>
        </w:tblPrEx>
        <w:tc>
          <w:tcPr>
            <w:tcW w:w="4252" w:type="dxa"/>
            <w:vAlign w:val="bottom"/>
          </w:tcPr>
          <w:p w:rsidR="00000000" w:rsidRDefault="00000000">
            <w:pPr>
              <w:pStyle w:val="a6"/>
              <w:jc w:val="left"/>
              <w:rPr>
                <w:lang w:val="en-US"/>
              </w:rPr>
            </w:pPr>
            <w:r>
              <w:rPr>
                <w:lang w:val="en-US"/>
              </w:rPr>
              <w:t>EVENING TECHN. VOCAT. SCHOOLS</w:t>
            </w:r>
          </w:p>
        </w:tc>
        <w:tc>
          <w:tcPr>
            <w:tcW w:w="1559" w:type="dxa"/>
            <w:vAlign w:val="bottom"/>
          </w:tcPr>
          <w:p w:rsidR="00000000" w:rsidRDefault="00000000">
            <w:pPr>
              <w:pStyle w:val="a6"/>
              <w:rPr>
                <w:lang w:val="en-US"/>
              </w:rPr>
            </w:pPr>
            <w:r>
              <w:rPr>
                <w:lang w:val="en-US"/>
              </w:rPr>
              <w:t>4</w:t>
            </w:r>
          </w:p>
        </w:tc>
        <w:tc>
          <w:tcPr>
            <w:tcW w:w="1843" w:type="dxa"/>
            <w:vAlign w:val="bottom"/>
          </w:tcPr>
          <w:p w:rsidR="00000000" w:rsidRDefault="00000000">
            <w:pPr>
              <w:pStyle w:val="a6"/>
              <w:rPr>
                <w:lang w:val="en-US"/>
              </w:rPr>
            </w:pPr>
            <w:r>
              <w:rPr>
                <w:lang w:val="en-US"/>
              </w:rPr>
              <w:t>568</w:t>
            </w:r>
          </w:p>
        </w:tc>
        <w:tc>
          <w:tcPr>
            <w:tcW w:w="1701" w:type="dxa"/>
            <w:vAlign w:val="bottom"/>
          </w:tcPr>
          <w:p w:rsidR="00000000" w:rsidRDefault="00000000">
            <w:pPr>
              <w:pStyle w:val="a6"/>
              <w:rPr>
                <w:lang w:val="en-US"/>
              </w:rPr>
            </w:pPr>
            <w:r>
              <w:rPr>
                <w:lang w:val="en-US"/>
              </w:rPr>
              <w:t>4</w:t>
            </w:r>
          </w:p>
        </w:tc>
      </w:tr>
    </w:tbl>
    <w:p w:rsidR="00000000" w:rsidRDefault="00000000">
      <w:pPr>
        <w:tabs>
          <w:tab w:val="left" w:pos="567"/>
          <w:tab w:val="left" w:pos="1021"/>
          <w:tab w:val="left" w:pos="1474"/>
          <w:tab w:val="left" w:pos="1928"/>
        </w:tabs>
        <w:jc w:val="center"/>
        <w:rPr>
          <w:b/>
          <w:lang w:val="en-US"/>
        </w:rPr>
      </w:pPr>
    </w:p>
    <w:p w:rsidR="00000000" w:rsidRDefault="00000000">
      <w:pPr>
        <w:tabs>
          <w:tab w:val="left" w:pos="567"/>
          <w:tab w:val="left" w:pos="1021"/>
          <w:tab w:val="left" w:pos="1474"/>
          <w:tab w:val="left" w:pos="1928"/>
        </w:tabs>
        <w:jc w:val="center"/>
        <w:rPr>
          <w:b/>
          <w:color w:val="000000"/>
          <w:lang w:val="en-GB"/>
        </w:rPr>
      </w:pPr>
      <w:r>
        <w:rPr>
          <w:b/>
          <w:color w:val="000000"/>
          <w:lang w:val="en-US"/>
        </w:rPr>
        <w:t>TABLE</w:t>
      </w:r>
      <w:r>
        <w:rPr>
          <w:b/>
          <w:color w:val="000000"/>
          <w:lang w:val="en-GB"/>
        </w:rPr>
        <w:t xml:space="preserve"> 3</w:t>
      </w:r>
    </w:p>
    <w:p w:rsidR="00000000" w:rsidRDefault="00000000">
      <w:pPr>
        <w:pStyle w:val="-0"/>
        <w:rPr>
          <w:lang w:val="en-GB"/>
        </w:rPr>
      </w:pPr>
      <w:r>
        <w:rPr>
          <w:lang w:val="en-GB"/>
        </w:rPr>
        <w:t>(</w:t>
      </w:r>
      <w:r>
        <w:rPr>
          <w:lang w:val="en-US"/>
        </w:rPr>
        <w:t>Source:Ministry of National Education and Religious Affairs</w:t>
      </w:r>
      <w:r>
        <w:rPr>
          <w:lang w:val="en-GB"/>
        </w:rPr>
        <w:t>, Directorate for Planning and Operational Research, Dept. of Oper.Research &amp; Statistics)</w:t>
      </w:r>
    </w:p>
    <w:p w:rsidR="00000000" w:rsidRDefault="00000000">
      <w:pPr>
        <w:tabs>
          <w:tab w:val="left" w:pos="567"/>
          <w:tab w:val="left" w:pos="1021"/>
          <w:tab w:val="left" w:pos="1474"/>
          <w:tab w:val="left" w:pos="1928"/>
        </w:tabs>
        <w:jc w:val="center"/>
        <w:rPr>
          <w:b/>
          <w:lang w:val="en-US"/>
        </w:rPr>
      </w:pPr>
      <w:r>
        <w:rPr>
          <w:b/>
          <w:lang w:val="en-US"/>
        </w:rPr>
        <w:br w:type="page"/>
      </w:r>
      <w:r>
        <w:rPr>
          <w:b/>
          <w:lang w:val="en-GB"/>
        </w:rPr>
        <w:t>SCHOOL YEAR</w:t>
      </w:r>
      <w:r>
        <w:rPr>
          <w:b/>
          <w:lang w:val="en-US"/>
        </w:rPr>
        <w:t xml:space="preserve"> 2003-2004</w:t>
      </w:r>
    </w:p>
    <w:tbl>
      <w:tblPr>
        <w:tblW w:w="0" w:type="auto"/>
        <w:tblInd w:w="3" w:type="dxa"/>
        <w:tblBorders>
          <w:top w:val="single" w:sz="4" w:space="0" w:color="auto"/>
          <w:bottom w:val="single" w:sz="4" w:space="0" w:color="auto"/>
        </w:tblBorders>
        <w:tblLayout w:type="fixed"/>
        <w:tblCellMar>
          <w:left w:w="56" w:type="dxa"/>
          <w:right w:w="56" w:type="dxa"/>
        </w:tblCellMar>
        <w:tblLook w:val="0000" w:firstRow="0" w:lastRow="0" w:firstColumn="0" w:lastColumn="0" w:noHBand="0" w:noVBand="0"/>
      </w:tblPr>
      <w:tblGrid>
        <w:gridCol w:w="4252"/>
        <w:gridCol w:w="1559"/>
        <w:gridCol w:w="1843"/>
        <w:gridCol w:w="1701"/>
      </w:tblGrid>
      <w:tr w:rsidR="00000000">
        <w:tblPrEx>
          <w:tblCellMar>
            <w:top w:w="0" w:type="dxa"/>
            <w:bottom w:w="0" w:type="dxa"/>
          </w:tblCellMar>
        </w:tblPrEx>
        <w:tc>
          <w:tcPr>
            <w:tcW w:w="4252" w:type="dxa"/>
            <w:tcBorders>
              <w:top w:val="single" w:sz="4" w:space="0" w:color="auto"/>
              <w:bottom w:val="single" w:sz="4" w:space="0" w:color="auto"/>
            </w:tcBorders>
            <w:vAlign w:val="bottom"/>
          </w:tcPr>
          <w:p w:rsidR="00000000" w:rsidRDefault="00000000">
            <w:pPr>
              <w:pStyle w:val="a6"/>
              <w:rPr>
                <w:b/>
                <w:lang w:val="en-US"/>
              </w:rPr>
            </w:pPr>
            <w:r>
              <w:rPr>
                <w:b/>
                <w:lang w:val="en-US"/>
              </w:rPr>
              <w:t>PUBLIC</w:t>
            </w:r>
          </w:p>
        </w:tc>
        <w:tc>
          <w:tcPr>
            <w:tcW w:w="1559" w:type="dxa"/>
            <w:tcBorders>
              <w:top w:val="single" w:sz="4" w:space="0" w:color="auto"/>
              <w:bottom w:val="single" w:sz="4" w:space="0" w:color="auto"/>
            </w:tcBorders>
            <w:vAlign w:val="bottom"/>
          </w:tcPr>
          <w:p w:rsidR="00000000" w:rsidRDefault="00000000">
            <w:pPr>
              <w:pStyle w:val="a6"/>
              <w:rPr>
                <w:b/>
                <w:lang w:val="en-US"/>
              </w:rPr>
            </w:pPr>
            <w:r>
              <w:rPr>
                <w:b/>
                <w:lang w:val="en-US"/>
              </w:rPr>
              <w:t>NUMBER OF SCHOOLS</w:t>
            </w:r>
          </w:p>
        </w:tc>
        <w:tc>
          <w:tcPr>
            <w:tcW w:w="1843" w:type="dxa"/>
            <w:tcBorders>
              <w:top w:val="single" w:sz="4" w:space="0" w:color="auto"/>
              <w:bottom w:val="single" w:sz="4" w:space="0" w:color="auto"/>
            </w:tcBorders>
            <w:vAlign w:val="bottom"/>
          </w:tcPr>
          <w:p w:rsidR="00000000" w:rsidRDefault="00000000">
            <w:pPr>
              <w:pStyle w:val="a6"/>
              <w:rPr>
                <w:b/>
                <w:lang w:val="en-US"/>
              </w:rPr>
            </w:pPr>
            <w:r>
              <w:rPr>
                <w:b/>
                <w:lang w:val="en-US"/>
              </w:rPr>
              <w:t>TOTAL No OF STUDENTS</w:t>
            </w:r>
          </w:p>
        </w:tc>
        <w:tc>
          <w:tcPr>
            <w:tcW w:w="1701" w:type="dxa"/>
            <w:tcBorders>
              <w:top w:val="single" w:sz="4" w:space="0" w:color="auto"/>
              <w:bottom w:val="single" w:sz="4" w:space="0" w:color="auto"/>
            </w:tcBorders>
            <w:vAlign w:val="bottom"/>
          </w:tcPr>
          <w:p w:rsidR="00000000" w:rsidRDefault="00000000">
            <w:pPr>
              <w:pStyle w:val="a6"/>
              <w:rPr>
                <w:b/>
                <w:lang w:val="en-US"/>
              </w:rPr>
            </w:pPr>
            <w:r>
              <w:rPr>
                <w:b/>
                <w:lang w:val="en-US"/>
              </w:rPr>
              <w:t>GIRLS</w:t>
            </w:r>
          </w:p>
        </w:tc>
      </w:tr>
      <w:tr w:rsidR="00000000">
        <w:tblPrEx>
          <w:tblCellMar>
            <w:top w:w="0" w:type="dxa"/>
            <w:bottom w:w="0" w:type="dxa"/>
          </w:tblCellMar>
        </w:tblPrEx>
        <w:tc>
          <w:tcPr>
            <w:tcW w:w="4252" w:type="dxa"/>
            <w:tcBorders>
              <w:top w:val="single" w:sz="4" w:space="0" w:color="auto"/>
            </w:tcBorders>
            <w:vAlign w:val="bottom"/>
          </w:tcPr>
          <w:p w:rsidR="00000000" w:rsidRDefault="00000000">
            <w:pPr>
              <w:pStyle w:val="a6"/>
              <w:jc w:val="left"/>
              <w:rPr>
                <w:lang w:val="en-US"/>
              </w:rPr>
            </w:pPr>
            <w:r>
              <w:rPr>
                <w:lang w:val="en-US"/>
              </w:rPr>
              <w:t>DAY GYMNASIA</w:t>
            </w:r>
          </w:p>
        </w:tc>
        <w:tc>
          <w:tcPr>
            <w:tcW w:w="1559" w:type="dxa"/>
            <w:tcBorders>
              <w:top w:val="single" w:sz="4" w:space="0" w:color="auto"/>
            </w:tcBorders>
            <w:vAlign w:val="bottom"/>
          </w:tcPr>
          <w:p w:rsidR="00000000" w:rsidRDefault="00000000">
            <w:pPr>
              <w:pStyle w:val="a6"/>
              <w:rPr>
                <w:lang w:val="en-US"/>
              </w:rPr>
            </w:pPr>
            <w:r>
              <w:rPr>
                <w:lang w:val="en-US"/>
              </w:rPr>
              <w:t>1781</w:t>
            </w:r>
          </w:p>
        </w:tc>
        <w:tc>
          <w:tcPr>
            <w:tcW w:w="1843" w:type="dxa"/>
            <w:tcBorders>
              <w:top w:val="single" w:sz="4" w:space="0" w:color="auto"/>
            </w:tcBorders>
            <w:vAlign w:val="bottom"/>
          </w:tcPr>
          <w:p w:rsidR="00000000" w:rsidRDefault="00000000">
            <w:pPr>
              <w:pStyle w:val="a6"/>
              <w:rPr>
                <w:lang w:val="en-US"/>
              </w:rPr>
            </w:pPr>
            <w:r>
              <w:rPr>
                <w:lang w:val="en-US"/>
              </w:rPr>
              <w:t>300734</w:t>
            </w:r>
          </w:p>
        </w:tc>
        <w:tc>
          <w:tcPr>
            <w:tcW w:w="1701" w:type="dxa"/>
            <w:tcBorders>
              <w:top w:val="single" w:sz="4" w:space="0" w:color="auto"/>
            </w:tcBorders>
            <w:vAlign w:val="bottom"/>
          </w:tcPr>
          <w:p w:rsidR="00000000" w:rsidRDefault="00000000">
            <w:pPr>
              <w:pStyle w:val="a6"/>
              <w:rPr>
                <w:lang w:val="en-US"/>
              </w:rPr>
            </w:pPr>
            <w:r>
              <w:rPr>
                <w:lang w:val="en-US"/>
              </w:rPr>
              <w:t>145668</w:t>
            </w:r>
          </w:p>
        </w:tc>
      </w:tr>
      <w:tr w:rsidR="00000000">
        <w:tblPrEx>
          <w:tblCellMar>
            <w:top w:w="0" w:type="dxa"/>
            <w:bottom w:w="0" w:type="dxa"/>
          </w:tblCellMar>
        </w:tblPrEx>
        <w:tc>
          <w:tcPr>
            <w:tcW w:w="4252" w:type="dxa"/>
            <w:vAlign w:val="bottom"/>
          </w:tcPr>
          <w:p w:rsidR="00000000" w:rsidRDefault="00000000">
            <w:pPr>
              <w:pStyle w:val="a6"/>
              <w:jc w:val="left"/>
              <w:rPr>
                <w:lang w:val="en-US"/>
              </w:rPr>
            </w:pPr>
            <w:r>
              <w:rPr>
                <w:lang w:val="en-US"/>
              </w:rPr>
              <w:t>EVENING GYMNASIA</w:t>
            </w:r>
          </w:p>
        </w:tc>
        <w:tc>
          <w:tcPr>
            <w:tcW w:w="1559" w:type="dxa"/>
            <w:vAlign w:val="bottom"/>
          </w:tcPr>
          <w:p w:rsidR="00000000" w:rsidRDefault="00000000">
            <w:pPr>
              <w:pStyle w:val="a6"/>
              <w:rPr>
                <w:lang w:val="en-US"/>
              </w:rPr>
            </w:pPr>
            <w:r>
              <w:rPr>
                <w:lang w:val="en-US"/>
              </w:rPr>
              <w:t>79</w:t>
            </w:r>
          </w:p>
        </w:tc>
        <w:tc>
          <w:tcPr>
            <w:tcW w:w="1843" w:type="dxa"/>
            <w:vAlign w:val="bottom"/>
          </w:tcPr>
          <w:p w:rsidR="00000000" w:rsidRDefault="00000000">
            <w:pPr>
              <w:pStyle w:val="a6"/>
              <w:rPr>
                <w:lang w:val="en-US"/>
              </w:rPr>
            </w:pPr>
            <w:r>
              <w:rPr>
                <w:lang w:val="en-US"/>
              </w:rPr>
              <w:t>10235</w:t>
            </w:r>
          </w:p>
        </w:tc>
        <w:tc>
          <w:tcPr>
            <w:tcW w:w="1701" w:type="dxa"/>
            <w:vAlign w:val="bottom"/>
          </w:tcPr>
          <w:p w:rsidR="00000000" w:rsidRDefault="00000000">
            <w:pPr>
              <w:pStyle w:val="a6"/>
              <w:rPr>
                <w:lang w:val="en-US"/>
              </w:rPr>
            </w:pPr>
            <w:r>
              <w:rPr>
                <w:lang w:val="en-US"/>
              </w:rPr>
              <w:t>2800</w:t>
            </w:r>
          </w:p>
        </w:tc>
      </w:tr>
      <w:tr w:rsidR="00000000">
        <w:tblPrEx>
          <w:tblCellMar>
            <w:top w:w="0" w:type="dxa"/>
            <w:bottom w:w="0" w:type="dxa"/>
          </w:tblCellMar>
        </w:tblPrEx>
        <w:tc>
          <w:tcPr>
            <w:tcW w:w="4252" w:type="dxa"/>
            <w:vAlign w:val="bottom"/>
          </w:tcPr>
          <w:p w:rsidR="00000000" w:rsidRDefault="00000000">
            <w:pPr>
              <w:pStyle w:val="a6"/>
              <w:jc w:val="left"/>
              <w:rPr>
                <w:sz w:val="22"/>
                <w:lang w:val="en-US"/>
              </w:rPr>
            </w:pPr>
          </w:p>
        </w:tc>
        <w:tc>
          <w:tcPr>
            <w:tcW w:w="1559" w:type="dxa"/>
            <w:vAlign w:val="bottom"/>
          </w:tcPr>
          <w:p w:rsidR="00000000" w:rsidRDefault="00000000">
            <w:pPr>
              <w:pStyle w:val="a6"/>
              <w:rPr>
                <w:lang w:val="en-US"/>
              </w:rPr>
            </w:pPr>
          </w:p>
        </w:tc>
        <w:tc>
          <w:tcPr>
            <w:tcW w:w="1843" w:type="dxa"/>
            <w:vAlign w:val="bottom"/>
          </w:tcPr>
          <w:p w:rsidR="00000000" w:rsidRDefault="00000000">
            <w:pPr>
              <w:pStyle w:val="a6"/>
              <w:rPr>
                <w:lang w:val="en-US"/>
              </w:rPr>
            </w:pPr>
          </w:p>
        </w:tc>
        <w:tc>
          <w:tcPr>
            <w:tcW w:w="1701" w:type="dxa"/>
            <w:vAlign w:val="bottom"/>
          </w:tcPr>
          <w:p w:rsidR="00000000" w:rsidRDefault="00000000">
            <w:pPr>
              <w:pStyle w:val="a6"/>
              <w:rPr>
                <w:lang w:val="en-US"/>
              </w:rPr>
            </w:pPr>
          </w:p>
        </w:tc>
      </w:tr>
      <w:tr w:rsidR="00000000">
        <w:tblPrEx>
          <w:tblCellMar>
            <w:top w:w="0" w:type="dxa"/>
            <w:bottom w:w="0" w:type="dxa"/>
          </w:tblCellMar>
        </w:tblPrEx>
        <w:tc>
          <w:tcPr>
            <w:tcW w:w="4252" w:type="dxa"/>
            <w:vAlign w:val="bottom"/>
          </w:tcPr>
          <w:p w:rsidR="00000000" w:rsidRDefault="00000000">
            <w:pPr>
              <w:pStyle w:val="a6"/>
              <w:jc w:val="left"/>
              <w:rPr>
                <w:lang w:val="en-US"/>
              </w:rPr>
            </w:pPr>
            <w:r>
              <w:rPr>
                <w:lang w:val="en-US"/>
              </w:rPr>
              <w:t>DAY INTEGR. LYKEIA</w:t>
            </w:r>
          </w:p>
        </w:tc>
        <w:tc>
          <w:tcPr>
            <w:tcW w:w="1559" w:type="dxa"/>
            <w:vAlign w:val="bottom"/>
          </w:tcPr>
          <w:p w:rsidR="00000000" w:rsidRDefault="00000000">
            <w:pPr>
              <w:pStyle w:val="a6"/>
              <w:rPr>
                <w:lang w:val="en-US"/>
              </w:rPr>
            </w:pPr>
            <w:r>
              <w:rPr>
                <w:lang w:val="en-US"/>
              </w:rPr>
              <w:t>1193</w:t>
            </w:r>
          </w:p>
        </w:tc>
        <w:tc>
          <w:tcPr>
            <w:tcW w:w="1843" w:type="dxa"/>
            <w:vAlign w:val="bottom"/>
          </w:tcPr>
          <w:p w:rsidR="00000000" w:rsidRDefault="00000000">
            <w:pPr>
              <w:pStyle w:val="a6"/>
              <w:rPr>
                <w:lang w:val="en-US"/>
              </w:rPr>
            </w:pPr>
            <w:r>
              <w:rPr>
                <w:lang w:val="en-US"/>
              </w:rPr>
              <w:t>216557</w:t>
            </w:r>
          </w:p>
        </w:tc>
        <w:tc>
          <w:tcPr>
            <w:tcW w:w="1701" w:type="dxa"/>
            <w:vAlign w:val="bottom"/>
          </w:tcPr>
          <w:p w:rsidR="00000000" w:rsidRDefault="00000000">
            <w:pPr>
              <w:pStyle w:val="a6"/>
              <w:rPr>
                <w:lang w:val="en-US"/>
              </w:rPr>
            </w:pPr>
            <w:r>
              <w:rPr>
                <w:lang w:val="en-US"/>
              </w:rPr>
              <w:t>118079</w:t>
            </w:r>
          </w:p>
        </w:tc>
      </w:tr>
      <w:tr w:rsidR="00000000">
        <w:tblPrEx>
          <w:tblCellMar>
            <w:top w:w="0" w:type="dxa"/>
            <w:bottom w:w="0" w:type="dxa"/>
          </w:tblCellMar>
        </w:tblPrEx>
        <w:tc>
          <w:tcPr>
            <w:tcW w:w="4252" w:type="dxa"/>
            <w:vAlign w:val="bottom"/>
          </w:tcPr>
          <w:p w:rsidR="00000000" w:rsidRDefault="00000000">
            <w:pPr>
              <w:pStyle w:val="a6"/>
              <w:jc w:val="left"/>
              <w:rPr>
                <w:lang w:val="en-US"/>
              </w:rPr>
            </w:pPr>
            <w:r>
              <w:rPr>
                <w:lang w:val="en-US"/>
              </w:rPr>
              <w:t>EVENING INTEGR. LYKEIA</w:t>
            </w:r>
          </w:p>
        </w:tc>
        <w:tc>
          <w:tcPr>
            <w:tcW w:w="1559" w:type="dxa"/>
            <w:vAlign w:val="bottom"/>
          </w:tcPr>
          <w:p w:rsidR="00000000" w:rsidRDefault="00000000">
            <w:pPr>
              <w:pStyle w:val="a6"/>
              <w:rPr>
                <w:lang w:val="en-US"/>
              </w:rPr>
            </w:pPr>
            <w:r>
              <w:rPr>
                <w:lang w:val="en-US"/>
              </w:rPr>
              <w:t>64</w:t>
            </w:r>
          </w:p>
        </w:tc>
        <w:tc>
          <w:tcPr>
            <w:tcW w:w="1843" w:type="dxa"/>
            <w:vAlign w:val="bottom"/>
          </w:tcPr>
          <w:p w:rsidR="00000000" w:rsidRDefault="00000000">
            <w:pPr>
              <w:pStyle w:val="a6"/>
              <w:rPr>
                <w:lang w:val="en-US"/>
              </w:rPr>
            </w:pPr>
            <w:r>
              <w:rPr>
                <w:lang w:val="en-US"/>
              </w:rPr>
              <w:t>8262</w:t>
            </w:r>
          </w:p>
        </w:tc>
        <w:tc>
          <w:tcPr>
            <w:tcW w:w="1701" w:type="dxa"/>
            <w:vAlign w:val="bottom"/>
          </w:tcPr>
          <w:p w:rsidR="00000000" w:rsidRDefault="00000000">
            <w:pPr>
              <w:pStyle w:val="a6"/>
              <w:rPr>
                <w:lang w:val="en-US"/>
              </w:rPr>
            </w:pPr>
            <w:r>
              <w:rPr>
                <w:lang w:val="en-US"/>
              </w:rPr>
              <w:t>3029</w:t>
            </w:r>
          </w:p>
        </w:tc>
      </w:tr>
      <w:tr w:rsidR="00000000">
        <w:tblPrEx>
          <w:tblCellMar>
            <w:top w:w="0" w:type="dxa"/>
            <w:bottom w:w="0" w:type="dxa"/>
          </w:tblCellMar>
        </w:tblPrEx>
        <w:tc>
          <w:tcPr>
            <w:tcW w:w="4252" w:type="dxa"/>
            <w:vAlign w:val="bottom"/>
          </w:tcPr>
          <w:p w:rsidR="00000000" w:rsidRDefault="00000000">
            <w:pPr>
              <w:pStyle w:val="a6"/>
              <w:jc w:val="left"/>
              <w:rPr>
                <w:lang w:val="en-US"/>
              </w:rPr>
            </w:pPr>
          </w:p>
        </w:tc>
        <w:tc>
          <w:tcPr>
            <w:tcW w:w="1559" w:type="dxa"/>
            <w:vAlign w:val="bottom"/>
          </w:tcPr>
          <w:p w:rsidR="00000000" w:rsidRDefault="00000000">
            <w:pPr>
              <w:pStyle w:val="a6"/>
              <w:rPr>
                <w:lang w:val="en-US"/>
              </w:rPr>
            </w:pPr>
          </w:p>
        </w:tc>
        <w:tc>
          <w:tcPr>
            <w:tcW w:w="1843" w:type="dxa"/>
            <w:vAlign w:val="bottom"/>
          </w:tcPr>
          <w:p w:rsidR="00000000" w:rsidRDefault="00000000">
            <w:pPr>
              <w:pStyle w:val="a6"/>
              <w:rPr>
                <w:lang w:val="en-US"/>
              </w:rPr>
            </w:pPr>
          </w:p>
        </w:tc>
        <w:tc>
          <w:tcPr>
            <w:tcW w:w="1701" w:type="dxa"/>
            <w:vAlign w:val="bottom"/>
          </w:tcPr>
          <w:p w:rsidR="00000000" w:rsidRDefault="00000000">
            <w:pPr>
              <w:pStyle w:val="a6"/>
              <w:rPr>
                <w:lang w:val="en-US"/>
              </w:rPr>
            </w:pPr>
          </w:p>
        </w:tc>
      </w:tr>
      <w:tr w:rsidR="00000000">
        <w:tblPrEx>
          <w:tblCellMar>
            <w:top w:w="0" w:type="dxa"/>
            <w:bottom w:w="0" w:type="dxa"/>
          </w:tblCellMar>
        </w:tblPrEx>
        <w:tc>
          <w:tcPr>
            <w:tcW w:w="4252" w:type="dxa"/>
            <w:vAlign w:val="bottom"/>
          </w:tcPr>
          <w:p w:rsidR="00000000" w:rsidRDefault="00000000">
            <w:pPr>
              <w:pStyle w:val="a6"/>
              <w:jc w:val="left"/>
              <w:rPr>
                <w:lang w:val="en-US"/>
              </w:rPr>
            </w:pPr>
            <w:r>
              <w:rPr>
                <w:lang w:val="en-US"/>
              </w:rPr>
              <w:t>DAY TECHN. VOCAT. SCHOOLS</w:t>
            </w:r>
          </w:p>
        </w:tc>
        <w:tc>
          <w:tcPr>
            <w:tcW w:w="1559" w:type="dxa"/>
            <w:vAlign w:val="bottom"/>
          </w:tcPr>
          <w:p w:rsidR="00000000" w:rsidRDefault="00000000">
            <w:pPr>
              <w:pStyle w:val="a6"/>
              <w:rPr>
                <w:lang w:val="en-US"/>
              </w:rPr>
            </w:pPr>
            <w:r>
              <w:rPr>
                <w:lang w:val="en-US"/>
              </w:rPr>
              <w:t>423</w:t>
            </w:r>
          </w:p>
        </w:tc>
        <w:tc>
          <w:tcPr>
            <w:tcW w:w="1843" w:type="dxa"/>
            <w:vAlign w:val="bottom"/>
          </w:tcPr>
          <w:p w:rsidR="00000000" w:rsidRDefault="00000000">
            <w:pPr>
              <w:pStyle w:val="a6"/>
              <w:rPr>
                <w:lang w:val="en-US"/>
              </w:rPr>
            </w:pPr>
            <w:r>
              <w:rPr>
                <w:lang w:val="en-US"/>
              </w:rPr>
              <w:t>103518</w:t>
            </w:r>
          </w:p>
        </w:tc>
        <w:tc>
          <w:tcPr>
            <w:tcW w:w="1701" w:type="dxa"/>
            <w:vAlign w:val="bottom"/>
          </w:tcPr>
          <w:p w:rsidR="00000000" w:rsidRDefault="00000000">
            <w:pPr>
              <w:pStyle w:val="a6"/>
              <w:rPr>
                <w:lang w:val="en-US"/>
              </w:rPr>
            </w:pPr>
            <w:r>
              <w:rPr>
                <w:lang w:val="en-US"/>
              </w:rPr>
              <w:t>42039</w:t>
            </w:r>
          </w:p>
        </w:tc>
      </w:tr>
      <w:tr w:rsidR="00000000">
        <w:tblPrEx>
          <w:tblCellMar>
            <w:top w:w="0" w:type="dxa"/>
            <w:bottom w:w="0" w:type="dxa"/>
          </w:tblCellMar>
        </w:tblPrEx>
        <w:tc>
          <w:tcPr>
            <w:tcW w:w="4252" w:type="dxa"/>
            <w:vAlign w:val="bottom"/>
          </w:tcPr>
          <w:p w:rsidR="00000000" w:rsidRDefault="00000000">
            <w:pPr>
              <w:pStyle w:val="a6"/>
              <w:jc w:val="left"/>
              <w:rPr>
                <w:lang w:val="en-US"/>
              </w:rPr>
            </w:pPr>
            <w:r>
              <w:rPr>
                <w:lang w:val="en-US"/>
              </w:rPr>
              <w:t>EVENING TECHN. VOCAT. SCHOOLS</w:t>
            </w:r>
          </w:p>
        </w:tc>
        <w:tc>
          <w:tcPr>
            <w:tcW w:w="1559" w:type="dxa"/>
            <w:vAlign w:val="bottom"/>
          </w:tcPr>
          <w:p w:rsidR="00000000" w:rsidRDefault="00000000">
            <w:pPr>
              <w:pStyle w:val="a6"/>
              <w:rPr>
                <w:lang w:val="en-US"/>
              </w:rPr>
            </w:pPr>
            <w:r>
              <w:rPr>
                <w:lang w:val="en-US"/>
              </w:rPr>
              <w:t>43</w:t>
            </w:r>
          </w:p>
        </w:tc>
        <w:tc>
          <w:tcPr>
            <w:tcW w:w="1843" w:type="dxa"/>
            <w:vAlign w:val="bottom"/>
          </w:tcPr>
          <w:p w:rsidR="00000000" w:rsidRDefault="00000000">
            <w:pPr>
              <w:pStyle w:val="a6"/>
              <w:rPr>
                <w:lang w:val="en-US"/>
              </w:rPr>
            </w:pPr>
            <w:r>
              <w:rPr>
                <w:lang w:val="en-US"/>
              </w:rPr>
              <w:t>15737</w:t>
            </w:r>
          </w:p>
        </w:tc>
        <w:tc>
          <w:tcPr>
            <w:tcW w:w="1701" w:type="dxa"/>
            <w:vAlign w:val="bottom"/>
          </w:tcPr>
          <w:p w:rsidR="00000000" w:rsidRDefault="00000000">
            <w:pPr>
              <w:pStyle w:val="a6"/>
              <w:rPr>
                <w:lang w:val="en-US"/>
              </w:rPr>
            </w:pPr>
            <w:r>
              <w:rPr>
                <w:lang w:val="en-US"/>
              </w:rPr>
              <w:t>4066</w:t>
            </w:r>
          </w:p>
        </w:tc>
      </w:tr>
      <w:tr w:rsidR="00000000">
        <w:tblPrEx>
          <w:tblCellMar>
            <w:top w:w="0" w:type="dxa"/>
            <w:bottom w:w="0" w:type="dxa"/>
          </w:tblCellMar>
        </w:tblPrEx>
        <w:tc>
          <w:tcPr>
            <w:tcW w:w="4252" w:type="dxa"/>
            <w:tcBorders>
              <w:bottom w:val="single" w:sz="4" w:space="0" w:color="auto"/>
            </w:tcBorders>
            <w:vAlign w:val="bottom"/>
          </w:tcPr>
          <w:p w:rsidR="00000000" w:rsidRDefault="00000000">
            <w:pPr>
              <w:pStyle w:val="a6"/>
              <w:rPr>
                <w:lang w:val="en-US"/>
              </w:rPr>
            </w:pPr>
          </w:p>
        </w:tc>
        <w:tc>
          <w:tcPr>
            <w:tcW w:w="1559" w:type="dxa"/>
            <w:tcBorders>
              <w:bottom w:val="single" w:sz="4" w:space="0" w:color="auto"/>
            </w:tcBorders>
            <w:vAlign w:val="bottom"/>
          </w:tcPr>
          <w:p w:rsidR="00000000" w:rsidRDefault="00000000">
            <w:pPr>
              <w:pStyle w:val="a6"/>
              <w:rPr>
                <w:lang w:val="en-US"/>
              </w:rPr>
            </w:pPr>
          </w:p>
        </w:tc>
        <w:tc>
          <w:tcPr>
            <w:tcW w:w="1843" w:type="dxa"/>
            <w:tcBorders>
              <w:bottom w:val="single" w:sz="4" w:space="0" w:color="auto"/>
            </w:tcBorders>
            <w:vAlign w:val="bottom"/>
          </w:tcPr>
          <w:p w:rsidR="00000000" w:rsidRDefault="00000000">
            <w:pPr>
              <w:pStyle w:val="a6"/>
              <w:rPr>
                <w:lang w:val="en-US"/>
              </w:rPr>
            </w:pPr>
          </w:p>
        </w:tc>
        <w:tc>
          <w:tcPr>
            <w:tcW w:w="1701" w:type="dxa"/>
            <w:tcBorders>
              <w:bottom w:val="single" w:sz="4" w:space="0" w:color="auto"/>
            </w:tcBorders>
            <w:vAlign w:val="bottom"/>
          </w:tcPr>
          <w:p w:rsidR="00000000" w:rsidRDefault="00000000">
            <w:pPr>
              <w:pStyle w:val="a6"/>
              <w:rPr>
                <w:lang w:val="en-US"/>
              </w:rPr>
            </w:pPr>
          </w:p>
        </w:tc>
      </w:tr>
      <w:tr w:rsidR="00000000">
        <w:tblPrEx>
          <w:tblCellMar>
            <w:top w:w="0" w:type="dxa"/>
            <w:bottom w:w="0" w:type="dxa"/>
          </w:tblCellMar>
        </w:tblPrEx>
        <w:tc>
          <w:tcPr>
            <w:tcW w:w="4252" w:type="dxa"/>
            <w:tcBorders>
              <w:top w:val="single" w:sz="4" w:space="0" w:color="auto"/>
              <w:bottom w:val="single" w:sz="4" w:space="0" w:color="auto"/>
            </w:tcBorders>
            <w:vAlign w:val="bottom"/>
          </w:tcPr>
          <w:p w:rsidR="00000000" w:rsidRDefault="00000000">
            <w:pPr>
              <w:pStyle w:val="a6"/>
              <w:rPr>
                <w:b/>
                <w:lang w:val="en-US"/>
              </w:rPr>
            </w:pPr>
            <w:r>
              <w:rPr>
                <w:b/>
                <w:lang w:val="en-US"/>
              </w:rPr>
              <w:t>PRIVATE</w:t>
            </w:r>
          </w:p>
        </w:tc>
        <w:tc>
          <w:tcPr>
            <w:tcW w:w="1559" w:type="dxa"/>
            <w:tcBorders>
              <w:top w:val="single" w:sz="4" w:space="0" w:color="auto"/>
              <w:bottom w:val="single" w:sz="4" w:space="0" w:color="auto"/>
            </w:tcBorders>
            <w:vAlign w:val="bottom"/>
          </w:tcPr>
          <w:p w:rsidR="00000000" w:rsidRDefault="00000000">
            <w:pPr>
              <w:pStyle w:val="a6"/>
              <w:rPr>
                <w:b/>
                <w:lang w:val="en-US"/>
              </w:rPr>
            </w:pPr>
            <w:r>
              <w:rPr>
                <w:b/>
                <w:lang w:val="en-US"/>
              </w:rPr>
              <w:t>NUMBER OF SCHOOLS</w:t>
            </w:r>
          </w:p>
        </w:tc>
        <w:tc>
          <w:tcPr>
            <w:tcW w:w="1843" w:type="dxa"/>
            <w:tcBorders>
              <w:top w:val="single" w:sz="4" w:space="0" w:color="auto"/>
              <w:bottom w:val="single" w:sz="4" w:space="0" w:color="auto"/>
            </w:tcBorders>
            <w:vAlign w:val="bottom"/>
          </w:tcPr>
          <w:p w:rsidR="00000000" w:rsidRDefault="00000000">
            <w:pPr>
              <w:pStyle w:val="a6"/>
              <w:rPr>
                <w:b/>
                <w:lang w:val="en-US"/>
              </w:rPr>
            </w:pPr>
            <w:r>
              <w:rPr>
                <w:b/>
                <w:lang w:val="en-US"/>
              </w:rPr>
              <w:t>TOTAL No OF STUDENTS</w:t>
            </w:r>
          </w:p>
        </w:tc>
        <w:tc>
          <w:tcPr>
            <w:tcW w:w="1701" w:type="dxa"/>
            <w:tcBorders>
              <w:top w:val="single" w:sz="4" w:space="0" w:color="auto"/>
              <w:bottom w:val="single" w:sz="4" w:space="0" w:color="auto"/>
            </w:tcBorders>
            <w:vAlign w:val="bottom"/>
          </w:tcPr>
          <w:p w:rsidR="00000000" w:rsidRDefault="00000000">
            <w:pPr>
              <w:pStyle w:val="a6"/>
              <w:rPr>
                <w:b/>
                <w:lang w:val="en-US"/>
              </w:rPr>
            </w:pPr>
            <w:r>
              <w:rPr>
                <w:b/>
                <w:lang w:val="en-US"/>
              </w:rPr>
              <w:t>GIRLS</w:t>
            </w:r>
          </w:p>
        </w:tc>
      </w:tr>
      <w:tr w:rsidR="00000000">
        <w:tblPrEx>
          <w:tblCellMar>
            <w:top w:w="0" w:type="dxa"/>
            <w:bottom w:w="0" w:type="dxa"/>
          </w:tblCellMar>
        </w:tblPrEx>
        <w:tc>
          <w:tcPr>
            <w:tcW w:w="4252" w:type="dxa"/>
            <w:tcBorders>
              <w:top w:val="single" w:sz="4" w:space="0" w:color="auto"/>
            </w:tcBorders>
            <w:vAlign w:val="bottom"/>
          </w:tcPr>
          <w:p w:rsidR="00000000" w:rsidRDefault="00000000">
            <w:pPr>
              <w:pStyle w:val="a6"/>
              <w:jc w:val="left"/>
              <w:rPr>
                <w:lang w:val="en-US"/>
              </w:rPr>
            </w:pPr>
            <w:r>
              <w:rPr>
                <w:lang w:val="en-US"/>
              </w:rPr>
              <w:t xml:space="preserve">DAY GYMNASIO </w:t>
            </w:r>
          </w:p>
        </w:tc>
        <w:tc>
          <w:tcPr>
            <w:tcW w:w="1559" w:type="dxa"/>
            <w:tcBorders>
              <w:top w:val="single" w:sz="4" w:space="0" w:color="auto"/>
            </w:tcBorders>
            <w:vAlign w:val="bottom"/>
          </w:tcPr>
          <w:p w:rsidR="00000000" w:rsidRDefault="00000000">
            <w:pPr>
              <w:pStyle w:val="a6"/>
              <w:rPr>
                <w:lang w:val="en-US"/>
              </w:rPr>
            </w:pPr>
            <w:r>
              <w:rPr>
                <w:lang w:val="en-US"/>
              </w:rPr>
              <w:t>116</w:t>
            </w:r>
          </w:p>
        </w:tc>
        <w:tc>
          <w:tcPr>
            <w:tcW w:w="1843" w:type="dxa"/>
            <w:tcBorders>
              <w:top w:val="single" w:sz="4" w:space="0" w:color="auto"/>
            </w:tcBorders>
            <w:vAlign w:val="bottom"/>
          </w:tcPr>
          <w:p w:rsidR="00000000" w:rsidRDefault="00000000">
            <w:pPr>
              <w:pStyle w:val="a6"/>
              <w:rPr>
                <w:lang w:val="en-US"/>
              </w:rPr>
            </w:pPr>
            <w:r>
              <w:rPr>
                <w:lang w:val="en-US"/>
              </w:rPr>
              <w:t>17697</w:t>
            </w:r>
          </w:p>
        </w:tc>
        <w:tc>
          <w:tcPr>
            <w:tcW w:w="1701" w:type="dxa"/>
            <w:tcBorders>
              <w:top w:val="single" w:sz="4" w:space="0" w:color="auto"/>
            </w:tcBorders>
            <w:vAlign w:val="bottom"/>
          </w:tcPr>
          <w:p w:rsidR="00000000" w:rsidRDefault="00000000">
            <w:pPr>
              <w:pStyle w:val="a6"/>
              <w:rPr>
                <w:lang w:val="en-US"/>
              </w:rPr>
            </w:pPr>
            <w:r>
              <w:rPr>
                <w:lang w:val="en-US"/>
              </w:rPr>
              <w:t>8529</w:t>
            </w:r>
          </w:p>
        </w:tc>
      </w:tr>
      <w:tr w:rsidR="00000000">
        <w:tblPrEx>
          <w:tblCellMar>
            <w:top w:w="0" w:type="dxa"/>
            <w:bottom w:w="0" w:type="dxa"/>
          </w:tblCellMar>
        </w:tblPrEx>
        <w:tc>
          <w:tcPr>
            <w:tcW w:w="4252" w:type="dxa"/>
            <w:vAlign w:val="bottom"/>
          </w:tcPr>
          <w:p w:rsidR="00000000" w:rsidRDefault="00000000">
            <w:pPr>
              <w:pStyle w:val="a6"/>
              <w:jc w:val="left"/>
              <w:rPr>
                <w:lang w:val="en-US"/>
              </w:rPr>
            </w:pPr>
            <w:r>
              <w:rPr>
                <w:lang w:val="en-US"/>
              </w:rPr>
              <w:t>EVENING GYMNASIA</w:t>
            </w:r>
          </w:p>
        </w:tc>
        <w:tc>
          <w:tcPr>
            <w:tcW w:w="1559" w:type="dxa"/>
            <w:vAlign w:val="bottom"/>
          </w:tcPr>
          <w:p w:rsidR="00000000" w:rsidRDefault="00000000">
            <w:pPr>
              <w:pStyle w:val="a6"/>
              <w:rPr>
                <w:lang w:val="en-US"/>
              </w:rPr>
            </w:pPr>
            <w:r>
              <w:rPr>
                <w:lang w:val="en-US"/>
              </w:rPr>
              <w:t>6</w:t>
            </w:r>
          </w:p>
        </w:tc>
        <w:tc>
          <w:tcPr>
            <w:tcW w:w="1843" w:type="dxa"/>
            <w:vAlign w:val="bottom"/>
          </w:tcPr>
          <w:p w:rsidR="00000000" w:rsidRDefault="00000000">
            <w:pPr>
              <w:pStyle w:val="a6"/>
              <w:rPr>
                <w:lang w:val="en-US"/>
              </w:rPr>
            </w:pPr>
            <w:r>
              <w:rPr>
                <w:lang w:val="en-US"/>
              </w:rPr>
              <w:t>204</w:t>
            </w:r>
          </w:p>
        </w:tc>
        <w:tc>
          <w:tcPr>
            <w:tcW w:w="1701" w:type="dxa"/>
            <w:vAlign w:val="bottom"/>
          </w:tcPr>
          <w:p w:rsidR="00000000" w:rsidRDefault="00000000">
            <w:pPr>
              <w:pStyle w:val="a6"/>
              <w:rPr>
                <w:lang w:val="en-US"/>
              </w:rPr>
            </w:pPr>
            <w:r>
              <w:rPr>
                <w:lang w:val="en-US"/>
              </w:rPr>
              <w:t>56</w:t>
            </w:r>
          </w:p>
        </w:tc>
      </w:tr>
      <w:tr w:rsidR="00000000">
        <w:tblPrEx>
          <w:tblCellMar>
            <w:top w:w="0" w:type="dxa"/>
            <w:bottom w:w="0" w:type="dxa"/>
          </w:tblCellMar>
        </w:tblPrEx>
        <w:tc>
          <w:tcPr>
            <w:tcW w:w="4252" w:type="dxa"/>
            <w:vAlign w:val="bottom"/>
          </w:tcPr>
          <w:p w:rsidR="00000000" w:rsidRDefault="00000000">
            <w:pPr>
              <w:pStyle w:val="a6"/>
              <w:jc w:val="left"/>
              <w:rPr>
                <w:sz w:val="22"/>
                <w:lang w:val="en-US"/>
              </w:rPr>
            </w:pPr>
          </w:p>
        </w:tc>
        <w:tc>
          <w:tcPr>
            <w:tcW w:w="1559" w:type="dxa"/>
            <w:vAlign w:val="bottom"/>
          </w:tcPr>
          <w:p w:rsidR="00000000" w:rsidRDefault="00000000">
            <w:pPr>
              <w:pStyle w:val="a6"/>
              <w:rPr>
                <w:lang w:val="en-US"/>
              </w:rPr>
            </w:pPr>
          </w:p>
        </w:tc>
        <w:tc>
          <w:tcPr>
            <w:tcW w:w="1843" w:type="dxa"/>
            <w:vAlign w:val="bottom"/>
          </w:tcPr>
          <w:p w:rsidR="00000000" w:rsidRDefault="00000000">
            <w:pPr>
              <w:pStyle w:val="a6"/>
              <w:rPr>
                <w:lang w:val="en-US"/>
              </w:rPr>
            </w:pPr>
          </w:p>
        </w:tc>
        <w:tc>
          <w:tcPr>
            <w:tcW w:w="1701" w:type="dxa"/>
            <w:vAlign w:val="bottom"/>
          </w:tcPr>
          <w:p w:rsidR="00000000" w:rsidRDefault="00000000">
            <w:pPr>
              <w:pStyle w:val="a6"/>
              <w:rPr>
                <w:lang w:val="en-US"/>
              </w:rPr>
            </w:pPr>
          </w:p>
        </w:tc>
      </w:tr>
      <w:tr w:rsidR="00000000">
        <w:tblPrEx>
          <w:tblCellMar>
            <w:top w:w="0" w:type="dxa"/>
            <w:bottom w:w="0" w:type="dxa"/>
          </w:tblCellMar>
        </w:tblPrEx>
        <w:tc>
          <w:tcPr>
            <w:tcW w:w="4252" w:type="dxa"/>
            <w:vAlign w:val="bottom"/>
          </w:tcPr>
          <w:p w:rsidR="00000000" w:rsidRDefault="00000000">
            <w:pPr>
              <w:pStyle w:val="a6"/>
              <w:jc w:val="left"/>
              <w:rPr>
                <w:lang w:val="en-US"/>
              </w:rPr>
            </w:pPr>
            <w:r>
              <w:rPr>
                <w:lang w:val="en-US"/>
              </w:rPr>
              <w:t>DAY INTEGR. LYKEIA</w:t>
            </w:r>
          </w:p>
        </w:tc>
        <w:tc>
          <w:tcPr>
            <w:tcW w:w="1559" w:type="dxa"/>
            <w:vAlign w:val="bottom"/>
          </w:tcPr>
          <w:p w:rsidR="00000000" w:rsidRDefault="00000000">
            <w:pPr>
              <w:pStyle w:val="a6"/>
              <w:rPr>
                <w:lang w:val="en-US"/>
              </w:rPr>
            </w:pPr>
            <w:r>
              <w:rPr>
                <w:lang w:val="en-US"/>
              </w:rPr>
              <w:t>105</w:t>
            </w:r>
          </w:p>
        </w:tc>
        <w:tc>
          <w:tcPr>
            <w:tcW w:w="1843" w:type="dxa"/>
            <w:vAlign w:val="bottom"/>
          </w:tcPr>
          <w:p w:rsidR="00000000" w:rsidRDefault="00000000">
            <w:pPr>
              <w:pStyle w:val="a6"/>
              <w:rPr>
                <w:lang w:val="en-US"/>
              </w:rPr>
            </w:pPr>
            <w:r>
              <w:rPr>
                <w:lang w:val="en-US"/>
              </w:rPr>
              <w:t>17020</w:t>
            </w:r>
          </w:p>
        </w:tc>
        <w:tc>
          <w:tcPr>
            <w:tcW w:w="1701" w:type="dxa"/>
            <w:vAlign w:val="bottom"/>
          </w:tcPr>
          <w:p w:rsidR="00000000" w:rsidRDefault="00000000">
            <w:pPr>
              <w:pStyle w:val="a6"/>
              <w:rPr>
                <w:lang w:val="en-US"/>
              </w:rPr>
            </w:pPr>
            <w:r>
              <w:rPr>
                <w:lang w:val="en-US"/>
              </w:rPr>
              <w:t>8380</w:t>
            </w:r>
          </w:p>
        </w:tc>
      </w:tr>
      <w:tr w:rsidR="00000000">
        <w:tblPrEx>
          <w:tblCellMar>
            <w:top w:w="0" w:type="dxa"/>
            <w:bottom w:w="0" w:type="dxa"/>
          </w:tblCellMar>
        </w:tblPrEx>
        <w:tc>
          <w:tcPr>
            <w:tcW w:w="4252" w:type="dxa"/>
            <w:vAlign w:val="bottom"/>
          </w:tcPr>
          <w:p w:rsidR="00000000" w:rsidRDefault="00000000">
            <w:pPr>
              <w:pStyle w:val="a6"/>
              <w:jc w:val="left"/>
              <w:rPr>
                <w:lang w:val="en-US"/>
              </w:rPr>
            </w:pPr>
            <w:r>
              <w:rPr>
                <w:lang w:val="en-US"/>
              </w:rPr>
              <w:t>EVENING INTEGR. LYKEIA</w:t>
            </w:r>
          </w:p>
        </w:tc>
        <w:tc>
          <w:tcPr>
            <w:tcW w:w="1559" w:type="dxa"/>
            <w:vAlign w:val="bottom"/>
          </w:tcPr>
          <w:p w:rsidR="00000000" w:rsidRDefault="00000000">
            <w:pPr>
              <w:pStyle w:val="a6"/>
              <w:rPr>
                <w:lang w:val="en-US"/>
              </w:rPr>
            </w:pPr>
            <w:r>
              <w:rPr>
                <w:lang w:val="en-US"/>
              </w:rPr>
              <w:t>6</w:t>
            </w:r>
          </w:p>
        </w:tc>
        <w:tc>
          <w:tcPr>
            <w:tcW w:w="1843" w:type="dxa"/>
            <w:vAlign w:val="bottom"/>
          </w:tcPr>
          <w:p w:rsidR="00000000" w:rsidRDefault="00000000">
            <w:pPr>
              <w:pStyle w:val="a6"/>
              <w:rPr>
                <w:lang w:val="en-US"/>
              </w:rPr>
            </w:pPr>
            <w:r>
              <w:rPr>
                <w:lang w:val="en-US"/>
              </w:rPr>
              <w:t>533</w:t>
            </w:r>
          </w:p>
        </w:tc>
        <w:tc>
          <w:tcPr>
            <w:tcW w:w="1701" w:type="dxa"/>
            <w:vAlign w:val="bottom"/>
          </w:tcPr>
          <w:p w:rsidR="00000000" w:rsidRDefault="00000000">
            <w:pPr>
              <w:pStyle w:val="a6"/>
              <w:rPr>
                <w:lang w:val="en-US"/>
              </w:rPr>
            </w:pPr>
            <w:r>
              <w:rPr>
                <w:lang w:val="en-US"/>
              </w:rPr>
              <w:t>177</w:t>
            </w:r>
          </w:p>
        </w:tc>
      </w:tr>
      <w:tr w:rsidR="00000000">
        <w:tblPrEx>
          <w:tblCellMar>
            <w:top w:w="0" w:type="dxa"/>
            <w:bottom w:w="0" w:type="dxa"/>
          </w:tblCellMar>
        </w:tblPrEx>
        <w:tc>
          <w:tcPr>
            <w:tcW w:w="4252" w:type="dxa"/>
            <w:vAlign w:val="bottom"/>
          </w:tcPr>
          <w:p w:rsidR="00000000" w:rsidRDefault="00000000">
            <w:pPr>
              <w:pStyle w:val="a6"/>
              <w:jc w:val="left"/>
              <w:rPr>
                <w:lang w:val="en-US"/>
              </w:rPr>
            </w:pPr>
          </w:p>
        </w:tc>
        <w:tc>
          <w:tcPr>
            <w:tcW w:w="1559" w:type="dxa"/>
            <w:vAlign w:val="bottom"/>
          </w:tcPr>
          <w:p w:rsidR="00000000" w:rsidRDefault="00000000">
            <w:pPr>
              <w:pStyle w:val="a6"/>
              <w:rPr>
                <w:lang w:val="en-US"/>
              </w:rPr>
            </w:pPr>
          </w:p>
        </w:tc>
        <w:tc>
          <w:tcPr>
            <w:tcW w:w="1843" w:type="dxa"/>
            <w:vAlign w:val="bottom"/>
          </w:tcPr>
          <w:p w:rsidR="00000000" w:rsidRDefault="00000000">
            <w:pPr>
              <w:pStyle w:val="a6"/>
              <w:rPr>
                <w:lang w:val="en-US"/>
              </w:rPr>
            </w:pPr>
          </w:p>
        </w:tc>
        <w:tc>
          <w:tcPr>
            <w:tcW w:w="1701" w:type="dxa"/>
            <w:vAlign w:val="bottom"/>
          </w:tcPr>
          <w:p w:rsidR="00000000" w:rsidRDefault="00000000">
            <w:pPr>
              <w:pStyle w:val="a6"/>
              <w:rPr>
                <w:lang w:val="en-US"/>
              </w:rPr>
            </w:pPr>
          </w:p>
        </w:tc>
      </w:tr>
      <w:tr w:rsidR="00000000">
        <w:tblPrEx>
          <w:tblCellMar>
            <w:top w:w="0" w:type="dxa"/>
            <w:bottom w:w="0" w:type="dxa"/>
          </w:tblCellMar>
        </w:tblPrEx>
        <w:tc>
          <w:tcPr>
            <w:tcW w:w="4252" w:type="dxa"/>
            <w:vAlign w:val="bottom"/>
          </w:tcPr>
          <w:p w:rsidR="00000000" w:rsidRDefault="00000000">
            <w:pPr>
              <w:pStyle w:val="a6"/>
              <w:jc w:val="left"/>
              <w:rPr>
                <w:lang w:val="en-US"/>
              </w:rPr>
            </w:pPr>
            <w:r>
              <w:rPr>
                <w:lang w:val="en-US"/>
              </w:rPr>
              <w:t xml:space="preserve">DAY TECHN. VOCAT. SCHOOLS </w:t>
            </w:r>
          </w:p>
        </w:tc>
        <w:tc>
          <w:tcPr>
            <w:tcW w:w="1559" w:type="dxa"/>
            <w:vAlign w:val="bottom"/>
          </w:tcPr>
          <w:p w:rsidR="00000000" w:rsidRDefault="00000000">
            <w:pPr>
              <w:pStyle w:val="a6"/>
              <w:rPr>
                <w:lang w:val="en-US"/>
              </w:rPr>
            </w:pPr>
            <w:r>
              <w:rPr>
                <w:lang w:val="en-US"/>
              </w:rPr>
              <w:t>72</w:t>
            </w:r>
          </w:p>
        </w:tc>
        <w:tc>
          <w:tcPr>
            <w:tcW w:w="1843" w:type="dxa"/>
            <w:vAlign w:val="bottom"/>
          </w:tcPr>
          <w:p w:rsidR="00000000" w:rsidRDefault="00000000">
            <w:pPr>
              <w:pStyle w:val="a6"/>
              <w:rPr>
                <w:lang w:val="en-US"/>
              </w:rPr>
            </w:pPr>
            <w:r>
              <w:rPr>
                <w:lang w:val="en-US"/>
              </w:rPr>
              <w:t>4788</w:t>
            </w:r>
          </w:p>
        </w:tc>
        <w:tc>
          <w:tcPr>
            <w:tcW w:w="1701" w:type="dxa"/>
            <w:vAlign w:val="bottom"/>
          </w:tcPr>
          <w:p w:rsidR="00000000" w:rsidRDefault="00000000">
            <w:pPr>
              <w:pStyle w:val="a6"/>
              <w:rPr>
                <w:lang w:val="en-US"/>
              </w:rPr>
            </w:pPr>
            <w:r>
              <w:rPr>
                <w:lang w:val="en-US"/>
              </w:rPr>
              <w:t>3052</w:t>
            </w:r>
          </w:p>
        </w:tc>
      </w:tr>
      <w:tr w:rsidR="00000000">
        <w:tblPrEx>
          <w:tblCellMar>
            <w:top w:w="0" w:type="dxa"/>
            <w:bottom w:w="0" w:type="dxa"/>
          </w:tblCellMar>
        </w:tblPrEx>
        <w:tc>
          <w:tcPr>
            <w:tcW w:w="4252" w:type="dxa"/>
            <w:vAlign w:val="bottom"/>
          </w:tcPr>
          <w:p w:rsidR="00000000" w:rsidRDefault="00000000">
            <w:pPr>
              <w:pStyle w:val="a6"/>
              <w:jc w:val="left"/>
              <w:rPr>
                <w:lang w:val="en-US"/>
              </w:rPr>
            </w:pPr>
            <w:r>
              <w:rPr>
                <w:lang w:val="en-US"/>
              </w:rPr>
              <w:t>EVENING TECHN. VOCAT. SCHOOLS</w:t>
            </w:r>
          </w:p>
        </w:tc>
        <w:tc>
          <w:tcPr>
            <w:tcW w:w="1559" w:type="dxa"/>
            <w:vAlign w:val="bottom"/>
          </w:tcPr>
          <w:p w:rsidR="00000000" w:rsidRDefault="00000000">
            <w:pPr>
              <w:pStyle w:val="a6"/>
              <w:rPr>
                <w:lang w:val="en-US"/>
              </w:rPr>
            </w:pPr>
            <w:r>
              <w:rPr>
                <w:lang w:val="en-US"/>
              </w:rPr>
              <w:t>5</w:t>
            </w:r>
          </w:p>
        </w:tc>
        <w:tc>
          <w:tcPr>
            <w:tcW w:w="1843" w:type="dxa"/>
            <w:vAlign w:val="bottom"/>
          </w:tcPr>
          <w:p w:rsidR="00000000" w:rsidRDefault="00000000">
            <w:pPr>
              <w:pStyle w:val="a6"/>
              <w:rPr>
                <w:lang w:val="en-US"/>
              </w:rPr>
            </w:pPr>
            <w:r>
              <w:rPr>
                <w:lang w:val="en-US"/>
              </w:rPr>
              <w:t>553</w:t>
            </w:r>
          </w:p>
        </w:tc>
        <w:tc>
          <w:tcPr>
            <w:tcW w:w="1701" w:type="dxa"/>
            <w:vAlign w:val="bottom"/>
          </w:tcPr>
          <w:p w:rsidR="00000000" w:rsidRDefault="00000000">
            <w:pPr>
              <w:pStyle w:val="a6"/>
              <w:rPr>
                <w:lang w:val="en-US"/>
              </w:rPr>
            </w:pPr>
            <w:r>
              <w:rPr>
                <w:lang w:val="en-US"/>
              </w:rPr>
              <w:t>13</w:t>
            </w:r>
          </w:p>
        </w:tc>
      </w:tr>
    </w:tbl>
    <w:p w:rsidR="00000000" w:rsidRDefault="00000000">
      <w:pPr>
        <w:tabs>
          <w:tab w:val="left" w:pos="567"/>
          <w:tab w:val="left" w:pos="1021"/>
          <w:tab w:val="left" w:pos="1474"/>
          <w:tab w:val="left" w:pos="1928"/>
        </w:tabs>
        <w:jc w:val="center"/>
        <w:rPr>
          <w:b/>
          <w:lang w:val="en-GB"/>
        </w:rPr>
      </w:pPr>
    </w:p>
    <w:p w:rsidR="00000000" w:rsidRDefault="00000000">
      <w:pPr>
        <w:tabs>
          <w:tab w:val="left" w:pos="567"/>
          <w:tab w:val="left" w:pos="1021"/>
          <w:tab w:val="left" w:pos="1474"/>
          <w:tab w:val="left" w:pos="1928"/>
        </w:tabs>
        <w:jc w:val="center"/>
        <w:rPr>
          <w:b/>
          <w:color w:val="000000"/>
          <w:lang w:val="en-GB"/>
        </w:rPr>
      </w:pPr>
      <w:r>
        <w:rPr>
          <w:b/>
          <w:color w:val="000000"/>
          <w:lang w:val="en-US"/>
        </w:rPr>
        <w:t>TABLE</w:t>
      </w:r>
      <w:r>
        <w:rPr>
          <w:b/>
          <w:color w:val="000000"/>
          <w:lang w:val="en-GB"/>
        </w:rPr>
        <w:t xml:space="preserve"> 4</w:t>
      </w:r>
    </w:p>
    <w:p w:rsidR="00000000" w:rsidRDefault="00000000">
      <w:pPr>
        <w:pStyle w:val="-0"/>
        <w:rPr>
          <w:b/>
          <w:lang w:val="en-GB"/>
        </w:rPr>
      </w:pPr>
      <w:r>
        <w:rPr>
          <w:lang w:val="en-GB"/>
        </w:rPr>
        <w:t>(</w:t>
      </w:r>
      <w:r>
        <w:rPr>
          <w:lang w:val="en-US"/>
        </w:rPr>
        <w:t>Source:</w:t>
      </w:r>
      <w:r>
        <w:rPr>
          <w:lang w:val="en-GB"/>
        </w:rPr>
        <w:t xml:space="preserve"> </w:t>
      </w:r>
      <w:r>
        <w:rPr>
          <w:lang w:val="en-US"/>
        </w:rPr>
        <w:t>Ministry of National Education and Religious Affairs</w:t>
      </w:r>
      <w:r>
        <w:rPr>
          <w:lang w:val="en-GB"/>
        </w:rPr>
        <w:t>, Directorate for Planning and Operational Research, Dept. of Oper. Research &amp; Statistics)</w:t>
      </w:r>
    </w:p>
    <w:p w:rsidR="00000000" w:rsidRDefault="00000000">
      <w:pPr>
        <w:tabs>
          <w:tab w:val="left" w:pos="567"/>
          <w:tab w:val="left" w:pos="1021"/>
          <w:tab w:val="left" w:pos="1474"/>
          <w:tab w:val="left" w:pos="1928"/>
        </w:tabs>
        <w:jc w:val="center"/>
        <w:rPr>
          <w:b/>
          <w:lang w:val="en-GB"/>
        </w:rPr>
      </w:pPr>
    </w:p>
    <w:p w:rsidR="00000000" w:rsidRDefault="00000000">
      <w:pPr>
        <w:tabs>
          <w:tab w:val="left" w:pos="567"/>
          <w:tab w:val="left" w:pos="1021"/>
          <w:tab w:val="left" w:pos="1474"/>
          <w:tab w:val="left" w:pos="1928"/>
        </w:tabs>
        <w:spacing w:after="120"/>
        <w:jc w:val="center"/>
        <w:rPr>
          <w:lang w:val="en-GB"/>
        </w:rPr>
      </w:pPr>
      <w:r>
        <w:rPr>
          <w:b/>
          <w:lang w:val="en-GB"/>
        </w:rPr>
        <w:br w:type="page"/>
      </w:r>
      <w:r>
        <w:rPr>
          <w:lang w:val="en-GB"/>
        </w:rPr>
        <w:t>TERTIARY EDUCATION</w:t>
      </w:r>
    </w:p>
    <w:p w:rsidR="00000000" w:rsidRDefault="00000000">
      <w:pPr>
        <w:tabs>
          <w:tab w:val="left" w:pos="567"/>
          <w:tab w:val="left" w:pos="1021"/>
          <w:tab w:val="left" w:pos="1474"/>
          <w:tab w:val="left" w:pos="1928"/>
        </w:tabs>
        <w:spacing w:after="120"/>
        <w:jc w:val="center"/>
        <w:rPr>
          <w:b/>
          <w:lang w:val="en-GB"/>
        </w:rPr>
      </w:pPr>
      <w:r>
        <w:rPr>
          <w:b/>
          <w:lang w:val="en-US"/>
        </w:rPr>
        <w:t>GENERAL</w:t>
      </w:r>
      <w:r>
        <w:rPr>
          <w:b/>
          <w:lang w:val="en-GB"/>
        </w:rPr>
        <w:t xml:space="preserve"> </w:t>
      </w:r>
      <w:r>
        <w:rPr>
          <w:b/>
          <w:lang w:val="en-US"/>
        </w:rPr>
        <w:t>TOTAL</w:t>
      </w:r>
      <w:r>
        <w:rPr>
          <w:b/>
          <w:lang w:val="en-GB"/>
        </w:rPr>
        <w:t xml:space="preserve"> </w:t>
      </w:r>
      <w:r>
        <w:rPr>
          <w:b/>
          <w:lang w:val="en-US"/>
        </w:rPr>
        <w:t>OF</w:t>
      </w:r>
      <w:r>
        <w:rPr>
          <w:b/>
          <w:lang w:val="en-GB"/>
        </w:rPr>
        <w:t xml:space="preserve"> </w:t>
      </w:r>
      <w:r>
        <w:rPr>
          <w:b/>
          <w:lang w:val="en-US"/>
        </w:rPr>
        <w:t>STUDENTS</w:t>
      </w:r>
      <w:r>
        <w:rPr>
          <w:b/>
          <w:lang w:val="en-GB"/>
        </w:rPr>
        <w:t xml:space="preserve"> IN </w:t>
      </w:r>
      <w:r>
        <w:rPr>
          <w:b/>
        </w:rPr>
        <w:t>ΤΕ</w:t>
      </w:r>
      <w:r>
        <w:rPr>
          <w:b/>
          <w:lang w:val="en-US"/>
        </w:rPr>
        <w:t>CHNOLOGICAL</w:t>
      </w:r>
      <w:r>
        <w:rPr>
          <w:b/>
          <w:lang w:val="en-GB"/>
        </w:rPr>
        <w:t xml:space="preserve"> </w:t>
      </w:r>
      <w:r>
        <w:rPr>
          <w:b/>
          <w:lang w:val="en-US"/>
        </w:rPr>
        <w:t>EDUCATIONAL</w:t>
      </w:r>
      <w:r>
        <w:rPr>
          <w:b/>
          <w:lang w:val="en-GB"/>
        </w:rPr>
        <w:t xml:space="preserve"> </w:t>
      </w:r>
      <w:r>
        <w:rPr>
          <w:b/>
          <w:lang w:val="en-US"/>
        </w:rPr>
        <w:t>INSTITUTES</w:t>
      </w:r>
      <w:r>
        <w:rPr>
          <w:b/>
          <w:lang w:val="en-GB"/>
        </w:rPr>
        <w:t xml:space="preserve"> (</w:t>
      </w:r>
      <w:r>
        <w:rPr>
          <w:b/>
          <w:lang w:val="en-US"/>
        </w:rPr>
        <w:t>T</w:t>
      </w:r>
      <w:r>
        <w:rPr>
          <w:b/>
          <w:lang w:val="en-GB"/>
        </w:rPr>
        <w:t>.</w:t>
      </w:r>
      <w:r>
        <w:rPr>
          <w:b/>
          <w:lang w:val="en-US"/>
        </w:rPr>
        <w:t>E</w:t>
      </w:r>
      <w:r>
        <w:rPr>
          <w:b/>
          <w:lang w:val="en-GB"/>
        </w:rPr>
        <w:t>.</w:t>
      </w:r>
      <w:r>
        <w:rPr>
          <w:b/>
          <w:lang w:val="en-US"/>
        </w:rPr>
        <w:t>I</w:t>
      </w:r>
      <w:r>
        <w:rPr>
          <w:b/>
          <w:lang w:val="en-GB"/>
        </w:rPr>
        <w:t>.) 2000 - 2001</w:t>
      </w:r>
    </w:p>
    <w:tbl>
      <w:tblPr>
        <w:tblW w:w="0" w:type="auto"/>
        <w:jc w:val="center"/>
        <w:tblBorders>
          <w:top w:val="single" w:sz="4" w:space="0" w:color="auto"/>
          <w:bottom w:val="single" w:sz="4" w:space="0" w:color="auto"/>
        </w:tblBorders>
        <w:tblLayout w:type="fixed"/>
        <w:tblLook w:val="0000" w:firstRow="0" w:lastRow="0" w:firstColumn="0" w:lastColumn="0" w:noHBand="0" w:noVBand="0"/>
      </w:tblPr>
      <w:tblGrid>
        <w:gridCol w:w="2321"/>
        <w:gridCol w:w="2625"/>
        <w:gridCol w:w="2835"/>
        <w:gridCol w:w="1592"/>
      </w:tblGrid>
      <w:tr w:rsidR="00000000">
        <w:tblPrEx>
          <w:tblCellMar>
            <w:top w:w="0" w:type="dxa"/>
            <w:bottom w:w="0" w:type="dxa"/>
          </w:tblCellMar>
        </w:tblPrEx>
        <w:trPr>
          <w:jc w:val="center"/>
        </w:trPr>
        <w:tc>
          <w:tcPr>
            <w:tcW w:w="2321" w:type="dxa"/>
            <w:tcBorders>
              <w:top w:val="single" w:sz="4" w:space="0" w:color="auto"/>
              <w:bottom w:val="single" w:sz="4" w:space="0" w:color="auto"/>
            </w:tcBorders>
            <w:vAlign w:val="center"/>
          </w:tcPr>
          <w:p w:rsidR="00000000" w:rsidRDefault="00000000">
            <w:pPr>
              <w:pStyle w:val="a6"/>
              <w:spacing w:before="20" w:after="20"/>
              <w:rPr>
                <w:b/>
                <w:lang w:val="en-GB"/>
              </w:rPr>
            </w:pPr>
            <w:r>
              <w:rPr>
                <w:b/>
                <w:lang w:val="en-US"/>
              </w:rPr>
              <w:t>DISTRICT</w:t>
            </w:r>
          </w:p>
        </w:tc>
        <w:tc>
          <w:tcPr>
            <w:tcW w:w="2625" w:type="dxa"/>
            <w:tcBorders>
              <w:top w:val="single" w:sz="4" w:space="0" w:color="auto"/>
              <w:bottom w:val="single" w:sz="4" w:space="0" w:color="auto"/>
            </w:tcBorders>
            <w:vAlign w:val="center"/>
          </w:tcPr>
          <w:p w:rsidR="00000000" w:rsidRDefault="00000000">
            <w:pPr>
              <w:pStyle w:val="a6"/>
              <w:spacing w:before="20" w:after="20"/>
              <w:rPr>
                <w:b/>
                <w:lang w:val="en-GB"/>
              </w:rPr>
            </w:pPr>
            <w:r>
              <w:rPr>
                <w:b/>
                <w:lang w:val="en-US"/>
              </w:rPr>
              <w:t>BRANCH</w:t>
            </w:r>
          </w:p>
        </w:tc>
        <w:tc>
          <w:tcPr>
            <w:tcW w:w="2835" w:type="dxa"/>
            <w:tcBorders>
              <w:top w:val="single" w:sz="4" w:space="0" w:color="auto"/>
              <w:bottom w:val="single" w:sz="4" w:space="0" w:color="auto"/>
            </w:tcBorders>
            <w:vAlign w:val="center"/>
          </w:tcPr>
          <w:p w:rsidR="00000000" w:rsidRDefault="00000000">
            <w:pPr>
              <w:pStyle w:val="a6"/>
              <w:spacing w:before="20" w:after="20"/>
              <w:rPr>
                <w:b/>
                <w:lang w:val="en-GB"/>
              </w:rPr>
            </w:pPr>
            <w:r>
              <w:rPr>
                <w:b/>
                <w:lang w:val="en-US"/>
              </w:rPr>
              <w:t>TOTAL No OF ENROLLED STUDENTS</w:t>
            </w:r>
          </w:p>
        </w:tc>
        <w:tc>
          <w:tcPr>
            <w:tcW w:w="1592" w:type="dxa"/>
            <w:tcBorders>
              <w:top w:val="single" w:sz="4" w:space="0" w:color="auto"/>
              <w:bottom w:val="single" w:sz="4" w:space="0" w:color="auto"/>
            </w:tcBorders>
            <w:vAlign w:val="center"/>
          </w:tcPr>
          <w:p w:rsidR="00000000" w:rsidRDefault="00000000">
            <w:pPr>
              <w:pStyle w:val="a6"/>
              <w:spacing w:before="20" w:after="20"/>
              <w:rPr>
                <w:b/>
                <w:lang w:val="en-US"/>
              </w:rPr>
            </w:pPr>
            <w:r>
              <w:rPr>
                <w:b/>
                <w:lang w:val="en-GB"/>
              </w:rPr>
              <w:t>WOMEN</w:t>
            </w:r>
          </w:p>
        </w:tc>
      </w:tr>
      <w:tr w:rsidR="00000000">
        <w:tblPrEx>
          <w:tblCellMar>
            <w:top w:w="0" w:type="dxa"/>
            <w:bottom w:w="0" w:type="dxa"/>
          </w:tblCellMar>
        </w:tblPrEx>
        <w:trPr>
          <w:jc w:val="center"/>
        </w:trPr>
        <w:tc>
          <w:tcPr>
            <w:tcW w:w="2321" w:type="dxa"/>
            <w:tcBorders>
              <w:top w:val="single" w:sz="4" w:space="0" w:color="auto"/>
              <w:bottom w:val="single" w:sz="4" w:space="0" w:color="auto"/>
            </w:tcBorders>
            <w:vAlign w:val="center"/>
          </w:tcPr>
          <w:p w:rsidR="00000000" w:rsidRDefault="00000000">
            <w:pPr>
              <w:pStyle w:val="a6"/>
              <w:spacing w:before="20" w:after="20"/>
              <w:rPr>
                <w:b/>
                <w:lang w:val="en-US"/>
              </w:rPr>
            </w:pPr>
            <w:r>
              <w:rPr>
                <w:b/>
                <w:lang w:val="en-US"/>
              </w:rPr>
              <w:t>ATHENS</w:t>
            </w:r>
          </w:p>
        </w:tc>
        <w:tc>
          <w:tcPr>
            <w:tcW w:w="2625" w:type="dxa"/>
            <w:tcBorders>
              <w:top w:val="single" w:sz="4" w:space="0" w:color="auto"/>
              <w:bottom w:val="single" w:sz="4" w:space="0" w:color="auto"/>
            </w:tcBorders>
            <w:vAlign w:val="center"/>
          </w:tcPr>
          <w:p w:rsidR="00000000" w:rsidRDefault="00000000">
            <w:pPr>
              <w:pStyle w:val="a6"/>
              <w:spacing w:before="20" w:after="20"/>
              <w:rPr>
                <w:lang w:val="en-US"/>
              </w:rPr>
            </w:pPr>
            <w:r>
              <w:rPr>
                <w:lang w:val="en-US"/>
              </w:rPr>
              <w:t>ATHENS</w:t>
            </w:r>
          </w:p>
        </w:tc>
        <w:tc>
          <w:tcPr>
            <w:tcW w:w="2835" w:type="dxa"/>
            <w:tcBorders>
              <w:top w:val="single" w:sz="4" w:space="0" w:color="auto"/>
              <w:bottom w:val="single" w:sz="4" w:space="0" w:color="auto"/>
            </w:tcBorders>
          </w:tcPr>
          <w:p w:rsidR="00000000" w:rsidRDefault="00000000">
            <w:pPr>
              <w:pStyle w:val="a6"/>
              <w:spacing w:before="20" w:after="20"/>
              <w:rPr>
                <w:lang w:val="en-US"/>
              </w:rPr>
            </w:pPr>
            <w:r>
              <w:rPr>
                <w:lang w:val="en-US"/>
              </w:rPr>
              <w:t>29151</w:t>
            </w:r>
          </w:p>
        </w:tc>
        <w:tc>
          <w:tcPr>
            <w:tcW w:w="1592" w:type="dxa"/>
            <w:tcBorders>
              <w:top w:val="single" w:sz="4" w:space="0" w:color="auto"/>
              <w:bottom w:val="single" w:sz="4" w:space="0" w:color="auto"/>
            </w:tcBorders>
          </w:tcPr>
          <w:p w:rsidR="00000000" w:rsidRDefault="00000000">
            <w:pPr>
              <w:pStyle w:val="a6"/>
              <w:spacing w:before="20" w:after="20"/>
              <w:rPr>
                <w:lang w:val="en-US"/>
              </w:rPr>
            </w:pPr>
            <w:r>
              <w:rPr>
                <w:lang w:val="en-US"/>
              </w:rPr>
              <w:t>17250</w:t>
            </w:r>
          </w:p>
        </w:tc>
      </w:tr>
      <w:tr w:rsidR="00000000">
        <w:tblPrEx>
          <w:tblCellMar>
            <w:top w:w="0" w:type="dxa"/>
            <w:bottom w:w="0" w:type="dxa"/>
          </w:tblCellMar>
        </w:tblPrEx>
        <w:trPr>
          <w:cantSplit/>
          <w:jc w:val="center"/>
        </w:trPr>
        <w:tc>
          <w:tcPr>
            <w:tcW w:w="2321" w:type="dxa"/>
            <w:vMerge w:val="restart"/>
            <w:tcBorders>
              <w:top w:val="single" w:sz="4" w:space="0" w:color="auto"/>
            </w:tcBorders>
            <w:vAlign w:val="center"/>
          </w:tcPr>
          <w:p w:rsidR="00000000" w:rsidRDefault="00000000">
            <w:pPr>
              <w:pStyle w:val="a6"/>
              <w:spacing w:before="20" w:after="20"/>
              <w:rPr>
                <w:b/>
                <w:lang w:val="en-US"/>
              </w:rPr>
            </w:pPr>
            <w:r>
              <w:rPr>
                <w:b/>
                <w:lang w:val="en-US"/>
              </w:rPr>
              <w:t>EPIRUS</w:t>
            </w:r>
          </w:p>
        </w:tc>
        <w:tc>
          <w:tcPr>
            <w:tcW w:w="2625" w:type="dxa"/>
            <w:tcBorders>
              <w:top w:val="single" w:sz="4" w:space="0" w:color="auto"/>
            </w:tcBorders>
            <w:vAlign w:val="center"/>
          </w:tcPr>
          <w:p w:rsidR="00000000" w:rsidRDefault="00000000">
            <w:pPr>
              <w:pStyle w:val="a6"/>
              <w:spacing w:before="20" w:after="20"/>
              <w:rPr>
                <w:lang w:val="en-US"/>
              </w:rPr>
            </w:pPr>
            <w:r>
              <w:rPr>
                <w:lang w:val="en-US"/>
              </w:rPr>
              <w:t>ARTA</w:t>
            </w:r>
          </w:p>
        </w:tc>
        <w:tc>
          <w:tcPr>
            <w:tcW w:w="2835" w:type="dxa"/>
            <w:tcBorders>
              <w:top w:val="single" w:sz="4" w:space="0" w:color="auto"/>
            </w:tcBorders>
          </w:tcPr>
          <w:p w:rsidR="00000000" w:rsidRDefault="00000000">
            <w:pPr>
              <w:pStyle w:val="a6"/>
              <w:spacing w:before="20" w:after="20"/>
              <w:rPr>
                <w:lang w:val="en-US"/>
              </w:rPr>
            </w:pPr>
            <w:r>
              <w:rPr>
                <w:lang w:val="en-US"/>
              </w:rPr>
              <w:t>2794</w:t>
            </w:r>
          </w:p>
        </w:tc>
        <w:tc>
          <w:tcPr>
            <w:tcW w:w="1592" w:type="dxa"/>
            <w:tcBorders>
              <w:top w:val="single" w:sz="4" w:space="0" w:color="auto"/>
            </w:tcBorders>
          </w:tcPr>
          <w:p w:rsidR="00000000" w:rsidRDefault="00000000">
            <w:pPr>
              <w:pStyle w:val="a6"/>
              <w:spacing w:before="20" w:after="20"/>
              <w:rPr>
                <w:lang w:val="en-US"/>
              </w:rPr>
            </w:pPr>
            <w:r>
              <w:rPr>
                <w:lang w:val="en-US"/>
              </w:rPr>
              <w:t>1391</w:t>
            </w:r>
          </w:p>
        </w:tc>
      </w:tr>
      <w:tr w:rsidR="00000000">
        <w:tblPrEx>
          <w:tblCellMar>
            <w:top w:w="0" w:type="dxa"/>
            <w:bottom w:w="0" w:type="dxa"/>
          </w:tblCellMar>
        </w:tblPrEx>
        <w:trPr>
          <w:cantSplit/>
          <w:jc w:val="center"/>
        </w:trPr>
        <w:tc>
          <w:tcPr>
            <w:tcW w:w="2321" w:type="dxa"/>
            <w:vMerge/>
            <w:vAlign w:val="center"/>
          </w:tcPr>
          <w:p w:rsidR="00000000" w:rsidRDefault="00000000">
            <w:pPr>
              <w:pStyle w:val="a6"/>
              <w:spacing w:before="20" w:after="20"/>
              <w:rPr>
                <w:b/>
                <w:lang w:val="en-US"/>
              </w:rPr>
            </w:pPr>
          </w:p>
        </w:tc>
        <w:tc>
          <w:tcPr>
            <w:tcW w:w="2625" w:type="dxa"/>
            <w:vAlign w:val="center"/>
          </w:tcPr>
          <w:p w:rsidR="00000000" w:rsidRDefault="00000000">
            <w:pPr>
              <w:pStyle w:val="a6"/>
              <w:spacing w:before="20" w:after="20"/>
              <w:rPr>
                <w:lang w:val="en-US"/>
              </w:rPr>
            </w:pPr>
            <w:r>
              <w:rPr>
                <w:lang w:val="en-US"/>
              </w:rPr>
              <w:t>IOANNINA</w:t>
            </w:r>
          </w:p>
        </w:tc>
        <w:tc>
          <w:tcPr>
            <w:tcW w:w="2835" w:type="dxa"/>
          </w:tcPr>
          <w:p w:rsidR="00000000" w:rsidRDefault="00000000">
            <w:pPr>
              <w:pStyle w:val="a6"/>
              <w:spacing w:before="20" w:after="20"/>
              <w:rPr>
                <w:lang w:val="en-US"/>
              </w:rPr>
            </w:pPr>
            <w:r>
              <w:rPr>
                <w:lang w:val="en-US"/>
              </w:rPr>
              <w:t>1834</w:t>
            </w:r>
          </w:p>
        </w:tc>
        <w:tc>
          <w:tcPr>
            <w:tcW w:w="1592" w:type="dxa"/>
          </w:tcPr>
          <w:p w:rsidR="00000000" w:rsidRDefault="00000000">
            <w:pPr>
              <w:pStyle w:val="a6"/>
              <w:spacing w:before="20" w:after="20"/>
              <w:rPr>
                <w:lang w:val="en-US"/>
              </w:rPr>
            </w:pPr>
            <w:r>
              <w:rPr>
                <w:lang w:val="en-US"/>
              </w:rPr>
              <w:t>1695</w:t>
            </w:r>
          </w:p>
        </w:tc>
      </w:tr>
      <w:tr w:rsidR="00000000">
        <w:tblPrEx>
          <w:tblCellMar>
            <w:top w:w="0" w:type="dxa"/>
            <w:bottom w:w="0" w:type="dxa"/>
          </w:tblCellMar>
        </w:tblPrEx>
        <w:trPr>
          <w:cantSplit/>
          <w:jc w:val="center"/>
        </w:trPr>
        <w:tc>
          <w:tcPr>
            <w:tcW w:w="2321" w:type="dxa"/>
            <w:vMerge/>
            <w:vAlign w:val="center"/>
          </w:tcPr>
          <w:p w:rsidR="00000000" w:rsidRDefault="00000000">
            <w:pPr>
              <w:pStyle w:val="a6"/>
              <w:spacing w:before="20" w:after="20"/>
              <w:rPr>
                <w:b/>
                <w:lang w:val="en-US"/>
              </w:rPr>
            </w:pPr>
          </w:p>
        </w:tc>
        <w:tc>
          <w:tcPr>
            <w:tcW w:w="2625" w:type="dxa"/>
            <w:vAlign w:val="center"/>
          </w:tcPr>
          <w:p w:rsidR="00000000" w:rsidRDefault="00000000">
            <w:pPr>
              <w:pStyle w:val="a6"/>
              <w:spacing w:before="20" w:after="20"/>
              <w:rPr>
                <w:lang w:val="en-US"/>
              </w:rPr>
            </w:pPr>
            <w:r>
              <w:rPr>
                <w:lang w:val="en-US"/>
              </w:rPr>
              <w:t>IGOUMENITSA</w:t>
            </w:r>
          </w:p>
        </w:tc>
        <w:tc>
          <w:tcPr>
            <w:tcW w:w="2835" w:type="dxa"/>
          </w:tcPr>
          <w:p w:rsidR="00000000" w:rsidRDefault="00000000">
            <w:pPr>
              <w:pStyle w:val="a6"/>
              <w:spacing w:before="20" w:after="20"/>
              <w:rPr>
                <w:lang w:val="en-US"/>
              </w:rPr>
            </w:pPr>
            <w:r>
              <w:rPr>
                <w:lang w:val="en-US"/>
              </w:rPr>
              <w:t>1239</w:t>
            </w:r>
          </w:p>
        </w:tc>
        <w:tc>
          <w:tcPr>
            <w:tcW w:w="1592" w:type="dxa"/>
          </w:tcPr>
          <w:p w:rsidR="00000000" w:rsidRDefault="00000000">
            <w:pPr>
              <w:pStyle w:val="a6"/>
              <w:spacing w:before="20" w:after="20"/>
              <w:rPr>
                <w:lang w:val="en-US"/>
              </w:rPr>
            </w:pPr>
            <w:r>
              <w:rPr>
                <w:lang w:val="en-US"/>
              </w:rPr>
              <w:t>671</w:t>
            </w:r>
          </w:p>
        </w:tc>
      </w:tr>
      <w:tr w:rsidR="00000000">
        <w:tblPrEx>
          <w:tblCellMar>
            <w:top w:w="0" w:type="dxa"/>
            <w:bottom w:w="0" w:type="dxa"/>
          </w:tblCellMar>
        </w:tblPrEx>
        <w:trPr>
          <w:cantSplit/>
          <w:jc w:val="center"/>
        </w:trPr>
        <w:tc>
          <w:tcPr>
            <w:tcW w:w="2321" w:type="dxa"/>
            <w:vMerge/>
            <w:vAlign w:val="center"/>
          </w:tcPr>
          <w:p w:rsidR="00000000" w:rsidRDefault="00000000">
            <w:pPr>
              <w:pStyle w:val="a6"/>
              <w:spacing w:before="20" w:after="20"/>
              <w:rPr>
                <w:b/>
                <w:lang w:val="en-US"/>
              </w:rPr>
            </w:pPr>
          </w:p>
        </w:tc>
        <w:tc>
          <w:tcPr>
            <w:tcW w:w="2625" w:type="dxa"/>
            <w:vAlign w:val="center"/>
          </w:tcPr>
          <w:p w:rsidR="00000000" w:rsidRDefault="00000000">
            <w:pPr>
              <w:pStyle w:val="a6"/>
              <w:spacing w:before="20" w:after="20"/>
              <w:rPr>
                <w:lang w:val="en-US"/>
              </w:rPr>
            </w:pPr>
            <w:r>
              <w:rPr>
                <w:lang w:val="en-US"/>
              </w:rPr>
              <w:t>PREVEZA</w:t>
            </w:r>
          </w:p>
        </w:tc>
        <w:tc>
          <w:tcPr>
            <w:tcW w:w="2835" w:type="dxa"/>
          </w:tcPr>
          <w:p w:rsidR="00000000" w:rsidRDefault="00000000">
            <w:pPr>
              <w:pStyle w:val="a6"/>
              <w:spacing w:before="20" w:after="20"/>
              <w:rPr>
                <w:lang w:val="en-US"/>
              </w:rPr>
            </w:pPr>
            <w:r>
              <w:rPr>
                <w:lang w:val="en-US"/>
              </w:rPr>
              <w:t>912</w:t>
            </w:r>
          </w:p>
        </w:tc>
        <w:tc>
          <w:tcPr>
            <w:tcW w:w="1592" w:type="dxa"/>
          </w:tcPr>
          <w:p w:rsidR="00000000" w:rsidRDefault="00000000">
            <w:pPr>
              <w:pStyle w:val="a6"/>
              <w:spacing w:before="20" w:after="20"/>
              <w:rPr>
                <w:lang w:val="en-US"/>
              </w:rPr>
            </w:pPr>
            <w:r>
              <w:rPr>
                <w:lang w:val="en-US"/>
              </w:rPr>
              <w:t>579</w:t>
            </w:r>
          </w:p>
        </w:tc>
      </w:tr>
      <w:tr w:rsidR="00000000">
        <w:tblPrEx>
          <w:tblCellMar>
            <w:top w:w="0" w:type="dxa"/>
            <w:bottom w:w="0" w:type="dxa"/>
          </w:tblCellMar>
        </w:tblPrEx>
        <w:trPr>
          <w:cantSplit/>
          <w:jc w:val="center"/>
        </w:trPr>
        <w:tc>
          <w:tcPr>
            <w:tcW w:w="2321" w:type="dxa"/>
            <w:vMerge/>
            <w:vAlign w:val="center"/>
          </w:tcPr>
          <w:p w:rsidR="00000000" w:rsidRDefault="00000000">
            <w:pPr>
              <w:pStyle w:val="a6"/>
              <w:spacing w:before="20" w:after="20"/>
              <w:rPr>
                <w:b/>
                <w:lang w:val="en-US"/>
              </w:rPr>
            </w:pPr>
          </w:p>
        </w:tc>
        <w:tc>
          <w:tcPr>
            <w:tcW w:w="2625" w:type="dxa"/>
            <w:vAlign w:val="center"/>
          </w:tcPr>
          <w:p w:rsidR="00000000" w:rsidRDefault="00000000">
            <w:pPr>
              <w:pStyle w:val="a6"/>
              <w:spacing w:before="20" w:after="20"/>
              <w:rPr>
                <w:lang w:val="en-US"/>
              </w:rPr>
            </w:pPr>
            <w:r>
              <w:rPr>
                <w:lang w:val="en-US"/>
              </w:rPr>
              <w:t>ARGOSTOLI</w:t>
            </w:r>
          </w:p>
        </w:tc>
        <w:tc>
          <w:tcPr>
            <w:tcW w:w="2835" w:type="dxa"/>
          </w:tcPr>
          <w:p w:rsidR="00000000" w:rsidRDefault="00000000">
            <w:pPr>
              <w:pStyle w:val="a6"/>
              <w:spacing w:before="20" w:after="20"/>
              <w:rPr>
                <w:lang w:val="en-US"/>
              </w:rPr>
            </w:pPr>
            <w:r>
              <w:rPr>
                <w:lang w:val="en-US"/>
              </w:rPr>
              <w:t>313</w:t>
            </w:r>
          </w:p>
        </w:tc>
        <w:tc>
          <w:tcPr>
            <w:tcW w:w="1592" w:type="dxa"/>
          </w:tcPr>
          <w:p w:rsidR="00000000" w:rsidRDefault="00000000">
            <w:pPr>
              <w:pStyle w:val="a6"/>
              <w:spacing w:before="20" w:after="20"/>
              <w:rPr>
                <w:lang w:val="en-US"/>
              </w:rPr>
            </w:pPr>
            <w:r>
              <w:rPr>
                <w:lang w:val="en-US"/>
              </w:rPr>
              <w:t>178</w:t>
            </w:r>
          </w:p>
        </w:tc>
      </w:tr>
      <w:tr w:rsidR="00000000">
        <w:tblPrEx>
          <w:tblCellMar>
            <w:top w:w="0" w:type="dxa"/>
            <w:bottom w:w="0" w:type="dxa"/>
          </w:tblCellMar>
        </w:tblPrEx>
        <w:trPr>
          <w:cantSplit/>
          <w:jc w:val="center"/>
        </w:trPr>
        <w:tc>
          <w:tcPr>
            <w:tcW w:w="2321" w:type="dxa"/>
            <w:vMerge/>
            <w:tcBorders>
              <w:bottom w:val="single" w:sz="4" w:space="0" w:color="auto"/>
            </w:tcBorders>
            <w:vAlign w:val="center"/>
          </w:tcPr>
          <w:p w:rsidR="00000000" w:rsidRDefault="00000000">
            <w:pPr>
              <w:pStyle w:val="a6"/>
              <w:spacing w:before="20" w:after="20"/>
              <w:rPr>
                <w:b/>
                <w:lang w:val="en-US"/>
              </w:rPr>
            </w:pPr>
          </w:p>
        </w:tc>
        <w:tc>
          <w:tcPr>
            <w:tcW w:w="2625" w:type="dxa"/>
            <w:tcBorders>
              <w:bottom w:val="single" w:sz="4" w:space="0" w:color="auto"/>
            </w:tcBorders>
            <w:vAlign w:val="center"/>
          </w:tcPr>
          <w:p w:rsidR="00000000" w:rsidRDefault="00000000">
            <w:pPr>
              <w:pStyle w:val="a6"/>
              <w:spacing w:before="20" w:after="20"/>
              <w:rPr>
                <w:lang w:val="en-US"/>
              </w:rPr>
            </w:pPr>
            <w:r>
              <w:rPr>
                <w:lang w:val="en-US"/>
              </w:rPr>
              <w:t>LIXOURI</w:t>
            </w:r>
          </w:p>
        </w:tc>
        <w:tc>
          <w:tcPr>
            <w:tcW w:w="2835" w:type="dxa"/>
            <w:tcBorders>
              <w:bottom w:val="single" w:sz="4" w:space="0" w:color="auto"/>
            </w:tcBorders>
          </w:tcPr>
          <w:p w:rsidR="00000000" w:rsidRDefault="00000000">
            <w:pPr>
              <w:pStyle w:val="a6"/>
              <w:spacing w:before="20" w:after="20"/>
              <w:rPr>
                <w:lang w:val="en-US"/>
              </w:rPr>
            </w:pPr>
            <w:r>
              <w:rPr>
                <w:lang w:val="en-US"/>
              </w:rPr>
              <w:t>0</w:t>
            </w:r>
          </w:p>
        </w:tc>
        <w:tc>
          <w:tcPr>
            <w:tcW w:w="1592" w:type="dxa"/>
            <w:tcBorders>
              <w:bottom w:val="single" w:sz="4" w:space="0" w:color="auto"/>
            </w:tcBorders>
          </w:tcPr>
          <w:p w:rsidR="00000000" w:rsidRDefault="00000000">
            <w:pPr>
              <w:pStyle w:val="a6"/>
              <w:spacing w:before="20" w:after="20"/>
              <w:rPr>
                <w:lang w:val="en-US"/>
              </w:rPr>
            </w:pPr>
            <w:r>
              <w:rPr>
                <w:lang w:val="en-US"/>
              </w:rPr>
              <w:t>0</w:t>
            </w:r>
          </w:p>
        </w:tc>
      </w:tr>
      <w:tr w:rsidR="00000000">
        <w:tblPrEx>
          <w:tblCellMar>
            <w:top w:w="0" w:type="dxa"/>
            <w:bottom w:w="0" w:type="dxa"/>
          </w:tblCellMar>
        </w:tblPrEx>
        <w:trPr>
          <w:cantSplit/>
          <w:jc w:val="center"/>
        </w:trPr>
        <w:tc>
          <w:tcPr>
            <w:tcW w:w="2321" w:type="dxa"/>
            <w:vMerge w:val="restart"/>
            <w:tcBorders>
              <w:top w:val="single" w:sz="4" w:space="0" w:color="auto"/>
              <w:bottom w:val="nil"/>
            </w:tcBorders>
            <w:vAlign w:val="center"/>
          </w:tcPr>
          <w:p w:rsidR="00000000" w:rsidRDefault="00000000">
            <w:pPr>
              <w:pStyle w:val="a6"/>
              <w:spacing w:before="20" w:after="20"/>
              <w:rPr>
                <w:b/>
                <w:lang w:val="en-US"/>
              </w:rPr>
            </w:pPr>
            <w:r>
              <w:rPr>
                <w:b/>
                <w:lang w:val="en-US"/>
              </w:rPr>
              <w:t>CRETE</w:t>
            </w:r>
          </w:p>
        </w:tc>
        <w:tc>
          <w:tcPr>
            <w:tcW w:w="2625" w:type="dxa"/>
            <w:tcBorders>
              <w:top w:val="single" w:sz="4" w:space="0" w:color="auto"/>
              <w:bottom w:val="nil"/>
            </w:tcBorders>
            <w:vAlign w:val="center"/>
          </w:tcPr>
          <w:p w:rsidR="00000000" w:rsidRDefault="00000000">
            <w:pPr>
              <w:pStyle w:val="a6"/>
              <w:spacing w:before="20" w:after="20"/>
              <w:rPr>
                <w:lang w:val="en-US"/>
              </w:rPr>
            </w:pPr>
            <w:r>
              <w:rPr>
                <w:lang w:val="en-US"/>
              </w:rPr>
              <w:t>HERAKLEION</w:t>
            </w:r>
          </w:p>
        </w:tc>
        <w:tc>
          <w:tcPr>
            <w:tcW w:w="2835" w:type="dxa"/>
            <w:tcBorders>
              <w:top w:val="single" w:sz="4" w:space="0" w:color="auto"/>
              <w:bottom w:val="nil"/>
            </w:tcBorders>
          </w:tcPr>
          <w:p w:rsidR="00000000" w:rsidRDefault="00000000">
            <w:pPr>
              <w:pStyle w:val="a6"/>
              <w:spacing w:before="20" w:after="20"/>
              <w:rPr>
                <w:lang w:val="en-US"/>
              </w:rPr>
            </w:pPr>
            <w:r>
              <w:rPr>
                <w:lang w:val="en-US"/>
              </w:rPr>
              <w:t>9316</w:t>
            </w:r>
          </w:p>
        </w:tc>
        <w:tc>
          <w:tcPr>
            <w:tcW w:w="1592" w:type="dxa"/>
            <w:tcBorders>
              <w:top w:val="single" w:sz="4" w:space="0" w:color="auto"/>
              <w:bottom w:val="nil"/>
            </w:tcBorders>
          </w:tcPr>
          <w:p w:rsidR="00000000" w:rsidRDefault="00000000">
            <w:pPr>
              <w:pStyle w:val="a6"/>
              <w:spacing w:before="20" w:after="20"/>
              <w:rPr>
                <w:lang w:val="en-US"/>
              </w:rPr>
            </w:pPr>
            <w:r>
              <w:rPr>
                <w:lang w:val="en-US"/>
              </w:rPr>
              <w:t>4418</w:t>
            </w:r>
          </w:p>
        </w:tc>
      </w:tr>
      <w:tr w:rsidR="00000000">
        <w:tblPrEx>
          <w:tblCellMar>
            <w:top w:w="0" w:type="dxa"/>
            <w:bottom w:w="0" w:type="dxa"/>
          </w:tblCellMar>
        </w:tblPrEx>
        <w:trPr>
          <w:cantSplit/>
          <w:jc w:val="center"/>
        </w:trPr>
        <w:tc>
          <w:tcPr>
            <w:tcW w:w="2321" w:type="dxa"/>
            <w:vMerge/>
            <w:tcBorders>
              <w:top w:val="nil"/>
            </w:tcBorders>
            <w:vAlign w:val="center"/>
          </w:tcPr>
          <w:p w:rsidR="00000000" w:rsidRDefault="00000000">
            <w:pPr>
              <w:pStyle w:val="a6"/>
              <w:spacing w:before="20" w:after="20"/>
              <w:rPr>
                <w:b/>
                <w:lang w:val="en-US"/>
              </w:rPr>
            </w:pPr>
          </w:p>
        </w:tc>
        <w:tc>
          <w:tcPr>
            <w:tcW w:w="2625" w:type="dxa"/>
            <w:tcBorders>
              <w:top w:val="nil"/>
            </w:tcBorders>
            <w:vAlign w:val="center"/>
          </w:tcPr>
          <w:p w:rsidR="00000000" w:rsidRDefault="00000000">
            <w:pPr>
              <w:pStyle w:val="a6"/>
              <w:spacing w:before="20" w:after="20"/>
              <w:rPr>
                <w:lang w:val="en-US"/>
              </w:rPr>
            </w:pPr>
            <w:r>
              <w:rPr>
                <w:lang w:val="en-US"/>
              </w:rPr>
              <w:t>CHANIA</w:t>
            </w:r>
          </w:p>
        </w:tc>
        <w:tc>
          <w:tcPr>
            <w:tcW w:w="2835" w:type="dxa"/>
            <w:tcBorders>
              <w:top w:val="nil"/>
            </w:tcBorders>
          </w:tcPr>
          <w:p w:rsidR="00000000" w:rsidRDefault="00000000">
            <w:pPr>
              <w:pStyle w:val="a6"/>
              <w:spacing w:before="20" w:after="20"/>
              <w:rPr>
                <w:lang w:val="en-US"/>
              </w:rPr>
            </w:pPr>
            <w:r>
              <w:rPr>
                <w:lang w:val="en-US"/>
              </w:rPr>
              <w:t>1185</w:t>
            </w:r>
          </w:p>
        </w:tc>
        <w:tc>
          <w:tcPr>
            <w:tcW w:w="1592" w:type="dxa"/>
            <w:tcBorders>
              <w:top w:val="nil"/>
            </w:tcBorders>
          </w:tcPr>
          <w:p w:rsidR="00000000" w:rsidRDefault="00000000">
            <w:pPr>
              <w:pStyle w:val="a6"/>
              <w:spacing w:before="20" w:after="20"/>
              <w:rPr>
                <w:lang w:val="en-US"/>
              </w:rPr>
            </w:pPr>
            <w:r>
              <w:rPr>
                <w:lang w:val="en-US"/>
              </w:rPr>
              <w:t>258</w:t>
            </w:r>
          </w:p>
        </w:tc>
      </w:tr>
      <w:tr w:rsidR="00000000">
        <w:tblPrEx>
          <w:tblCellMar>
            <w:top w:w="0" w:type="dxa"/>
            <w:bottom w:w="0" w:type="dxa"/>
          </w:tblCellMar>
        </w:tblPrEx>
        <w:trPr>
          <w:cantSplit/>
          <w:jc w:val="center"/>
        </w:trPr>
        <w:tc>
          <w:tcPr>
            <w:tcW w:w="2321" w:type="dxa"/>
            <w:vMerge/>
            <w:vAlign w:val="center"/>
          </w:tcPr>
          <w:p w:rsidR="00000000" w:rsidRDefault="00000000">
            <w:pPr>
              <w:pStyle w:val="a6"/>
              <w:spacing w:before="20" w:after="20"/>
              <w:rPr>
                <w:b/>
                <w:lang w:val="en-US"/>
              </w:rPr>
            </w:pPr>
          </w:p>
        </w:tc>
        <w:tc>
          <w:tcPr>
            <w:tcW w:w="2625" w:type="dxa"/>
            <w:vAlign w:val="center"/>
          </w:tcPr>
          <w:p w:rsidR="00000000" w:rsidRDefault="00000000">
            <w:pPr>
              <w:pStyle w:val="a6"/>
              <w:spacing w:before="20" w:after="20"/>
              <w:rPr>
                <w:lang w:val="en-US"/>
              </w:rPr>
            </w:pPr>
            <w:r>
              <w:rPr>
                <w:lang w:val="en-US"/>
              </w:rPr>
              <w:t>RETHYMNON</w:t>
            </w:r>
          </w:p>
        </w:tc>
        <w:tc>
          <w:tcPr>
            <w:tcW w:w="2835" w:type="dxa"/>
          </w:tcPr>
          <w:p w:rsidR="00000000" w:rsidRDefault="00000000">
            <w:pPr>
              <w:pStyle w:val="a6"/>
              <w:spacing w:before="20" w:after="20"/>
              <w:rPr>
                <w:lang w:val="en-US"/>
              </w:rPr>
            </w:pPr>
            <w:r>
              <w:rPr>
                <w:lang w:val="en-US"/>
              </w:rPr>
              <w:t>146</w:t>
            </w:r>
          </w:p>
        </w:tc>
        <w:tc>
          <w:tcPr>
            <w:tcW w:w="1592" w:type="dxa"/>
          </w:tcPr>
          <w:p w:rsidR="00000000" w:rsidRDefault="00000000">
            <w:pPr>
              <w:pStyle w:val="a6"/>
              <w:spacing w:before="20" w:after="20"/>
              <w:rPr>
                <w:lang w:val="en-US"/>
              </w:rPr>
            </w:pPr>
            <w:r>
              <w:rPr>
                <w:lang w:val="en-US"/>
              </w:rPr>
              <w:t>46</w:t>
            </w:r>
          </w:p>
        </w:tc>
      </w:tr>
      <w:tr w:rsidR="00000000">
        <w:tblPrEx>
          <w:tblCellMar>
            <w:top w:w="0" w:type="dxa"/>
            <w:bottom w:w="0" w:type="dxa"/>
          </w:tblCellMar>
        </w:tblPrEx>
        <w:trPr>
          <w:cantSplit/>
          <w:jc w:val="center"/>
        </w:trPr>
        <w:tc>
          <w:tcPr>
            <w:tcW w:w="2321" w:type="dxa"/>
            <w:vMerge/>
            <w:tcBorders>
              <w:bottom w:val="single" w:sz="4" w:space="0" w:color="auto"/>
            </w:tcBorders>
            <w:vAlign w:val="center"/>
          </w:tcPr>
          <w:p w:rsidR="00000000" w:rsidRDefault="00000000">
            <w:pPr>
              <w:pStyle w:val="a6"/>
              <w:spacing w:before="20" w:after="20"/>
              <w:rPr>
                <w:b/>
                <w:lang w:val="en-US"/>
              </w:rPr>
            </w:pPr>
          </w:p>
        </w:tc>
        <w:tc>
          <w:tcPr>
            <w:tcW w:w="2625" w:type="dxa"/>
            <w:tcBorders>
              <w:bottom w:val="single" w:sz="4" w:space="0" w:color="auto"/>
            </w:tcBorders>
            <w:vAlign w:val="center"/>
          </w:tcPr>
          <w:p w:rsidR="00000000" w:rsidRDefault="00000000">
            <w:pPr>
              <w:pStyle w:val="a6"/>
              <w:spacing w:before="20" w:after="20"/>
              <w:rPr>
                <w:lang w:val="en-US"/>
              </w:rPr>
            </w:pPr>
            <w:r>
              <w:rPr>
                <w:lang w:val="en-US"/>
              </w:rPr>
              <w:t>SITEIA</w:t>
            </w:r>
          </w:p>
        </w:tc>
        <w:tc>
          <w:tcPr>
            <w:tcW w:w="2835" w:type="dxa"/>
            <w:tcBorders>
              <w:bottom w:val="single" w:sz="4" w:space="0" w:color="auto"/>
            </w:tcBorders>
          </w:tcPr>
          <w:p w:rsidR="00000000" w:rsidRDefault="00000000">
            <w:pPr>
              <w:pStyle w:val="a6"/>
              <w:spacing w:before="20" w:after="20"/>
              <w:rPr>
                <w:lang w:val="en-US"/>
              </w:rPr>
            </w:pPr>
            <w:r>
              <w:rPr>
                <w:lang w:val="en-US"/>
              </w:rPr>
              <w:t>143</w:t>
            </w:r>
          </w:p>
        </w:tc>
        <w:tc>
          <w:tcPr>
            <w:tcW w:w="1592" w:type="dxa"/>
            <w:tcBorders>
              <w:bottom w:val="single" w:sz="4" w:space="0" w:color="auto"/>
            </w:tcBorders>
          </w:tcPr>
          <w:p w:rsidR="00000000" w:rsidRDefault="00000000">
            <w:pPr>
              <w:pStyle w:val="a6"/>
              <w:spacing w:before="20" w:after="20"/>
              <w:rPr>
                <w:lang w:val="en-US"/>
              </w:rPr>
            </w:pPr>
            <w:r>
              <w:rPr>
                <w:lang w:val="en-US"/>
              </w:rPr>
              <w:t>109</w:t>
            </w:r>
          </w:p>
        </w:tc>
      </w:tr>
      <w:tr w:rsidR="00000000">
        <w:tblPrEx>
          <w:tblCellMar>
            <w:top w:w="0" w:type="dxa"/>
            <w:bottom w:w="0" w:type="dxa"/>
          </w:tblCellMar>
        </w:tblPrEx>
        <w:trPr>
          <w:jc w:val="center"/>
        </w:trPr>
        <w:tc>
          <w:tcPr>
            <w:tcW w:w="2321" w:type="dxa"/>
            <w:tcBorders>
              <w:top w:val="single" w:sz="4" w:space="0" w:color="auto"/>
              <w:bottom w:val="single" w:sz="4" w:space="0" w:color="auto"/>
            </w:tcBorders>
            <w:vAlign w:val="center"/>
          </w:tcPr>
          <w:p w:rsidR="00000000" w:rsidRDefault="00000000">
            <w:pPr>
              <w:pStyle w:val="a6"/>
              <w:spacing w:before="20" w:after="20"/>
              <w:rPr>
                <w:b/>
                <w:lang w:val="en-US"/>
              </w:rPr>
            </w:pPr>
            <w:r>
              <w:rPr>
                <w:b/>
                <w:lang w:val="en-US"/>
              </w:rPr>
              <w:t>THESSALONIKI</w:t>
            </w:r>
          </w:p>
        </w:tc>
        <w:tc>
          <w:tcPr>
            <w:tcW w:w="2625" w:type="dxa"/>
            <w:tcBorders>
              <w:top w:val="single" w:sz="4" w:space="0" w:color="auto"/>
              <w:bottom w:val="single" w:sz="4" w:space="0" w:color="auto"/>
            </w:tcBorders>
            <w:vAlign w:val="center"/>
          </w:tcPr>
          <w:p w:rsidR="00000000" w:rsidRDefault="00000000">
            <w:pPr>
              <w:pStyle w:val="a6"/>
              <w:spacing w:before="20" w:after="20"/>
              <w:rPr>
                <w:lang w:val="en-US"/>
              </w:rPr>
            </w:pPr>
            <w:r>
              <w:rPr>
                <w:lang w:val="en-US"/>
              </w:rPr>
              <w:t>THESSALONIKI</w:t>
            </w:r>
          </w:p>
        </w:tc>
        <w:tc>
          <w:tcPr>
            <w:tcW w:w="2835" w:type="dxa"/>
            <w:tcBorders>
              <w:top w:val="single" w:sz="4" w:space="0" w:color="auto"/>
              <w:bottom w:val="single" w:sz="4" w:space="0" w:color="auto"/>
            </w:tcBorders>
          </w:tcPr>
          <w:p w:rsidR="00000000" w:rsidRDefault="00000000">
            <w:pPr>
              <w:pStyle w:val="a6"/>
              <w:spacing w:before="20" w:after="20"/>
              <w:rPr>
                <w:lang w:val="en-US"/>
              </w:rPr>
            </w:pPr>
            <w:r>
              <w:rPr>
                <w:lang w:val="en-US"/>
              </w:rPr>
              <w:t>19379</w:t>
            </w:r>
          </w:p>
        </w:tc>
        <w:tc>
          <w:tcPr>
            <w:tcW w:w="1592" w:type="dxa"/>
            <w:tcBorders>
              <w:top w:val="single" w:sz="4" w:space="0" w:color="auto"/>
              <w:bottom w:val="single" w:sz="4" w:space="0" w:color="auto"/>
            </w:tcBorders>
          </w:tcPr>
          <w:p w:rsidR="00000000" w:rsidRDefault="00000000">
            <w:pPr>
              <w:pStyle w:val="a6"/>
              <w:spacing w:before="20" w:after="20"/>
              <w:rPr>
                <w:lang w:val="en-US"/>
              </w:rPr>
            </w:pPr>
            <w:r>
              <w:rPr>
                <w:lang w:val="en-US"/>
              </w:rPr>
              <w:t>10761</w:t>
            </w:r>
          </w:p>
        </w:tc>
      </w:tr>
      <w:tr w:rsidR="00000000">
        <w:tblPrEx>
          <w:tblCellMar>
            <w:top w:w="0" w:type="dxa"/>
            <w:bottom w:w="0" w:type="dxa"/>
          </w:tblCellMar>
        </w:tblPrEx>
        <w:trPr>
          <w:cantSplit/>
          <w:jc w:val="center"/>
        </w:trPr>
        <w:tc>
          <w:tcPr>
            <w:tcW w:w="2321" w:type="dxa"/>
            <w:vMerge w:val="restart"/>
            <w:tcBorders>
              <w:top w:val="single" w:sz="4" w:space="0" w:color="auto"/>
              <w:bottom w:val="nil"/>
            </w:tcBorders>
            <w:vAlign w:val="center"/>
          </w:tcPr>
          <w:p w:rsidR="00000000" w:rsidRDefault="00000000">
            <w:pPr>
              <w:pStyle w:val="a6"/>
              <w:spacing w:before="20" w:after="20"/>
              <w:rPr>
                <w:b/>
                <w:lang w:val="en-US"/>
              </w:rPr>
            </w:pPr>
            <w:r>
              <w:rPr>
                <w:b/>
                <w:lang w:val="en-US"/>
              </w:rPr>
              <w:t>KILKIS</w:t>
            </w:r>
          </w:p>
        </w:tc>
        <w:tc>
          <w:tcPr>
            <w:tcW w:w="2625" w:type="dxa"/>
            <w:tcBorders>
              <w:top w:val="single" w:sz="4" w:space="0" w:color="auto"/>
              <w:bottom w:val="nil"/>
            </w:tcBorders>
            <w:vAlign w:val="center"/>
          </w:tcPr>
          <w:p w:rsidR="00000000" w:rsidRDefault="00000000">
            <w:pPr>
              <w:pStyle w:val="a6"/>
              <w:spacing w:before="20" w:after="20"/>
              <w:rPr>
                <w:lang w:val="en-US"/>
              </w:rPr>
            </w:pPr>
            <w:r>
              <w:rPr>
                <w:lang w:val="en-US"/>
              </w:rPr>
              <w:t>KILKIS</w:t>
            </w:r>
          </w:p>
        </w:tc>
        <w:tc>
          <w:tcPr>
            <w:tcW w:w="2835" w:type="dxa"/>
            <w:tcBorders>
              <w:top w:val="single" w:sz="4" w:space="0" w:color="auto"/>
              <w:bottom w:val="nil"/>
            </w:tcBorders>
          </w:tcPr>
          <w:p w:rsidR="00000000" w:rsidRDefault="00000000">
            <w:pPr>
              <w:pStyle w:val="a6"/>
              <w:spacing w:before="20" w:after="20"/>
              <w:rPr>
                <w:lang w:val="en-US"/>
              </w:rPr>
            </w:pPr>
            <w:r>
              <w:rPr>
                <w:lang w:val="en-US"/>
              </w:rPr>
              <w:t>229</w:t>
            </w:r>
          </w:p>
        </w:tc>
        <w:tc>
          <w:tcPr>
            <w:tcW w:w="1592" w:type="dxa"/>
            <w:tcBorders>
              <w:top w:val="single" w:sz="4" w:space="0" w:color="auto"/>
              <w:bottom w:val="nil"/>
            </w:tcBorders>
          </w:tcPr>
          <w:p w:rsidR="00000000" w:rsidRDefault="00000000">
            <w:pPr>
              <w:pStyle w:val="a6"/>
              <w:spacing w:before="20" w:after="20"/>
              <w:rPr>
                <w:lang w:val="en-US"/>
              </w:rPr>
            </w:pPr>
            <w:r>
              <w:rPr>
                <w:lang w:val="en-US"/>
              </w:rPr>
              <w:t>209</w:t>
            </w:r>
          </w:p>
        </w:tc>
      </w:tr>
      <w:tr w:rsidR="00000000">
        <w:tblPrEx>
          <w:tblCellMar>
            <w:top w:w="0" w:type="dxa"/>
            <w:bottom w:w="0" w:type="dxa"/>
          </w:tblCellMar>
        </w:tblPrEx>
        <w:trPr>
          <w:cantSplit/>
          <w:jc w:val="center"/>
        </w:trPr>
        <w:tc>
          <w:tcPr>
            <w:tcW w:w="2321" w:type="dxa"/>
            <w:vMerge/>
            <w:tcBorders>
              <w:top w:val="nil"/>
              <w:bottom w:val="single" w:sz="4" w:space="0" w:color="auto"/>
            </w:tcBorders>
            <w:vAlign w:val="center"/>
          </w:tcPr>
          <w:p w:rsidR="00000000" w:rsidRDefault="00000000">
            <w:pPr>
              <w:pStyle w:val="a6"/>
              <w:spacing w:before="20" w:after="20"/>
              <w:rPr>
                <w:b/>
                <w:lang w:val="en-US"/>
              </w:rPr>
            </w:pPr>
          </w:p>
        </w:tc>
        <w:tc>
          <w:tcPr>
            <w:tcW w:w="2625" w:type="dxa"/>
            <w:tcBorders>
              <w:top w:val="nil"/>
              <w:bottom w:val="single" w:sz="4" w:space="0" w:color="auto"/>
            </w:tcBorders>
            <w:vAlign w:val="center"/>
          </w:tcPr>
          <w:p w:rsidR="00000000" w:rsidRDefault="00000000">
            <w:pPr>
              <w:pStyle w:val="a6"/>
              <w:spacing w:before="20" w:after="20"/>
              <w:rPr>
                <w:lang w:val="en-US"/>
              </w:rPr>
            </w:pPr>
            <w:r>
              <w:rPr>
                <w:lang w:val="en-US"/>
              </w:rPr>
              <w:t>MOUDANIA</w:t>
            </w:r>
          </w:p>
        </w:tc>
        <w:tc>
          <w:tcPr>
            <w:tcW w:w="2835" w:type="dxa"/>
            <w:tcBorders>
              <w:top w:val="nil"/>
              <w:bottom w:val="single" w:sz="4" w:space="0" w:color="auto"/>
            </w:tcBorders>
          </w:tcPr>
          <w:p w:rsidR="00000000" w:rsidRDefault="00000000">
            <w:pPr>
              <w:pStyle w:val="a6"/>
              <w:spacing w:before="20" w:after="20"/>
              <w:rPr>
                <w:lang w:val="en-US"/>
              </w:rPr>
            </w:pPr>
            <w:r>
              <w:rPr>
                <w:lang w:val="en-US"/>
              </w:rPr>
              <w:t>139</w:t>
            </w:r>
          </w:p>
        </w:tc>
        <w:tc>
          <w:tcPr>
            <w:tcW w:w="1592" w:type="dxa"/>
            <w:tcBorders>
              <w:top w:val="nil"/>
              <w:bottom w:val="single" w:sz="4" w:space="0" w:color="auto"/>
            </w:tcBorders>
          </w:tcPr>
          <w:p w:rsidR="00000000" w:rsidRDefault="00000000">
            <w:pPr>
              <w:pStyle w:val="a6"/>
              <w:spacing w:before="20" w:after="20"/>
              <w:rPr>
                <w:lang w:val="en-US"/>
              </w:rPr>
            </w:pPr>
            <w:r>
              <w:rPr>
                <w:lang w:val="en-US"/>
              </w:rPr>
              <w:t>49</w:t>
            </w:r>
          </w:p>
        </w:tc>
      </w:tr>
      <w:tr w:rsidR="00000000">
        <w:tblPrEx>
          <w:tblCellMar>
            <w:top w:w="0" w:type="dxa"/>
            <w:bottom w:w="0" w:type="dxa"/>
          </w:tblCellMar>
        </w:tblPrEx>
        <w:trPr>
          <w:cantSplit/>
          <w:jc w:val="center"/>
        </w:trPr>
        <w:tc>
          <w:tcPr>
            <w:tcW w:w="2321" w:type="dxa"/>
            <w:vMerge w:val="restart"/>
            <w:tcBorders>
              <w:top w:val="single" w:sz="4" w:space="0" w:color="auto"/>
              <w:bottom w:val="nil"/>
            </w:tcBorders>
            <w:vAlign w:val="center"/>
          </w:tcPr>
          <w:p w:rsidR="00000000" w:rsidRDefault="00000000">
            <w:pPr>
              <w:pStyle w:val="a6"/>
              <w:spacing w:before="20" w:after="20"/>
              <w:rPr>
                <w:b/>
                <w:lang w:val="en-US"/>
              </w:rPr>
            </w:pPr>
            <w:r>
              <w:rPr>
                <w:b/>
                <w:lang w:val="en-US"/>
              </w:rPr>
              <w:t>KAVALA</w:t>
            </w:r>
          </w:p>
        </w:tc>
        <w:tc>
          <w:tcPr>
            <w:tcW w:w="2625" w:type="dxa"/>
            <w:tcBorders>
              <w:top w:val="single" w:sz="4" w:space="0" w:color="auto"/>
              <w:bottom w:val="nil"/>
            </w:tcBorders>
            <w:vAlign w:val="center"/>
          </w:tcPr>
          <w:p w:rsidR="00000000" w:rsidRDefault="00000000">
            <w:pPr>
              <w:pStyle w:val="a6"/>
              <w:spacing w:before="20" w:after="20"/>
              <w:rPr>
                <w:lang w:val="en-US"/>
              </w:rPr>
            </w:pPr>
            <w:r>
              <w:rPr>
                <w:lang w:val="en-US"/>
              </w:rPr>
              <w:t>KAVALA</w:t>
            </w:r>
          </w:p>
        </w:tc>
        <w:tc>
          <w:tcPr>
            <w:tcW w:w="2835" w:type="dxa"/>
            <w:tcBorders>
              <w:top w:val="single" w:sz="4" w:space="0" w:color="auto"/>
              <w:bottom w:val="nil"/>
            </w:tcBorders>
          </w:tcPr>
          <w:p w:rsidR="00000000" w:rsidRDefault="00000000">
            <w:pPr>
              <w:pStyle w:val="a6"/>
              <w:spacing w:before="20" w:after="20"/>
              <w:rPr>
                <w:lang w:val="en-US"/>
              </w:rPr>
            </w:pPr>
            <w:r>
              <w:rPr>
                <w:lang w:val="en-US"/>
              </w:rPr>
              <w:t>6793</w:t>
            </w:r>
          </w:p>
        </w:tc>
        <w:tc>
          <w:tcPr>
            <w:tcW w:w="1592" w:type="dxa"/>
            <w:tcBorders>
              <w:top w:val="single" w:sz="4" w:space="0" w:color="auto"/>
              <w:bottom w:val="nil"/>
            </w:tcBorders>
          </w:tcPr>
          <w:p w:rsidR="00000000" w:rsidRDefault="00000000">
            <w:pPr>
              <w:pStyle w:val="a6"/>
              <w:spacing w:before="20" w:after="20"/>
              <w:rPr>
                <w:lang w:val="en-US"/>
              </w:rPr>
            </w:pPr>
            <w:r>
              <w:rPr>
                <w:lang w:val="en-US"/>
              </w:rPr>
              <w:t>2767</w:t>
            </w:r>
          </w:p>
        </w:tc>
      </w:tr>
      <w:tr w:rsidR="00000000">
        <w:tblPrEx>
          <w:tblCellMar>
            <w:top w:w="0" w:type="dxa"/>
            <w:bottom w:w="0" w:type="dxa"/>
          </w:tblCellMar>
        </w:tblPrEx>
        <w:trPr>
          <w:cantSplit/>
          <w:jc w:val="center"/>
        </w:trPr>
        <w:tc>
          <w:tcPr>
            <w:tcW w:w="2321" w:type="dxa"/>
            <w:vMerge/>
            <w:tcBorders>
              <w:top w:val="nil"/>
              <w:bottom w:val="single" w:sz="4" w:space="0" w:color="auto"/>
            </w:tcBorders>
            <w:vAlign w:val="center"/>
          </w:tcPr>
          <w:p w:rsidR="00000000" w:rsidRDefault="00000000">
            <w:pPr>
              <w:pStyle w:val="a6"/>
              <w:spacing w:before="20" w:after="20"/>
              <w:rPr>
                <w:b/>
                <w:lang w:val="en-US"/>
              </w:rPr>
            </w:pPr>
          </w:p>
        </w:tc>
        <w:tc>
          <w:tcPr>
            <w:tcW w:w="2625" w:type="dxa"/>
            <w:tcBorders>
              <w:top w:val="nil"/>
              <w:bottom w:val="single" w:sz="4" w:space="0" w:color="auto"/>
            </w:tcBorders>
            <w:vAlign w:val="center"/>
          </w:tcPr>
          <w:p w:rsidR="00000000" w:rsidRDefault="00000000">
            <w:pPr>
              <w:pStyle w:val="a6"/>
              <w:spacing w:before="20" w:after="20"/>
              <w:rPr>
                <w:lang w:val="en-US"/>
              </w:rPr>
            </w:pPr>
            <w:r>
              <w:rPr>
                <w:lang w:val="en-US"/>
              </w:rPr>
              <w:t>DRAMA</w:t>
            </w:r>
          </w:p>
        </w:tc>
        <w:tc>
          <w:tcPr>
            <w:tcW w:w="2835" w:type="dxa"/>
            <w:tcBorders>
              <w:top w:val="nil"/>
              <w:bottom w:val="single" w:sz="4" w:space="0" w:color="auto"/>
            </w:tcBorders>
          </w:tcPr>
          <w:p w:rsidR="00000000" w:rsidRDefault="00000000">
            <w:pPr>
              <w:pStyle w:val="a6"/>
              <w:spacing w:before="20" w:after="20"/>
              <w:rPr>
                <w:lang w:val="en-US"/>
              </w:rPr>
            </w:pPr>
            <w:r>
              <w:rPr>
                <w:lang w:val="en-US"/>
              </w:rPr>
              <w:t>658</w:t>
            </w:r>
          </w:p>
        </w:tc>
        <w:tc>
          <w:tcPr>
            <w:tcW w:w="1592" w:type="dxa"/>
            <w:tcBorders>
              <w:top w:val="nil"/>
              <w:bottom w:val="single" w:sz="4" w:space="0" w:color="auto"/>
            </w:tcBorders>
          </w:tcPr>
          <w:p w:rsidR="00000000" w:rsidRDefault="00000000">
            <w:pPr>
              <w:pStyle w:val="a6"/>
              <w:spacing w:before="20" w:after="20"/>
              <w:rPr>
                <w:lang w:val="en-US"/>
              </w:rPr>
            </w:pPr>
            <w:r>
              <w:rPr>
                <w:lang w:val="en-US"/>
              </w:rPr>
              <w:t>341</w:t>
            </w:r>
          </w:p>
        </w:tc>
      </w:tr>
      <w:tr w:rsidR="00000000">
        <w:tblPrEx>
          <w:tblCellMar>
            <w:top w:w="0" w:type="dxa"/>
            <w:bottom w:w="0" w:type="dxa"/>
          </w:tblCellMar>
        </w:tblPrEx>
        <w:trPr>
          <w:jc w:val="center"/>
        </w:trPr>
        <w:tc>
          <w:tcPr>
            <w:tcW w:w="2321" w:type="dxa"/>
            <w:tcBorders>
              <w:top w:val="single" w:sz="4" w:space="0" w:color="auto"/>
              <w:bottom w:val="single" w:sz="4" w:space="0" w:color="auto"/>
            </w:tcBorders>
            <w:vAlign w:val="center"/>
          </w:tcPr>
          <w:p w:rsidR="00000000" w:rsidRDefault="00000000">
            <w:pPr>
              <w:pStyle w:val="a6"/>
              <w:spacing w:before="20" w:after="20"/>
              <w:rPr>
                <w:b/>
                <w:lang w:val="en-US"/>
              </w:rPr>
            </w:pPr>
            <w:r>
              <w:rPr>
                <w:b/>
                <w:lang w:val="en-US"/>
              </w:rPr>
              <w:t>KALAMATA</w:t>
            </w:r>
          </w:p>
        </w:tc>
        <w:tc>
          <w:tcPr>
            <w:tcW w:w="2625" w:type="dxa"/>
            <w:tcBorders>
              <w:top w:val="single" w:sz="4" w:space="0" w:color="auto"/>
              <w:bottom w:val="single" w:sz="4" w:space="0" w:color="auto"/>
            </w:tcBorders>
            <w:vAlign w:val="center"/>
          </w:tcPr>
          <w:p w:rsidR="00000000" w:rsidRDefault="00000000">
            <w:pPr>
              <w:pStyle w:val="a6"/>
              <w:spacing w:before="20" w:after="20"/>
              <w:rPr>
                <w:lang w:val="en-US"/>
              </w:rPr>
            </w:pPr>
            <w:r>
              <w:rPr>
                <w:lang w:val="en-US"/>
              </w:rPr>
              <w:t>KALAMATA</w:t>
            </w:r>
          </w:p>
        </w:tc>
        <w:tc>
          <w:tcPr>
            <w:tcW w:w="2835" w:type="dxa"/>
            <w:tcBorders>
              <w:top w:val="single" w:sz="4" w:space="0" w:color="auto"/>
              <w:bottom w:val="single" w:sz="4" w:space="0" w:color="auto"/>
            </w:tcBorders>
          </w:tcPr>
          <w:p w:rsidR="00000000" w:rsidRDefault="00000000">
            <w:pPr>
              <w:pStyle w:val="a6"/>
              <w:spacing w:before="20" w:after="20"/>
              <w:rPr>
                <w:lang w:val="en-US"/>
              </w:rPr>
            </w:pPr>
            <w:r>
              <w:rPr>
                <w:lang w:val="en-US"/>
              </w:rPr>
              <w:t>3833</w:t>
            </w:r>
          </w:p>
        </w:tc>
        <w:tc>
          <w:tcPr>
            <w:tcW w:w="1592" w:type="dxa"/>
            <w:tcBorders>
              <w:top w:val="single" w:sz="4" w:space="0" w:color="auto"/>
              <w:bottom w:val="single" w:sz="4" w:space="0" w:color="auto"/>
            </w:tcBorders>
          </w:tcPr>
          <w:p w:rsidR="00000000" w:rsidRDefault="00000000">
            <w:pPr>
              <w:pStyle w:val="a6"/>
              <w:spacing w:before="20" w:after="20"/>
              <w:rPr>
                <w:lang w:val="en-US"/>
              </w:rPr>
            </w:pPr>
            <w:r>
              <w:rPr>
                <w:lang w:val="en-US"/>
              </w:rPr>
              <w:t>2282</w:t>
            </w:r>
          </w:p>
        </w:tc>
      </w:tr>
      <w:tr w:rsidR="00000000">
        <w:tblPrEx>
          <w:tblCellMar>
            <w:top w:w="0" w:type="dxa"/>
            <w:bottom w:w="0" w:type="dxa"/>
          </w:tblCellMar>
        </w:tblPrEx>
        <w:trPr>
          <w:cantSplit/>
          <w:jc w:val="center"/>
        </w:trPr>
        <w:tc>
          <w:tcPr>
            <w:tcW w:w="2321" w:type="dxa"/>
            <w:vMerge w:val="restart"/>
            <w:tcBorders>
              <w:top w:val="single" w:sz="4" w:space="0" w:color="auto"/>
              <w:bottom w:val="nil"/>
            </w:tcBorders>
            <w:vAlign w:val="center"/>
          </w:tcPr>
          <w:p w:rsidR="00000000" w:rsidRDefault="00000000">
            <w:pPr>
              <w:pStyle w:val="a6"/>
              <w:spacing w:before="20" w:after="20"/>
              <w:rPr>
                <w:b/>
                <w:lang w:val="en-US"/>
              </w:rPr>
            </w:pPr>
            <w:r>
              <w:rPr>
                <w:b/>
                <w:lang w:val="en-US"/>
              </w:rPr>
              <w:t>KOZANI</w:t>
            </w:r>
          </w:p>
        </w:tc>
        <w:tc>
          <w:tcPr>
            <w:tcW w:w="2625" w:type="dxa"/>
            <w:tcBorders>
              <w:top w:val="single" w:sz="4" w:space="0" w:color="auto"/>
              <w:bottom w:val="nil"/>
            </w:tcBorders>
            <w:vAlign w:val="center"/>
          </w:tcPr>
          <w:p w:rsidR="00000000" w:rsidRDefault="00000000">
            <w:pPr>
              <w:pStyle w:val="a6"/>
              <w:spacing w:before="20" w:after="20"/>
              <w:rPr>
                <w:lang w:val="en-US"/>
              </w:rPr>
            </w:pPr>
            <w:r>
              <w:rPr>
                <w:lang w:val="en-US"/>
              </w:rPr>
              <w:t>KOZANI</w:t>
            </w:r>
          </w:p>
        </w:tc>
        <w:tc>
          <w:tcPr>
            <w:tcW w:w="2835" w:type="dxa"/>
            <w:tcBorders>
              <w:top w:val="single" w:sz="4" w:space="0" w:color="auto"/>
              <w:bottom w:val="nil"/>
            </w:tcBorders>
          </w:tcPr>
          <w:p w:rsidR="00000000" w:rsidRDefault="00000000">
            <w:pPr>
              <w:pStyle w:val="a6"/>
              <w:spacing w:before="20" w:after="20"/>
              <w:rPr>
                <w:lang w:val="en-US"/>
              </w:rPr>
            </w:pPr>
            <w:r>
              <w:rPr>
                <w:lang w:val="en-US"/>
              </w:rPr>
              <w:t>6350</w:t>
            </w:r>
          </w:p>
        </w:tc>
        <w:tc>
          <w:tcPr>
            <w:tcW w:w="1592" w:type="dxa"/>
            <w:tcBorders>
              <w:top w:val="single" w:sz="4" w:space="0" w:color="auto"/>
              <w:bottom w:val="nil"/>
            </w:tcBorders>
          </w:tcPr>
          <w:p w:rsidR="00000000" w:rsidRDefault="00000000">
            <w:pPr>
              <w:pStyle w:val="a6"/>
              <w:spacing w:before="20" w:after="20"/>
              <w:rPr>
                <w:lang w:val="en-US"/>
              </w:rPr>
            </w:pPr>
            <w:r>
              <w:rPr>
                <w:lang w:val="en-US"/>
              </w:rPr>
              <w:t>2868</w:t>
            </w:r>
          </w:p>
        </w:tc>
      </w:tr>
      <w:tr w:rsidR="00000000">
        <w:tblPrEx>
          <w:tblCellMar>
            <w:top w:w="0" w:type="dxa"/>
            <w:bottom w:w="0" w:type="dxa"/>
          </w:tblCellMar>
        </w:tblPrEx>
        <w:trPr>
          <w:cantSplit/>
          <w:jc w:val="center"/>
        </w:trPr>
        <w:tc>
          <w:tcPr>
            <w:tcW w:w="2321" w:type="dxa"/>
            <w:vMerge/>
            <w:tcBorders>
              <w:top w:val="nil"/>
            </w:tcBorders>
            <w:vAlign w:val="center"/>
          </w:tcPr>
          <w:p w:rsidR="00000000" w:rsidRDefault="00000000">
            <w:pPr>
              <w:pStyle w:val="a6"/>
              <w:spacing w:before="20" w:after="20"/>
              <w:rPr>
                <w:b/>
                <w:lang w:val="en-US"/>
              </w:rPr>
            </w:pPr>
          </w:p>
        </w:tc>
        <w:tc>
          <w:tcPr>
            <w:tcW w:w="2625" w:type="dxa"/>
            <w:tcBorders>
              <w:top w:val="nil"/>
            </w:tcBorders>
            <w:vAlign w:val="center"/>
          </w:tcPr>
          <w:p w:rsidR="00000000" w:rsidRDefault="00000000">
            <w:pPr>
              <w:pStyle w:val="a6"/>
              <w:spacing w:before="20" w:after="20"/>
              <w:rPr>
                <w:lang w:val="en-US"/>
              </w:rPr>
            </w:pPr>
            <w:r>
              <w:rPr>
                <w:lang w:val="en-US"/>
              </w:rPr>
              <w:t>FLORINA</w:t>
            </w:r>
          </w:p>
        </w:tc>
        <w:tc>
          <w:tcPr>
            <w:tcW w:w="2835" w:type="dxa"/>
            <w:tcBorders>
              <w:top w:val="nil"/>
            </w:tcBorders>
          </w:tcPr>
          <w:p w:rsidR="00000000" w:rsidRDefault="00000000">
            <w:pPr>
              <w:pStyle w:val="a6"/>
              <w:spacing w:before="20" w:after="20"/>
              <w:rPr>
                <w:lang w:val="en-US"/>
              </w:rPr>
            </w:pPr>
            <w:r>
              <w:rPr>
                <w:lang w:val="en-US"/>
              </w:rPr>
              <w:t>1875</w:t>
            </w:r>
          </w:p>
        </w:tc>
        <w:tc>
          <w:tcPr>
            <w:tcW w:w="1592" w:type="dxa"/>
            <w:tcBorders>
              <w:top w:val="nil"/>
            </w:tcBorders>
          </w:tcPr>
          <w:p w:rsidR="00000000" w:rsidRDefault="00000000">
            <w:pPr>
              <w:pStyle w:val="a6"/>
              <w:spacing w:before="20" w:after="20"/>
              <w:rPr>
                <w:lang w:val="en-US"/>
              </w:rPr>
            </w:pPr>
            <w:r>
              <w:rPr>
                <w:lang w:val="en-US"/>
              </w:rPr>
              <w:t>814</w:t>
            </w:r>
          </w:p>
        </w:tc>
      </w:tr>
      <w:tr w:rsidR="00000000">
        <w:tblPrEx>
          <w:tblCellMar>
            <w:top w:w="0" w:type="dxa"/>
            <w:bottom w:w="0" w:type="dxa"/>
          </w:tblCellMar>
        </w:tblPrEx>
        <w:trPr>
          <w:cantSplit/>
          <w:jc w:val="center"/>
        </w:trPr>
        <w:tc>
          <w:tcPr>
            <w:tcW w:w="2321" w:type="dxa"/>
            <w:vMerge/>
            <w:tcBorders>
              <w:bottom w:val="single" w:sz="4" w:space="0" w:color="auto"/>
            </w:tcBorders>
            <w:vAlign w:val="center"/>
          </w:tcPr>
          <w:p w:rsidR="00000000" w:rsidRDefault="00000000">
            <w:pPr>
              <w:pStyle w:val="a6"/>
              <w:spacing w:before="20" w:after="20"/>
              <w:rPr>
                <w:b/>
                <w:lang w:val="en-US"/>
              </w:rPr>
            </w:pPr>
          </w:p>
        </w:tc>
        <w:tc>
          <w:tcPr>
            <w:tcW w:w="2625" w:type="dxa"/>
            <w:tcBorders>
              <w:bottom w:val="single" w:sz="4" w:space="0" w:color="auto"/>
            </w:tcBorders>
            <w:vAlign w:val="center"/>
          </w:tcPr>
          <w:p w:rsidR="00000000" w:rsidRDefault="00000000">
            <w:pPr>
              <w:pStyle w:val="a6"/>
              <w:spacing w:before="20" w:after="20"/>
              <w:rPr>
                <w:lang w:val="en-US"/>
              </w:rPr>
            </w:pPr>
            <w:r>
              <w:rPr>
                <w:lang w:val="en-US"/>
              </w:rPr>
              <w:t>KASTORIA</w:t>
            </w:r>
          </w:p>
        </w:tc>
        <w:tc>
          <w:tcPr>
            <w:tcW w:w="2835" w:type="dxa"/>
            <w:tcBorders>
              <w:bottom w:val="single" w:sz="4" w:space="0" w:color="auto"/>
            </w:tcBorders>
          </w:tcPr>
          <w:p w:rsidR="00000000" w:rsidRDefault="00000000">
            <w:pPr>
              <w:pStyle w:val="a6"/>
              <w:spacing w:before="20" w:after="20"/>
              <w:rPr>
                <w:lang w:val="en-US"/>
              </w:rPr>
            </w:pPr>
            <w:r>
              <w:rPr>
                <w:lang w:val="en-US"/>
              </w:rPr>
              <w:t>1334</w:t>
            </w:r>
          </w:p>
        </w:tc>
        <w:tc>
          <w:tcPr>
            <w:tcW w:w="1592" w:type="dxa"/>
            <w:tcBorders>
              <w:bottom w:val="single" w:sz="4" w:space="0" w:color="auto"/>
            </w:tcBorders>
          </w:tcPr>
          <w:p w:rsidR="00000000" w:rsidRDefault="00000000">
            <w:pPr>
              <w:pStyle w:val="a6"/>
              <w:spacing w:before="20" w:after="20"/>
              <w:rPr>
                <w:lang w:val="en-US"/>
              </w:rPr>
            </w:pPr>
            <w:r>
              <w:rPr>
                <w:lang w:val="en-US"/>
              </w:rPr>
              <w:t>839</w:t>
            </w:r>
          </w:p>
        </w:tc>
      </w:tr>
      <w:tr w:rsidR="00000000">
        <w:tblPrEx>
          <w:tblCellMar>
            <w:top w:w="0" w:type="dxa"/>
            <w:bottom w:w="0" w:type="dxa"/>
          </w:tblCellMar>
        </w:tblPrEx>
        <w:trPr>
          <w:cantSplit/>
          <w:jc w:val="center"/>
        </w:trPr>
        <w:tc>
          <w:tcPr>
            <w:tcW w:w="2321" w:type="dxa"/>
            <w:vMerge w:val="restart"/>
            <w:tcBorders>
              <w:top w:val="single" w:sz="4" w:space="0" w:color="auto"/>
              <w:bottom w:val="nil"/>
            </w:tcBorders>
            <w:vAlign w:val="center"/>
          </w:tcPr>
          <w:p w:rsidR="00000000" w:rsidRDefault="00000000">
            <w:pPr>
              <w:pStyle w:val="a6"/>
              <w:spacing w:before="20" w:after="20"/>
              <w:rPr>
                <w:b/>
                <w:lang w:val="en-US"/>
              </w:rPr>
            </w:pPr>
            <w:r>
              <w:rPr>
                <w:b/>
                <w:lang w:val="en-US"/>
              </w:rPr>
              <w:t>LARISSA</w:t>
            </w:r>
          </w:p>
        </w:tc>
        <w:tc>
          <w:tcPr>
            <w:tcW w:w="2625" w:type="dxa"/>
            <w:tcBorders>
              <w:top w:val="single" w:sz="4" w:space="0" w:color="auto"/>
              <w:bottom w:val="nil"/>
            </w:tcBorders>
            <w:vAlign w:val="center"/>
          </w:tcPr>
          <w:p w:rsidR="00000000" w:rsidRDefault="00000000">
            <w:pPr>
              <w:pStyle w:val="a6"/>
              <w:spacing w:before="20" w:after="20"/>
              <w:rPr>
                <w:lang w:val="en-US"/>
              </w:rPr>
            </w:pPr>
            <w:r>
              <w:rPr>
                <w:lang w:val="en-US"/>
              </w:rPr>
              <w:t>LARISSA</w:t>
            </w:r>
          </w:p>
        </w:tc>
        <w:tc>
          <w:tcPr>
            <w:tcW w:w="2835" w:type="dxa"/>
            <w:tcBorders>
              <w:top w:val="single" w:sz="4" w:space="0" w:color="auto"/>
              <w:bottom w:val="nil"/>
            </w:tcBorders>
          </w:tcPr>
          <w:p w:rsidR="00000000" w:rsidRDefault="00000000">
            <w:pPr>
              <w:pStyle w:val="a6"/>
              <w:spacing w:before="20" w:after="20"/>
              <w:rPr>
                <w:lang w:val="en-US"/>
              </w:rPr>
            </w:pPr>
            <w:r>
              <w:rPr>
                <w:lang w:val="en-US"/>
              </w:rPr>
              <w:t>13053</w:t>
            </w:r>
          </w:p>
        </w:tc>
        <w:tc>
          <w:tcPr>
            <w:tcW w:w="1592" w:type="dxa"/>
            <w:tcBorders>
              <w:top w:val="single" w:sz="4" w:space="0" w:color="auto"/>
              <w:bottom w:val="nil"/>
            </w:tcBorders>
          </w:tcPr>
          <w:p w:rsidR="00000000" w:rsidRDefault="00000000">
            <w:pPr>
              <w:pStyle w:val="a6"/>
              <w:spacing w:before="20" w:after="20"/>
              <w:rPr>
                <w:lang w:val="en-US"/>
              </w:rPr>
            </w:pPr>
            <w:r>
              <w:rPr>
                <w:lang w:val="en-US"/>
              </w:rPr>
              <w:t>6650</w:t>
            </w:r>
          </w:p>
        </w:tc>
      </w:tr>
      <w:tr w:rsidR="00000000">
        <w:tblPrEx>
          <w:tblCellMar>
            <w:top w:w="0" w:type="dxa"/>
            <w:bottom w:w="0" w:type="dxa"/>
          </w:tblCellMar>
        </w:tblPrEx>
        <w:trPr>
          <w:cantSplit/>
          <w:jc w:val="center"/>
        </w:trPr>
        <w:tc>
          <w:tcPr>
            <w:tcW w:w="2321" w:type="dxa"/>
            <w:vMerge/>
            <w:tcBorders>
              <w:top w:val="nil"/>
              <w:bottom w:val="single" w:sz="4" w:space="0" w:color="auto"/>
            </w:tcBorders>
            <w:vAlign w:val="center"/>
          </w:tcPr>
          <w:p w:rsidR="00000000" w:rsidRDefault="00000000">
            <w:pPr>
              <w:pStyle w:val="a6"/>
              <w:spacing w:before="20" w:after="20"/>
              <w:rPr>
                <w:b/>
                <w:lang w:val="en-US"/>
              </w:rPr>
            </w:pPr>
          </w:p>
        </w:tc>
        <w:tc>
          <w:tcPr>
            <w:tcW w:w="2625" w:type="dxa"/>
            <w:tcBorders>
              <w:top w:val="nil"/>
              <w:bottom w:val="single" w:sz="4" w:space="0" w:color="auto"/>
            </w:tcBorders>
            <w:vAlign w:val="center"/>
          </w:tcPr>
          <w:p w:rsidR="00000000" w:rsidRDefault="00000000">
            <w:pPr>
              <w:pStyle w:val="a6"/>
              <w:spacing w:before="20" w:after="20"/>
              <w:rPr>
                <w:lang w:val="en-US"/>
              </w:rPr>
            </w:pPr>
            <w:r>
              <w:rPr>
                <w:lang w:val="en-US"/>
              </w:rPr>
              <w:t>KARDITSA</w:t>
            </w:r>
          </w:p>
        </w:tc>
        <w:tc>
          <w:tcPr>
            <w:tcW w:w="2835" w:type="dxa"/>
            <w:tcBorders>
              <w:top w:val="nil"/>
              <w:bottom w:val="single" w:sz="4" w:space="0" w:color="auto"/>
            </w:tcBorders>
          </w:tcPr>
          <w:p w:rsidR="00000000" w:rsidRDefault="00000000">
            <w:pPr>
              <w:pStyle w:val="a6"/>
              <w:spacing w:before="20" w:after="20"/>
              <w:rPr>
                <w:lang w:val="en-US"/>
              </w:rPr>
            </w:pPr>
            <w:r>
              <w:rPr>
                <w:lang w:val="en-US"/>
              </w:rPr>
              <w:t>656</w:t>
            </w:r>
          </w:p>
        </w:tc>
        <w:tc>
          <w:tcPr>
            <w:tcW w:w="1592" w:type="dxa"/>
            <w:tcBorders>
              <w:top w:val="nil"/>
              <w:bottom w:val="single" w:sz="4" w:space="0" w:color="auto"/>
            </w:tcBorders>
          </w:tcPr>
          <w:p w:rsidR="00000000" w:rsidRDefault="00000000">
            <w:pPr>
              <w:pStyle w:val="a6"/>
              <w:spacing w:before="20" w:after="20"/>
              <w:rPr>
                <w:lang w:val="en-US"/>
              </w:rPr>
            </w:pPr>
            <w:r>
              <w:rPr>
                <w:lang w:val="en-US"/>
              </w:rPr>
              <w:t>354</w:t>
            </w:r>
          </w:p>
        </w:tc>
      </w:tr>
      <w:tr w:rsidR="00000000">
        <w:tblPrEx>
          <w:tblCellMar>
            <w:top w:w="0" w:type="dxa"/>
            <w:bottom w:w="0" w:type="dxa"/>
          </w:tblCellMar>
        </w:tblPrEx>
        <w:trPr>
          <w:cantSplit/>
          <w:jc w:val="center"/>
        </w:trPr>
        <w:tc>
          <w:tcPr>
            <w:tcW w:w="2321" w:type="dxa"/>
            <w:vMerge w:val="restart"/>
            <w:tcBorders>
              <w:top w:val="single" w:sz="4" w:space="0" w:color="auto"/>
              <w:bottom w:val="nil"/>
            </w:tcBorders>
            <w:vAlign w:val="center"/>
          </w:tcPr>
          <w:p w:rsidR="00000000" w:rsidRDefault="00000000">
            <w:pPr>
              <w:pStyle w:val="a6"/>
              <w:spacing w:before="20" w:after="20"/>
              <w:rPr>
                <w:b/>
                <w:lang w:val="en-US"/>
              </w:rPr>
            </w:pPr>
            <w:r>
              <w:rPr>
                <w:b/>
                <w:lang w:val="en-US"/>
              </w:rPr>
              <w:t>LAMIA</w:t>
            </w:r>
          </w:p>
        </w:tc>
        <w:tc>
          <w:tcPr>
            <w:tcW w:w="2625" w:type="dxa"/>
            <w:tcBorders>
              <w:top w:val="single" w:sz="4" w:space="0" w:color="auto"/>
              <w:bottom w:val="nil"/>
            </w:tcBorders>
            <w:vAlign w:val="center"/>
          </w:tcPr>
          <w:p w:rsidR="00000000" w:rsidRDefault="00000000">
            <w:pPr>
              <w:pStyle w:val="a6"/>
              <w:spacing w:before="20" w:after="20"/>
              <w:rPr>
                <w:lang w:val="en-US"/>
              </w:rPr>
            </w:pPr>
            <w:r>
              <w:rPr>
                <w:lang w:val="en-US"/>
              </w:rPr>
              <w:t>LAMIA</w:t>
            </w:r>
          </w:p>
        </w:tc>
        <w:tc>
          <w:tcPr>
            <w:tcW w:w="2835" w:type="dxa"/>
            <w:tcBorders>
              <w:top w:val="single" w:sz="4" w:space="0" w:color="auto"/>
              <w:bottom w:val="nil"/>
            </w:tcBorders>
          </w:tcPr>
          <w:p w:rsidR="00000000" w:rsidRDefault="00000000">
            <w:pPr>
              <w:pStyle w:val="a6"/>
              <w:spacing w:before="20" w:after="20"/>
              <w:rPr>
                <w:lang w:val="en-US"/>
              </w:rPr>
            </w:pPr>
            <w:r>
              <w:rPr>
                <w:lang w:val="en-US"/>
              </w:rPr>
              <w:t>3368</w:t>
            </w:r>
          </w:p>
        </w:tc>
        <w:tc>
          <w:tcPr>
            <w:tcW w:w="1592" w:type="dxa"/>
            <w:tcBorders>
              <w:top w:val="single" w:sz="4" w:space="0" w:color="auto"/>
              <w:bottom w:val="nil"/>
            </w:tcBorders>
          </w:tcPr>
          <w:p w:rsidR="00000000" w:rsidRDefault="00000000">
            <w:pPr>
              <w:pStyle w:val="a6"/>
              <w:spacing w:before="20" w:after="20"/>
              <w:rPr>
                <w:lang w:val="en-US"/>
              </w:rPr>
            </w:pPr>
            <w:r>
              <w:rPr>
                <w:lang w:val="en-US"/>
              </w:rPr>
              <w:t>1598</w:t>
            </w:r>
          </w:p>
        </w:tc>
      </w:tr>
      <w:tr w:rsidR="00000000">
        <w:tblPrEx>
          <w:tblCellMar>
            <w:top w:w="0" w:type="dxa"/>
            <w:bottom w:w="0" w:type="dxa"/>
          </w:tblCellMar>
        </w:tblPrEx>
        <w:trPr>
          <w:cantSplit/>
          <w:jc w:val="center"/>
        </w:trPr>
        <w:tc>
          <w:tcPr>
            <w:tcW w:w="2321" w:type="dxa"/>
            <w:vMerge/>
            <w:tcBorders>
              <w:top w:val="nil"/>
            </w:tcBorders>
            <w:vAlign w:val="center"/>
          </w:tcPr>
          <w:p w:rsidR="00000000" w:rsidRDefault="00000000">
            <w:pPr>
              <w:pStyle w:val="a6"/>
              <w:spacing w:before="20" w:after="20"/>
              <w:rPr>
                <w:b/>
                <w:lang w:val="en-US"/>
              </w:rPr>
            </w:pPr>
          </w:p>
        </w:tc>
        <w:tc>
          <w:tcPr>
            <w:tcW w:w="2625" w:type="dxa"/>
            <w:tcBorders>
              <w:top w:val="nil"/>
            </w:tcBorders>
            <w:vAlign w:val="center"/>
          </w:tcPr>
          <w:p w:rsidR="00000000" w:rsidRDefault="00000000">
            <w:pPr>
              <w:pStyle w:val="a6"/>
              <w:spacing w:before="20" w:after="20"/>
              <w:rPr>
                <w:lang w:val="en-US"/>
              </w:rPr>
            </w:pPr>
            <w:r>
              <w:rPr>
                <w:lang w:val="en-US"/>
              </w:rPr>
              <w:t>KARPENISSI</w:t>
            </w:r>
          </w:p>
        </w:tc>
        <w:tc>
          <w:tcPr>
            <w:tcW w:w="2835" w:type="dxa"/>
            <w:tcBorders>
              <w:top w:val="nil"/>
            </w:tcBorders>
          </w:tcPr>
          <w:p w:rsidR="00000000" w:rsidRDefault="00000000">
            <w:pPr>
              <w:pStyle w:val="a6"/>
              <w:spacing w:before="20" w:after="20"/>
              <w:rPr>
                <w:lang w:val="en-US"/>
              </w:rPr>
            </w:pPr>
            <w:r>
              <w:rPr>
                <w:lang w:val="en-US"/>
              </w:rPr>
              <w:t>602</w:t>
            </w:r>
          </w:p>
        </w:tc>
        <w:tc>
          <w:tcPr>
            <w:tcW w:w="1592" w:type="dxa"/>
            <w:tcBorders>
              <w:top w:val="nil"/>
            </w:tcBorders>
          </w:tcPr>
          <w:p w:rsidR="00000000" w:rsidRDefault="00000000">
            <w:pPr>
              <w:pStyle w:val="a6"/>
              <w:spacing w:before="20" w:after="20"/>
              <w:rPr>
                <w:lang w:val="en-US"/>
              </w:rPr>
            </w:pPr>
            <w:r>
              <w:rPr>
                <w:lang w:val="en-US"/>
              </w:rPr>
              <w:t>291</w:t>
            </w:r>
          </w:p>
        </w:tc>
      </w:tr>
      <w:tr w:rsidR="00000000">
        <w:tblPrEx>
          <w:tblCellMar>
            <w:top w:w="0" w:type="dxa"/>
            <w:bottom w:w="0" w:type="dxa"/>
          </w:tblCellMar>
        </w:tblPrEx>
        <w:trPr>
          <w:cantSplit/>
          <w:jc w:val="center"/>
        </w:trPr>
        <w:tc>
          <w:tcPr>
            <w:tcW w:w="2321" w:type="dxa"/>
            <w:vMerge/>
            <w:tcBorders>
              <w:bottom w:val="single" w:sz="4" w:space="0" w:color="auto"/>
            </w:tcBorders>
            <w:vAlign w:val="center"/>
          </w:tcPr>
          <w:p w:rsidR="00000000" w:rsidRDefault="00000000">
            <w:pPr>
              <w:pStyle w:val="a6"/>
              <w:spacing w:before="20" w:after="20"/>
              <w:rPr>
                <w:b/>
                <w:lang w:val="en-US"/>
              </w:rPr>
            </w:pPr>
          </w:p>
        </w:tc>
        <w:tc>
          <w:tcPr>
            <w:tcW w:w="2625" w:type="dxa"/>
            <w:tcBorders>
              <w:bottom w:val="single" w:sz="4" w:space="0" w:color="auto"/>
            </w:tcBorders>
            <w:vAlign w:val="center"/>
          </w:tcPr>
          <w:p w:rsidR="00000000" w:rsidRDefault="00000000">
            <w:pPr>
              <w:pStyle w:val="a6"/>
              <w:spacing w:before="20" w:after="20"/>
              <w:rPr>
                <w:lang w:val="en-US"/>
              </w:rPr>
            </w:pPr>
            <w:r>
              <w:rPr>
                <w:lang w:val="en-US"/>
              </w:rPr>
              <w:t>AMFISSA</w:t>
            </w:r>
          </w:p>
        </w:tc>
        <w:tc>
          <w:tcPr>
            <w:tcW w:w="2835" w:type="dxa"/>
            <w:tcBorders>
              <w:bottom w:val="single" w:sz="4" w:space="0" w:color="auto"/>
            </w:tcBorders>
          </w:tcPr>
          <w:p w:rsidR="00000000" w:rsidRDefault="00000000">
            <w:pPr>
              <w:pStyle w:val="a6"/>
              <w:spacing w:before="20" w:after="20"/>
              <w:rPr>
                <w:lang w:val="en-US"/>
              </w:rPr>
            </w:pPr>
            <w:r>
              <w:rPr>
                <w:lang w:val="en-US"/>
              </w:rPr>
              <w:t>511</w:t>
            </w:r>
          </w:p>
        </w:tc>
        <w:tc>
          <w:tcPr>
            <w:tcW w:w="1592" w:type="dxa"/>
            <w:tcBorders>
              <w:bottom w:val="single" w:sz="4" w:space="0" w:color="auto"/>
            </w:tcBorders>
          </w:tcPr>
          <w:p w:rsidR="00000000" w:rsidRDefault="00000000">
            <w:pPr>
              <w:pStyle w:val="a6"/>
              <w:spacing w:before="20" w:after="20"/>
              <w:rPr>
                <w:lang w:val="en-US"/>
              </w:rPr>
            </w:pPr>
            <w:r>
              <w:rPr>
                <w:lang w:val="en-US"/>
              </w:rPr>
              <w:t>259</w:t>
            </w:r>
          </w:p>
        </w:tc>
      </w:tr>
      <w:tr w:rsidR="00000000">
        <w:tblPrEx>
          <w:tblCellMar>
            <w:top w:w="0" w:type="dxa"/>
            <w:bottom w:w="0" w:type="dxa"/>
          </w:tblCellMar>
        </w:tblPrEx>
        <w:trPr>
          <w:jc w:val="center"/>
        </w:trPr>
        <w:tc>
          <w:tcPr>
            <w:tcW w:w="2321" w:type="dxa"/>
            <w:tcBorders>
              <w:top w:val="single" w:sz="4" w:space="0" w:color="auto"/>
              <w:bottom w:val="single" w:sz="4" w:space="0" w:color="auto"/>
            </w:tcBorders>
            <w:vAlign w:val="center"/>
          </w:tcPr>
          <w:p w:rsidR="00000000" w:rsidRDefault="00000000">
            <w:pPr>
              <w:pStyle w:val="a6"/>
              <w:spacing w:before="20" w:after="20"/>
              <w:rPr>
                <w:b/>
                <w:lang w:val="en-US"/>
              </w:rPr>
            </w:pPr>
            <w:r>
              <w:rPr>
                <w:b/>
                <w:lang w:val="en-US"/>
              </w:rPr>
              <w:t>MESSOLONGHI</w:t>
            </w:r>
          </w:p>
        </w:tc>
        <w:tc>
          <w:tcPr>
            <w:tcW w:w="2625" w:type="dxa"/>
            <w:tcBorders>
              <w:top w:val="single" w:sz="4" w:space="0" w:color="auto"/>
              <w:bottom w:val="single" w:sz="4" w:space="0" w:color="auto"/>
            </w:tcBorders>
            <w:vAlign w:val="center"/>
          </w:tcPr>
          <w:p w:rsidR="00000000" w:rsidRDefault="00000000">
            <w:pPr>
              <w:pStyle w:val="a6"/>
              <w:spacing w:before="20" w:after="20"/>
              <w:rPr>
                <w:lang w:val="en-US"/>
              </w:rPr>
            </w:pPr>
            <w:r>
              <w:rPr>
                <w:lang w:val="en-US"/>
              </w:rPr>
              <w:t>MESSOLONGHI</w:t>
            </w:r>
          </w:p>
        </w:tc>
        <w:tc>
          <w:tcPr>
            <w:tcW w:w="2835" w:type="dxa"/>
            <w:tcBorders>
              <w:top w:val="single" w:sz="4" w:space="0" w:color="auto"/>
              <w:bottom w:val="single" w:sz="4" w:space="0" w:color="auto"/>
            </w:tcBorders>
          </w:tcPr>
          <w:p w:rsidR="00000000" w:rsidRDefault="00000000">
            <w:pPr>
              <w:pStyle w:val="a6"/>
              <w:spacing w:before="20" w:after="20"/>
              <w:rPr>
                <w:lang w:val="en-US"/>
              </w:rPr>
            </w:pPr>
            <w:r>
              <w:rPr>
                <w:lang w:val="en-US"/>
              </w:rPr>
              <w:t>3872</w:t>
            </w:r>
          </w:p>
        </w:tc>
        <w:tc>
          <w:tcPr>
            <w:tcW w:w="1592" w:type="dxa"/>
            <w:tcBorders>
              <w:top w:val="single" w:sz="4" w:space="0" w:color="auto"/>
              <w:bottom w:val="single" w:sz="4" w:space="0" w:color="auto"/>
            </w:tcBorders>
          </w:tcPr>
          <w:p w:rsidR="00000000" w:rsidRDefault="00000000">
            <w:pPr>
              <w:pStyle w:val="a6"/>
              <w:spacing w:before="20" w:after="20"/>
              <w:rPr>
                <w:lang w:val="en-US"/>
              </w:rPr>
            </w:pPr>
            <w:r>
              <w:rPr>
                <w:lang w:val="en-US"/>
              </w:rPr>
              <w:t>1905</w:t>
            </w:r>
          </w:p>
        </w:tc>
      </w:tr>
      <w:tr w:rsidR="00000000">
        <w:tblPrEx>
          <w:tblCellMar>
            <w:top w:w="0" w:type="dxa"/>
            <w:bottom w:w="0" w:type="dxa"/>
          </w:tblCellMar>
        </w:tblPrEx>
        <w:trPr>
          <w:jc w:val="center"/>
        </w:trPr>
        <w:tc>
          <w:tcPr>
            <w:tcW w:w="2321" w:type="dxa"/>
            <w:tcBorders>
              <w:top w:val="single" w:sz="4" w:space="0" w:color="auto"/>
              <w:bottom w:val="single" w:sz="4" w:space="0" w:color="auto"/>
            </w:tcBorders>
            <w:vAlign w:val="center"/>
          </w:tcPr>
          <w:p w:rsidR="00000000" w:rsidRDefault="00000000">
            <w:pPr>
              <w:pStyle w:val="a6"/>
              <w:spacing w:before="20" w:after="20"/>
              <w:rPr>
                <w:b/>
                <w:lang w:val="en-US"/>
              </w:rPr>
            </w:pPr>
            <w:r>
              <w:rPr>
                <w:b/>
                <w:lang w:val="en-US"/>
              </w:rPr>
              <w:t>PATRA</w:t>
            </w:r>
          </w:p>
        </w:tc>
        <w:tc>
          <w:tcPr>
            <w:tcW w:w="2625" w:type="dxa"/>
            <w:tcBorders>
              <w:top w:val="single" w:sz="4" w:space="0" w:color="auto"/>
              <w:bottom w:val="single" w:sz="4" w:space="0" w:color="auto"/>
            </w:tcBorders>
            <w:vAlign w:val="center"/>
          </w:tcPr>
          <w:p w:rsidR="00000000" w:rsidRDefault="00000000">
            <w:pPr>
              <w:pStyle w:val="a6"/>
              <w:spacing w:before="20" w:after="20"/>
              <w:rPr>
                <w:lang w:val="en-US"/>
              </w:rPr>
            </w:pPr>
            <w:r>
              <w:rPr>
                <w:lang w:val="en-US"/>
              </w:rPr>
              <w:t>PATRA</w:t>
            </w:r>
          </w:p>
        </w:tc>
        <w:tc>
          <w:tcPr>
            <w:tcW w:w="2835" w:type="dxa"/>
            <w:tcBorders>
              <w:top w:val="single" w:sz="4" w:space="0" w:color="auto"/>
              <w:bottom w:val="single" w:sz="4" w:space="0" w:color="auto"/>
            </w:tcBorders>
          </w:tcPr>
          <w:p w:rsidR="00000000" w:rsidRDefault="00000000">
            <w:pPr>
              <w:pStyle w:val="a6"/>
              <w:spacing w:before="20" w:after="20"/>
              <w:rPr>
                <w:lang w:val="en-US"/>
              </w:rPr>
            </w:pPr>
            <w:r>
              <w:rPr>
                <w:lang w:val="en-US"/>
              </w:rPr>
              <w:t>12302</w:t>
            </w:r>
          </w:p>
        </w:tc>
        <w:tc>
          <w:tcPr>
            <w:tcW w:w="1592" w:type="dxa"/>
            <w:tcBorders>
              <w:top w:val="single" w:sz="4" w:space="0" w:color="auto"/>
              <w:bottom w:val="single" w:sz="4" w:space="0" w:color="auto"/>
            </w:tcBorders>
          </w:tcPr>
          <w:p w:rsidR="00000000" w:rsidRDefault="00000000">
            <w:pPr>
              <w:pStyle w:val="a6"/>
              <w:spacing w:before="20" w:after="20"/>
              <w:rPr>
                <w:lang w:val="en-US"/>
              </w:rPr>
            </w:pPr>
            <w:r>
              <w:rPr>
                <w:lang w:val="en-US"/>
              </w:rPr>
              <w:t>7155</w:t>
            </w:r>
          </w:p>
        </w:tc>
      </w:tr>
      <w:tr w:rsidR="00000000">
        <w:tblPrEx>
          <w:tblCellMar>
            <w:top w:w="0" w:type="dxa"/>
            <w:bottom w:w="0" w:type="dxa"/>
          </w:tblCellMar>
        </w:tblPrEx>
        <w:trPr>
          <w:jc w:val="center"/>
        </w:trPr>
        <w:tc>
          <w:tcPr>
            <w:tcW w:w="2321" w:type="dxa"/>
            <w:tcBorders>
              <w:top w:val="single" w:sz="4" w:space="0" w:color="auto"/>
              <w:bottom w:val="single" w:sz="4" w:space="0" w:color="auto"/>
            </w:tcBorders>
            <w:vAlign w:val="center"/>
          </w:tcPr>
          <w:p w:rsidR="00000000" w:rsidRDefault="00000000">
            <w:pPr>
              <w:pStyle w:val="a6"/>
              <w:spacing w:before="20" w:after="20"/>
              <w:rPr>
                <w:b/>
                <w:lang w:val="en-US"/>
              </w:rPr>
            </w:pPr>
            <w:r>
              <w:rPr>
                <w:b/>
                <w:lang w:val="en-US"/>
              </w:rPr>
              <w:t>PIREAUS</w:t>
            </w:r>
          </w:p>
        </w:tc>
        <w:tc>
          <w:tcPr>
            <w:tcW w:w="2625" w:type="dxa"/>
            <w:tcBorders>
              <w:top w:val="single" w:sz="4" w:space="0" w:color="auto"/>
              <w:bottom w:val="single" w:sz="4" w:space="0" w:color="auto"/>
            </w:tcBorders>
            <w:vAlign w:val="center"/>
          </w:tcPr>
          <w:p w:rsidR="00000000" w:rsidRDefault="00000000">
            <w:pPr>
              <w:pStyle w:val="a6"/>
              <w:spacing w:before="20" w:after="20"/>
              <w:rPr>
                <w:lang w:val="en-US"/>
              </w:rPr>
            </w:pPr>
            <w:r>
              <w:rPr>
                <w:lang w:val="en-US"/>
              </w:rPr>
              <w:t>PIREAUS</w:t>
            </w:r>
          </w:p>
        </w:tc>
        <w:tc>
          <w:tcPr>
            <w:tcW w:w="2835" w:type="dxa"/>
            <w:tcBorders>
              <w:top w:val="single" w:sz="4" w:space="0" w:color="auto"/>
              <w:bottom w:val="single" w:sz="4" w:space="0" w:color="auto"/>
            </w:tcBorders>
          </w:tcPr>
          <w:p w:rsidR="00000000" w:rsidRDefault="00000000">
            <w:pPr>
              <w:pStyle w:val="a6"/>
              <w:spacing w:before="20" w:after="20"/>
              <w:rPr>
                <w:lang w:val="en-US"/>
              </w:rPr>
            </w:pPr>
            <w:r>
              <w:rPr>
                <w:lang w:val="en-US"/>
              </w:rPr>
              <w:t>12148</w:t>
            </w:r>
          </w:p>
        </w:tc>
        <w:tc>
          <w:tcPr>
            <w:tcW w:w="1592" w:type="dxa"/>
            <w:tcBorders>
              <w:top w:val="single" w:sz="4" w:space="0" w:color="auto"/>
              <w:bottom w:val="single" w:sz="4" w:space="0" w:color="auto"/>
            </w:tcBorders>
          </w:tcPr>
          <w:p w:rsidR="00000000" w:rsidRDefault="00000000">
            <w:pPr>
              <w:pStyle w:val="a6"/>
              <w:spacing w:before="20" w:after="20"/>
              <w:rPr>
                <w:lang w:val="en-US"/>
              </w:rPr>
            </w:pPr>
            <w:r>
              <w:rPr>
                <w:lang w:val="en-US"/>
              </w:rPr>
              <w:t>3774</w:t>
            </w:r>
          </w:p>
        </w:tc>
      </w:tr>
      <w:tr w:rsidR="00000000">
        <w:tblPrEx>
          <w:tblCellMar>
            <w:top w:w="0" w:type="dxa"/>
            <w:bottom w:w="0" w:type="dxa"/>
          </w:tblCellMar>
        </w:tblPrEx>
        <w:trPr>
          <w:jc w:val="center"/>
        </w:trPr>
        <w:tc>
          <w:tcPr>
            <w:tcW w:w="2321" w:type="dxa"/>
            <w:tcBorders>
              <w:top w:val="single" w:sz="4" w:space="0" w:color="auto"/>
              <w:bottom w:val="single" w:sz="4" w:space="0" w:color="auto"/>
            </w:tcBorders>
            <w:vAlign w:val="center"/>
          </w:tcPr>
          <w:p w:rsidR="00000000" w:rsidRDefault="00000000">
            <w:pPr>
              <w:pStyle w:val="a6"/>
              <w:spacing w:before="20" w:after="20"/>
              <w:rPr>
                <w:b/>
                <w:lang w:val="en-US"/>
              </w:rPr>
            </w:pPr>
            <w:r>
              <w:rPr>
                <w:b/>
                <w:lang w:val="en-US"/>
              </w:rPr>
              <w:t>SERRES</w:t>
            </w:r>
          </w:p>
        </w:tc>
        <w:tc>
          <w:tcPr>
            <w:tcW w:w="2625" w:type="dxa"/>
            <w:tcBorders>
              <w:top w:val="single" w:sz="4" w:space="0" w:color="auto"/>
              <w:bottom w:val="single" w:sz="4" w:space="0" w:color="auto"/>
            </w:tcBorders>
            <w:vAlign w:val="center"/>
          </w:tcPr>
          <w:p w:rsidR="00000000" w:rsidRDefault="00000000">
            <w:pPr>
              <w:pStyle w:val="a6"/>
              <w:spacing w:before="20" w:after="20"/>
              <w:rPr>
                <w:lang w:val="en-US"/>
              </w:rPr>
            </w:pPr>
            <w:r>
              <w:rPr>
                <w:lang w:val="en-US"/>
              </w:rPr>
              <w:t>SERRES</w:t>
            </w:r>
          </w:p>
        </w:tc>
        <w:tc>
          <w:tcPr>
            <w:tcW w:w="2835" w:type="dxa"/>
            <w:tcBorders>
              <w:top w:val="single" w:sz="4" w:space="0" w:color="auto"/>
              <w:bottom w:val="single" w:sz="4" w:space="0" w:color="auto"/>
            </w:tcBorders>
          </w:tcPr>
          <w:p w:rsidR="00000000" w:rsidRDefault="00000000">
            <w:pPr>
              <w:pStyle w:val="a6"/>
              <w:spacing w:before="20" w:after="20"/>
              <w:rPr>
                <w:lang w:val="en-US"/>
              </w:rPr>
            </w:pPr>
            <w:r>
              <w:rPr>
                <w:lang w:val="en-US"/>
              </w:rPr>
              <w:t>6757</w:t>
            </w:r>
          </w:p>
        </w:tc>
        <w:tc>
          <w:tcPr>
            <w:tcW w:w="1592" w:type="dxa"/>
            <w:tcBorders>
              <w:top w:val="single" w:sz="4" w:space="0" w:color="auto"/>
              <w:bottom w:val="single" w:sz="4" w:space="0" w:color="auto"/>
            </w:tcBorders>
          </w:tcPr>
          <w:p w:rsidR="00000000" w:rsidRDefault="00000000">
            <w:pPr>
              <w:pStyle w:val="a6"/>
              <w:spacing w:before="20" w:after="20"/>
              <w:rPr>
                <w:lang w:val="en-US"/>
              </w:rPr>
            </w:pPr>
            <w:r>
              <w:rPr>
                <w:lang w:val="en-US"/>
              </w:rPr>
              <w:t>3225</w:t>
            </w:r>
          </w:p>
        </w:tc>
      </w:tr>
      <w:tr w:rsidR="00000000">
        <w:tblPrEx>
          <w:tblCellMar>
            <w:top w:w="0" w:type="dxa"/>
            <w:bottom w:w="0" w:type="dxa"/>
          </w:tblCellMar>
        </w:tblPrEx>
        <w:trPr>
          <w:jc w:val="center"/>
        </w:trPr>
        <w:tc>
          <w:tcPr>
            <w:tcW w:w="2321" w:type="dxa"/>
            <w:tcBorders>
              <w:top w:val="single" w:sz="4" w:space="0" w:color="auto"/>
              <w:bottom w:val="single" w:sz="4" w:space="0" w:color="auto"/>
            </w:tcBorders>
            <w:vAlign w:val="center"/>
          </w:tcPr>
          <w:p w:rsidR="00000000" w:rsidRDefault="00000000">
            <w:pPr>
              <w:pStyle w:val="a6"/>
              <w:spacing w:before="20" w:after="20"/>
              <w:rPr>
                <w:b/>
                <w:lang w:val="en-US"/>
              </w:rPr>
            </w:pPr>
            <w:r>
              <w:rPr>
                <w:b/>
                <w:lang w:val="en-US"/>
              </w:rPr>
              <w:t>CHALKIDA</w:t>
            </w:r>
          </w:p>
        </w:tc>
        <w:tc>
          <w:tcPr>
            <w:tcW w:w="2625" w:type="dxa"/>
            <w:tcBorders>
              <w:top w:val="single" w:sz="4" w:space="0" w:color="auto"/>
              <w:bottom w:val="single" w:sz="4" w:space="0" w:color="auto"/>
            </w:tcBorders>
            <w:vAlign w:val="center"/>
          </w:tcPr>
          <w:p w:rsidR="00000000" w:rsidRDefault="00000000">
            <w:pPr>
              <w:pStyle w:val="a6"/>
              <w:spacing w:before="20" w:after="20"/>
              <w:rPr>
                <w:lang w:val="en-GB"/>
              </w:rPr>
            </w:pPr>
            <w:r>
              <w:rPr>
                <w:lang w:val="en-US"/>
              </w:rPr>
              <w:t>CHALKIDA</w:t>
            </w:r>
          </w:p>
        </w:tc>
        <w:tc>
          <w:tcPr>
            <w:tcW w:w="2835" w:type="dxa"/>
            <w:tcBorders>
              <w:top w:val="single" w:sz="4" w:space="0" w:color="auto"/>
              <w:bottom w:val="single" w:sz="4" w:space="0" w:color="auto"/>
            </w:tcBorders>
          </w:tcPr>
          <w:p w:rsidR="00000000" w:rsidRDefault="00000000">
            <w:pPr>
              <w:pStyle w:val="a6"/>
              <w:spacing w:before="20" w:after="20"/>
              <w:rPr>
                <w:lang w:val="en-GB"/>
              </w:rPr>
            </w:pPr>
            <w:r>
              <w:rPr>
                <w:lang w:val="en-GB"/>
              </w:rPr>
              <w:t>7804</w:t>
            </w:r>
          </w:p>
        </w:tc>
        <w:tc>
          <w:tcPr>
            <w:tcW w:w="1592" w:type="dxa"/>
            <w:tcBorders>
              <w:top w:val="single" w:sz="4" w:space="0" w:color="auto"/>
              <w:bottom w:val="single" w:sz="4" w:space="0" w:color="auto"/>
            </w:tcBorders>
          </w:tcPr>
          <w:p w:rsidR="00000000" w:rsidRDefault="00000000">
            <w:pPr>
              <w:pStyle w:val="a6"/>
              <w:spacing w:before="20" w:after="20"/>
              <w:rPr>
                <w:lang w:val="en-GB"/>
              </w:rPr>
            </w:pPr>
            <w:r>
              <w:rPr>
                <w:lang w:val="en-GB"/>
              </w:rPr>
              <w:t>3029</w:t>
            </w:r>
          </w:p>
        </w:tc>
      </w:tr>
      <w:tr w:rsidR="00000000">
        <w:tblPrEx>
          <w:tblCellMar>
            <w:top w:w="0" w:type="dxa"/>
            <w:bottom w:w="0" w:type="dxa"/>
          </w:tblCellMar>
        </w:tblPrEx>
        <w:trPr>
          <w:cantSplit/>
          <w:jc w:val="center"/>
        </w:trPr>
        <w:tc>
          <w:tcPr>
            <w:tcW w:w="4946" w:type="dxa"/>
            <w:gridSpan w:val="2"/>
            <w:tcBorders>
              <w:top w:val="single" w:sz="4" w:space="0" w:color="auto"/>
              <w:bottom w:val="single" w:sz="4" w:space="0" w:color="auto"/>
            </w:tcBorders>
          </w:tcPr>
          <w:p w:rsidR="00000000" w:rsidRDefault="00000000">
            <w:pPr>
              <w:pStyle w:val="a6"/>
              <w:spacing w:before="20" w:after="20"/>
              <w:rPr>
                <w:lang w:val="en-GB"/>
              </w:rPr>
            </w:pPr>
            <w:r>
              <w:rPr>
                <w:lang w:val="en-US"/>
              </w:rPr>
              <w:t>TOTAL</w:t>
            </w:r>
          </w:p>
        </w:tc>
        <w:tc>
          <w:tcPr>
            <w:tcW w:w="2835" w:type="dxa"/>
            <w:tcBorders>
              <w:top w:val="single" w:sz="4" w:space="0" w:color="auto"/>
              <w:bottom w:val="single" w:sz="4" w:space="0" w:color="auto"/>
            </w:tcBorders>
          </w:tcPr>
          <w:p w:rsidR="00000000" w:rsidRDefault="00000000">
            <w:pPr>
              <w:pStyle w:val="a6"/>
              <w:spacing w:before="20" w:after="20"/>
              <w:rPr>
                <w:lang w:val="en-GB"/>
              </w:rPr>
            </w:pPr>
            <w:r>
              <w:rPr>
                <w:lang w:val="en-GB"/>
              </w:rPr>
              <w:t>148696</w:t>
            </w:r>
          </w:p>
        </w:tc>
        <w:tc>
          <w:tcPr>
            <w:tcW w:w="1592" w:type="dxa"/>
            <w:tcBorders>
              <w:top w:val="single" w:sz="4" w:space="0" w:color="auto"/>
              <w:bottom w:val="single" w:sz="4" w:space="0" w:color="auto"/>
            </w:tcBorders>
          </w:tcPr>
          <w:p w:rsidR="00000000" w:rsidRDefault="00000000">
            <w:pPr>
              <w:pStyle w:val="a6"/>
              <w:spacing w:before="20" w:after="20"/>
              <w:rPr>
                <w:lang w:val="en-GB"/>
              </w:rPr>
            </w:pPr>
            <w:r>
              <w:rPr>
                <w:lang w:val="en-GB"/>
              </w:rPr>
              <w:t>75765</w:t>
            </w:r>
          </w:p>
        </w:tc>
      </w:tr>
      <w:tr w:rsidR="00000000">
        <w:tblPrEx>
          <w:tblCellMar>
            <w:top w:w="0" w:type="dxa"/>
            <w:bottom w:w="0" w:type="dxa"/>
          </w:tblCellMar>
        </w:tblPrEx>
        <w:trPr>
          <w:cantSplit/>
          <w:jc w:val="center"/>
        </w:trPr>
        <w:tc>
          <w:tcPr>
            <w:tcW w:w="4946" w:type="dxa"/>
            <w:gridSpan w:val="2"/>
            <w:tcBorders>
              <w:top w:val="single" w:sz="4" w:space="0" w:color="auto"/>
              <w:bottom w:val="single" w:sz="4" w:space="0" w:color="auto"/>
            </w:tcBorders>
          </w:tcPr>
          <w:p w:rsidR="00000000" w:rsidRDefault="00000000">
            <w:pPr>
              <w:pStyle w:val="a6"/>
              <w:spacing w:before="20" w:after="20"/>
              <w:rPr>
                <w:lang w:val="en-GB"/>
              </w:rPr>
            </w:pPr>
            <w:r>
              <w:rPr>
                <w:color w:val="000000"/>
              </w:rPr>
              <w:t>Α</w:t>
            </w:r>
            <w:r>
              <w:rPr>
                <w:color w:val="000000"/>
                <w:lang w:val="en-US"/>
              </w:rPr>
              <w:t>S</w:t>
            </w:r>
            <w:r>
              <w:rPr>
                <w:color w:val="000000"/>
              </w:rPr>
              <w:t>ΕΤΕΜ</w:t>
            </w:r>
            <w:r>
              <w:rPr>
                <w:color w:val="000000"/>
                <w:lang w:val="en-GB"/>
              </w:rPr>
              <w:t>-</w:t>
            </w:r>
            <w:r>
              <w:rPr>
                <w:color w:val="000000"/>
                <w:lang w:val="en-US"/>
              </w:rPr>
              <w:t>SELETE</w:t>
            </w:r>
            <w:r>
              <w:rPr>
                <w:lang w:val="en-US"/>
              </w:rPr>
              <w:t xml:space="preserve">  (School of Educators of Vocational  &amp; Technical Education)</w:t>
            </w:r>
          </w:p>
        </w:tc>
        <w:tc>
          <w:tcPr>
            <w:tcW w:w="2835" w:type="dxa"/>
            <w:tcBorders>
              <w:top w:val="single" w:sz="4" w:space="0" w:color="auto"/>
              <w:bottom w:val="single" w:sz="4" w:space="0" w:color="auto"/>
            </w:tcBorders>
          </w:tcPr>
          <w:p w:rsidR="00000000" w:rsidRDefault="00000000">
            <w:pPr>
              <w:pStyle w:val="a6"/>
              <w:spacing w:before="20" w:after="20"/>
              <w:rPr>
                <w:lang w:val="en-GB"/>
              </w:rPr>
            </w:pPr>
            <w:r>
              <w:rPr>
                <w:lang w:val="en-GB"/>
              </w:rPr>
              <w:t>1280</w:t>
            </w:r>
          </w:p>
        </w:tc>
        <w:tc>
          <w:tcPr>
            <w:tcW w:w="1592" w:type="dxa"/>
            <w:tcBorders>
              <w:top w:val="single" w:sz="4" w:space="0" w:color="auto"/>
              <w:bottom w:val="single" w:sz="4" w:space="0" w:color="auto"/>
            </w:tcBorders>
          </w:tcPr>
          <w:p w:rsidR="00000000" w:rsidRDefault="00000000">
            <w:pPr>
              <w:pStyle w:val="a6"/>
              <w:spacing w:before="20" w:after="20"/>
              <w:rPr>
                <w:lang w:val="en-GB"/>
              </w:rPr>
            </w:pPr>
            <w:r>
              <w:rPr>
                <w:lang w:val="en-GB"/>
              </w:rPr>
              <w:t>350</w:t>
            </w:r>
          </w:p>
        </w:tc>
      </w:tr>
      <w:tr w:rsidR="00000000">
        <w:tblPrEx>
          <w:tblCellMar>
            <w:top w:w="0" w:type="dxa"/>
            <w:bottom w:w="0" w:type="dxa"/>
          </w:tblCellMar>
        </w:tblPrEx>
        <w:trPr>
          <w:cantSplit/>
          <w:jc w:val="center"/>
        </w:trPr>
        <w:tc>
          <w:tcPr>
            <w:tcW w:w="4946" w:type="dxa"/>
            <w:gridSpan w:val="2"/>
            <w:tcBorders>
              <w:top w:val="single" w:sz="4" w:space="0" w:color="auto"/>
              <w:bottom w:val="single" w:sz="4" w:space="0" w:color="auto"/>
            </w:tcBorders>
            <w:vAlign w:val="center"/>
          </w:tcPr>
          <w:p w:rsidR="00000000" w:rsidRDefault="00000000">
            <w:pPr>
              <w:pStyle w:val="a6"/>
              <w:spacing w:before="20" w:after="20"/>
              <w:rPr>
                <w:b/>
                <w:w w:val="150"/>
                <w:lang w:val="en-GB"/>
              </w:rPr>
            </w:pPr>
            <w:r>
              <w:rPr>
                <w:b/>
                <w:w w:val="150"/>
                <w:lang w:val="en-US"/>
              </w:rPr>
              <w:t>GENERAL</w:t>
            </w:r>
            <w:r>
              <w:rPr>
                <w:b/>
                <w:w w:val="150"/>
                <w:lang w:val="en-GB"/>
              </w:rPr>
              <w:t xml:space="preserve"> </w:t>
            </w:r>
            <w:r>
              <w:rPr>
                <w:b/>
                <w:w w:val="150"/>
                <w:lang w:val="en-US"/>
              </w:rPr>
              <w:t>TOTAL</w:t>
            </w:r>
          </w:p>
        </w:tc>
        <w:tc>
          <w:tcPr>
            <w:tcW w:w="2835" w:type="dxa"/>
            <w:tcBorders>
              <w:top w:val="single" w:sz="4" w:space="0" w:color="auto"/>
              <w:bottom w:val="single" w:sz="4" w:space="0" w:color="auto"/>
            </w:tcBorders>
            <w:vAlign w:val="center"/>
          </w:tcPr>
          <w:p w:rsidR="00000000" w:rsidRDefault="00000000">
            <w:pPr>
              <w:pStyle w:val="a6"/>
              <w:spacing w:before="20" w:after="20"/>
              <w:rPr>
                <w:b/>
                <w:w w:val="150"/>
                <w:lang w:val="en-GB"/>
              </w:rPr>
            </w:pPr>
            <w:r>
              <w:rPr>
                <w:b/>
                <w:w w:val="150"/>
                <w:lang w:val="en-GB"/>
              </w:rPr>
              <w:t>149976</w:t>
            </w:r>
          </w:p>
        </w:tc>
        <w:tc>
          <w:tcPr>
            <w:tcW w:w="1592" w:type="dxa"/>
            <w:tcBorders>
              <w:top w:val="single" w:sz="4" w:space="0" w:color="auto"/>
              <w:bottom w:val="single" w:sz="4" w:space="0" w:color="auto"/>
            </w:tcBorders>
            <w:vAlign w:val="center"/>
          </w:tcPr>
          <w:p w:rsidR="00000000" w:rsidRDefault="00000000">
            <w:pPr>
              <w:pStyle w:val="a6"/>
              <w:spacing w:before="20" w:after="20"/>
              <w:rPr>
                <w:b/>
                <w:w w:val="150"/>
                <w:lang w:val="en-GB"/>
              </w:rPr>
            </w:pPr>
            <w:r>
              <w:rPr>
                <w:b/>
                <w:w w:val="150"/>
                <w:lang w:val="en-GB"/>
              </w:rPr>
              <w:t>76115</w:t>
            </w:r>
          </w:p>
        </w:tc>
      </w:tr>
    </w:tbl>
    <w:p w:rsidR="00000000" w:rsidRDefault="00000000">
      <w:pPr>
        <w:tabs>
          <w:tab w:val="left" w:pos="567"/>
          <w:tab w:val="left" w:pos="1021"/>
          <w:tab w:val="left" w:pos="1474"/>
          <w:tab w:val="left" w:pos="1928"/>
        </w:tabs>
        <w:jc w:val="center"/>
        <w:rPr>
          <w:b/>
          <w:color w:val="000000"/>
          <w:lang w:val="en-US"/>
        </w:rPr>
      </w:pPr>
    </w:p>
    <w:p w:rsidR="00000000" w:rsidRDefault="00000000">
      <w:pPr>
        <w:tabs>
          <w:tab w:val="left" w:pos="567"/>
          <w:tab w:val="left" w:pos="1021"/>
          <w:tab w:val="left" w:pos="1474"/>
          <w:tab w:val="left" w:pos="1928"/>
        </w:tabs>
        <w:jc w:val="center"/>
        <w:rPr>
          <w:color w:val="000000"/>
          <w:lang w:val="en-GB"/>
        </w:rPr>
      </w:pPr>
      <w:r>
        <w:rPr>
          <w:b/>
          <w:color w:val="000000"/>
          <w:lang w:val="en-US"/>
        </w:rPr>
        <w:t>TABLE</w:t>
      </w:r>
      <w:r>
        <w:rPr>
          <w:b/>
          <w:color w:val="000000"/>
          <w:lang w:val="en-GB"/>
        </w:rPr>
        <w:t xml:space="preserve"> 5</w:t>
      </w:r>
    </w:p>
    <w:p w:rsidR="00000000" w:rsidRDefault="00000000">
      <w:pPr>
        <w:pStyle w:val="-0"/>
        <w:rPr>
          <w:lang w:val="en-GB"/>
        </w:rPr>
      </w:pPr>
      <w:r>
        <w:rPr>
          <w:color w:val="000000"/>
          <w:lang w:val="en-GB"/>
        </w:rPr>
        <w:t>(</w:t>
      </w:r>
      <w:r>
        <w:rPr>
          <w:color w:val="000000"/>
          <w:lang w:val="en-US"/>
        </w:rPr>
        <w:t>Source</w:t>
      </w:r>
      <w:r>
        <w:rPr>
          <w:color w:val="000000"/>
          <w:lang w:val="en-GB"/>
        </w:rPr>
        <w:t xml:space="preserve"> </w:t>
      </w:r>
      <w:r>
        <w:rPr>
          <w:lang w:val="en-US"/>
        </w:rPr>
        <w:t>Ministry of National Education and Religious Affairs</w:t>
      </w:r>
      <w:r>
        <w:rPr>
          <w:color w:val="000000"/>
          <w:lang w:val="en-GB"/>
        </w:rPr>
        <w:t xml:space="preserve">, </w:t>
      </w:r>
      <w:r>
        <w:rPr>
          <w:lang w:val="en-GB"/>
        </w:rPr>
        <w:t>Directorate for Planning and Operational Research</w:t>
      </w:r>
      <w:r>
        <w:rPr>
          <w:color w:val="000000"/>
          <w:lang w:val="en-GB"/>
        </w:rPr>
        <w:t>, Dept</w:t>
      </w:r>
      <w:r>
        <w:rPr>
          <w:lang w:val="en-GB"/>
        </w:rPr>
        <w:t>. of Oper. Research &amp; Statistics)</w:t>
      </w:r>
    </w:p>
    <w:p w:rsidR="00000000" w:rsidRDefault="00000000">
      <w:pPr>
        <w:tabs>
          <w:tab w:val="left" w:pos="567"/>
          <w:tab w:val="left" w:pos="1021"/>
          <w:tab w:val="left" w:pos="1474"/>
          <w:tab w:val="left" w:pos="1928"/>
        </w:tabs>
        <w:jc w:val="center"/>
        <w:rPr>
          <w:b/>
          <w:lang w:val="en-US"/>
        </w:rPr>
      </w:pPr>
      <w:r>
        <w:rPr>
          <w:b/>
          <w:lang w:val="en-US"/>
        </w:rPr>
        <w:br w:type="page"/>
        <w:t>GENERAL</w:t>
      </w:r>
      <w:r>
        <w:rPr>
          <w:b/>
          <w:lang w:val="en-GB"/>
        </w:rPr>
        <w:t xml:space="preserve"> </w:t>
      </w:r>
      <w:r>
        <w:rPr>
          <w:b/>
          <w:lang w:val="en-US"/>
        </w:rPr>
        <w:t>TOTAL</w:t>
      </w:r>
      <w:r>
        <w:rPr>
          <w:b/>
          <w:lang w:val="en-GB"/>
        </w:rPr>
        <w:t xml:space="preserve"> </w:t>
      </w:r>
      <w:r>
        <w:rPr>
          <w:b/>
          <w:lang w:val="en-US"/>
        </w:rPr>
        <w:t>OF</w:t>
      </w:r>
      <w:r>
        <w:rPr>
          <w:b/>
          <w:lang w:val="en-GB"/>
        </w:rPr>
        <w:t xml:space="preserve"> </w:t>
      </w:r>
      <w:r>
        <w:rPr>
          <w:b/>
          <w:lang w:val="en-US"/>
        </w:rPr>
        <w:t>STUDENTS</w:t>
      </w:r>
      <w:r>
        <w:rPr>
          <w:b/>
          <w:lang w:val="en-GB"/>
        </w:rPr>
        <w:t xml:space="preserve"> IN </w:t>
      </w:r>
      <w:r>
        <w:rPr>
          <w:b/>
          <w:lang w:val="en-US"/>
        </w:rPr>
        <w:t>TECHNOLOGICAL</w:t>
      </w:r>
      <w:r>
        <w:rPr>
          <w:b/>
          <w:lang w:val="en-GB"/>
        </w:rPr>
        <w:t xml:space="preserve"> </w:t>
      </w:r>
      <w:r>
        <w:rPr>
          <w:b/>
          <w:lang w:val="en-US"/>
        </w:rPr>
        <w:t>EDUCATIONAL</w:t>
      </w:r>
      <w:r>
        <w:rPr>
          <w:b/>
          <w:lang w:val="en-GB"/>
        </w:rPr>
        <w:t xml:space="preserve"> </w:t>
      </w:r>
      <w:r>
        <w:rPr>
          <w:b/>
          <w:lang w:val="en-US"/>
        </w:rPr>
        <w:t>INSTITUTES</w:t>
      </w:r>
      <w:r>
        <w:rPr>
          <w:b/>
          <w:lang w:val="en-GB"/>
        </w:rPr>
        <w:t xml:space="preserve"> (</w:t>
      </w:r>
      <w:r>
        <w:rPr>
          <w:b/>
          <w:lang w:val="en-US"/>
        </w:rPr>
        <w:t>T</w:t>
      </w:r>
      <w:r>
        <w:rPr>
          <w:b/>
          <w:lang w:val="en-GB"/>
        </w:rPr>
        <w:t>.</w:t>
      </w:r>
      <w:r>
        <w:rPr>
          <w:b/>
          <w:lang w:val="en-US"/>
        </w:rPr>
        <w:t>E</w:t>
      </w:r>
      <w:r>
        <w:rPr>
          <w:b/>
          <w:lang w:val="en-GB"/>
        </w:rPr>
        <w:t>.</w:t>
      </w:r>
      <w:r>
        <w:rPr>
          <w:b/>
          <w:lang w:val="en-US"/>
        </w:rPr>
        <w:t>I</w:t>
      </w:r>
      <w:r>
        <w:rPr>
          <w:b/>
          <w:lang w:val="en-GB"/>
        </w:rPr>
        <w:t xml:space="preserve">.) </w:t>
      </w:r>
      <w:r>
        <w:rPr>
          <w:b/>
          <w:lang w:val="en-US"/>
        </w:rPr>
        <w:t>2001 - 2002</w:t>
      </w:r>
    </w:p>
    <w:tbl>
      <w:tblPr>
        <w:tblW w:w="0" w:type="auto"/>
        <w:jc w:val="center"/>
        <w:tblBorders>
          <w:top w:val="single" w:sz="4" w:space="0" w:color="auto"/>
          <w:bottom w:val="single" w:sz="4" w:space="0" w:color="auto"/>
        </w:tblBorders>
        <w:tblLayout w:type="fixed"/>
        <w:tblLook w:val="0000" w:firstRow="0" w:lastRow="0" w:firstColumn="0" w:lastColumn="0" w:noHBand="0" w:noVBand="0"/>
      </w:tblPr>
      <w:tblGrid>
        <w:gridCol w:w="2269"/>
        <w:gridCol w:w="2694"/>
        <w:gridCol w:w="2835"/>
        <w:gridCol w:w="1609"/>
      </w:tblGrid>
      <w:tr w:rsidR="00000000">
        <w:tblPrEx>
          <w:tblCellMar>
            <w:top w:w="0" w:type="dxa"/>
            <w:bottom w:w="0" w:type="dxa"/>
          </w:tblCellMar>
        </w:tblPrEx>
        <w:trPr>
          <w:jc w:val="center"/>
        </w:trPr>
        <w:tc>
          <w:tcPr>
            <w:tcW w:w="2269" w:type="dxa"/>
            <w:tcBorders>
              <w:top w:val="single" w:sz="4" w:space="0" w:color="auto"/>
              <w:bottom w:val="single" w:sz="4" w:space="0" w:color="auto"/>
            </w:tcBorders>
            <w:vAlign w:val="center"/>
          </w:tcPr>
          <w:p w:rsidR="00000000" w:rsidRDefault="00000000">
            <w:pPr>
              <w:pStyle w:val="a6"/>
              <w:spacing w:before="20" w:after="20"/>
              <w:rPr>
                <w:b/>
                <w:lang w:val="en-US"/>
              </w:rPr>
            </w:pPr>
            <w:r>
              <w:rPr>
                <w:b/>
                <w:lang w:val="en-US"/>
              </w:rPr>
              <w:t>DISTRICT</w:t>
            </w:r>
          </w:p>
        </w:tc>
        <w:tc>
          <w:tcPr>
            <w:tcW w:w="2694" w:type="dxa"/>
            <w:tcBorders>
              <w:top w:val="single" w:sz="4" w:space="0" w:color="auto"/>
              <w:bottom w:val="single" w:sz="4" w:space="0" w:color="auto"/>
            </w:tcBorders>
            <w:vAlign w:val="center"/>
          </w:tcPr>
          <w:p w:rsidR="00000000" w:rsidRDefault="00000000">
            <w:pPr>
              <w:pStyle w:val="a6"/>
              <w:spacing w:before="20" w:after="20"/>
              <w:rPr>
                <w:b/>
                <w:lang w:val="en-US"/>
              </w:rPr>
            </w:pPr>
            <w:r>
              <w:rPr>
                <w:b/>
                <w:lang w:val="en-US"/>
              </w:rPr>
              <w:t>BRANCH</w:t>
            </w:r>
          </w:p>
        </w:tc>
        <w:tc>
          <w:tcPr>
            <w:tcW w:w="2835" w:type="dxa"/>
            <w:tcBorders>
              <w:top w:val="single" w:sz="4" w:space="0" w:color="auto"/>
              <w:bottom w:val="single" w:sz="4" w:space="0" w:color="auto"/>
            </w:tcBorders>
            <w:vAlign w:val="center"/>
          </w:tcPr>
          <w:p w:rsidR="00000000" w:rsidRDefault="00000000">
            <w:pPr>
              <w:pStyle w:val="a6"/>
              <w:spacing w:before="20" w:after="20"/>
              <w:rPr>
                <w:b/>
                <w:lang w:val="en-US"/>
              </w:rPr>
            </w:pPr>
            <w:r>
              <w:rPr>
                <w:b/>
                <w:lang w:val="en-US"/>
              </w:rPr>
              <w:t>TOTAL NoOF ENROLLED  STUDENTS</w:t>
            </w:r>
          </w:p>
        </w:tc>
        <w:tc>
          <w:tcPr>
            <w:tcW w:w="1609" w:type="dxa"/>
            <w:tcBorders>
              <w:top w:val="single" w:sz="4" w:space="0" w:color="auto"/>
              <w:bottom w:val="single" w:sz="4" w:space="0" w:color="auto"/>
            </w:tcBorders>
            <w:vAlign w:val="center"/>
          </w:tcPr>
          <w:p w:rsidR="00000000" w:rsidRDefault="00000000">
            <w:pPr>
              <w:pStyle w:val="a6"/>
              <w:spacing w:before="20" w:after="20"/>
              <w:rPr>
                <w:b/>
                <w:lang w:val="en-US"/>
              </w:rPr>
            </w:pPr>
            <w:r>
              <w:rPr>
                <w:b/>
                <w:lang w:val="en-US"/>
              </w:rPr>
              <w:t>WOMEN</w:t>
            </w:r>
          </w:p>
        </w:tc>
      </w:tr>
      <w:tr w:rsidR="00000000">
        <w:tblPrEx>
          <w:tblCellMar>
            <w:top w:w="0" w:type="dxa"/>
            <w:bottom w:w="0" w:type="dxa"/>
          </w:tblCellMar>
        </w:tblPrEx>
        <w:trPr>
          <w:jc w:val="center"/>
        </w:trPr>
        <w:tc>
          <w:tcPr>
            <w:tcW w:w="2269" w:type="dxa"/>
            <w:tcBorders>
              <w:top w:val="single" w:sz="4" w:space="0" w:color="auto"/>
              <w:bottom w:val="single" w:sz="4" w:space="0" w:color="auto"/>
            </w:tcBorders>
            <w:vAlign w:val="center"/>
          </w:tcPr>
          <w:p w:rsidR="00000000" w:rsidRDefault="00000000">
            <w:pPr>
              <w:pStyle w:val="a6"/>
              <w:spacing w:before="20" w:after="20"/>
              <w:rPr>
                <w:b/>
                <w:lang w:val="en-US"/>
              </w:rPr>
            </w:pPr>
            <w:r>
              <w:rPr>
                <w:b/>
                <w:lang w:val="en-US"/>
              </w:rPr>
              <w:t>ATHENS</w:t>
            </w:r>
          </w:p>
        </w:tc>
        <w:tc>
          <w:tcPr>
            <w:tcW w:w="2694" w:type="dxa"/>
            <w:tcBorders>
              <w:top w:val="single" w:sz="4" w:space="0" w:color="auto"/>
              <w:bottom w:val="single" w:sz="4" w:space="0" w:color="auto"/>
            </w:tcBorders>
            <w:vAlign w:val="center"/>
          </w:tcPr>
          <w:p w:rsidR="00000000" w:rsidRDefault="00000000">
            <w:pPr>
              <w:pStyle w:val="a6"/>
              <w:spacing w:before="20" w:after="20"/>
              <w:rPr>
                <w:lang w:val="en-US"/>
              </w:rPr>
            </w:pPr>
            <w:r>
              <w:rPr>
                <w:lang w:val="en-US"/>
              </w:rPr>
              <w:t>ATHENS</w:t>
            </w:r>
          </w:p>
        </w:tc>
        <w:tc>
          <w:tcPr>
            <w:tcW w:w="2835" w:type="dxa"/>
            <w:tcBorders>
              <w:top w:val="single" w:sz="4" w:space="0" w:color="auto"/>
              <w:bottom w:val="single" w:sz="4" w:space="0" w:color="auto"/>
            </w:tcBorders>
          </w:tcPr>
          <w:p w:rsidR="00000000" w:rsidRDefault="00000000">
            <w:pPr>
              <w:pStyle w:val="a6"/>
              <w:spacing w:before="20" w:after="20"/>
              <w:rPr>
                <w:lang w:val="en-US"/>
              </w:rPr>
            </w:pPr>
            <w:r>
              <w:rPr>
                <w:lang w:val="en-US"/>
              </w:rPr>
              <w:t>31269</w:t>
            </w:r>
          </w:p>
        </w:tc>
        <w:tc>
          <w:tcPr>
            <w:tcW w:w="1609" w:type="dxa"/>
            <w:tcBorders>
              <w:top w:val="single" w:sz="4" w:space="0" w:color="auto"/>
              <w:bottom w:val="single" w:sz="4" w:space="0" w:color="auto"/>
            </w:tcBorders>
          </w:tcPr>
          <w:p w:rsidR="00000000" w:rsidRDefault="00000000">
            <w:pPr>
              <w:pStyle w:val="a6"/>
              <w:spacing w:before="20" w:after="20"/>
              <w:rPr>
                <w:lang w:val="en-US"/>
              </w:rPr>
            </w:pPr>
            <w:r>
              <w:rPr>
                <w:lang w:val="en-US"/>
              </w:rPr>
              <w:t>18698</w:t>
            </w:r>
          </w:p>
        </w:tc>
      </w:tr>
      <w:tr w:rsidR="00000000">
        <w:tblPrEx>
          <w:tblCellMar>
            <w:top w:w="0" w:type="dxa"/>
            <w:bottom w:w="0" w:type="dxa"/>
          </w:tblCellMar>
        </w:tblPrEx>
        <w:trPr>
          <w:cantSplit/>
          <w:jc w:val="center"/>
        </w:trPr>
        <w:tc>
          <w:tcPr>
            <w:tcW w:w="2269" w:type="dxa"/>
            <w:vMerge w:val="restart"/>
            <w:tcBorders>
              <w:top w:val="single" w:sz="4" w:space="0" w:color="auto"/>
              <w:bottom w:val="nil"/>
            </w:tcBorders>
            <w:vAlign w:val="center"/>
          </w:tcPr>
          <w:p w:rsidR="00000000" w:rsidRDefault="00000000">
            <w:pPr>
              <w:pStyle w:val="a6"/>
              <w:spacing w:before="20" w:after="20"/>
              <w:rPr>
                <w:b/>
                <w:lang w:val="en-US"/>
              </w:rPr>
            </w:pPr>
            <w:r>
              <w:rPr>
                <w:b/>
                <w:lang w:val="en-US"/>
              </w:rPr>
              <w:t>EPIRUS</w:t>
            </w:r>
          </w:p>
        </w:tc>
        <w:tc>
          <w:tcPr>
            <w:tcW w:w="2694" w:type="dxa"/>
            <w:tcBorders>
              <w:top w:val="single" w:sz="4" w:space="0" w:color="auto"/>
              <w:bottom w:val="nil"/>
            </w:tcBorders>
            <w:vAlign w:val="center"/>
          </w:tcPr>
          <w:p w:rsidR="00000000" w:rsidRDefault="00000000">
            <w:pPr>
              <w:pStyle w:val="a6"/>
              <w:spacing w:before="20" w:after="20"/>
              <w:rPr>
                <w:lang w:val="en-US"/>
              </w:rPr>
            </w:pPr>
            <w:r>
              <w:rPr>
                <w:lang w:val="en-US"/>
              </w:rPr>
              <w:t>ARTA</w:t>
            </w:r>
          </w:p>
        </w:tc>
        <w:tc>
          <w:tcPr>
            <w:tcW w:w="2835" w:type="dxa"/>
            <w:tcBorders>
              <w:top w:val="single" w:sz="4" w:space="0" w:color="auto"/>
              <w:bottom w:val="nil"/>
            </w:tcBorders>
          </w:tcPr>
          <w:p w:rsidR="00000000" w:rsidRDefault="00000000">
            <w:pPr>
              <w:pStyle w:val="a6"/>
              <w:spacing w:before="20" w:after="20"/>
              <w:rPr>
                <w:lang w:val="en-US"/>
              </w:rPr>
            </w:pPr>
            <w:r>
              <w:rPr>
                <w:lang w:val="en-US"/>
              </w:rPr>
              <w:t>3404</w:t>
            </w:r>
          </w:p>
        </w:tc>
        <w:tc>
          <w:tcPr>
            <w:tcW w:w="1609" w:type="dxa"/>
            <w:tcBorders>
              <w:top w:val="single" w:sz="4" w:space="0" w:color="auto"/>
              <w:bottom w:val="nil"/>
            </w:tcBorders>
          </w:tcPr>
          <w:p w:rsidR="00000000" w:rsidRDefault="00000000">
            <w:pPr>
              <w:pStyle w:val="a6"/>
              <w:spacing w:before="20" w:after="20"/>
              <w:rPr>
                <w:lang w:val="en-US"/>
              </w:rPr>
            </w:pPr>
            <w:r>
              <w:rPr>
                <w:lang w:val="en-US"/>
              </w:rPr>
              <w:t>1781</w:t>
            </w:r>
          </w:p>
        </w:tc>
      </w:tr>
      <w:tr w:rsidR="00000000">
        <w:tblPrEx>
          <w:tblCellMar>
            <w:top w:w="0" w:type="dxa"/>
            <w:bottom w:w="0" w:type="dxa"/>
          </w:tblCellMar>
        </w:tblPrEx>
        <w:trPr>
          <w:cantSplit/>
          <w:jc w:val="center"/>
        </w:trPr>
        <w:tc>
          <w:tcPr>
            <w:tcW w:w="2269" w:type="dxa"/>
            <w:vMerge/>
            <w:tcBorders>
              <w:top w:val="nil"/>
            </w:tcBorders>
            <w:vAlign w:val="center"/>
          </w:tcPr>
          <w:p w:rsidR="00000000" w:rsidRDefault="00000000">
            <w:pPr>
              <w:pStyle w:val="a6"/>
              <w:spacing w:before="20" w:after="20"/>
              <w:rPr>
                <w:b/>
                <w:lang w:val="en-US"/>
              </w:rPr>
            </w:pPr>
          </w:p>
        </w:tc>
        <w:tc>
          <w:tcPr>
            <w:tcW w:w="2694" w:type="dxa"/>
            <w:tcBorders>
              <w:top w:val="nil"/>
            </w:tcBorders>
            <w:vAlign w:val="center"/>
          </w:tcPr>
          <w:p w:rsidR="00000000" w:rsidRDefault="00000000">
            <w:pPr>
              <w:pStyle w:val="a6"/>
              <w:spacing w:before="20" w:after="20"/>
              <w:rPr>
                <w:lang w:val="en-US"/>
              </w:rPr>
            </w:pPr>
            <w:r>
              <w:rPr>
                <w:lang w:val="en-US"/>
              </w:rPr>
              <w:t>IOANNINA</w:t>
            </w:r>
          </w:p>
        </w:tc>
        <w:tc>
          <w:tcPr>
            <w:tcW w:w="2835" w:type="dxa"/>
            <w:tcBorders>
              <w:top w:val="nil"/>
            </w:tcBorders>
          </w:tcPr>
          <w:p w:rsidR="00000000" w:rsidRDefault="00000000">
            <w:pPr>
              <w:pStyle w:val="a6"/>
              <w:spacing w:before="20" w:after="20"/>
              <w:rPr>
                <w:lang w:val="en-US"/>
              </w:rPr>
            </w:pPr>
            <w:r>
              <w:rPr>
                <w:lang w:val="en-US"/>
              </w:rPr>
              <w:t>1960</w:t>
            </w:r>
          </w:p>
        </w:tc>
        <w:tc>
          <w:tcPr>
            <w:tcW w:w="1609" w:type="dxa"/>
            <w:tcBorders>
              <w:top w:val="nil"/>
            </w:tcBorders>
          </w:tcPr>
          <w:p w:rsidR="00000000" w:rsidRDefault="00000000">
            <w:pPr>
              <w:pStyle w:val="a6"/>
              <w:spacing w:before="20" w:after="20"/>
              <w:rPr>
                <w:lang w:val="en-US"/>
              </w:rPr>
            </w:pPr>
            <w:r>
              <w:rPr>
                <w:lang w:val="en-US"/>
              </w:rPr>
              <w:t>1740</w:t>
            </w:r>
          </w:p>
        </w:tc>
      </w:tr>
      <w:tr w:rsidR="00000000">
        <w:tblPrEx>
          <w:tblCellMar>
            <w:top w:w="0" w:type="dxa"/>
            <w:bottom w:w="0" w:type="dxa"/>
          </w:tblCellMar>
        </w:tblPrEx>
        <w:trPr>
          <w:cantSplit/>
          <w:jc w:val="center"/>
        </w:trPr>
        <w:tc>
          <w:tcPr>
            <w:tcW w:w="2269" w:type="dxa"/>
            <w:vMerge/>
            <w:vAlign w:val="center"/>
          </w:tcPr>
          <w:p w:rsidR="00000000" w:rsidRDefault="00000000">
            <w:pPr>
              <w:pStyle w:val="a6"/>
              <w:spacing w:before="20" w:after="20"/>
              <w:rPr>
                <w:b/>
                <w:lang w:val="en-US"/>
              </w:rPr>
            </w:pPr>
          </w:p>
        </w:tc>
        <w:tc>
          <w:tcPr>
            <w:tcW w:w="2694" w:type="dxa"/>
            <w:vAlign w:val="center"/>
          </w:tcPr>
          <w:p w:rsidR="00000000" w:rsidRDefault="00000000">
            <w:pPr>
              <w:pStyle w:val="a6"/>
              <w:spacing w:before="20" w:after="20"/>
              <w:rPr>
                <w:lang w:val="en-US"/>
              </w:rPr>
            </w:pPr>
            <w:r>
              <w:rPr>
                <w:lang w:val="en-US"/>
              </w:rPr>
              <w:t>IGOUMENITSA</w:t>
            </w:r>
          </w:p>
        </w:tc>
        <w:tc>
          <w:tcPr>
            <w:tcW w:w="2835" w:type="dxa"/>
          </w:tcPr>
          <w:p w:rsidR="00000000" w:rsidRDefault="00000000">
            <w:pPr>
              <w:pStyle w:val="a6"/>
              <w:spacing w:before="20" w:after="20"/>
              <w:rPr>
                <w:lang w:val="en-US"/>
              </w:rPr>
            </w:pPr>
            <w:r>
              <w:rPr>
                <w:lang w:val="en-US"/>
              </w:rPr>
              <w:t>2015</w:t>
            </w:r>
          </w:p>
        </w:tc>
        <w:tc>
          <w:tcPr>
            <w:tcW w:w="1609" w:type="dxa"/>
          </w:tcPr>
          <w:p w:rsidR="00000000" w:rsidRDefault="00000000">
            <w:pPr>
              <w:pStyle w:val="a6"/>
              <w:spacing w:before="20" w:after="20"/>
              <w:rPr>
                <w:lang w:val="en-US"/>
              </w:rPr>
            </w:pPr>
            <w:r>
              <w:rPr>
                <w:lang w:val="en-US"/>
              </w:rPr>
              <w:t>1180</w:t>
            </w:r>
          </w:p>
        </w:tc>
      </w:tr>
      <w:tr w:rsidR="00000000">
        <w:tblPrEx>
          <w:tblCellMar>
            <w:top w:w="0" w:type="dxa"/>
            <w:bottom w:w="0" w:type="dxa"/>
          </w:tblCellMar>
        </w:tblPrEx>
        <w:trPr>
          <w:cantSplit/>
          <w:jc w:val="center"/>
        </w:trPr>
        <w:tc>
          <w:tcPr>
            <w:tcW w:w="2269" w:type="dxa"/>
            <w:vMerge/>
            <w:vAlign w:val="center"/>
          </w:tcPr>
          <w:p w:rsidR="00000000" w:rsidRDefault="00000000">
            <w:pPr>
              <w:pStyle w:val="a6"/>
              <w:spacing w:before="20" w:after="20"/>
              <w:rPr>
                <w:b/>
                <w:lang w:val="en-US"/>
              </w:rPr>
            </w:pPr>
          </w:p>
        </w:tc>
        <w:tc>
          <w:tcPr>
            <w:tcW w:w="2694" w:type="dxa"/>
            <w:vAlign w:val="center"/>
          </w:tcPr>
          <w:p w:rsidR="00000000" w:rsidRDefault="00000000">
            <w:pPr>
              <w:pStyle w:val="a6"/>
              <w:spacing w:before="20" w:after="20"/>
              <w:rPr>
                <w:lang w:val="en-US"/>
              </w:rPr>
            </w:pPr>
            <w:r>
              <w:rPr>
                <w:lang w:val="en-US"/>
              </w:rPr>
              <w:t>PREVEZA</w:t>
            </w:r>
          </w:p>
        </w:tc>
        <w:tc>
          <w:tcPr>
            <w:tcW w:w="2835" w:type="dxa"/>
          </w:tcPr>
          <w:p w:rsidR="00000000" w:rsidRDefault="00000000">
            <w:pPr>
              <w:pStyle w:val="a6"/>
              <w:spacing w:before="20" w:after="20"/>
              <w:rPr>
                <w:lang w:val="en-US"/>
              </w:rPr>
            </w:pPr>
            <w:r>
              <w:rPr>
                <w:lang w:val="en-US"/>
              </w:rPr>
              <w:t>1593</w:t>
            </w:r>
          </w:p>
        </w:tc>
        <w:tc>
          <w:tcPr>
            <w:tcW w:w="1609" w:type="dxa"/>
          </w:tcPr>
          <w:p w:rsidR="00000000" w:rsidRDefault="00000000">
            <w:pPr>
              <w:pStyle w:val="a6"/>
              <w:spacing w:before="20" w:after="20"/>
              <w:rPr>
                <w:lang w:val="en-US"/>
              </w:rPr>
            </w:pPr>
            <w:r>
              <w:rPr>
                <w:lang w:val="en-US"/>
              </w:rPr>
              <w:t>1007</w:t>
            </w:r>
          </w:p>
        </w:tc>
      </w:tr>
      <w:tr w:rsidR="00000000">
        <w:tblPrEx>
          <w:tblCellMar>
            <w:top w:w="0" w:type="dxa"/>
            <w:bottom w:w="0" w:type="dxa"/>
          </w:tblCellMar>
        </w:tblPrEx>
        <w:trPr>
          <w:cantSplit/>
          <w:jc w:val="center"/>
        </w:trPr>
        <w:tc>
          <w:tcPr>
            <w:tcW w:w="2269" w:type="dxa"/>
            <w:vMerge/>
            <w:vAlign w:val="center"/>
          </w:tcPr>
          <w:p w:rsidR="00000000" w:rsidRDefault="00000000">
            <w:pPr>
              <w:pStyle w:val="a6"/>
              <w:spacing w:before="20" w:after="20"/>
              <w:rPr>
                <w:b/>
                <w:lang w:val="en-US"/>
              </w:rPr>
            </w:pPr>
          </w:p>
        </w:tc>
        <w:tc>
          <w:tcPr>
            <w:tcW w:w="2694" w:type="dxa"/>
            <w:vAlign w:val="center"/>
          </w:tcPr>
          <w:p w:rsidR="00000000" w:rsidRDefault="00000000">
            <w:pPr>
              <w:pStyle w:val="a6"/>
              <w:spacing w:before="20" w:after="20"/>
              <w:rPr>
                <w:lang w:val="en-US"/>
              </w:rPr>
            </w:pPr>
            <w:r>
              <w:rPr>
                <w:lang w:val="en-US"/>
              </w:rPr>
              <w:t>ARGOSTOLI</w:t>
            </w:r>
          </w:p>
        </w:tc>
        <w:tc>
          <w:tcPr>
            <w:tcW w:w="2835" w:type="dxa"/>
          </w:tcPr>
          <w:p w:rsidR="00000000" w:rsidRDefault="00000000">
            <w:pPr>
              <w:pStyle w:val="a6"/>
              <w:spacing w:before="20" w:after="20"/>
              <w:rPr>
                <w:lang w:val="en-US"/>
              </w:rPr>
            </w:pPr>
            <w:r>
              <w:rPr>
                <w:lang w:val="en-US"/>
              </w:rPr>
              <w:t>455</w:t>
            </w:r>
          </w:p>
        </w:tc>
        <w:tc>
          <w:tcPr>
            <w:tcW w:w="1609" w:type="dxa"/>
          </w:tcPr>
          <w:p w:rsidR="00000000" w:rsidRDefault="00000000">
            <w:pPr>
              <w:pStyle w:val="a6"/>
              <w:spacing w:before="20" w:after="20"/>
              <w:rPr>
                <w:lang w:val="en-US"/>
              </w:rPr>
            </w:pPr>
            <w:r>
              <w:rPr>
                <w:lang w:val="en-US"/>
              </w:rPr>
              <w:t>235</w:t>
            </w:r>
          </w:p>
        </w:tc>
      </w:tr>
      <w:tr w:rsidR="00000000">
        <w:tblPrEx>
          <w:tblCellMar>
            <w:top w:w="0" w:type="dxa"/>
            <w:bottom w:w="0" w:type="dxa"/>
          </w:tblCellMar>
        </w:tblPrEx>
        <w:trPr>
          <w:cantSplit/>
          <w:jc w:val="center"/>
        </w:trPr>
        <w:tc>
          <w:tcPr>
            <w:tcW w:w="2269" w:type="dxa"/>
            <w:vMerge/>
            <w:tcBorders>
              <w:bottom w:val="single" w:sz="4" w:space="0" w:color="auto"/>
            </w:tcBorders>
            <w:vAlign w:val="center"/>
          </w:tcPr>
          <w:p w:rsidR="00000000" w:rsidRDefault="00000000">
            <w:pPr>
              <w:pStyle w:val="a6"/>
              <w:spacing w:before="20" w:after="20"/>
              <w:rPr>
                <w:b/>
                <w:lang w:val="en-US"/>
              </w:rPr>
            </w:pPr>
          </w:p>
        </w:tc>
        <w:tc>
          <w:tcPr>
            <w:tcW w:w="2694" w:type="dxa"/>
            <w:tcBorders>
              <w:bottom w:val="single" w:sz="4" w:space="0" w:color="auto"/>
            </w:tcBorders>
            <w:vAlign w:val="center"/>
          </w:tcPr>
          <w:p w:rsidR="00000000" w:rsidRDefault="00000000">
            <w:pPr>
              <w:pStyle w:val="a6"/>
              <w:spacing w:before="20" w:after="20"/>
              <w:rPr>
                <w:lang w:val="en-US"/>
              </w:rPr>
            </w:pPr>
            <w:r>
              <w:rPr>
                <w:lang w:val="en-US"/>
              </w:rPr>
              <w:t>LIXOURI</w:t>
            </w:r>
          </w:p>
        </w:tc>
        <w:tc>
          <w:tcPr>
            <w:tcW w:w="2835" w:type="dxa"/>
            <w:tcBorders>
              <w:bottom w:val="single" w:sz="4" w:space="0" w:color="auto"/>
            </w:tcBorders>
          </w:tcPr>
          <w:p w:rsidR="00000000" w:rsidRDefault="00000000">
            <w:pPr>
              <w:pStyle w:val="a6"/>
              <w:spacing w:before="20" w:after="20"/>
              <w:rPr>
                <w:lang w:val="en-US"/>
              </w:rPr>
            </w:pPr>
            <w:r>
              <w:rPr>
                <w:lang w:val="en-US"/>
              </w:rPr>
              <w:t>317</w:t>
            </w:r>
          </w:p>
        </w:tc>
        <w:tc>
          <w:tcPr>
            <w:tcW w:w="1609" w:type="dxa"/>
            <w:tcBorders>
              <w:bottom w:val="single" w:sz="4" w:space="0" w:color="auto"/>
            </w:tcBorders>
          </w:tcPr>
          <w:p w:rsidR="00000000" w:rsidRDefault="00000000">
            <w:pPr>
              <w:pStyle w:val="a6"/>
              <w:spacing w:before="20" w:after="20"/>
              <w:rPr>
                <w:lang w:val="en-US"/>
              </w:rPr>
            </w:pPr>
            <w:r>
              <w:rPr>
                <w:lang w:val="en-US"/>
              </w:rPr>
              <w:t>124</w:t>
            </w:r>
          </w:p>
        </w:tc>
      </w:tr>
      <w:tr w:rsidR="00000000">
        <w:tblPrEx>
          <w:tblCellMar>
            <w:top w:w="0" w:type="dxa"/>
            <w:bottom w:w="0" w:type="dxa"/>
          </w:tblCellMar>
        </w:tblPrEx>
        <w:trPr>
          <w:cantSplit/>
          <w:jc w:val="center"/>
        </w:trPr>
        <w:tc>
          <w:tcPr>
            <w:tcW w:w="2269" w:type="dxa"/>
            <w:vMerge w:val="restart"/>
            <w:tcBorders>
              <w:top w:val="single" w:sz="4" w:space="0" w:color="auto"/>
              <w:bottom w:val="nil"/>
            </w:tcBorders>
            <w:vAlign w:val="center"/>
          </w:tcPr>
          <w:p w:rsidR="00000000" w:rsidRDefault="00000000">
            <w:pPr>
              <w:pStyle w:val="a6"/>
              <w:spacing w:before="20" w:after="20"/>
              <w:rPr>
                <w:b/>
                <w:lang w:val="en-US"/>
              </w:rPr>
            </w:pPr>
            <w:r>
              <w:rPr>
                <w:b/>
                <w:lang w:val="en-US"/>
              </w:rPr>
              <w:t>CRETE</w:t>
            </w:r>
          </w:p>
        </w:tc>
        <w:tc>
          <w:tcPr>
            <w:tcW w:w="2694" w:type="dxa"/>
            <w:tcBorders>
              <w:top w:val="single" w:sz="4" w:space="0" w:color="auto"/>
              <w:bottom w:val="nil"/>
            </w:tcBorders>
            <w:vAlign w:val="center"/>
          </w:tcPr>
          <w:p w:rsidR="00000000" w:rsidRDefault="00000000">
            <w:pPr>
              <w:pStyle w:val="a6"/>
              <w:spacing w:before="20" w:after="20"/>
              <w:rPr>
                <w:lang w:val="en-US"/>
              </w:rPr>
            </w:pPr>
            <w:r>
              <w:rPr>
                <w:lang w:val="en-US"/>
              </w:rPr>
              <w:t>HERAKELION</w:t>
            </w:r>
          </w:p>
        </w:tc>
        <w:tc>
          <w:tcPr>
            <w:tcW w:w="2835" w:type="dxa"/>
            <w:tcBorders>
              <w:top w:val="single" w:sz="4" w:space="0" w:color="auto"/>
              <w:bottom w:val="nil"/>
            </w:tcBorders>
          </w:tcPr>
          <w:p w:rsidR="00000000" w:rsidRDefault="00000000">
            <w:pPr>
              <w:pStyle w:val="a6"/>
              <w:spacing w:before="20" w:after="20"/>
              <w:rPr>
                <w:lang w:val="en-US"/>
              </w:rPr>
            </w:pPr>
            <w:r>
              <w:rPr>
                <w:lang w:val="en-US"/>
              </w:rPr>
              <w:t>10373</w:t>
            </w:r>
          </w:p>
        </w:tc>
        <w:tc>
          <w:tcPr>
            <w:tcW w:w="1609" w:type="dxa"/>
            <w:tcBorders>
              <w:top w:val="single" w:sz="4" w:space="0" w:color="auto"/>
              <w:bottom w:val="nil"/>
            </w:tcBorders>
          </w:tcPr>
          <w:p w:rsidR="00000000" w:rsidRDefault="00000000">
            <w:pPr>
              <w:pStyle w:val="a6"/>
              <w:spacing w:before="20" w:after="20"/>
              <w:rPr>
                <w:lang w:val="en-US"/>
              </w:rPr>
            </w:pPr>
            <w:r>
              <w:rPr>
                <w:lang w:val="en-US"/>
              </w:rPr>
              <w:t>5500</w:t>
            </w:r>
          </w:p>
        </w:tc>
      </w:tr>
      <w:tr w:rsidR="00000000">
        <w:tblPrEx>
          <w:tblCellMar>
            <w:top w:w="0" w:type="dxa"/>
            <w:bottom w:w="0" w:type="dxa"/>
          </w:tblCellMar>
        </w:tblPrEx>
        <w:trPr>
          <w:cantSplit/>
          <w:jc w:val="center"/>
        </w:trPr>
        <w:tc>
          <w:tcPr>
            <w:tcW w:w="2269" w:type="dxa"/>
            <w:vMerge/>
            <w:tcBorders>
              <w:top w:val="nil"/>
            </w:tcBorders>
            <w:vAlign w:val="center"/>
          </w:tcPr>
          <w:p w:rsidR="00000000" w:rsidRDefault="00000000">
            <w:pPr>
              <w:pStyle w:val="a6"/>
              <w:spacing w:before="20" w:after="20"/>
              <w:rPr>
                <w:b/>
                <w:lang w:val="en-US"/>
              </w:rPr>
            </w:pPr>
          </w:p>
        </w:tc>
        <w:tc>
          <w:tcPr>
            <w:tcW w:w="2694" w:type="dxa"/>
            <w:tcBorders>
              <w:top w:val="nil"/>
            </w:tcBorders>
            <w:vAlign w:val="center"/>
          </w:tcPr>
          <w:p w:rsidR="00000000" w:rsidRDefault="00000000">
            <w:pPr>
              <w:pStyle w:val="a6"/>
              <w:spacing w:before="20" w:after="20"/>
              <w:rPr>
                <w:lang w:val="en-US"/>
              </w:rPr>
            </w:pPr>
            <w:r>
              <w:rPr>
                <w:lang w:val="en-US"/>
              </w:rPr>
              <w:t>CHANIA</w:t>
            </w:r>
          </w:p>
        </w:tc>
        <w:tc>
          <w:tcPr>
            <w:tcW w:w="2835" w:type="dxa"/>
            <w:tcBorders>
              <w:top w:val="nil"/>
            </w:tcBorders>
          </w:tcPr>
          <w:p w:rsidR="00000000" w:rsidRDefault="00000000">
            <w:pPr>
              <w:pStyle w:val="a6"/>
              <w:spacing w:before="20" w:after="20"/>
              <w:rPr>
                <w:lang w:val="en-US"/>
              </w:rPr>
            </w:pPr>
            <w:r>
              <w:rPr>
                <w:lang w:val="en-US"/>
              </w:rPr>
              <w:t>1139</w:t>
            </w:r>
          </w:p>
        </w:tc>
        <w:tc>
          <w:tcPr>
            <w:tcW w:w="1609" w:type="dxa"/>
            <w:tcBorders>
              <w:top w:val="nil"/>
            </w:tcBorders>
          </w:tcPr>
          <w:p w:rsidR="00000000" w:rsidRDefault="00000000">
            <w:pPr>
              <w:pStyle w:val="a6"/>
              <w:spacing w:before="20" w:after="20"/>
              <w:rPr>
                <w:lang w:val="en-US"/>
              </w:rPr>
            </w:pPr>
            <w:r>
              <w:rPr>
                <w:lang w:val="en-US"/>
              </w:rPr>
              <w:t>276</w:t>
            </w:r>
          </w:p>
        </w:tc>
      </w:tr>
      <w:tr w:rsidR="00000000">
        <w:tblPrEx>
          <w:tblCellMar>
            <w:top w:w="0" w:type="dxa"/>
            <w:bottom w:w="0" w:type="dxa"/>
          </w:tblCellMar>
        </w:tblPrEx>
        <w:trPr>
          <w:cantSplit/>
          <w:jc w:val="center"/>
        </w:trPr>
        <w:tc>
          <w:tcPr>
            <w:tcW w:w="2269" w:type="dxa"/>
            <w:vMerge/>
            <w:vAlign w:val="center"/>
          </w:tcPr>
          <w:p w:rsidR="00000000" w:rsidRDefault="00000000">
            <w:pPr>
              <w:pStyle w:val="a6"/>
              <w:spacing w:before="20" w:after="20"/>
              <w:rPr>
                <w:b/>
                <w:lang w:val="en-US"/>
              </w:rPr>
            </w:pPr>
          </w:p>
        </w:tc>
        <w:tc>
          <w:tcPr>
            <w:tcW w:w="2694" w:type="dxa"/>
            <w:vAlign w:val="center"/>
          </w:tcPr>
          <w:p w:rsidR="00000000" w:rsidRDefault="00000000">
            <w:pPr>
              <w:pStyle w:val="a6"/>
              <w:spacing w:before="20" w:after="20"/>
              <w:rPr>
                <w:lang w:val="en-US"/>
              </w:rPr>
            </w:pPr>
            <w:r>
              <w:rPr>
                <w:lang w:val="en-US"/>
              </w:rPr>
              <w:t>RETHYMNON</w:t>
            </w:r>
          </w:p>
        </w:tc>
        <w:tc>
          <w:tcPr>
            <w:tcW w:w="2835" w:type="dxa"/>
          </w:tcPr>
          <w:p w:rsidR="00000000" w:rsidRDefault="00000000">
            <w:pPr>
              <w:pStyle w:val="a6"/>
              <w:spacing w:before="20" w:after="20"/>
              <w:rPr>
                <w:lang w:val="en-US"/>
              </w:rPr>
            </w:pPr>
            <w:r>
              <w:rPr>
                <w:lang w:val="en-US"/>
              </w:rPr>
              <w:t>140</w:t>
            </w:r>
          </w:p>
        </w:tc>
        <w:tc>
          <w:tcPr>
            <w:tcW w:w="1609" w:type="dxa"/>
          </w:tcPr>
          <w:p w:rsidR="00000000" w:rsidRDefault="00000000">
            <w:pPr>
              <w:pStyle w:val="a6"/>
              <w:spacing w:before="20" w:after="20"/>
              <w:rPr>
                <w:lang w:val="en-US"/>
              </w:rPr>
            </w:pPr>
            <w:r>
              <w:rPr>
                <w:lang w:val="en-US"/>
              </w:rPr>
              <w:t>40</w:t>
            </w:r>
          </w:p>
        </w:tc>
      </w:tr>
      <w:tr w:rsidR="00000000">
        <w:tblPrEx>
          <w:tblCellMar>
            <w:top w:w="0" w:type="dxa"/>
            <w:bottom w:w="0" w:type="dxa"/>
          </w:tblCellMar>
        </w:tblPrEx>
        <w:trPr>
          <w:cantSplit/>
          <w:jc w:val="center"/>
        </w:trPr>
        <w:tc>
          <w:tcPr>
            <w:tcW w:w="2269" w:type="dxa"/>
            <w:vMerge/>
            <w:tcBorders>
              <w:bottom w:val="single" w:sz="4" w:space="0" w:color="auto"/>
            </w:tcBorders>
            <w:vAlign w:val="center"/>
          </w:tcPr>
          <w:p w:rsidR="00000000" w:rsidRDefault="00000000">
            <w:pPr>
              <w:pStyle w:val="a6"/>
              <w:spacing w:before="20" w:after="20"/>
              <w:rPr>
                <w:b/>
                <w:lang w:val="en-US"/>
              </w:rPr>
            </w:pPr>
          </w:p>
        </w:tc>
        <w:tc>
          <w:tcPr>
            <w:tcW w:w="2694" w:type="dxa"/>
            <w:tcBorders>
              <w:bottom w:val="single" w:sz="4" w:space="0" w:color="auto"/>
            </w:tcBorders>
            <w:vAlign w:val="center"/>
          </w:tcPr>
          <w:p w:rsidR="00000000" w:rsidRDefault="00000000">
            <w:pPr>
              <w:pStyle w:val="a6"/>
              <w:spacing w:before="20" w:after="20"/>
              <w:rPr>
                <w:lang w:val="en-US"/>
              </w:rPr>
            </w:pPr>
            <w:r>
              <w:rPr>
                <w:lang w:val="en-US"/>
              </w:rPr>
              <w:t>SITEIA</w:t>
            </w:r>
          </w:p>
        </w:tc>
        <w:tc>
          <w:tcPr>
            <w:tcW w:w="2835" w:type="dxa"/>
            <w:tcBorders>
              <w:bottom w:val="single" w:sz="4" w:space="0" w:color="auto"/>
            </w:tcBorders>
          </w:tcPr>
          <w:p w:rsidR="00000000" w:rsidRDefault="00000000">
            <w:pPr>
              <w:pStyle w:val="a6"/>
              <w:spacing w:before="20" w:after="20"/>
              <w:rPr>
                <w:lang w:val="en-US"/>
              </w:rPr>
            </w:pPr>
            <w:r>
              <w:rPr>
                <w:lang w:val="en-US"/>
              </w:rPr>
              <w:t>251</w:t>
            </w:r>
          </w:p>
        </w:tc>
        <w:tc>
          <w:tcPr>
            <w:tcW w:w="1609" w:type="dxa"/>
            <w:tcBorders>
              <w:bottom w:val="single" w:sz="4" w:space="0" w:color="auto"/>
            </w:tcBorders>
          </w:tcPr>
          <w:p w:rsidR="00000000" w:rsidRDefault="00000000">
            <w:pPr>
              <w:pStyle w:val="a6"/>
              <w:spacing w:before="20" w:after="20"/>
              <w:rPr>
                <w:lang w:val="en-US"/>
              </w:rPr>
            </w:pPr>
            <w:r>
              <w:rPr>
                <w:lang w:val="en-US"/>
              </w:rPr>
              <w:t>200</w:t>
            </w:r>
          </w:p>
        </w:tc>
      </w:tr>
      <w:tr w:rsidR="00000000">
        <w:tblPrEx>
          <w:tblCellMar>
            <w:top w:w="0" w:type="dxa"/>
            <w:bottom w:w="0" w:type="dxa"/>
          </w:tblCellMar>
        </w:tblPrEx>
        <w:trPr>
          <w:jc w:val="center"/>
        </w:trPr>
        <w:tc>
          <w:tcPr>
            <w:tcW w:w="2269" w:type="dxa"/>
            <w:tcBorders>
              <w:top w:val="single" w:sz="4" w:space="0" w:color="auto"/>
              <w:bottom w:val="nil"/>
            </w:tcBorders>
            <w:vAlign w:val="center"/>
          </w:tcPr>
          <w:p w:rsidR="00000000" w:rsidRDefault="00000000">
            <w:pPr>
              <w:pStyle w:val="a6"/>
              <w:spacing w:before="20" w:after="20"/>
              <w:rPr>
                <w:b/>
                <w:lang w:val="en-US"/>
              </w:rPr>
            </w:pPr>
            <w:r>
              <w:rPr>
                <w:b/>
                <w:lang w:val="en-US"/>
              </w:rPr>
              <w:t>THESSALONIKI</w:t>
            </w:r>
          </w:p>
        </w:tc>
        <w:tc>
          <w:tcPr>
            <w:tcW w:w="2694" w:type="dxa"/>
            <w:tcBorders>
              <w:top w:val="single" w:sz="4" w:space="0" w:color="auto"/>
              <w:bottom w:val="nil"/>
            </w:tcBorders>
            <w:vAlign w:val="center"/>
          </w:tcPr>
          <w:p w:rsidR="00000000" w:rsidRDefault="00000000">
            <w:pPr>
              <w:pStyle w:val="a6"/>
              <w:spacing w:before="20" w:after="20"/>
              <w:rPr>
                <w:lang w:val="en-US"/>
              </w:rPr>
            </w:pPr>
            <w:r>
              <w:rPr>
                <w:lang w:val="en-US"/>
              </w:rPr>
              <w:t>THESSALONIKI</w:t>
            </w:r>
          </w:p>
        </w:tc>
        <w:tc>
          <w:tcPr>
            <w:tcW w:w="2835" w:type="dxa"/>
            <w:tcBorders>
              <w:top w:val="single" w:sz="4" w:space="0" w:color="auto"/>
              <w:bottom w:val="nil"/>
            </w:tcBorders>
          </w:tcPr>
          <w:p w:rsidR="00000000" w:rsidRDefault="00000000">
            <w:pPr>
              <w:pStyle w:val="a6"/>
              <w:spacing w:before="20" w:after="20"/>
              <w:rPr>
                <w:lang w:val="en-US"/>
              </w:rPr>
            </w:pPr>
            <w:r>
              <w:rPr>
                <w:lang w:val="en-US"/>
              </w:rPr>
              <w:t>20563</w:t>
            </w:r>
          </w:p>
        </w:tc>
        <w:tc>
          <w:tcPr>
            <w:tcW w:w="1609" w:type="dxa"/>
            <w:tcBorders>
              <w:top w:val="single" w:sz="4" w:space="0" w:color="auto"/>
              <w:bottom w:val="nil"/>
            </w:tcBorders>
          </w:tcPr>
          <w:p w:rsidR="00000000" w:rsidRDefault="00000000">
            <w:pPr>
              <w:pStyle w:val="a6"/>
              <w:spacing w:before="20" w:after="20"/>
              <w:rPr>
                <w:lang w:val="en-US"/>
              </w:rPr>
            </w:pPr>
            <w:r>
              <w:rPr>
                <w:lang w:val="en-US"/>
              </w:rPr>
              <w:t>11001</w:t>
            </w:r>
          </w:p>
        </w:tc>
      </w:tr>
      <w:tr w:rsidR="00000000">
        <w:tblPrEx>
          <w:tblCellMar>
            <w:top w:w="0" w:type="dxa"/>
            <w:bottom w:w="0" w:type="dxa"/>
          </w:tblCellMar>
        </w:tblPrEx>
        <w:trPr>
          <w:cantSplit/>
          <w:jc w:val="center"/>
        </w:trPr>
        <w:tc>
          <w:tcPr>
            <w:tcW w:w="2269" w:type="dxa"/>
            <w:vMerge w:val="restart"/>
            <w:tcBorders>
              <w:top w:val="nil"/>
            </w:tcBorders>
            <w:vAlign w:val="center"/>
          </w:tcPr>
          <w:p w:rsidR="00000000" w:rsidRDefault="00000000">
            <w:pPr>
              <w:pStyle w:val="a6"/>
              <w:spacing w:before="20" w:after="20"/>
              <w:rPr>
                <w:b/>
                <w:lang w:val="en-US"/>
              </w:rPr>
            </w:pPr>
            <w:r>
              <w:rPr>
                <w:b/>
                <w:lang w:val="en-US"/>
              </w:rPr>
              <w:t>KILKIS</w:t>
            </w:r>
          </w:p>
        </w:tc>
        <w:tc>
          <w:tcPr>
            <w:tcW w:w="2694" w:type="dxa"/>
            <w:tcBorders>
              <w:top w:val="nil"/>
            </w:tcBorders>
            <w:vAlign w:val="center"/>
          </w:tcPr>
          <w:p w:rsidR="00000000" w:rsidRDefault="00000000">
            <w:pPr>
              <w:pStyle w:val="a6"/>
              <w:spacing w:before="20" w:after="20"/>
              <w:rPr>
                <w:lang w:val="en-US"/>
              </w:rPr>
            </w:pPr>
            <w:r>
              <w:rPr>
                <w:lang w:val="en-US"/>
              </w:rPr>
              <w:t>KILKIS</w:t>
            </w:r>
          </w:p>
        </w:tc>
        <w:tc>
          <w:tcPr>
            <w:tcW w:w="2835" w:type="dxa"/>
            <w:tcBorders>
              <w:top w:val="nil"/>
            </w:tcBorders>
          </w:tcPr>
          <w:p w:rsidR="00000000" w:rsidRDefault="00000000">
            <w:pPr>
              <w:pStyle w:val="a6"/>
              <w:spacing w:before="20" w:after="20"/>
              <w:rPr>
                <w:lang w:val="en-US"/>
              </w:rPr>
            </w:pPr>
            <w:r>
              <w:rPr>
                <w:lang w:val="en-US"/>
              </w:rPr>
              <w:t>368</w:t>
            </w:r>
          </w:p>
        </w:tc>
        <w:tc>
          <w:tcPr>
            <w:tcW w:w="1609" w:type="dxa"/>
            <w:tcBorders>
              <w:top w:val="nil"/>
            </w:tcBorders>
          </w:tcPr>
          <w:p w:rsidR="00000000" w:rsidRDefault="00000000">
            <w:pPr>
              <w:pStyle w:val="a6"/>
              <w:spacing w:before="20" w:after="20"/>
              <w:rPr>
                <w:lang w:val="en-US"/>
              </w:rPr>
            </w:pPr>
            <w:r>
              <w:rPr>
                <w:lang w:val="en-US"/>
              </w:rPr>
              <w:t>318</w:t>
            </w:r>
          </w:p>
        </w:tc>
      </w:tr>
      <w:tr w:rsidR="00000000">
        <w:tblPrEx>
          <w:tblCellMar>
            <w:top w:w="0" w:type="dxa"/>
            <w:bottom w:w="0" w:type="dxa"/>
          </w:tblCellMar>
        </w:tblPrEx>
        <w:trPr>
          <w:cantSplit/>
          <w:jc w:val="center"/>
        </w:trPr>
        <w:tc>
          <w:tcPr>
            <w:tcW w:w="2269" w:type="dxa"/>
            <w:vMerge/>
            <w:tcBorders>
              <w:bottom w:val="single" w:sz="4" w:space="0" w:color="auto"/>
            </w:tcBorders>
            <w:vAlign w:val="center"/>
          </w:tcPr>
          <w:p w:rsidR="00000000" w:rsidRDefault="00000000">
            <w:pPr>
              <w:pStyle w:val="a6"/>
              <w:spacing w:before="20" w:after="20"/>
              <w:rPr>
                <w:b/>
                <w:lang w:val="en-US"/>
              </w:rPr>
            </w:pPr>
          </w:p>
        </w:tc>
        <w:tc>
          <w:tcPr>
            <w:tcW w:w="2694" w:type="dxa"/>
            <w:tcBorders>
              <w:bottom w:val="single" w:sz="4" w:space="0" w:color="auto"/>
            </w:tcBorders>
            <w:vAlign w:val="center"/>
          </w:tcPr>
          <w:p w:rsidR="00000000" w:rsidRDefault="00000000">
            <w:pPr>
              <w:pStyle w:val="a6"/>
              <w:spacing w:before="20" w:after="20"/>
              <w:rPr>
                <w:lang w:val="en-US"/>
              </w:rPr>
            </w:pPr>
            <w:r>
              <w:rPr>
                <w:lang w:val="en-US"/>
              </w:rPr>
              <w:t>MOUDANIA</w:t>
            </w:r>
          </w:p>
        </w:tc>
        <w:tc>
          <w:tcPr>
            <w:tcW w:w="2835" w:type="dxa"/>
            <w:tcBorders>
              <w:bottom w:val="single" w:sz="4" w:space="0" w:color="auto"/>
            </w:tcBorders>
          </w:tcPr>
          <w:p w:rsidR="00000000" w:rsidRDefault="00000000">
            <w:pPr>
              <w:pStyle w:val="a6"/>
              <w:spacing w:before="20" w:after="20"/>
              <w:rPr>
                <w:lang w:val="en-US"/>
              </w:rPr>
            </w:pPr>
            <w:r>
              <w:rPr>
                <w:lang w:val="en-US"/>
              </w:rPr>
              <w:t>269</w:t>
            </w:r>
          </w:p>
        </w:tc>
        <w:tc>
          <w:tcPr>
            <w:tcW w:w="1609" w:type="dxa"/>
            <w:tcBorders>
              <w:bottom w:val="single" w:sz="4" w:space="0" w:color="auto"/>
            </w:tcBorders>
          </w:tcPr>
          <w:p w:rsidR="00000000" w:rsidRDefault="00000000">
            <w:pPr>
              <w:pStyle w:val="a6"/>
              <w:spacing w:before="20" w:after="20"/>
              <w:rPr>
                <w:lang w:val="en-US"/>
              </w:rPr>
            </w:pPr>
            <w:r>
              <w:rPr>
                <w:lang w:val="en-US"/>
              </w:rPr>
              <w:t>90</w:t>
            </w:r>
          </w:p>
        </w:tc>
      </w:tr>
      <w:tr w:rsidR="00000000">
        <w:tblPrEx>
          <w:tblCellMar>
            <w:top w:w="0" w:type="dxa"/>
            <w:bottom w:w="0" w:type="dxa"/>
          </w:tblCellMar>
        </w:tblPrEx>
        <w:trPr>
          <w:cantSplit/>
          <w:jc w:val="center"/>
        </w:trPr>
        <w:tc>
          <w:tcPr>
            <w:tcW w:w="2269" w:type="dxa"/>
            <w:vMerge w:val="restart"/>
            <w:tcBorders>
              <w:top w:val="single" w:sz="4" w:space="0" w:color="auto"/>
              <w:bottom w:val="nil"/>
            </w:tcBorders>
            <w:vAlign w:val="center"/>
          </w:tcPr>
          <w:p w:rsidR="00000000" w:rsidRDefault="00000000">
            <w:pPr>
              <w:pStyle w:val="a6"/>
              <w:spacing w:before="20" w:after="20"/>
              <w:rPr>
                <w:b/>
                <w:lang w:val="en-US"/>
              </w:rPr>
            </w:pPr>
            <w:r>
              <w:rPr>
                <w:b/>
                <w:lang w:val="en-US"/>
              </w:rPr>
              <w:t>KAVALA</w:t>
            </w:r>
          </w:p>
        </w:tc>
        <w:tc>
          <w:tcPr>
            <w:tcW w:w="2694" w:type="dxa"/>
            <w:tcBorders>
              <w:top w:val="single" w:sz="4" w:space="0" w:color="auto"/>
              <w:bottom w:val="nil"/>
            </w:tcBorders>
            <w:vAlign w:val="center"/>
          </w:tcPr>
          <w:p w:rsidR="00000000" w:rsidRDefault="00000000">
            <w:pPr>
              <w:pStyle w:val="a6"/>
              <w:spacing w:before="20" w:after="20"/>
              <w:rPr>
                <w:lang w:val="en-US"/>
              </w:rPr>
            </w:pPr>
            <w:r>
              <w:rPr>
                <w:lang w:val="en-US"/>
              </w:rPr>
              <w:t>KAVALA</w:t>
            </w:r>
          </w:p>
        </w:tc>
        <w:tc>
          <w:tcPr>
            <w:tcW w:w="2835" w:type="dxa"/>
            <w:tcBorders>
              <w:top w:val="single" w:sz="4" w:space="0" w:color="auto"/>
              <w:bottom w:val="nil"/>
            </w:tcBorders>
          </w:tcPr>
          <w:p w:rsidR="00000000" w:rsidRDefault="00000000">
            <w:pPr>
              <w:pStyle w:val="a6"/>
              <w:spacing w:before="20" w:after="20"/>
              <w:rPr>
                <w:lang w:val="en-US"/>
              </w:rPr>
            </w:pPr>
            <w:r>
              <w:rPr>
                <w:lang w:val="en-US"/>
              </w:rPr>
              <w:t>7558</w:t>
            </w:r>
          </w:p>
        </w:tc>
        <w:tc>
          <w:tcPr>
            <w:tcW w:w="1609" w:type="dxa"/>
            <w:tcBorders>
              <w:top w:val="single" w:sz="4" w:space="0" w:color="auto"/>
              <w:bottom w:val="nil"/>
            </w:tcBorders>
          </w:tcPr>
          <w:p w:rsidR="00000000" w:rsidRDefault="00000000">
            <w:pPr>
              <w:pStyle w:val="a6"/>
              <w:spacing w:before="20" w:after="20"/>
              <w:rPr>
                <w:lang w:val="en-US"/>
              </w:rPr>
            </w:pPr>
            <w:r>
              <w:rPr>
                <w:lang w:val="en-US"/>
              </w:rPr>
              <w:t>3034</w:t>
            </w:r>
          </w:p>
        </w:tc>
      </w:tr>
      <w:tr w:rsidR="00000000">
        <w:tblPrEx>
          <w:tblCellMar>
            <w:top w:w="0" w:type="dxa"/>
            <w:bottom w:w="0" w:type="dxa"/>
          </w:tblCellMar>
        </w:tblPrEx>
        <w:trPr>
          <w:cantSplit/>
          <w:jc w:val="center"/>
        </w:trPr>
        <w:tc>
          <w:tcPr>
            <w:tcW w:w="2269" w:type="dxa"/>
            <w:vMerge/>
            <w:tcBorders>
              <w:top w:val="nil"/>
              <w:bottom w:val="single" w:sz="4" w:space="0" w:color="auto"/>
            </w:tcBorders>
            <w:vAlign w:val="center"/>
          </w:tcPr>
          <w:p w:rsidR="00000000" w:rsidRDefault="00000000">
            <w:pPr>
              <w:pStyle w:val="a6"/>
              <w:spacing w:before="20" w:after="20"/>
              <w:rPr>
                <w:b/>
                <w:lang w:val="en-US"/>
              </w:rPr>
            </w:pPr>
          </w:p>
        </w:tc>
        <w:tc>
          <w:tcPr>
            <w:tcW w:w="2694" w:type="dxa"/>
            <w:tcBorders>
              <w:top w:val="nil"/>
              <w:bottom w:val="single" w:sz="4" w:space="0" w:color="auto"/>
            </w:tcBorders>
            <w:vAlign w:val="center"/>
          </w:tcPr>
          <w:p w:rsidR="00000000" w:rsidRDefault="00000000">
            <w:pPr>
              <w:pStyle w:val="a6"/>
              <w:spacing w:before="20" w:after="20"/>
              <w:rPr>
                <w:lang w:val="en-US"/>
              </w:rPr>
            </w:pPr>
            <w:r>
              <w:rPr>
                <w:lang w:val="en-US"/>
              </w:rPr>
              <w:t>DRAMA</w:t>
            </w:r>
          </w:p>
        </w:tc>
        <w:tc>
          <w:tcPr>
            <w:tcW w:w="2835" w:type="dxa"/>
            <w:tcBorders>
              <w:top w:val="nil"/>
              <w:bottom w:val="single" w:sz="4" w:space="0" w:color="auto"/>
            </w:tcBorders>
          </w:tcPr>
          <w:p w:rsidR="00000000" w:rsidRDefault="00000000">
            <w:pPr>
              <w:pStyle w:val="a6"/>
              <w:spacing w:before="20" w:after="20"/>
              <w:rPr>
                <w:lang w:val="en-US"/>
              </w:rPr>
            </w:pPr>
            <w:r>
              <w:rPr>
                <w:lang w:val="en-US"/>
              </w:rPr>
              <w:t>767</w:t>
            </w:r>
          </w:p>
        </w:tc>
        <w:tc>
          <w:tcPr>
            <w:tcW w:w="1609" w:type="dxa"/>
            <w:tcBorders>
              <w:top w:val="nil"/>
              <w:bottom w:val="single" w:sz="4" w:space="0" w:color="auto"/>
            </w:tcBorders>
          </w:tcPr>
          <w:p w:rsidR="00000000" w:rsidRDefault="00000000">
            <w:pPr>
              <w:pStyle w:val="a6"/>
              <w:spacing w:before="20" w:after="20"/>
              <w:rPr>
                <w:lang w:val="en-US"/>
              </w:rPr>
            </w:pPr>
            <w:r>
              <w:rPr>
                <w:lang w:val="en-US"/>
              </w:rPr>
              <w:t>379</w:t>
            </w:r>
          </w:p>
        </w:tc>
      </w:tr>
      <w:tr w:rsidR="00000000">
        <w:tblPrEx>
          <w:tblCellMar>
            <w:top w:w="0" w:type="dxa"/>
            <w:bottom w:w="0" w:type="dxa"/>
          </w:tblCellMar>
        </w:tblPrEx>
        <w:trPr>
          <w:jc w:val="center"/>
        </w:trPr>
        <w:tc>
          <w:tcPr>
            <w:tcW w:w="2269" w:type="dxa"/>
            <w:tcBorders>
              <w:top w:val="single" w:sz="4" w:space="0" w:color="auto"/>
              <w:bottom w:val="single" w:sz="4" w:space="0" w:color="auto"/>
            </w:tcBorders>
            <w:vAlign w:val="center"/>
          </w:tcPr>
          <w:p w:rsidR="00000000" w:rsidRDefault="00000000">
            <w:pPr>
              <w:pStyle w:val="a6"/>
              <w:spacing w:before="20" w:after="20"/>
              <w:rPr>
                <w:b/>
                <w:lang w:val="en-US"/>
              </w:rPr>
            </w:pPr>
            <w:r>
              <w:rPr>
                <w:b/>
                <w:lang w:val="en-US"/>
              </w:rPr>
              <w:t>KALAMATA</w:t>
            </w:r>
          </w:p>
        </w:tc>
        <w:tc>
          <w:tcPr>
            <w:tcW w:w="2694" w:type="dxa"/>
            <w:tcBorders>
              <w:top w:val="single" w:sz="4" w:space="0" w:color="auto"/>
              <w:bottom w:val="single" w:sz="4" w:space="0" w:color="auto"/>
            </w:tcBorders>
            <w:vAlign w:val="center"/>
          </w:tcPr>
          <w:p w:rsidR="00000000" w:rsidRDefault="00000000">
            <w:pPr>
              <w:pStyle w:val="a6"/>
              <w:spacing w:before="20" w:after="20"/>
              <w:rPr>
                <w:lang w:val="en-US"/>
              </w:rPr>
            </w:pPr>
            <w:r>
              <w:rPr>
                <w:lang w:val="en-US"/>
              </w:rPr>
              <w:t>KALAMATA</w:t>
            </w:r>
          </w:p>
        </w:tc>
        <w:tc>
          <w:tcPr>
            <w:tcW w:w="2835" w:type="dxa"/>
            <w:tcBorders>
              <w:top w:val="single" w:sz="4" w:space="0" w:color="auto"/>
              <w:bottom w:val="single" w:sz="4" w:space="0" w:color="auto"/>
            </w:tcBorders>
          </w:tcPr>
          <w:p w:rsidR="00000000" w:rsidRDefault="00000000">
            <w:pPr>
              <w:pStyle w:val="a6"/>
              <w:spacing w:before="20" w:after="20"/>
              <w:rPr>
                <w:lang w:val="en-US"/>
              </w:rPr>
            </w:pPr>
            <w:r>
              <w:rPr>
                <w:lang w:val="en-US"/>
              </w:rPr>
              <w:t>5449</w:t>
            </w:r>
          </w:p>
        </w:tc>
        <w:tc>
          <w:tcPr>
            <w:tcW w:w="1609" w:type="dxa"/>
            <w:tcBorders>
              <w:top w:val="single" w:sz="4" w:space="0" w:color="auto"/>
              <w:bottom w:val="single" w:sz="4" w:space="0" w:color="auto"/>
            </w:tcBorders>
          </w:tcPr>
          <w:p w:rsidR="00000000" w:rsidRDefault="00000000">
            <w:pPr>
              <w:pStyle w:val="a6"/>
              <w:spacing w:before="20" w:after="20"/>
              <w:rPr>
                <w:lang w:val="en-US"/>
              </w:rPr>
            </w:pPr>
            <w:r>
              <w:rPr>
                <w:lang w:val="en-US"/>
              </w:rPr>
              <w:t>3029</w:t>
            </w:r>
          </w:p>
        </w:tc>
      </w:tr>
      <w:tr w:rsidR="00000000">
        <w:tblPrEx>
          <w:tblCellMar>
            <w:top w:w="0" w:type="dxa"/>
            <w:bottom w:w="0" w:type="dxa"/>
          </w:tblCellMar>
        </w:tblPrEx>
        <w:trPr>
          <w:cantSplit/>
          <w:jc w:val="center"/>
        </w:trPr>
        <w:tc>
          <w:tcPr>
            <w:tcW w:w="2269" w:type="dxa"/>
            <w:vMerge w:val="restart"/>
            <w:tcBorders>
              <w:top w:val="single" w:sz="4" w:space="0" w:color="auto"/>
              <w:bottom w:val="nil"/>
            </w:tcBorders>
            <w:vAlign w:val="center"/>
          </w:tcPr>
          <w:p w:rsidR="00000000" w:rsidRDefault="00000000">
            <w:pPr>
              <w:pStyle w:val="a6"/>
              <w:spacing w:before="20" w:after="20"/>
              <w:rPr>
                <w:b/>
                <w:lang w:val="en-US"/>
              </w:rPr>
            </w:pPr>
            <w:r>
              <w:rPr>
                <w:b/>
                <w:lang w:val="en-US"/>
              </w:rPr>
              <w:t>KOZANI</w:t>
            </w:r>
          </w:p>
        </w:tc>
        <w:tc>
          <w:tcPr>
            <w:tcW w:w="2694" w:type="dxa"/>
            <w:tcBorders>
              <w:top w:val="single" w:sz="4" w:space="0" w:color="auto"/>
              <w:bottom w:val="nil"/>
            </w:tcBorders>
            <w:vAlign w:val="center"/>
          </w:tcPr>
          <w:p w:rsidR="00000000" w:rsidRDefault="00000000">
            <w:pPr>
              <w:pStyle w:val="a6"/>
              <w:spacing w:before="20" w:after="20"/>
              <w:rPr>
                <w:lang w:val="en-US"/>
              </w:rPr>
            </w:pPr>
            <w:r>
              <w:rPr>
                <w:lang w:val="en-US"/>
              </w:rPr>
              <w:t>KOZANI</w:t>
            </w:r>
          </w:p>
        </w:tc>
        <w:tc>
          <w:tcPr>
            <w:tcW w:w="2835" w:type="dxa"/>
            <w:tcBorders>
              <w:top w:val="single" w:sz="4" w:space="0" w:color="auto"/>
              <w:bottom w:val="nil"/>
            </w:tcBorders>
          </w:tcPr>
          <w:p w:rsidR="00000000" w:rsidRDefault="00000000">
            <w:pPr>
              <w:pStyle w:val="a6"/>
              <w:spacing w:before="20" w:after="20"/>
              <w:rPr>
                <w:lang w:val="en-US"/>
              </w:rPr>
            </w:pPr>
            <w:r>
              <w:rPr>
                <w:lang w:val="en-US"/>
              </w:rPr>
              <w:t>7720</w:t>
            </w:r>
          </w:p>
        </w:tc>
        <w:tc>
          <w:tcPr>
            <w:tcW w:w="1609" w:type="dxa"/>
            <w:tcBorders>
              <w:top w:val="single" w:sz="4" w:space="0" w:color="auto"/>
              <w:bottom w:val="nil"/>
            </w:tcBorders>
          </w:tcPr>
          <w:p w:rsidR="00000000" w:rsidRDefault="00000000">
            <w:pPr>
              <w:pStyle w:val="a6"/>
              <w:spacing w:before="20" w:after="20"/>
              <w:rPr>
                <w:lang w:val="en-US"/>
              </w:rPr>
            </w:pPr>
            <w:r>
              <w:rPr>
                <w:lang w:val="en-US"/>
              </w:rPr>
              <w:t>3461</w:t>
            </w:r>
          </w:p>
        </w:tc>
      </w:tr>
      <w:tr w:rsidR="00000000">
        <w:tblPrEx>
          <w:tblCellMar>
            <w:top w:w="0" w:type="dxa"/>
            <w:bottom w:w="0" w:type="dxa"/>
          </w:tblCellMar>
        </w:tblPrEx>
        <w:trPr>
          <w:cantSplit/>
          <w:jc w:val="center"/>
        </w:trPr>
        <w:tc>
          <w:tcPr>
            <w:tcW w:w="2269" w:type="dxa"/>
            <w:vMerge/>
            <w:tcBorders>
              <w:top w:val="nil"/>
            </w:tcBorders>
            <w:vAlign w:val="center"/>
          </w:tcPr>
          <w:p w:rsidR="00000000" w:rsidRDefault="00000000">
            <w:pPr>
              <w:pStyle w:val="a6"/>
              <w:spacing w:before="20" w:after="20"/>
              <w:rPr>
                <w:b/>
                <w:lang w:val="en-US"/>
              </w:rPr>
            </w:pPr>
          </w:p>
        </w:tc>
        <w:tc>
          <w:tcPr>
            <w:tcW w:w="2694" w:type="dxa"/>
            <w:tcBorders>
              <w:top w:val="nil"/>
            </w:tcBorders>
            <w:vAlign w:val="center"/>
          </w:tcPr>
          <w:p w:rsidR="00000000" w:rsidRDefault="00000000">
            <w:pPr>
              <w:pStyle w:val="a6"/>
              <w:spacing w:before="20" w:after="20"/>
              <w:rPr>
                <w:lang w:val="en-US"/>
              </w:rPr>
            </w:pPr>
            <w:r>
              <w:rPr>
                <w:lang w:val="en-US"/>
              </w:rPr>
              <w:t>FLORINA</w:t>
            </w:r>
          </w:p>
        </w:tc>
        <w:tc>
          <w:tcPr>
            <w:tcW w:w="2835" w:type="dxa"/>
            <w:tcBorders>
              <w:top w:val="nil"/>
            </w:tcBorders>
          </w:tcPr>
          <w:p w:rsidR="00000000" w:rsidRDefault="00000000">
            <w:pPr>
              <w:pStyle w:val="a6"/>
              <w:spacing w:before="20" w:after="20"/>
              <w:rPr>
                <w:lang w:val="en-US"/>
              </w:rPr>
            </w:pPr>
            <w:r>
              <w:rPr>
                <w:lang w:val="en-US"/>
              </w:rPr>
              <w:t>2363</w:t>
            </w:r>
          </w:p>
        </w:tc>
        <w:tc>
          <w:tcPr>
            <w:tcW w:w="1609" w:type="dxa"/>
            <w:tcBorders>
              <w:top w:val="nil"/>
            </w:tcBorders>
          </w:tcPr>
          <w:p w:rsidR="00000000" w:rsidRDefault="00000000">
            <w:pPr>
              <w:pStyle w:val="a6"/>
              <w:spacing w:before="20" w:after="20"/>
              <w:rPr>
                <w:lang w:val="en-US"/>
              </w:rPr>
            </w:pPr>
            <w:r>
              <w:rPr>
                <w:lang w:val="en-US"/>
              </w:rPr>
              <w:t>1051</w:t>
            </w:r>
          </w:p>
        </w:tc>
      </w:tr>
      <w:tr w:rsidR="00000000">
        <w:tblPrEx>
          <w:tblCellMar>
            <w:top w:w="0" w:type="dxa"/>
            <w:bottom w:w="0" w:type="dxa"/>
          </w:tblCellMar>
        </w:tblPrEx>
        <w:trPr>
          <w:cantSplit/>
          <w:jc w:val="center"/>
        </w:trPr>
        <w:tc>
          <w:tcPr>
            <w:tcW w:w="2269" w:type="dxa"/>
            <w:vMerge/>
            <w:tcBorders>
              <w:bottom w:val="single" w:sz="4" w:space="0" w:color="auto"/>
            </w:tcBorders>
            <w:vAlign w:val="center"/>
          </w:tcPr>
          <w:p w:rsidR="00000000" w:rsidRDefault="00000000">
            <w:pPr>
              <w:pStyle w:val="a6"/>
              <w:spacing w:before="20" w:after="20"/>
              <w:rPr>
                <w:b/>
                <w:lang w:val="en-US"/>
              </w:rPr>
            </w:pPr>
          </w:p>
        </w:tc>
        <w:tc>
          <w:tcPr>
            <w:tcW w:w="2694" w:type="dxa"/>
            <w:tcBorders>
              <w:bottom w:val="single" w:sz="4" w:space="0" w:color="auto"/>
            </w:tcBorders>
            <w:vAlign w:val="center"/>
          </w:tcPr>
          <w:p w:rsidR="00000000" w:rsidRDefault="00000000">
            <w:pPr>
              <w:pStyle w:val="a6"/>
              <w:spacing w:before="20" w:after="20"/>
              <w:rPr>
                <w:lang w:val="en-US"/>
              </w:rPr>
            </w:pPr>
            <w:r>
              <w:rPr>
                <w:lang w:val="en-US"/>
              </w:rPr>
              <w:t>KASTORIA</w:t>
            </w:r>
          </w:p>
        </w:tc>
        <w:tc>
          <w:tcPr>
            <w:tcW w:w="2835" w:type="dxa"/>
            <w:tcBorders>
              <w:bottom w:val="single" w:sz="4" w:space="0" w:color="auto"/>
            </w:tcBorders>
          </w:tcPr>
          <w:p w:rsidR="00000000" w:rsidRDefault="00000000">
            <w:pPr>
              <w:pStyle w:val="a6"/>
              <w:spacing w:before="20" w:after="20"/>
              <w:rPr>
                <w:lang w:val="en-US"/>
              </w:rPr>
            </w:pPr>
            <w:r>
              <w:rPr>
                <w:lang w:val="en-US"/>
              </w:rPr>
              <w:t>2259</w:t>
            </w:r>
          </w:p>
        </w:tc>
        <w:tc>
          <w:tcPr>
            <w:tcW w:w="1609" w:type="dxa"/>
            <w:tcBorders>
              <w:bottom w:val="single" w:sz="4" w:space="0" w:color="auto"/>
            </w:tcBorders>
          </w:tcPr>
          <w:p w:rsidR="00000000" w:rsidRDefault="00000000">
            <w:pPr>
              <w:pStyle w:val="a6"/>
              <w:spacing w:before="20" w:after="20"/>
              <w:rPr>
                <w:lang w:val="en-US"/>
              </w:rPr>
            </w:pPr>
            <w:r>
              <w:rPr>
                <w:lang w:val="en-US"/>
              </w:rPr>
              <w:t>1150</w:t>
            </w:r>
          </w:p>
        </w:tc>
      </w:tr>
      <w:tr w:rsidR="00000000">
        <w:tblPrEx>
          <w:tblCellMar>
            <w:top w:w="0" w:type="dxa"/>
            <w:bottom w:w="0" w:type="dxa"/>
          </w:tblCellMar>
        </w:tblPrEx>
        <w:trPr>
          <w:cantSplit/>
          <w:jc w:val="center"/>
        </w:trPr>
        <w:tc>
          <w:tcPr>
            <w:tcW w:w="2269" w:type="dxa"/>
            <w:vMerge w:val="restart"/>
            <w:tcBorders>
              <w:top w:val="single" w:sz="4" w:space="0" w:color="auto"/>
              <w:bottom w:val="nil"/>
            </w:tcBorders>
            <w:vAlign w:val="center"/>
          </w:tcPr>
          <w:p w:rsidR="00000000" w:rsidRDefault="00000000">
            <w:pPr>
              <w:pStyle w:val="a6"/>
              <w:spacing w:before="20" w:after="20"/>
              <w:rPr>
                <w:b/>
                <w:lang w:val="en-US"/>
              </w:rPr>
            </w:pPr>
            <w:r>
              <w:rPr>
                <w:b/>
                <w:lang w:val="en-US"/>
              </w:rPr>
              <w:t>LARISSA</w:t>
            </w:r>
          </w:p>
        </w:tc>
        <w:tc>
          <w:tcPr>
            <w:tcW w:w="2694" w:type="dxa"/>
            <w:tcBorders>
              <w:top w:val="single" w:sz="4" w:space="0" w:color="auto"/>
              <w:bottom w:val="nil"/>
            </w:tcBorders>
            <w:vAlign w:val="center"/>
          </w:tcPr>
          <w:p w:rsidR="00000000" w:rsidRDefault="00000000">
            <w:pPr>
              <w:pStyle w:val="a6"/>
              <w:spacing w:before="20" w:after="20"/>
              <w:rPr>
                <w:lang w:val="en-US"/>
              </w:rPr>
            </w:pPr>
            <w:r>
              <w:rPr>
                <w:lang w:val="en-US"/>
              </w:rPr>
              <w:t>LARISSA</w:t>
            </w:r>
          </w:p>
        </w:tc>
        <w:tc>
          <w:tcPr>
            <w:tcW w:w="2835" w:type="dxa"/>
            <w:tcBorders>
              <w:top w:val="single" w:sz="4" w:space="0" w:color="auto"/>
              <w:bottom w:val="nil"/>
            </w:tcBorders>
          </w:tcPr>
          <w:p w:rsidR="00000000" w:rsidRDefault="00000000">
            <w:pPr>
              <w:pStyle w:val="a6"/>
              <w:spacing w:before="20" w:after="20"/>
              <w:rPr>
                <w:lang w:val="en-US"/>
              </w:rPr>
            </w:pPr>
            <w:r>
              <w:rPr>
                <w:lang w:val="en-US"/>
              </w:rPr>
              <w:t>14909</w:t>
            </w:r>
          </w:p>
        </w:tc>
        <w:tc>
          <w:tcPr>
            <w:tcW w:w="1609" w:type="dxa"/>
            <w:tcBorders>
              <w:top w:val="single" w:sz="4" w:space="0" w:color="auto"/>
              <w:bottom w:val="nil"/>
            </w:tcBorders>
          </w:tcPr>
          <w:p w:rsidR="00000000" w:rsidRDefault="00000000">
            <w:pPr>
              <w:pStyle w:val="a6"/>
              <w:spacing w:before="20" w:after="20"/>
              <w:rPr>
                <w:lang w:val="en-US"/>
              </w:rPr>
            </w:pPr>
            <w:r>
              <w:rPr>
                <w:lang w:val="en-US"/>
              </w:rPr>
              <w:t>7507</w:t>
            </w:r>
          </w:p>
        </w:tc>
      </w:tr>
      <w:tr w:rsidR="00000000">
        <w:tblPrEx>
          <w:tblCellMar>
            <w:top w:w="0" w:type="dxa"/>
            <w:bottom w:w="0" w:type="dxa"/>
          </w:tblCellMar>
        </w:tblPrEx>
        <w:trPr>
          <w:cantSplit/>
          <w:jc w:val="center"/>
        </w:trPr>
        <w:tc>
          <w:tcPr>
            <w:tcW w:w="2269" w:type="dxa"/>
            <w:vMerge/>
            <w:tcBorders>
              <w:top w:val="nil"/>
              <w:bottom w:val="single" w:sz="4" w:space="0" w:color="auto"/>
            </w:tcBorders>
            <w:vAlign w:val="center"/>
          </w:tcPr>
          <w:p w:rsidR="00000000" w:rsidRDefault="00000000">
            <w:pPr>
              <w:pStyle w:val="a6"/>
              <w:spacing w:before="20" w:after="20"/>
              <w:rPr>
                <w:b/>
                <w:lang w:val="en-US"/>
              </w:rPr>
            </w:pPr>
          </w:p>
        </w:tc>
        <w:tc>
          <w:tcPr>
            <w:tcW w:w="2694" w:type="dxa"/>
            <w:tcBorders>
              <w:top w:val="nil"/>
              <w:bottom w:val="single" w:sz="4" w:space="0" w:color="auto"/>
            </w:tcBorders>
            <w:vAlign w:val="center"/>
          </w:tcPr>
          <w:p w:rsidR="00000000" w:rsidRDefault="00000000">
            <w:pPr>
              <w:pStyle w:val="a6"/>
              <w:spacing w:before="20" w:after="20"/>
              <w:rPr>
                <w:lang w:val="en-US"/>
              </w:rPr>
            </w:pPr>
            <w:r>
              <w:rPr>
                <w:lang w:val="en-US"/>
              </w:rPr>
              <w:t>KARDITSA</w:t>
            </w:r>
          </w:p>
        </w:tc>
        <w:tc>
          <w:tcPr>
            <w:tcW w:w="2835" w:type="dxa"/>
            <w:tcBorders>
              <w:top w:val="nil"/>
              <w:bottom w:val="single" w:sz="4" w:space="0" w:color="auto"/>
            </w:tcBorders>
          </w:tcPr>
          <w:p w:rsidR="00000000" w:rsidRDefault="00000000">
            <w:pPr>
              <w:pStyle w:val="a6"/>
              <w:spacing w:before="20" w:after="20"/>
              <w:rPr>
                <w:lang w:val="en-US"/>
              </w:rPr>
            </w:pPr>
            <w:r>
              <w:rPr>
                <w:lang w:val="en-US"/>
              </w:rPr>
              <w:t>1449</w:t>
            </w:r>
          </w:p>
        </w:tc>
        <w:tc>
          <w:tcPr>
            <w:tcW w:w="1609" w:type="dxa"/>
            <w:tcBorders>
              <w:top w:val="nil"/>
              <w:bottom w:val="single" w:sz="4" w:space="0" w:color="auto"/>
            </w:tcBorders>
          </w:tcPr>
          <w:p w:rsidR="00000000" w:rsidRDefault="00000000">
            <w:pPr>
              <w:pStyle w:val="a6"/>
              <w:spacing w:before="20" w:after="20"/>
              <w:rPr>
                <w:lang w:val="en-US"/>
              </w:rPr>
            </w:pPr>
            <w:r>
              <w:rPr>
                <w:lang w:val="en-US"/>
              </w:rPr>
              <w:t>713</w:t>
            </w:r>
          </w:p>
        </w:tc>
      </w:tr>
      <w:tr w:rsidR="00000000">
        <w:tblPrEx>
          <w:tblCellMar>
            <w:top w:w="0" w:type="dxa"/>
            <w:bottom w:w="0" w:type="dxa"/>
          </w:tblCellMar>
        </w:tblPrEx>
        <w:trPr>
          <w:cantSplit/>
          <w:jc w:val="center"/>
        </w:trPr>
        <w:tc>
          <w:tcPr>
            <w:tcW w:w="2269" w:type="dxa"/>
            <w:vMerge w:val="restart"/>
            <w:tcBorders>
              <w:top w:val="single" w:sz="4" w:space="0" w:color="auto"/>
              <w:bottom w:val="nil"/>
            </w:tcBorders>
            <w:vAlign w:val="center"/>
          </w:tcPr>
          <w:p w:rsidR="00000000" w:rsidRDefault="00000000">
            <w:pPr>
              <w:pStyle w:val="a6"/>
              <w:spacing w:before="20" w:after="20"/>
              <w:rPr>
                <w:b/>
                <w:lang w:val="en-US"/>
              </w:rPr>
            </w:pPr>
            <w:r>
              <w:rPr>
                <w:b/>
                <w:lang w:val="en-US"/>
              </w:rPr>
              <w:t>LAMIA</w:t>
            </w:r>
          </w:p>
        </w:tc>
        <w:tc>
          <w:tcPr>
            <w:tcW w:w="2694" w:type="dxa"/>
            <w:tcBorders>
              <w:top w:val="single" w:sz="4" w:space="0" w:color="auto"/>
              <w:bottom w:val="nil"/>
            </w:tcBorders>
            <w:vAlign w:val="center"/>
          </w:tcPr>
          <w:p w:rsidR="00000000" w:rsidRDefault="00000000">
            <w:pPr>
              <w:pStyle w:val="a6"/>
              <w:spacing w:before="20" w:after="20"/>
              <w:rPr>
                <w:lang w:val="en-US"/>
              </w:rPr>
            </w:pPr>
            <w:r>
              <w:rPr>
                <w:lang w:val="en-US"/>
              </w:rPr>
              <w:t>LAMIA</w:t>
            </w:r>
          </w:p>
        </w:tc>
        <w:tc>
          <w:tcPr>
            <w:tcW w:w="2835" w:type="dxa"/>
            <w:tcBorders>
              <w:top w:val="single" w:sz="4" w:space="0" w:color="auto"/>
              <w:bottom w:val="nil"/>
            </w:tcBorders>
          </w:tcPr>
          <w:p w:rsidR="00000000" w:rsidRDefault="00000000">
            <w:pPr>
              <w:pStyle w:val="a6"/>
              <w:spacing w:before="20" w:after="20"/>
              <w:rPr>
                <w:lang w:val="en-US"/>
              </w:rPr>
            </w:pPr>
            <w:r>
              <w:rPr>
                <w:lang w:val="en-US"/>
              </w:rPr>
              <w:t>5280</w:t>
            </w:r>
          </w:p>
        </w:tc>
        <w:tc>
          <w:tcPr>
            <w:tcW w:w="1609" w:type="dxa"/>
            <w:tcBorders>
              <w:top w:val="single" w:sz="4" w:space="0" w:color="auto"/>
              <w:bottom w:val="nil"/>
            </w:tcBorders>
          </w:tcPr>
          <w:p w:rsidR="00000000" w:rsidRDefault="00000000">
            <w:pPr>
              <w:pStyle w:val="a6"/>
              <w:spacing w:before="20" w:after="20"/>
              <w:rPr>
                <w:lang w:val="en-US"/>
              </w:rPr>
            </w:pPr>
            <w:r>
              <w:rPr>
                <w:lang w:val="en-US"/>
              </w:rPr>
              <w:t>1744</w:t>
            </w:r>
          </w:p>
        </w:tc>
      </w:tr>
      <w:tr w:rsidR="00000000">
        <w:tblPrEx>
          <w:tblCellMar>
            <w:top w:w="0" w:type="dxa"/>
            <w:bottom w:w="0" w:type="dxa"/>
          </w:tblCellMar>
        </w:tblPrEx>
        <w:trPr>
          <w:cantSplit/>
          <w:jc w:val="center"/>
        </w:trPr>
        <w:tc>
          <w:tcPr>
            <w:tcW w:w="2269" w:type="dxa"/>
            <w:vMerge/>
            <w:tcBorders>
              <w:top w:val="nil"/>
            </w:tcBorders>
            <w:vAlign w:val="center"/>
          </w:tcPr>
          <w:p w:rsidR="00000000" w:rsidRDefault="00000000">
            <w:pPr>
              <w:pStyle w:val="a6"/>
              <w:spacing w:before="20" w:after="20"/>
              <w:rPr>
                <w:b/>
                <w:lang w:val="en-US"/>
              </w:rPr>
            </w:pPr>
          </w:p>
        </w:tc>
        <w:tc>
          <w:tcPr>
            <w:tcW w:w="2694" w:type="dxa"/>
            <w:tcBorders>
              <w:top w:val="nil"/>
            </w:tcBorders>
            <w:vAlign w:val="center"/>
          </w:tcPr>
          <w:p w:rsidR="00000000" w:rsidRDefault="00000000">
            <w:pPr>
              <w:pStyle w:val="a6"/>
              <w:spacing w:before="20" w:after="20"/>
              <w:rPr>
                <w:lang w:val="en-US"/>
              </w:rPr>
            </w:pPr>
            <w:r>
              <w:rPr>
                <w:lang w:val="en-US"/>
              </w:rPr>
              <w:t>KARPENISSI</w:t>
            </w:r>
          </w:p>
        </w:tc>
        <w:tc>
          <w:tcPr>
            <w:tcW w:w="2835" w:type="dxa"/>
            <w:tcBorders>
              <w:top w:val="nil"/>
            </w:tcBorders>
          </w:tcPr>
          <w:p w:rsidR="00000000" w:rsidRDefault="00000000">
            <w:pPr>
              <w:pStyle w:val="a6"/>
              <w:spacing w:before="20" w:after="20"/>
              <w:rPr>
                <w:lang w:val="en-US"/>
              </w:rPr>
            </w:pPr>
            <w:r>
              <w:rPr>
                <w:lang w:val="en-US"/>
              </w:rPr>
              <w:t>632</w:t>
            </w:r>
          </w:p>
        </w:tc>
        <w:tc>
          <w:tcPr>
            <w:tcW w:w="1609" w:type="dxa"/>
            <w:tcBorders>
              <w:top w:val="nil"/>
            </w:tcBorders>
          </w:tcPr>
          <w:p w:rsidR="00000000" w:rsidRDefault="00000000">
            <w:pPr>
              <w:pStyle w:val="a6"/>
              <w:spacing w:before="20" w:after="20"/>
              <w:rPr>
                <w:lang w:val="en-US"/>
              </w:rPr>
            </w:pPr>
            <w:r>
              <w:rPr>
                <w:lang w:val="en-US"/>
              </w:rPr>
              <w:t>294</w:t>
            </w:r>
          </w:p>
        </w:tc>
      </w:tr>
      <w:tr w:rsidR="00000000">
        <w:tblPrEx>
          <w:tblCellMar>
            <w:top w:w="0" w:type="dxa"/>
            <w:bottom w:w="0" w:type="dxa"/>
          </w:tblCellMar>
        </w:tblPrEx>
        <w:trPr>
          <w:cantSplit/>
          <w:jc w:val="center"/>
        </w:trPr>
        <w:tc>
          <w:tcPr>
            <w:tcW w:w="2269" w:type="dxa"/>
            <w:vMerge/>
            <w:tcBorders>
              <w:bottom w:val="single" w:sz="4" w:space="0" w:color="auto"/>
            </w:tcBorders>
            <w:vAlign w:val="center"/>
          </w:tcPr>
          <w:p w:rsidR="00000000" w:rsidRDefault="00000000">
            <w:pPr>
              <w:pStyle w:val="a6"/>
              <w:spacing w:before="20" w:after="20"/>
              <w:rPr>
                <w:b/>
                <w:lang w:val="en-US"/>
              </w:rPr>
            </w:pPr>
          </w:p>
        </w:tc>
        <w:tc>
          <w:tcPr>
            <w:tcW w:w="2694" w:type="dxa"/>
            <w:tcBorders>
              <w:bottom w:val="single" w:sz="4" w:space="0" w:color="auto"/>
            </w:tcBorders>
            <w:vAlign w:val="center"/>
          </w:tcPr>
          <w:p w:rsidR="00000000" w:rsidRDefault="00000000">
            <w:pPr>
              <w:pStyle w:val="a6"/>
              <w:spacing w:before="20" w:after="20"/>
              <w:rPr>
                <w:lang w:val="en-US"/>
              </w:rPr>
            </w:pPr>
            <w:r>
              <w:rPr>
                <w:lang w:val="en-US"/>
              </w:rPr>
              <w:t>AMFISSA</w:t>
            </w:r>
          </w:p>
        </w:tc>
        <w:tc>
          <w:tcPr>
            <w:tcW w:w="2835" w:type="dxa"/>
            <w:tcBorders>
              <w:bottom w:val="single" w:sz="4" w:space="0" w:color="auto"/>
            </w:tcBorders>
          </w:tcPr>
          <w:p w:rsidR="00000000" w:rsidRDefault="00000000">
            <w:pPr>
              <w:pStyle w:val="a6"/>
              <w:spacing w:before="20" w:after="20"/>
              <w:rPr>
                <w:lang w:val="en-US"/>
              </w:rPr>
            </w:pPr>
            <w:r>
              <w:rPr>
                <w:lang w:val="en-US"/>
              </w:rPr>
              <w:t>807</w:t>
            </w:r>
          </w:p>
        </w:tc>
        <w:tc>
          <w:tcPr>
            <w:tcW w:w="1609" w:type="dxa"/>
            <w:tcBorders>
              <w:bottom w:val="single" w:sz="4" w:space="0" w:color="auto"/>
            </w:tcBorders>
          </w:tcPr>
          <w:p w:rsidR="00000000" w:rsidRDefault="00000000">
            <w:pPr>
              <w:pStyle w:val="a6"/>
              <w:spacing w:before="20" w:after="20"/>
              <w:rPr>
                <w:lang w:val="en-US"/>
              </w:rPr>
            </w:pPr>
            <w:r>
              <w:rPr>
                <w:lang w:val="en-US"/>
              </w:rPr>
              <w:t>514</w:t>
            </w:r>
          </w:p>
        </w:tc>
      </w:tr>
      <w:tr w:rsidR="00000000">
        <w:tblPrEx>
          <w:tblCellMar>
            <w:top w:w="0" w:type="dxa"/>
            <w:bottom w:w="0" w:type="dxa"/>
          </w:tblCellMar>
        </w:tblPrEx>
        <w:trPr>
          <w:jc w:val="center"/>
        </w:trPr>
        <w:tc>
          <w:tcPr>
            <w:tcW w:w="2269" w:type="dxa"/>
            <w:tcBorders>
              <w:top w:val="single" w:sz="4" w:space="0" w:color="auto"/>
              <w:bottom w:val="single" w:sz="4" w:space="0" w:color="auto"/>
            </w:tcBorders>
            <w:vAlign w:val="center"/>
          </w:tcPr>
          <w:p w:rsidR="00000000" w:rsidRDefault="00000000">
            <w:pPr>
              <w:pStyle w:val="a6"/>
              <w:spacing w:before="20" w:after="20"/>
              <w:rPr>
                <w:b/>
                <w:lang w:val="en-US"/>
              </w:rPr>
            </w:pPr>
            <w:r>
              <w:rPr>
                <w:b/>
                <w:lang w:val="en-US"/>
              </w:rPr>
              <w:t>MESSOLONGHI</w:t>
            </w:r>
          </w:p>
        </w:tc>
        <w:tc>
          <w:tcPr>
            <w:tcW w:w="2694" w:type="dxa"/>
            <w:tcBorders>
              <w:top w:val="single" w:sz="4" w:space="0" w:color="auto"/>
              <w:bottom w:val="single" w:sz="4" w:space="0" w:color="auto"/>
            </w:tcBorders>
            <w:vAlign w:val="center"/>
          </w:tcPr>
          <w:p w:rsidR="00000000" w:rsidRDefault="00000000">
            <w:pPr>
              <w:pStyle w:val="a6"/>
              <w:spacing w:before="20" w:after="20"/>
              <w:rPr>
                <w:lang w:val="en-US"/>
              </w:rPr>
            </w:pPr>
            <w:r>
              <w:rPr>
                <w:lang w:val="en-US"/>
              </w:rPr>
              <w:t>MESSOLONGHI</w:t>
            </w:r>
          </w:p>
        </w:tc>
        <w:tc>
          <w:tcPr>
            <w:tcW w:w="2835" w:type="dxa"/>
            <w:tcBorders>
              <w:top w:val="single" w:sz="4" w:space="0" w:color="auto"/>
              <w:bottom w:val="single" w:sz="4" w:space="0" w:color="auto"/>
            </w:tcBorders>
          </w:tcPr>
          <w:p w:rsidR="00000000" w:rsidRDefault="00000000">
            <w:pPr>
              <w:pStyle w:val="a6"/>
              <w:spacing w:before="20" w:after="20"/>
              <w:rPr>
                <w:lang w:val="en-US"/>
              </w:rPr>
            </w:pPr>
            <w:r>
              <w:rPr>
                <w:lang w:val="en-US"/>
              </w:rPr>
              <w:t>5075</w:t>
            </w:r>
          </w:p>
        </w:tc>
        <w:tc>
          <w:tcPr>
            <w:tcW w:w="1609" w:type="dxa"/>
            <w:tcBorders>
              <w:top w:val="single" w:sz="4" w:space="0" w:color="auto"/>
              <w:bottom w:val="single" w:sz="4" w:space="0" w:color="auto"/>
            </w:tcBorders>
          </w:tcPr>
          <w:p w:rsidR="00000000" w:rsidRDefault="00000000">
            <w:pPr>
              <w:pStyle w:val="a6"/>
              <w:spacing w:before="20" w:after="20"/>
              <w:rPr>
                <w:lang w:val="en-US"/>
              </w:rPr>
            </w:pPr>
            <w:r>
              <w:rPr>
                <w:lang w:val="en-US"/>
              </w:rPr>
              <w:t>2379</w:t>
            </w:r>
          </w:p>
        </w:tc>
      </w:tr>
      <w:tr w:rsidR="00000000">
        <w:tblPrEx>
          <w:tblCellMar>
            <w:top w:w="0" w:type="dxa"/>
            <w:bottom w:w="0" w:type="dxa"/>
          </w:tblCellMar>
        </w:tblPrEx>
        <w:trPr>
          <w:jc w:val="center"/>
        </w:trPr>
        <w:tc>
          <w:tcPr>
            <w:tcW w:w="2269" w:type="dxa"/>
            <w:tcBorders>
              <w:top w:val="single" w:sz="4" w:space="0" w:color="auto"/>
              <w:bottom w:val="single" w:sz="4" w:space="0" w:color="auto"/>
            </w:tcBorders>
            <w:vAlign w:val="center"/>
          </w:tcPr>
          <w:p w:rsidR="00000000" w:rsidRDefault="00000000">
            <w:pPr>
              <w:pStyle w:val="a6"/>
              <w:spacing w:before="20" w:after="20"/>
              <w:rPr>
                <w:b/>
                <w:lang w:val="en-US"/>
              </w:rPr>
            </w:pPr>
            <w:r>
              <w:rPr>
                <w:b/>
                <w:lang w:val="en-US"/>
              </w:rPr>
              <w:t>PATRA</w:t>
            </w:r>
          </w:p>
        </w:tc>
        <w:tc>
          <w:tcPr>
            <w:tcW w:w="2694" w:type="dxa"/>
            <w:tcBorders>
              <w:top w:val="single" w:sz="4" w:space="0" w:color="auto"/>
              <w:bottom w:val="single" w:sz="4" w:space="0" w:color="auto"/>
            </w:tcBorders>
            <w:vAlign w:val="center"/>
          </w:tcPr>
          <w:p w:rsidR="00000000" w:rsidRDefault="00000000">
            <w:pPr>
              <w:pStyle w:val="a6"/>
              <w:spacing w:before="20" w:after="20"/>
              <w:rPr>
                <w:lang w:val="en-US"/>
              </w:rPr>
            </w:pPr>
            <w:r>
              <w:rPr>
                <w:lang w:val="en-US"/>
              </w:rPr>
              <w:t>PATRA</w:t>
            </w:r>
          </w:p>
        </w:tc>
        <w:tc>
          <w:tcPr>
            <w:tcW w:w="2835" w:type="dxa"/>
            <w:tcBorders>
              <w:top w:val="single" w:sz="4" w:space="0" w:color="auto"/>
              <w:bottom w:val="single" w:sz="4" w:space="0" w:color="auto"/>
            </w:tcBorders>
          </w:tcPr>
          <w:p w:rsidR="00000000" w:rsidRDefault="00000000">
            <w:pPr>
              <w:pStyle w:val="a6"/>
              <w:spacing w:before="20" w:after="20"/>
              <w:rPr>
                <w:lang w:val="en-US"/>
              </w:rPr>
            </w:pPr>
            <w:r>
              <w:rPr>
                <w:lang w:val="en-US"/>
              </w:rPr>
              <w:t>13232</w:t>
            </w:r>
          </w:p>
        </w:tc>
        <w:tc>
          <w:tcPr>
            <w:tcW w:w="1609" w:type="dxa"/>
            <w:tcBorders>
              <w:top w:val="single" w:sz="4" w:space="0" w:color="auto"/>
              <w:bottom w:val="single" w:sz="4" w:space="0" w:color="auto"/>
            </w:tcBorders>
          </w:tcPr>
          <w:p w:rsidR="00000000" w:rsidRDefault="00000000">
            <w:pPr>
              <w:pStyle w:val="a6"/>
              <w:spacing w:before="20" w:after="20"/>
              <w:rPr>
                <w:lang w:val="en-US"/>
              </w:rPr>
            </w:pPr>
            <w:r>
              <w:rPr>
                <w:lang w:val="en-US"/>
              </w:rPr>
              <w:t>7455</w:t>
            </w:r>
          </w:p>
        </w:tc>
      </w:tr>
      <w:tr w:rsidR="00000000">
        <w:tblPrEx>
          <w:tblCellMar>
            <w:top w:w="0" w:type="dxa"/>
            <w:bottom w:w="0" w:type="dxa"/>
          </w:tblCellMar>
        </w:tblPrEx>
        <w:trPr>
          <w:jc w:val="center"/>
        </w:trPr>
        <w:tc>
          <w:tcPr>
            <w:tcW w:w="2269" w:type="dxa"/>
            <w:tcBorders>
              <w:top w:val="single" w:sz="4" w:space="0" w:color="auto"/>
              <w:bottom w:val="single" w:sz="4" w:space="0" w:color="auto"/>
            </w:tcBorders>
            <w:vAlign w:val="center"/>
          </w:tcPr>
          <w:p w:rsidR="00000000" w:rsidRDefault="00000000">
            <w:pPr>
              <w:pStyle w:val="a6"/>
              <w:spacing w:before="20" w:after="20"/>
              <w:rPr>
                <w:b/>
                <w:lang w:val="en-US"/>
              </w:rPr>
            </w:pPr>
            <w:r>
              <w:rPr>
                <w:b/>
                <w:lang w:val="en-US"/>
              </w:rPr>
              <w:t>PIRAEUS</w:t>
            </w:r>
          </w:p>
        </w:tc>
        <w:tc>
          <w:tcPr>
            <w:tcW w:w="2694" w:type="dxa"/>
            <w:tcBorders>
              <w:top w:val="single" w:sz="4" w:space="0" w:color="auto"/>
              <w:bottom w:val="single" w:sz="4" w:space="0" w:color="auto"/>
            </w:tcBorders>
            <w:vAlign w:val="center"/>
          </w:tcPr>
          <w:p w:rsidR="00000000" w:rsidRDefault="00000000">
            <w:pPr>
              <w:pStyle w:val="a6"/>
              <w:spacing w:before="20" w:after="20"/>
              <w:rPr>
                <w:lang w:val="en-US"/>
              </w:rPr>
            </w:pPr>
            <w:r>
              <w:rPr>
                <w:lang w:val="en-US"/>
              </w:rPr>
              <w:t>PIRAEUS</w:t>
            </w:r>
          </w:p>
        </w:tc>
        <w:tc>
          <w:tcPr>
            <w:tcW w:w="2835" w:type="dxa"/>
            <w:tcBorders>
              <w:top w:val="single" w:sz="4" w:space="0" w:color="auto"/>
              <w:bottom w:val="single" w:sz="4" w:space="0" w:color="auto"/>
            </w:tcBorders>
          </w:tcPr>
          <w:p w:rsidR="00000000" w:rsidRDefault="00000000">
            <w:pPr>
              <w:pStyle w:val="a6"/>
              <w:spacing w:before="20" w:after="20"/>
              <w:rPr>
                <w:lang w:val="en-US"/>
              </w:rPr>
            </w:pPr>
            <w:r>
              <w:rPr>
                <w:lang w:val="en-US"/>
              </w:rPr>
              <w:t>14262</w:t>
            </w:r>
          </w:p>
        </w:tc>
        <w:tc>
          <w:tcPr>
            <w:tcW w:w="1609" w:type="dxa"/>
            <w:tcBorders>
              <w:top w:val="single" w:sz="4" w:space="0" w:color="auto"/>
              <w:bottom w:val="single" w:sz="4" w:space="0" w:color="auto"/>
            </w:tcBorders>
          </w:tcPr>
          <w:p w:rsidR="00000000" w:rsidRDefault="00000000">
            <w:pPr>
              <w:pStyle w:val="a6"/>
              <w:spacing w:before="20" w:after="20"/>
              <w:rPr>
                <w:lang w:val="en-US"/>
              </w:rPr>
            </w:pPr>
            <w:r>
              <w:rPr>
                <w:lang w:val="en-US"/>
              </w:rPr>
              <w:t>4796</w:t>
            </w:r>
          </w:p>
        </w:tc>
      </w:tr>
      <w:tr w:rsidR="00000000">
        <w:tblPrEx>
          <w:tblCellMar>
            <w:top w:w="0" w:type="dxa"/>
            <w:bottom w:w="0" w:type="dxa"/>
          </w:tblCellMar>
        </w:tblPrEx>
        <w:trPr>
          <w:jc w:val="center"/>
        </w:trPr>
        <w:tc>
          <w:tcPr>
            <w:tcW w:w="2269" w:type="dxa"/>
            <w:tcBorders>
              <w:top w:val="single" w:sz="4" w:space="0" w:color="auto"/>
              <w:bottom w:val="single" w:sz="4" w:space="0" w:color="auto"/>
            </w:tcBorders>
            <w:vAlign w:val="center"/>
          </w:tcPr>
          <w:p w:rsidR="00000000" w:rsidRDefault="00000000">
            <w:pPr>
              <w:pStyle w:val="a6"/>
              <w:spacing w:before="20" w:after="20"/>
              <w:rPr>
                <w:b/>
                <w:lang w:val="en-US"/>
              </w:rPr>
            </w:pPr>
            <w:r>
              <w:rPr>
                <w:b/>
                <w:lang w:val="en-US"/>
              </w:rPr>
              <w:t>SERRES</w:t>
            </w:r>
          </w:p>
        </w:tc>
        <w:tc>
          <w:tcPr>
            <w:tcW w:w="2694" w:type="dxa"/>
            <w:tcBorders>
              <w:top w:val="single" w:sz="4" w:space="0" w:color="auto"/>
              <w:bottom w:val="single" w:sz="4" w:space="0" w:color="auto"/>
            </w:tcBorders>
            <w:vAlign w:val="center"/>
          </w:tcPr>
          <w:p w:rsidR="00000000" w:rsidRDefault="00000000">
            <w:pPr>
              <w:pStyle w:val="a6"/>
              <w:spacing w:before="20" w:after="20"/>
              <w:rPr>
                <w:lang w:val="en-US"/>
              </w:rPr>
            </w:pPr>
            <w:r>
              <w:rPr>
                <w:lang w:val="en-US"/>
              </w:rPr>
              <w:t>SERRES</w:t>
            </w:r>
          </w:p>
        </w:tc>
        <w:tc>
          <w:tcPr>
            <w:tcW w:w="2835" w:type="dxa"/>
            <w:tcBorders>
              <w:top w:val="single" w:sz="4" w:space="0" w:color="auto"/>
              <w:bottom w:val="single" w:sz="4" w:space="0" w:color="auto"/>
            </w:tcBorders>
          </w:tcPr>
          <w:p w:rsidR="00000000" w:rsidRDefault="00000000">
            <w:pPr>
              <w:pStyle w:val="a6"/>
              <w:spacing w:before="20" w:after="20"/>
              <w:rPr>
                <w:lang w:val="en-US"/>
              </w:rPr>
            </w:pPr>
            <w:r>
              <w:rPr>
                <w:lang w:val="en-US"/>
              </w:rPr>
              <w:t>7343</w:t>
            </w:r>
          </w:p>
        </w:tc>
        <w:tc>
          <w:tcPr>
            <w:tcW w:w="1609" w:type="dxa"/>
            <w:tcBorders>
              <w:top w:val="single" w:sz="4" w:space="0" w:color="auto"/>
              <w:bottom w:val="single" w:sz="4" w:space="0" w:color="auto"/>
            </w:tcBorders>
          </w:tcPr>
          <w:p w:rsidR="00000000" w:rsidRDefault="00000000">
            <w:pPr>
              <w:pStyle w:val="a6"/>
              <w:spacing w:before="20" w:after="20"/>
              <w:rPr>
                <w:lang w:val="en-US"/>
              </w:rPr>
            </w:pPr>
            <w:r>
              <w:rPr>
                <w:lang w:val="en-US"/>
              </w:rPr>
              <w:t>3440</w:t>
            </w:r>
          </w:p>
        </w:tc>
      </w:tr>
      <w:tr w:rsidR="00000000">
        <w:tblPrEx>
          <w:tblCellMar>
            <w:top w:w="0" w:type="dxa"/>
            <w:bottom w:w="0" w:type="dxa"/>
          </w:tblCellMar>
        </w:tblPrEx>
        <w:trPr>
          <w:jc w:val="center"/>
        </w:trPr>
        <w:tc>
          <w:tcPr>
            <w:tcW w:w="2269" w:type="dxa"/>
            <w:tcBorders>
              <w:top w:val="single" w:sz="4" w:space="0" w:color="auto"/>
              <w:bottom w:val="single" w:sz="4" w:space="0" w:color="auto"/>
            </w:tcBorders>
            <w:vAlign w:val="center"/>
          </w:tcPr>
          <w:p w:rsidR="00000000" w:rsidRDefault="00000000">
            <w:pPr>
              <w:pStyle w:val="a6"/>
              <w:spacing w:before="20" w:after="20"/>
              <w:rPr>
                <w:b/>
                <w:lang w:val="en-US"/>
              </w:rPr>
            </w:pPr>
            <w:r>
              <w:rPr>
                <w:b/>
                <w:lang w:val="en-US"/>
              </w:rPr>
              <w:t>CHALKIDA</w:t>
            </w:r>
          </w:p>
        </w:tc>
        <w:tc>
          <w:tcPr>
            <w:tcW w:w="2694" w:type="dxa"/>
            <w:tcBorders>
              <w:top w:val="single" w:sz="4" w:space="0" w:color="auto"/>
              <w:bottom w:val="single" w:sz="4" w:space="0" w:color="auto"/>
            </w:tcBorders>
            <w:vAlign w:val="center"/>
          </w:tcPr>
          <w:p w:rsidR="00000000" w:rsidRDefault="00000000">
            <w:pPr>
              <w:pStyle w:val="a6"/>
              <w:spacing w:before="20" w:after="20"/>
              <w:rPr>
                <w:lang w:val="en-GB"/>
              </w:rPr>
            </w:pPr>
            <w:r>
              <w:rPr>
                <w:lang w:val="en-US"/>
              </w:rPr>
              <w:t>CHALKIDA</w:t>
            </w:r>
          </w:p>
        </w:tc>
        <w:tc>
          <w:tcPr>
            <w:tcW w:w="2835" w:type="dxa"/>
            <w:tcBorders>
              <w:top w:val="single" w:sz="4" w:space="0" w:color="auto"/>
              <w:bottom w:val="single" w:sz="4" w:space="0" w:color="auto"/>
            </w:tcBorders>
          </w:tcPr>
          <w:p w:rsidR="00000000" w:rsidRDefault="00000000">
            <w:pPr>
              <w:pStyle w:val="a6"/>
              <w:spacing w:before="20" w:after="20"/>
              <w:rPr>
                <w:lang w:val="en-GB"/>
              </w:rPr>
            </w:pPr>
            <w:r>
              <w:rPr>
                <w:lang w:val="en-GB"/>
              </w:rPr>
              <w:t>8332</w:t>
            </w:r>
          </w:p>
        </w:tc>
        <w:tc>
          <w:tcPr>
            <w:tcW w:w="1609" w:type="dxa"/>
            <w:tcBorders>
              <w:top w:val="single" w:sz="4" w:space="0" w:color="auto"/>
              <w:bottom w:val="single" w:sz="4" w:space="0" w:color="auto"/>
            </w:tcBorders>
          </w:tcPr>
          <w:p w:rsidR="00000000" w:rsidRDefault="00000000">
            <w:pPr>
              <w:pStyle w:val="a6"/>
              <w:spacing w:before="20" w:after="20"/>
              <w:rPr>
                <w:lang w:val="en-GB"/>
              </w:rPr>
            </w:pPr>
            <w:r>
              <w:rPr>
                <w:lang w:val="en-GB"/>
              </w:rPr>
              <w:t>3060</w:t>
            </w:r>
          </w:p>
        </w:tc>
      </w:tr>
      <w:tr w:rsidR="00000000">
        <w:tblPrEx>
          <w:tblCellMar>
            <w:top w:w="0" w:type="dxa"/>
            <w:bottom w:w="0" w:type="dxa"/>
          </w:tblCellMar>
        </w:tblPrEx>
        <w:trPr>
          <w:cantSplit/>
          <w:jc w:val="center"/>
        </w:trPr>
        <w:tc>
          <w:tcPr>
            <w:tcW w:w="4963" w:type="dxa"/>
            <w:gridSpan w:val="2"/>
            <w:tcBorders>
              <w:top w:val="single" w:sz="4" w:space="0" w:color="auto"/>
              <w:bottom w:val="single" w:sz="4" w:space="0" w:color="auto"/>
            </w:tcBorders>
          </w:tcPr>
          <w:p w:rsidR="00000000" w:rsidRDefault="00000000">
            <w:pPr>
              <w:pStyle w:val="a6"/>
              <w:spacing w:before="20" w:after="20"/>
              <w:rPr>
                <w:b/>
                <w:lang w:val="en-GB"/>
              </w:rPr>
            </w:pPr>
            <w:r>
              <w:rPr>
                <w:b/>
                <w:lang w:val="en-US"/>
              </w:rPr>
              <w:t>TOTAL</w:t>
            </w:r>
          </w:p>
        </w:tc>
        <w:tc>
          <w:tcPr>
            <w:tcW w:w="2835" w:type="dxa"/>
            <w:tcBorders>
              <w:top w:val="single" w:sz="4" w:space="0" w:color="auto"/>
              <w:bottom w:val="single" w:sz="4" w:space="0" w:color="auto"/>
            </w:tcBorders>
          </w:tcPr>
          <w:p w:rsidR="00000000" w:rsidRDefault="00000000">
            <w:pPr>
              <w:pStyle w:val="a6"/>
              <w:spacing w:before="20" w:after="20"/>
              <w:rPr>
                <w:b/>
                <w:lang w:val="en-GB"/>
              </w:rPr>
            </w:pPr>
            <w:r>
              <w:rPr>
                <w:b/>
                <w:lang w:val="en-GB"/>
              </w:rPr>
              <w:t>171553</w:t>
            </w:r>
          </w:p>
        </w:tc>
        <w:tc>
          <w:tcPr>
            <w:tcW w:w="1609" w:type="dxa"/>
            <w:tcBorders>
              <w:top w:val="single" w:sz="4" w:space="0" w:color="auto"/>
              <w:bottom w:val="single" w:sz="4" w:space="0" w:color="auto"/>
            </w:tcBorders>
          </w:tcPr>
          <w:p w:rsidR="00000000" w:rsidRDefault="00000000">
            <w:pPr>
              <w:pStyle w:val="a6"/>
              <w:spacing w:before="20" w:after="20"/>
              <w:rPr>
                <w:b/>
                <w:lang w:val="en-GB"/>
              </w:rPr>
            </w:pPr>
            <w:r>
              <w:rPr>
                <w:b/>
                <w:lang w:val="en-GB"/>
              </w:rPr>
              <w:t>86196</w:t>
            </w:r>
          </w:p>
        </w:tc>
      </w:tr>
      <w:tr w:rsidR="00000000">
        <w:tblPrEx>
          <w:tblCellMar>
            <w:top w:w="0" w:type="dxa"/>
            <w:bottom w:w="0" w:type="dxa"/>
          </w:tblCellMar>
        </w:tblPrEx>
        <w:trPr>
          <w:cantSplit/>
          <w:jc w:val="center"/>
        </w:trPr>
        <w:tc>
          <w:tcPr>
            <w:tcW w:w="4963" w:type="dxa"/>
            <w:gridSpan w:val="2"/>
            <w:tcBorders>
              <w:top w:val="single" w:sz="4" w:space="0" w:color="auto"/>
              <w:bottom w:val="single" w:sz="4" w:space="0" w:color="auto"/>
            </w:tcBorders>
          </w:tcPr>
          <w:p w:rsidR="00000000" w:rsidRDefault="00000000">
            <w:pPr>
              <w:pStyle w:val="a6"/>
              <w:spacing w:before="20" w:after="20"/>
              <w:rPr>
                <w:lang w:val="en-GB"/>
              </w:rPr>
            </w:pPr>
            <w:r>
              <w:rPr>
                <w:color w:val="000000"/>
              </w:rPr>
              <w:t>Α</w:t>
            </w:r>
            <w:r>
              <w:rPr>
                <w:color w:val="000000"/>
                <w:lang w:val="en-US"/>
              </w:rPr>
              <w:t>S</w:t>
            </w:r>
            <w:r>
              <w:rPr>
                <w:color w:val="000000"/>
              </w:rPr>
              <w:t>ΕΤΕΜ</w:t>
            </w:r>
            <w:r>
              <w:rPr>
                <w:color w:val="000000"/>
                <w:lang w:val="en-GB"/>
              </w:rPr>
              <w:t>-</w:t>
            </w:r>
            <w:r>
              <w:rPr>
                <w:color w:val="000000"/>
                <w:lang w:val="en-US"/>
              </w:rPr>
              <w:t xml:space="preserve">SELETE (School of Educators of Vocational  </w:t>
            </w:r>
            <w:r>
              <w:rPr>
                <w:color w:val="000000"/>
                <w:lang w:val="en-US"/>
              </w:rPr>
              <w:br/>
              <w:t>&amp;</w:t>
            </w:r>
            <w:r>
              <w:rPr>
                <w:lang w:val="en-US"/>
              </w:rPr>
              <w:t xml:space="preserve"> Technical Education)</w:t>
            </w:r>
          </w:p>
        </w:tc>
        <w:tc>
          <w:tcPr>
            <w:tcW w:w="2835" w:type="dxa"/>
            <w:tcBorders>
              <w:top w:val="single" w:sz="4" w:space="0" w:color="auto"/>
              <w:bottom w:val="single" w:sz="4" w:space="0" w:color="auto"/>
            </w:tcBorders>
          </w:tcPr>
          <w:p w:rsidR="00000000" w:rsidRDefault="00000000">
            <w:pPr>
              <w:pStyle w:val="a6"/>
              <w:spacing w:before="20" w:after="20"/>
              <w:rPr>
                <w:lang w:val="en-GB"/>
              </w:rPr>
            </w:pPr>
            <w:r>
              <w:rPr>
                <w:lang w:val="en-GB"/>
              </w:rPr>
              <w:t>1328</w:t>
            </w:r>
          </w:p>
        </w:tc>
        <w:tc>
          <w:tcPr>
            <w:tcW w:w="1609" w:type="dxa"/>
            <w:tcBorders>
              <w:top w:val="single" w:sz="4" w:space="0" w:color="auto"/>
              <w:bottom w:val="single" w:sz="4" w:space="0" w:color="auto"/>
            </w:tcBorders>
          </w:tcPr>
          <w:p w:rsidR="00000000" w:rsidRDefault="00000000">
            <w:pPr>
              <w:pStyle w:val="a6"/>
              <w:spacing w:before="20" w:after="20"/>
              <w:rPr>
                <w:lang w:val="en-GB"/>
              </w:rPr>
            </w:pPr>
            <w:r>
              <w:rPr>
                <w:lang w:val="en-GB"/>
              </w:rPr>
              <w:t>352</w:t>
            </w:r>
          </w:p>
        </w:tc>
      </w:tr>
      <w:tr w:rsidR="00000000">
        <w:tblPrEx>
          <w:tblCellMar>
            <w:top w:w="0" w:type="dxa"/>
            <w:bottom w:w="0" w:type="dxa"/>
          </w:tblCellMar>
        </w:tblPrEx>
        <w:trPr>
          <w:cantSplit/>
          <w:jc w:val="center"/>
        </w:trPr>
        <w:tc>
          <w:tcPr>
            <w:tcW w:w="4963" w:type="dxa"/>
            <w:gridSpan w:val="2"/>
            <w:tcBorders>
              <w:top w:val="single" w:sz="4" w:space="0" w:color="auto"/>
              <w:bottom w:val="single" w:sz="4" w:space="0" w:color="auto"/>
            </w:tcBorders>
            <w:vAlign w:val="center"/>
          </w:tcPr>
          <w:p w:rsidR="00000000" w:rsidRDefault="00000000">
            <w:pPr>
              <w:pStyle w:val="a6"/>
              <w:spacing w:before="20" w:after="20"/>
              <w:rPr>
                <w:b/>
                <w:w w:val="150"/>
                <w:lang w:val="en-GB"/>
              </w:rPr>
            </w:pPr>
            <w:r>
              <w:rPr>
                <w:b/>
                <w:w w:val="150"/>
                <w:lang w:val="en-US"/>
              </w:rPr>
              <w:t>GENERAL TOTAL</w:t>
            </w:r>
          </w:p>
        </w:tc>
        <w:tc>
          <w:tcPr>
            <w:tcW w:w="2835" w:type="dxa"/>
            <w:tcBorders>
              <w:top w:val="single" w:sz="4" w:space="0" w:color="auto"/>
              <w:bottom w:val="single" w:sz="4" w:space="0" w:color="auto"/>
            </w:tcBorders>
            <w:vAlign w:val="center"/>
          </w:tcPr>
          <w:p w:rsidR="00000000" w:rsidRDefault="00000000">
            <w:pPr>
              <w:pStyle w:val="a6"/>
              <w:spacing w:before="20" w:after="20"/>
              <w:rPr>
                <w:b/>
                <w:w w:val="150"/>
                <w:lang w:val="en-GB"/>
              </w:rPr>
            </w:pPr>
            <w:r>
              <w:rPr>
                <w:b/>
                <w:w w:val="150"/>
                <w:lang w:val="en-GB"/>
              </w:rPr>
              <w:t>172881</w:t>
            </w:r>
          </w:p>
        </w:tc>
        <w:tc>
          <w:tcPr>
            <w:tcW w:w="1609" w:type="dxa"/>
            <w:tcBorders>
              <w:top w:val="single" w:sz="4" w:space="0" w:color="auto"/>
              <w:bottom w:val="single" w:sz="4" w:space="0" w:color="auto"/>
            </w:tcBorders>
            <w:vAlign w:val="center"/>
          </w:tcPr>
          <w:p w:rsidR="00000000" w:rsidRDefault="00000000">
            <w:pPr>
              <w:pStyle w:val="a6"/>
              <w:spacing w:before="20" w:after="20"/>
              <w:rPr>
                <w:b/>
                <w:w w:val="150"/>
                <w:lang w:val="en-GB"/>
              </w:rPr>
            </w:pPr>
            <w:r>
              <w:rPr>
                <w:b/>
                <w:w w:val="150"/>
                <w:lang w:val="en-GB"/>
              </w:rPr>
              <w:t>86548</w:t>
            </w:r>
          </w:p>
        </w:tc>
      </w:tr>
    </w:tbl>
    <w:p w:rsidR="00000000" w:rsidRDefault="00000000">
      <w:pPr>
        <w:tabs>
          <w:tab w:val="left" w:pos="567"/>
          <w:tab w:val="left" w:pos="1021"/>
          <w:tab w:val="left" w:pos="1474"/>
          <w:tab w:val="left" w:pos="1928"/>
        </w:tabs>
        <w:jc w:val="center"/>
        <w:rPr>
          <w:b/>
          <w:color w:val="000000"/>
          <w:lang w:val="en-US"/>
        </w:rPr>
      </w:pPr>
    </w:p>
    <w:p w:rsidR="00000000" w:rsidRDefault="00000000">
      <w:pPr>
        <w:tabs>
          <w:tab w:val="left" w:pos="567"/>
          <w:tab w:val="left" w:pos="1021"/>
          <w:tab w:val="left" w:pos="1474"/>
          <w:tab w:val="left" w:pos="1928"/>
        </w:tabs>
        <w:jc w:val="center"/>
        <w:rPr>
          <w:caps/>
          <w:color w:val="000000"/>
          <w:lang w:val="en-GB"/>
        </w:rPr>
      </w:pPr>
      <w:r>
        <w:rPr>
          <w:b/>
          <w:color w:val="000000"/>
          <w:lang w:val="en-US"/>
        </w:rPr>
        <w:t>TABLE</w:t>
      </w:r>
      <w:r>
        <w:rPr>
          <w:b/>
          <w:color w:val="000000"/>
          <w:lang w:val="en-GB"/>
        </w:rPr>
        <w:t xml:space="preserve"> 6</w:t>
      </w:r>
    </w:p>
    <w:p w:rsidR="00000000" w:rsidRDefault="00000000">
      <w:pPr>
        <w:pStyle w:val="-0"/>
        <w:rPr>
          <w:lang w:val="en-GB"/>
        </w:rPr>
      </w:pPr>
      <w:r>
        <w:rPr>
          <w:color w:val="000000"/>
          <w:lang w:val="en-GB"/>
        </w:rPr>
        <w:t>(</w:t>
      </w:r>
      <w:r>
        <w:rPr>
          <w:color w:val="000000"/>
          <w:lang w:val="en-US"/>
        </w:rPr>
        <w:t>Source</w:t>
      </w:r>
      <w:r>
        <w:rPr>
          <w:color w:val="000000"/>
          <w:lang w:val="en-GB"/>
        </w:rPr>
        <w:t xml:space="preserve"> </w:t>
      </w:r>
      <w:r>
        <w:rPr>
          <w:lang w:val="en-US"/>
        </w:rPr>
        <w:t>Ministry of National Education and Religious Affairs</w:t>
      </w:r>
      <w:r>
        <w:rPr>
          <w:lang w:val="en-GB"/>
        </w:rPr>
        <w:t xml:space="preserve"> Directorate for Planning and Operational Research</w:t>
      </w:r>
      <w:r>
        <w:rPr>
          <w:color w:val="000000"/>
          <w:lang w:val="en-GB"/>
        </w:rPr>
        <w:t>,</w:t>
      </w:r>
      <w:r>
        <w:rPr>
          <w:lang w:val="en-GB"/>
        </w:rPr>
        <w:t xml:space="preserve"> Dept. of Op. Research &amp; Statistics)</w:t>
      </w:r>
    </w:p>
    <w:p w:rsidR="00000000" w:rsidRDefault="00000000">
      <w:pPr>
        <w:tabs>
          <w:tab w:val="left" w:pos="567"/>
          <w:tab w:val="left" w:pos="1021"/>
          <w:tab w:val="left" w:pos="1474"/>
          <w:tab w:val="left" w:pos="1928"/>
        </w:tabs>
        <w:jc w:val="center"/>
        <w:rPr>
          <w:b/>
          <w:lang w:val="en-GB"/>
        </w:rPr>
      </w:pPr>
      <w:r>
        <w:rPr>
          <w:b/>
          <w:lang w:val="en-US"/>
        </w:rPr>
        <w:br w:type="page"/>
        <w:t>NUMBER OF STUDENTS</w:t>
      </w:r>
      <w:r>
        <w:rPr>
          <w:b/>
          <w:lang w:val="en-GB"/>
        </w:rPr>
        <w:t xml:space="preserve"> </w:t>
      </w:r>
      <w:r>
        <w:rPr>
          <w:b/>
          <w:lang w:val="en-US"/>
        </w:rPr>
        <w:t>ENROLLED</w:t>
      </w:r>
      <w:r>
        <w:rPr>
          <w:b/>
          <w:lang w:val="en-GB"/>
        </w:rPr>
        <w:t xml:space="preserve"> IN UNIVERSITIES 2000 - 2001</w:t>
      </w:r>
    </w:p>
    <w:tbl>
      <w:tblPr>
        <w:tblW w:w="0" w:type="auto"/>
        <w:jc w:val="center"/>
        <w:tblBorders>
          <w:top w:val="single" w:sz="4" w:space="0" w:color="auto"/>
          <w:bottom w:val="single" w:sz="4" w:space="0" w:color="auto"/>
        </w:tblBorders>
        <w:tblLayout w:type="fixed"/>
        <w:tblLook w:val="0000" w:firstRow="0" w:lastRow="0" w:firstColumn="0" w:lastColumn="0" w:noHBand="0" w:noVBand="0"/>
      </w:tblPr>
      <w:tblGrid>
        <w:gridCol w:w="6383"/>
        <w:gridCol w:w="1701"/>
        <w:gridCol w:w="1330"/>
      </w:tblGrid>
      <w:tr w:rsidR="00000000">
        <w:tblPrEx>
          <w:tblCellMar>
            <w:top w:w="0" w:type="dxa"/>
            <w:bottom w:w="0" w:type="dxa"/>
          </w:tblCellMar>
        </w:tblPrEx>
        <w:trPr>
          <w:jc w:val="center"/>
        </w:trPr>
        <w:tc>
          <w:tcPr>
            <w:tcW w:w="6383" w:type="dxa"/>
            <w:tcBorders>
              <w:top w:val="single" w:sz="4" w:space="0" w:color="auto"/>
              <w:bottom w:val="single" w:sz="4" w:space="0" w:color="auto"/>
            </w:tcBorders>
            <w:vAlign w:val="center"/>
          </w:tcPr>
          <w:p w:rsidR="00000000" w:rsidRDefault="00000000">
            <w:pPr>
              <w:pStyle w:val="a6"/>
              <w:rPr>
                <w:b/>
                <w:lang w:val="en-US"/>
              </w:rPr>
            </w:pPr>
            <w:r>
              <w:rPr>
                <w:b/>
                <w:lang w:val="en-US"/>
              </w:rPr>
              <w:t>UNIVERSITIES</w:t>
            </w:r>
          </w:p>
        </w:tc>
        <w:tc>
          <w:tcPr>
            <w:tcW w:w="1701" w:type="dxa"/>
            <w:tcBorders>
              <w:top w:val="single" w:sz="4" w:space="0" w:color="auto"/>
              <w:bottom w:val="single" w:sz="4" w:space="0" w:color="auto"/>
            </w:tcBorders>
            <w:vAlign w:val="center"/>
          </w:tcPr>
          <w:p w:rsidR="00000000" w:rsidRDefault="00000000">
            <w:pPr>
              <w:pStyle w:val="a6"/>
              <w:rPr>
                <w:b/>
                <w:lang w:val="en-GB"/>
              </w:rPr>
            </w:pPr>
            <w:r>
              <w:rPr>
                <w:b/>
                <w:lang w:val="en-US"/>
              </w:rPr>
              <w:t>TOTAL No of ENROLLED STUDENTS</w:t>
            </w:r>
          </w:p>
        </w:tc>
        <w:tc>
          <w:tcPr>
            <w:tcW w:w="1330" w:type="dxa"/>
            <w:tcBorders>
              <w:top w:val="single" w:sz="4" w:space="0" w:color="auto"/>
              <w:bottom w:val="single" w:sz="4" w:space="0" w:color="auto"/>
            </w:tcBorders>
            <w:vAlign w:val="center"/>
          </w:tcPr>
          <w:p w:rsidR="00000000" w:rsidRDefault="00000000">
            <w:pPr>
              <w:pStyle w:val="a6"/>
              <w:rPr>
                <w:b/>
                <w:lang w:val="en-US"/>
              </w:rPr>
            </w:pPr>
            <w:r>
              <w:rPr>
                <w:b/>
                <w:lang w:val="en-US"/>
              </w:rPr>
              <w:t>WOMEN</w:t>
            </w:r>
          </w:p>
        </w:tc>
      </w:tr>
      <w:tr w:rsidR="00000000">
        <w:tblPrEx>
          <w:tblCellMar>
            <w:top w:w="0" w:type="dxa"/>
            <w:bottom w:w="0" w:type="dxa"/>
          </w:tblCellMar>
        </w:tblPrEx>
        <w:trPr>
          <w:jc w:val="center"/>
        </w:trPr>
        <w:tc>
          <w:tcPr>
            <w:tcW w:w="6383" w:type="dxa"/>
            <w:tcBorders>
              <w:top w:val="single" w:sz="4" w:space="0" w:color="auto"/>
            </w:tcBorders>
          </w:tcPr>
          <w:p w:rsidR="00000000" w:rsidRDefault="00000000">
            <w:pPr>
              <w:pStyle w:val="a6"/>
              <w:spacing w:before="60" w:after="60"/>
              <w:jc w:val="left"/>
              <w:rPr>
                <w:lang w:val="en-US"/>
              </w:rPr>
            </w:pPr>
            <w:r>
              <w:rPr>
                <w:lang w:val="en-US"/>
              </w:rPr>
              <w:t>NATIONAL AND KAPODISTRIAN UNIVERSITY OF ATHENS</w:t>
            </w:r>
          </w:p>
        </w:tc>
        <w:tc>
          <w:tcPr>
            <w:tcW w:w="1701" w:type="dxa"/>
            <w:tcBorders>
              <w:top w:val="single" w:sz="4" w:space="0" w:color="auto"/>
            </w:tcBorders>
            <w:vAlign w:val="center"/>
          </w:tcPr>
          <w:p w:rsidR="00000000" w:rsidRDefault="00000000">
            <w:pPr>
              <w:pStyle w:val="a6"/>
              <w:spacing w:before="60" w:after="60"/>
              <w:rPr>
                <w:lang w:val="en-US"/>
              </w:rPr>
            </w:pPr>
            <w:r>
              <w:rPr>
                <w:lang w:val="en-US"/>
              </w:rPr>
              <w:t>87.207</w:t>
            </w:r>
          </w:p>
        </w:tc>
        <w:tc>
          <w:tcPr>
            <w:tcW w:w="1330" w:type="dxa"/>
            <w:tcBorders>
              <w:top w:val="single" w:sz="4" w:space="0" w:color="auto"/>
            </w:tcBorders>
          </w:tcPr>
          <w:p w:rsidR="00000000" w:rsidRDefault="00000000">
            <w:pPr>
              <w:pStyle w:val="a6"/>
              <w:spacing w:before="60" w:after="60"/>
              <w:rPr>
                <w:lang w:val="en-US"/>
              </w:rPr>
            </w:pPr>
            <w:r>
              <w:rPr>
                <w:lang w:val="en-US"/>
              </w:rPr>
              <w:t>50358</w:t>
            </w:r>
          </w:p>
        </w:tc>
      </w:tr>
      <w:tr w:rsidR="00000000">
        <w:tblPrEx>
          <w:tblCellMar>
            <w:top w:w="0" w:type="dxa"/>
            <w:bottom w:w="0" w:type="dxa"/>
          </w:tblCellMar>
        </w:tblPrEx>
        <w:trPr>
          <w:cantSplit/>
          <w:jc w:val="center"/>
        </w:trPr>
        <w:tc>
          <w:tcPr>
            <w:tcW w:w="6383" w:type="dxa"/>
          </w:tcPr>
          <w:p w:rsidR="00000000" w:rsidRDefault="00000000">
            <w:pPr>
              <w:pStyle w:val="a6"/>
              <w:spacing w:before="60" w:after="60"/>
              <w:jc w:val="left"/>
              <w:rPr>
                <w:lang w:val="en-US"/>
              </w:rPr>
            </w:pPr>
            <w:r>
              <w:rPr>
                <w:lang w:val="en-US"/>
              </w:rPr>
              <w:t>NATIONAL TECHNICAL UNIVERSITY OF ATHENS</w:t>
            </w:r>
          </w:p>
        </w:tc>
        <w:tc>
          <w:tcPr>
            <w:tcW w:w="1701" w:type="dxa"/>
            <w:vAlign w:val="center"/>
          </w:tcPr>
          <w:p w:rsidR="00000000" w:rsidRDefault="00000000">
            <w:pPr>
              <w:pStyle w:val="a6"/>
              <w:spacing w:before="60" w:after="60"/>
              <w:rPr>
                <w:lang w:val="en-US"/>
              </w:rPr>
            </w:pPr>
            <w:r>
              <w:rPr>
                <w:lang w:val="en-US"/>
              </w:rPr>
              <w:t>10664</w:t>
            </w:r>
          </w:p>
        </w:tc>
        <w:tc>
          <w:tcPr>
            <w:tcW w:w="1330" w:type="dxa"/>
          </w:tcPr>
          <w:p w:rsidR="00000000" w:rsidRDefault="00000000">
            <w:pPr>
              <w:pStyle w:val="a6"/>
              <w:spacing w:before="60" w:after="60"/>
              <w:rPr>
                <w:lang w:val="en-US"/>
              </w:rPr>
            </w:pPr>
            <w:r>
              <w:rPr>
                <w:lang w:val="en-US"/>
              </w:rPr>
              <w:t>3143</w:t>
            </w:r>
          </w:p>
        </w:tc>
      </w:tr>
      <w:tr w:rsidR="00000000">
        <w:tblPrEx>
          <w:tblCellMar>
            <w:top w:w="0" w:type="dxa"/>
            <w:bottom w:w="0" w:type="dxa"/>
          </w:tblCellMar>
        </w:tblPrEx>
        <w:trPr>
          <w:cantSplit/>
          <w:jc w:val="center"/>
        </w:trPr>
        <w:tc>
          <w:tcPr>
            <w:tcW w:w="6383" w:type="dxa"/>
          </w:tcPr>
          <w:p w:rsidR="00000000" w:rsidRDefault="00000000">
            <w:pPr>
              <w:pStyle w:val="a6"/>
              <w:spacing w:before="60" w:after="60"/>
              <w:jc w:val="left"/>
              <w:rPr>
                <w:lang w:val="en-US"/>
              </w:rPr>
            </w:pPr>
            <w:r>
              <w:rPr>
                <w:lang w:val="en-US"/>
              </w:rPr>
              <w:t>ARISTOTLE UNIVERSITY OF THESSALONIKI</w:t>
            </w:r>
          </w:p>
        </w:tc>
        <w:tc>
          <w:tcPr>
            <w:tcW w:w="1701" w:type="dxa"/>
            <w:vAlign w:val="center"/>
          </w:tcPr>
          <w:p w:rsidR="00000000" w:rsidRDefault="00000000">
            <w:pPr>
              <w:pStyle w:val="a6"/>
              <w:spacing w:before="60" w:after="60"/>
              <w:rPr>
                <w:lang w:val="en-US"/>
              </w:rPr>
            </w:pPr>
            <w:r>
              <w:rPr>
                <w:lang w:val="en-US"/>
              </w:rPr>
              <w:t>90788</w:t>
            </w:r>
          </w:p>
        </w:tc>
        <w:tc>
          <w:tcPr>
            <w:tcW w:w="1330" w:type="dxa"/>
          </w:tcPr>
          <w:p w:rsidR="00000000" w:rsidRDefault="00000000">
            <w:pPr>
              <w:pStyle w:val="a6"/>
              <w:spacing w:before="60" w:after="60"/>
              <w:rPr>
                <w:lang w:val="en-US"/>
              </w:rPr>
            </w:pPr>
            <w:r>
              <w:rPr>
                <w:lang w:val="en-US"/>
              </w:rPr>
              <w:t>48635</w:t>
            </w:r>
          </w:p>
        </w:tc>
      </w:tr>
      <w:tr w:rsidR="00000000">
        <w:tblPrEx>
          <w:tblCellMar>
            <w:top w:w="0" w:type="dxa"/>
            <w:bottom w:w="0" w:type="dxa"/>
          </w:tblCellMar>
        </w:tblPrEx>
        <w:trPr>
          <w:cantSplit/>
          <w:jc w:val="center"/>
        </w:trPr>
        <w:tc>
          <w:tcPr>
            <w:tcW w:w="6383" w:type="dxa"/>
          </w:tcPr>
          <w:p w:rsidR="00000000" w:rsidRDefault="00000000">
            <w:pPr>
              <w:pStyle w:val="a6"/>
              <w:spacing w:before="60" w:after="60"/>
              <w:jc w:val="left"/>
              <w:rPr>
                <w:lang w:val="en-US"/>
              </w:rPr>
            </w:pPr>
            <w:r>
              <w:rPr>
                <w:lang w:val="en-US"/>
              </w:rPr>
              <w:t xml:space="preserve">ATHENS UNIVERSITY OF ECONOMICS </w:t>
            </w:r>
          </w:p>
        </w:tc>
        <w:tc>
          <w:tcPr>
            <w:tcW w:w="1701" w:type="dxa"/>
            <w:vAlign w:val="center"/>
          </w:tcPr>
          <w:p w:rsidR="00000000" w:rsidRDefault="00000000">
            <w:pPr>
              <w:pStyle w:val="a6"/>
              <w:spacing w:before="60" w:after="60"/>
              <w:rPr>
                <w:lang w:val="en-US"/>
              </w:rPr>
            </w:pPr>
            <w:r>
              <w:rPr>
                <w:lang w:val="en-US"/>
              </w:rPr>
              <w:t>21781</w:t>
            </w:r>
          </w:p>
        </w:tc>
        <w:tc>
          <w:tcPr>
            <w:tcW w:w="1330" w:type="dxa"/>
          </w:tcPr>
          <w:p w:rsidR="00000000" w:rsidRDefault="00000000">
            <w:pPr>
              <w:pStyle w:val="a6"/>
              <w:spacing w:before="60" w:after="60"/>
              <w:rPr>
                <w:lang w:val="en-US"/>
              </w:rPr>
            </w:pPr>
            <w:r>
              <w:rPr>
                <w:lang w:val="en-US"/>
              </w:rPr>
              <w:t>9875</w:t>
            </w:r>
          </w:p>
        </w:tc>
      </w:tr>
      <w:tr w:rsidR="00000000">
        <w:tblPrEx>
          <w:tblCellMar>
            <w:top w:w="0" w:type="dxa"/>
            <w:bottom w:w="0" w:type="dxa"/>
          </w:tblCellMar>
        </w:tblPrEx>
        <w:trPr>
          <w:cantSplit/>
          <w:jc w:val="center"/>
        </w:trPr>
        <w:tc>
          <w:tcPr>
            <w:tcW w:w="6383" w:type="dxa"/>
          </w:tcPr>
          <w:p w:rsidR="00000000" w:rsidRDefault="00000000">
            <w:pPr>
              <w:pStyle w:val="a6"/>
              <w:spacing w:before="60" w:after="60"/>
              <w:jc w:val="left"/>
              <w:rPr>
                <w:lang w:val="en-US"/>
              </w:rPr>
            </w:pPr>
            <w:r>
              <w:rPr>
                <w:lang w:val="en-US"/>
              </w:rPr>
              <w:t>AGRICULTURAL UNIVERSITY OF ATHENS</w:t>
            </w:r>
          </w:p>
        </w:tc>
        <w:tc>
          <w:tcPr>
            <w:tcW w:w="1701" w:type="dxa"/>
            <w:vAlign w:val="center"/>
          </w:tcPr>
          <w:p w:rsidR="00000000" w:rsidRDefault="00000000">
            <w:pPr>
              <w:pStyle w:val="a6"/>
              <w:spacing w:before="60" w:after="60"/>
              <w:rPr>
                <w:lang w:val="en-GB"/>
              </w:rPr>
            </w:pPr>
            <w:r>
              <w:rPr>
                <w:lang w:val="en-GB"/>
              </w:rPr>
              <w:t>3411</w:t>
            </w:r>
          </w:p>
        </w:tc>
        <w:tc>
          <w:tcPr>
            <w:tcW w:w="1330" w:type="dxa"/>
          </w:tcPr>
          <w:p w:rsidR="00000000" w:rsidRDefault="00000000">
            <w:pPr>
              <w:pStyle w:val="a6"/>
              <w:spacing w:before="60" w:after="60"/>
              <w:rPr>
                <w:lang w:val="en-GB"/>
              </w:rPr>
            </w:pPr>
            <w:r>
              <w:rPr>
                <w:lang w:val="en-GB"/>
              </w:rPr>
              <w:t>1205</w:t>
            </w:r>
          </w:p>
        </w:tc>
      </w:tr>
      <w:tr w:rsidR="00000000">
        <w:tblPrEx>
          <w:tblCellMar>
            <w:top w:w="0" w:type="dxa"/>
            <w:bottom w:w="0" w:type="dxa"/>
          </w:tblCellMar>
        </w:tblPrEx>
        <w:trPr>
          <w:cantSplit/>
          <w:jc w:val="center"/>
        </w:trPr>
        <w:tc>
          <w:tcPr>
            <w:tcW w:w="6383" w:type="dxa"/>
          </w:tcPr>
          <w:p w:rsidR="00000000" w:rsidRDefault="00000000">
            <w:pPr>
              <w:pStyle w:val="a6"/>
              <w:spacing w:before="60" w:after="60"/>
              <w:jc w:val="left"/>
              <w:rPr>
                <w:lang w:val="en-GB"/>
              </w:rPr>
            </w:pPr>
            <w:r>
              <w:rPr>
                <w:lang w:val="en-US"/>
              </w:rPr>
              <w:t>ATHENS SCHOOL OF FINE ARTS</w:t>
            </w:r>
          </w:p>
        </w:tc>
        <w:tc>
          <w:tcPr>
            <w:tcW w:w="1701" w:type="dxa"/>
            <w:vAlign w:val="center"/>
          </w:tcPr>
          <w:p w:rsidR="00000000" w:rsidRDefault="00000000">
            <w:pPr>
              <w:pStyle w:val="a6"/>
              <w:spacing w:before="60" w:after="60"/>
              <w:rPr>
                <w:lang w:val="en-US"/>
              </w:rPr>
            </w:pPr>
            <w:r>
              <w:rPr>
                <w:lang w:val="en-US"/>
              </w:rPr>
              <w:t>1010</w:t>
            </w:r>
          </w:p>
        </w:tc>
        <w:tc>
          <w:tcPr>
            <w:tcW w:w="1330" w:type="dxa"/>
          </w:tcPr>
          <w:p w:rsidR="00000000" w:rsidRDefault="00000000">
            <w:pPr>
              <w:pStyle w:val="a6"/>
              <w:spacing w:before="60" w:after="60"/>
              <w:rPr>
                <w:lang w:val="en-US"/>
              </w:rPr>
            </w:pPr>
            <w:r>
              <w:rPr>
                <w:lang w:val="en-US"/>
              </w:rPr>
              <w:t>618</w:t>
            </w:r>
          </w:p>
        </w:tc>
      </w:tr>
      <w:tr w:rsidR="00000000">
        <w:tblPrEx>
          <w:tblCellMar>
            <w:top w:w="0" w:type="dxa"/>
            <w:bottom w:w="0" w:type="dxa"/>
          </w:tblCellMar>
        </w:tblPrEx>
        <w:trPr>
          <w:cantSplit/>
          <w:jc w:val="center"/>
        </w:trPr>
        <w:tc>
          <w:tcPr>
            <w:tcW w:w="6383" w:type="dxa"/>
          </w:tcPr>
          <w:p w:rsidR="00000000" w:rsidRDefault="00000000">
            <w:pPr>
              <w:pStyle w:val="a6"/>
              <w:spacing w:before="60" w:after="60"/>
              <w:jc w:val="left"/>
              <w:rPr>
                <w:lang w:val="en-US"/>
              </w:rPr>
            </w:pPr>
            <w:r>
              <w:rPr>
                <w:lang w:val="en-US"/>
              </w:rPr>
              <w:t>PANTEION UNIVERSITY OF SOCIAL AND POLITICAL SCIENCES</w:t>
            </w:r>
          </w:p>
        </w:tc>
        <w:tc>
          <w:tcPr>
            <w:tcW w:w="1701" w:type="dxa"/>
            <w:vAlign w:val="center"/>
          </w:tcPr>
          <w:p w:rsidR="00000000" w:rsidRDefault="00000000">
            <w:pPr>
              <w:pStyle w:val="a6"/>
              <w:spacing w:before="60" w:after="60"/>
              <w:rPr>
                <w:lang w:val="en-US"/>
              </w:rPr>
            </w:pPr>
            <w:r>
              <w:rPr>
                <w:lang w:val="en-US"/>
              </w:rPr>
              <w:t>13802</w:t>
            </w:r>
          </w:p>
        </w:tc>
        <w:tc>
          <w:tcPr>
            <w:tcW w:w="1330" w:type="dxa"/>
          </w:tcPr>
          <w:p w:rsidR="00000000" w:rsidRDefault="00000000">
            <w:pPr>
              <w:pStyle w:val="a6"/>
              <w:spacing w:before="60" w:after="60"/>
              <w:rPr>
                <w:lang w:val="en-US"/>
              </w:rPr>
            </w:pPr>
            <w:r>
              <w:rPr>
                <w:lang w:val="en-US"/>
              </w:rPr>
              <w:t>8552</w:t>
            </w:r>
          </w:p>
        </w:tc>
      </w:tr>
      <w:tr w:rsidR="00000000">
        <w:tblPrEx>
          <w:tblCellMar>
            <w:top w:w="0" w:type="dxa"/>
            <w:bottom w:w="0" w:type="dxa"/>
          </w:tblCellMar>
        </w:tblPrEx>
        <w:trPr>
          <w:cantSplit/>
          <w:jc w:val="center"/>
        </w:trPr>
        <w:tc>
          <w:tcPr>
            <w:tcW w:w="6383" w:type="dxa"/>
          </w:tcPr>
          <w:p w:rsidR="00000000" w:rsidRDefault="00000000">
            <w:pPr>
              <w:pStyle w:val="a6"/>
              <w:spacing w:before="60" w:after="60"/>
              <w:jc w:val="left"/>
              <w:rPr>
                <w:lang w:val="en-US"/>
              </w:rPr>
            </w:pPr>
            <w:r>
              <w:rPr>
                <w:lang w:val="en-US"/>
              </w:rPr>
              <w:t>UNIVERSITY OF PIRAEUS</w:t>
            </w:r>
          </w:p>
        </w:tc>
        <w:tc>
          <w:tcPr>
            <w:tcW w:w="1701" w:type="dxa"/>
            <w:vAlign w:val="center"/>
          </w:tcPr>
          <w:p w:rsidR="00000000" w:rsidRDefault="00000000">
            <w:pPr>
              <w:pStyle w:val="a6"/>
              <w:spacing w:before="60" w:after="60"/>
              <w:rPr>
                <w:lang w:val="en-US"/>
              </w:rPr>
            </w:pPr>
            <w:r>
              <w:rPr>
                <w:lang w:val="en-US"/>
              </w:rPr>
              <w:t>17625</w:t>
            </w:r>
          </w:p>
        </w:tc>
        <w:tc>
          <w:tcPr>
            <w:tcW w:w="1330" w:type="dxa"/>
          </w:tcPr>
          <w:p w:rsidR="00000000" w:rsidRDefault="00000000">
            <w:pPr>
              <w:pStyle w:val="a6"/>
              <w:spacing w:before="60" w:after="60"/>
              <w:rPr>
                <w:lang w:val="en-US"/>
              </w:rPr>
            </w:pPr>
            <w:r>
              <w:rPr>
                <w:lang w:val="en-US"/>
              </w:rPr>
              <w:t>7470</w:t>
            </w:r>
          </w:p>
        </w:tc>
      </w:tr>
      <w:tr w:rsidR="00000000">
        <w:tblPrEx>
          <w:tblCellMar>
            <w:top w:w="0" w:type="dxa"/>
            <w:bottom w:w="0" w:type="dxa"/>
          </w:tblCellMar>
        </w:tblPrEx>
        <w:trPr>
          <w:cantSplit/>
          <w:jc w:val="center"/>
        </w:trPr>
        <w:tc>
          <w:tcPr>
            <w:tcW w:w="6383" w:type="dxa"/>
          </w:tcPr>
          <w:p w:rsidR="00000000" w:rsidRDefault="00000000">
            <w:pPr>
              <w:pStyle w:val="a6"/>
              <w:spacing w:before="60" w:after="60"/>
              <w:jc w:val="left"/>
              <w:rPr>
                <w:lang w:val="en-US"/>
              </w:rPr>
            </w:pPr>
            <w:r>
              <w:rPr>
                <w:lang w:val="en-US"/>
              </w:rPr>
              <w:t>UNIVERSITY OF MACEDONIA</w:t>
            </w:r>
          </w:p>
        </w:tc>
        <w:tc>
          <w:tcPr>
            <w:tcW w:w="1701" w:type="dxa"/>
            <w:vAlign w:val="center"/>
          </w:tcPr>
          <w:p w:rsidR="00000000" w:rsidRDefault="00000000">
            <w:pPr>
              <w:pStyle w:val="a6"/>
              <w:spacing w:before="60" w:after="60"/>
              <w:rPr>
                <w:lang w:val="en-US"/>
              </w:rPr>
            </w:pPr>
            <w:r>
              <w:rPr>
                <w:lang w:val="en-US"/>
              </w:rPr>
              <w:t>12194</w:t>
            </w:r>
          </w:p>
        </w:tc>
        <w:tc>
          <w:tcPr>
            <w:tcW w:w="1330" w:type="dxa"/>
          </w:tcPr>
          <w:p w:rsidR="00000000" w:rsidRDefault="00000000">
            <w:pPr>
              <w:pStyle w:val="a6"/>
              <w:spacing w:before="60" w:after="60"/>
              <w:rPr>
                <w:lang w:val="en-US"/>
              </w:rPr>
            </w:pPr>
            <w:r>
              <w:rPr>
                <w:lang w:val="en-US"/>
              </w:rPr>
              <w:t>5399</w:t>
            </w:r>
          </w:p>
        </w:tc>
      </w:tr>
      <w:tr w:rsidR="00000000">
        <w:tblPrEx>
          <w:tblCellMar>
            <w:top w:w="0" w:type="dxa"/>
            <w:bottom w:w="0" w:type="dxa"/>
          </w:tblCellMar>
        </w:tblPrEx>
        <w:trPr>
          <w:cantSplit/>
          <w:jc w:val="center"/>
        </w:trPr>
        <w:tc>
          <w:tcPr>
            <w:tcW w:w="6383" w:type="dxa"/>
          </w:tcPr>
          <w:p w:rsidR="00000000" w:rsidRDefault="00000000">
            <w:pPr>
              <w:pStyle w:val="a6"/>
              <w:spacing w:before="60" w:after="60"/>
              <w:jc w:val="left"/>
              <w:rPr>
                <w:lang w:val="en-US"/>
              </w:rPr>
            </w:pPr>
            <w:r>
              <w:rPr>
                <w:lang w:val="en-US"/>
              </w:rPr>
              <w:t>UNIVERSITY OF PATRAS</w:t>
            </w:r>
          </w:p>
        </w:tc>
        <w:tc>
          <w:tcPr>
            <w:tcW w:w="1701" w:type="dxa"/>
            <w:vAlign w:val="center"/>
          </w:tcPr>
          <w:p w:rsidR="00000000" w:rsidRDefault="00000000">
            <w:pPr>
              <w:pStyle w:val="a6"/>
              <w:spacing w:before="60" w:after="60"/>
              <w:rPr>
                <w:lang w:val="en-US"/>
              </w:rPr>
            </w:pPr>
            <w:r>
              <w:rPr>
                <w:lang w:val="en-US"/>
              </w:rPr>
              <w:t>16391</w:t>
            </w:r>
          </w:p>
        </w:tc>
        <w:tc>
          <w:tcPr>
            <w:tcW w:w="1330" w:type="dxa"/>
          </w:tcPr>
          <w:p w:rsidR="00000000" w:rsidRDefault="00000000">
            <w:pPr>
              <w:pStyle w:val="a6"/>
              <w:spacing w:before="60" w:after="60"/>
              <w:rPr>
                <w:lang w:val="en-US"/>
              </w:rPr>
            </w:pPr>
            <w:r>
              <w:rPr>
                <w:lang w:val="en-US"/>
              </w:rPr>
              <w:t>6709</w:t>
            </w:r>
          </w:p>
        </w:tc>
      </w:tr>
      <w:tr w:rsidR="00000000">
        <w:tblPrEx>
          <w:tblCellMar>
            <w:top w:w="0" w:type="dxa"/>
            <w:bottom w:w="0" w:type="dxa"/>
          </w:tblCellMar>
        </w:tblPrEx>
        <w:trPr>
          <w:cantSplit/>
          <w:jc w:val="center"/>
        </w:trPr>
        <w:tc>
          <w:tcPr>
            <w:tcW w:w="6383" w:type="dxa"/>
          </w:tcPr>
          <w:p w:rsidR="00000000" w:rsidRDefault="00000000">
            <w:pPr>
              <w:pStyle w:val="a6"/>
              <w:spacing w:before="60" w:after="60"/>
              <w:jc w:val="left"/>
              <w:rPr>
                <w:lang w:val="en-US"/>
              </w:rPr>
            </w:pPr>
            <w:r>
              <w:rPr>
                <w:lang w:val="en-US"/>
              </w:rPr>
              <w:t>UNIVERSITY OF IOANNINA</w:t>
            </w:r>
          </w:p>
        </w:tc>
        <w:tc>
          <w:tcPr>
            <w:tcW w:w="1701" w:type="dxa"/>
            <w:vAlign w:val="center"/>
          </w:tcPr>
          <w:p w:rsidR="00000000" w:rsidRDefault="00000000">
            <w:pPr>
              <w:pStyle w:val="a6"/>
              <w:spacing w:before="60" w:after="60"/>
              <w:rPr>
                <w:lang w:val="en-US"/>
              </w:rPr>
            </w:pPr>
            <w:r>
              <w:rPr>
                <w:lang w:val="en-US"/>
              </w:rPr>
              <w:t>11916</w:t>
            </w:r>
          </w:p>
        </w:tc>
        <w:tc>
          <w:tcPr>
            <w:tcW w:w="1330" w:type="dxa"/>
          </w:tcPr>
          <w:p w:rsidR="00000000" w:rsidRDefault="00000000">
            <w:pPr>
              <w:pStyle w:val="a6"/>
              <w:spacing w:before="60" w:after="60"/>
              <w:rPr>
                <w:lang w:val="en-US"/>
              </w:rPr>
            </w:pPr>
            <w:r>
              <w:rPr>
                <w:lang w:val="en-US"/>
              </w:rPr>
              <w:t>7517</w:t>
            </w:r>
          </w:p>
        </w:tc>
      </w:tr>
      <w:tr w:rsidR="00000000">
        <w:tblPrEx>
          <w:tblCellMar>
            <w:top w:w="0" w:type="dxa"/>
            <w:bottom w:w="0" w:type="dxa"/>
          </w:tblCellMar>
        </w:tblPrEx>
        <w:trPr>
          <w:jc w:val="center"/>
        </w:trPr>
        <w:tc>
          <w:tcPr>
            <w:tcW w:w="6383" w:type="dxa"/>
          </w:tcPr>
          <w:p w:rsidR="00000000" w:rsidRDefault="00000000">
            <w:pPr>
              <w:pStyle w:val="a6"/>
              <w:spacing w:before="60" w:after="60"/>
              <w:jc w:val="left"/>
              <w:rPr>
                <w:lang w:val="en-US"/>
              </w:rPr>
            </w:pPr>
            <w:r>
              <w:rPr>
                <w:lang w:val="en-US"/>
              </w:rPr>
              <w:t>DEMOCRITUS UNIVERSITY OF THRACE</w:t>
            </w:r>
          </w:p>
        </w:tc>
        <w:tc>
          <w:tcPr>
            <w:tcW w:w="1701" w:type="dxa"/>
            <w:vAlign w:val="center"/>
          </w:tcPr>
          <w:p w:rsidR="00000000" w:rsidRDefault="00000000">
            <w:pPr>
              <w:pStyle w:val="a6"/>
              <w:spacing w:before="60" w:after="60"/>
              <w:rPr>
                <w:lang w:val="en-US"/>
              </w:rPr>
            </w:pPr>
            <w:r>
              <w:rPr>
                <w:lang w:val="en-US"/>
              </w:rPr>
              <w:t>13462</w:t>
            </w:r>
          </w:p>
        </w:tc>
        <w:tc>
          <w:tcPr>
            <w:tcW w:w="1330" w:type="dxa"/>
          </w:tcPr>
          <w:p w:rsidR="00000000" w:rsidRDefault="00000000">
            <w:pPr>
              <w:pStyle w:val="a6"/>
              <w:spacing w:before="60" w:after="60"/>
              <w:rPr>
                <w:lang w:val="en-US"/>
              </w:rPr>
            </w:pPr>
            <w:r>
              <w:rPr>
                <w:lang w:val="en-US"/>
              </w:rPr>
              <w:t>7741</w:t>
            </w:r>
          </w:p>
        </w:tc>
      </w:tr>
      <w:tr w:rsidR="00000000">
        <w:tblPrEx>
          <w:tblCellMar>
            <w:top w:w="0" w:type="dxa"/>
            <w:bottom w:w="0" w:type="dxa"/>
          </w:tblCellMar>
        </w:tblPrEx>
        <w:trPr>
          <w:cantSplit/>
          <w:jc w:val="center"/>
        </w:trPr>
        <w:tc>
          <w:tcPr>
            <w:tcW w:w="6383" w:type="dxa"/>
          </w:tcPr>
          <w:p w:rsidR="00000000" w:rsidRDefault="00000000">
            <w:pPr>
              <w:pStyle w:val="a6"/>
              <w:spacing w:before="60" w:after="60"/>
              <w:jc w:val="left"/>
              <w:rPr>
                <w:lang w:val="en-US"/>
              </w:rPr>
            </w:pPr>
            <w:r>
              <w:rPr>
                <w:lang w:val="en-US"/>
              </w:rPr>
              <w:t>UNIVERSITY OF CRETE</w:t>
            </w:r>
          </w:p>
        </w:tc>
        <w:tc>
          <w:tcPr>
            <w:tcW w:w="1701" w:type="dxa"/>
            <w:vAlign w:val="center"/>
          </w:tcPr>
          <w:p w:rsidR="00000000" w:rsidRDefault="00000000">
            <w:pPr>
              <w:pStyle w:val="a6"/>
              <w:spacing w:before="60" w:after="60"/>
              <w:rPr>
                <w:lang w:val="en-US"/>
              </w:rPr>
            </w:pPr>
            <w:r>
              <w:rPr>
                <w:lang w:val="en-US"/>
              </w:rPr>
              <w:t>7996</w:t>
            </w:r>
          </w:p>
        </w:tc>
        <w:tc>
          <w:tcPr>
            <w:tcW w:w="1330" w:type="dxa"/>
          </w:tcPr>
          <w:p w:rsidR="00000000" w:rsidRDefault="00000000">
            <w:pPr>
              <w:pStyle w:val="a6"/>
              <w:spacing w:before="60" w:after="60"/>
              <w:rPr>
                <w:lang w:val="en-US"/>
              </w:rPr>
            </w:pPr>
            <w:r>
              <w:rPr>
                <w:lang w:val="en-US"/>
              </w:rPr>
              <w:t>4783</w:t>
            </w:r>
          </w:p>
        </w:tc>
      </w:tr>
      <w:tr w:rsidR="00000000">
        <w:tblPrEx>
          <w:tblCellMar>
            <w:top w:w="0" w:type="dxa"/>
            <w:bottom w:w="0" w:type="dxa"/>
          </w:tblCellMar>
        </w:tblPrEx>
        <w:trPr>
          <w:cantSplit/>
          <w:jc w:val="center"/>
        </w:trPr>
        <w:tc>
          <w:tcPr>
            <w:tcW w:w="6383" w:type="dxa"/>
          </w:tcPr>
          <w:p w:rsidR="00000000" w:rsidRDefault="00000000">
            <w:pPr>
              <w:pStyle w:val="a6"/>
              <w:spacing w:before="60" w:after="60"/>
              <w:jc w:val="left"/>
              <w:rPr>
                <w:lang w:val="en-US"/>
              </w:rPr>
            </w:pPr>
            <w:r>
              <w:rPr>
                <w:lang w:val="en-US"/>
              </w:rPr>
              <w:t>TECHNICAL UNIVERSITY OF CRETE</w:t>
            </w:r>
          </w:p>
        </w:tc>
        <w:tc>
          <w:tcPr>
            <w:tcW w:w="1701" w:type="dxa"/>
            <w:vAlign w:val="center"/>
          </w:tcPr>
          <w:p w:rsidR="00000000" w:rsidRDefault="00000000">
            <w:pPr>
              <w:pStyle w:val="a6"/>
              <w:spacing w:before="60" w:after="60"/>
              <w:rPr>
                <w:lang w:val="en-US"/>
              </w:rPr>
            </w:pPr>
            <w:r>
              <w:rPr>
                <w:lang w:val="en-US"/>
              </w:rPr>
              <w:t>1587</w:t>
            </w:r>
          </w:p>
        </w:tc>
        <w:tc>
          <w:tcPr>
            <w:tcW w:w="1330" w:type="dxa"/>
          </w:tcPr>
          <w:p w:rsidR="00000000" w:rsidRDefault="00000000">
            <w:pPr>
              <w:pStyle w:val="a6"/>
              <w:spacing w:before="60" w:after="60"/>
              <w:rPr>
                <w:lang w:val="en-US"/>
              </w:rPr>
            </w:pPr>
            <w:r>
              <w:rPr>
                <w:lang w:val="en-US"/>
              </w:rPr>
              <w:t>389</w:t>
            </w:r>
          </w:p>
        </w:tc>
      </w:tr>
      <w:tr w:rsidR="00000000">
        <w:tblPrEx>
          <w:tblCellMar>
            <w:top w:w="0" w:type="dxa"/>
            <w:bottom w:w="0" w:type="dxa"/>
          </w:tblCellMar>
        </w:tblPrEx>
        <w:trPr>
          <w:cantSplit/>
          <w:jc w:val="center"/>
        </w:trPr>
        <w:tc>
          <w:tcPr>
            <w:tcW w:w="6383" w:type="dxa"/>
          </w:tcPr>
          <w:p w:rsidR="00000000" w:rsidRDefault="00000000">
            <w:pPr>
              <w:pStyle w:val="a6"/>
              <w:spacing w:before="60" w:after="60"/>
              <w:jc w:val="left"/>
              <w:rPr>
                <w:lang w:val="en-US"/>
              </w:rPr>
            </w:pPr>
            <w:r>
              <w:rPr>
                <w:lang w:val="en-US"/>
              </w:rPr>
              <w:t xml:space="preserve">UNIVERSITY OF THE AEGEAN </w:t>
            </w:r>
          </w:p>
        </w:tc>
        <w:tc>
          <w:tcPr>
            <w:tcW w:w="1701" w:type="dxa"/>
            <w:vAlign w:val="center"/>
          </w:tcPr>
          <w:p w:rsidR="00000000" w:rsidRDefault="00000000">
            <w:pPr>
              <w:pStyle w:val="a6"/>
              <w:spacing w:before="60" w:after="60"/>
              <w:rPr>
                <w:lang w:val="en-US"/>
              </w:rPr>
            </w:pPr>
            <w:r>
              <w:rPr>
                <w:lang w:val="en-US"/>
              </w:rPr>
              <w:t>4927</w:t>
            </w:r>
          </w:p>
        </w:tc>
        <w:tc>
          <w:tcPr>
            <w:tcW w:w="1330" w:type="dxa"/>
          </w:tcPr>
          <w:p w:rsidR="00000000" w:rsidRDefault="00000000">
            <w:pPr>
              <w:pStyle w:val="a6"/>
              <w:spacing w:before="60" w:after="60"/>
              <w:rPr>
                <w:lang w:val="en-US"/>
              </w:rPr>
            </w:pPr>
            <w:r>
              <w:rPr>
                <w:lang w:val="en-US"/>
              </w:rPr>
              <w:t>2939</w:t>
            </w:r>
          </w:p>
        </w:tc>
      </w:tr>
      <w:tr w:rsidR="00000000">
        <w:tblPrEx>
          <w:tblCellMar>
            <w:top w:w="0" w:type="dxa"/>
            <w:bottom w:w="0" w:type="dxa"/>
          </w:tblCellMar>
        </w:tblPrEx>
        <w:trPr>
          <w:cantSplit/>
          <w:jc w:val="center"/>
        </w:trPr>
        <w:tc>
          <w:tcPr>
            <w:tcW w:w="6383" w:type="dxa"/>
          </w:tcPr>
          <w:p w:rsidR="00000000" w:rsidRDefault="00000000">
            <w:pPr>
              <w:pStyle w:val="a6"/>
              <w:spacing w:before="60" w:after="60"/>
              <w:jc w:val="left"/>
              <w:rPr>
                <w:lang w:val="en-US"/>
              </w:rPr>
            </w:pPr>
            <w:r>
              <w:rPr>
                <w:lang w:val="en-US"/>
              </w:rPr>
              <w:t>IONIAN UNIVERSITY</w:t>
            </w:r>
          </w:p>
        </w:tc>
        <w:tc>
          <w:tcPr>
            <w:tcW w:w="1701" w:type="dxa"/>
            <w:vAlign w:val="center"/>
          </w:tcPr>
          <w:p w:rsidR="00000000" w:rsidRDefault="00000000">
            <w:pPr>
              <w:pStyle w:val="a6"/>
              <w:spacing w:before="60" w:after="60"/>
              <w:rPr>
                <w:lang w:val="en-US"/>
              </w:rPr>
            </w:pPr>
            <w:r>
              <w:rPr>
                <w:lang w:val="en-US"/>
              </w:rPr>
              <w:t>1702</w:t>
            </w:r>
          </w:p>
        </w:tc>
        <w:tc>
          <w:tcPr>
            <w:tcW w:w="1330" w:type="dxa"/>
          </w:tcPr>
          <w:p w:rsidR="00000000" w:rsidRDefault="00000000">
            <w:pPr>
              <w:pStyle w:val="a6"/>
              <w:spacing w:before="60" w:after="60"/>
              <w:rPr>
                <w:lang w:val="en-US"/>
              </w:rPr>
            </w:pPr>
            <w:r>
              <w:rPr>
                <w:lang w:val="en-US"/>
              </w:rPr>
              <w:t>1370</w:t>
            </w:r>
          </w:p>
        </w:tc>
      </w:tr>
      <w:tr w:rsidR="00000000">
        <w:tblPrEx>
          <w:tblCellMar>
            <w:top w:w="0" w:type="dxa"/>
            <w:bottom w:w="0" w:type="dxa"/>
          </w:tblCellMar>
        </w:tblPrEx>
        <w:trPr>
          <w:jc w:val="center"/>
        </w:trPr>
        <w:tc>
          <w:tcPr>
            <w:tcW w:w="6383" w:type="dxa"/>
          </w:tcPr>
          <w:p w:rsidR="00000000" w:rsidRDefault="00000000">
            <w:pPr>
              <w:pStyle w:val="a6"/>
              <w:spacing w:before="60" w:after="60"/>
              <w:jc w:val="left"/>
              <w:rPr>
                <w:lang w:val="en-US"/>
              </w:rPr>
            </w:pPr>
            <w:r>
              <w:rPr>
                <w:lang w:val="en-US"/>
              </w:rPr>
              <w:t>UNIVERSITY OF THESSALY</w:t>
            </w:r>
          </w:p>
        </w:tc>
        <w:tc>
          <w:tcPr>
            <w:tcW w:w="1701" w:type="dxa"/>
            <w:vAlign w:val="center"/>
          </w:tcPr>
          <w:p w:rsidR="00000000" w:rsidRDefault="00000000">
            <w:pPr>
              <w:pStyle w:val="a6"/>
              <w:spacing w:before="60" w:after="60"/>
              <w:rPr>
                <w:lang w:val="en-US"/>
              </w:rPr>
            </w:pPr>
            <w:r>
              <w:rPr>
                <w:lang w:val="en-US"/>
              </w:rPr>
              <w:t>3835</w:t>
            </w:r>
          </w:p>
        </w:tc>
        <w:tc>
          <w:tcPr>
            <w:tcW w:w="1330" w:type="dxa"/>
          </w:tcPr>
          <w:p w:rsidR="00000000" w:rsidRDefault="00000000">
            <w:pPr>
              <w:pStyle w:val="a6"/>
              <w:spacing w:before="60" w:after="60"/>
              <w:rPr>
                <w:lang w:val="en-US"/>
              </w:rPr>
            </w:pPr>
            <w:r>
              <w:rPr>
                <w:lang w:val="en-US"/>
              </w:rPr>
              <w:t>2233</w:t>
            </w:r>
          </w:p>
        </w:tc>
      </w:tr>
      <w:tr w:rsidR="00000000">
        <w:tblPrEx>
          <w:tblCellMar>
            <w:top w:w="0" w:type="dxa"/>
            <w:bottom w:w="0" w:type="dxa"/>
          </w:tblCellMar>
        </w:tblPrEx>
        <w:trPr>
          <w:cantSplit/>
          <w:jc w:val="center"/>
        </w:trPr>
        <w:tc>
          <w:tcPr>
            <w:tcW w:w="6383" w:type="dxa"/>
          </w:tcPr>
          <w:p w:rsidR="00000000" w:rsidRDefault="00000000">
            <w:pPr>
              <w:pStyle w:val="a6"/>
              <w:spacing w:before="60" w:after="60"/>
              <w:jc w:val="left"/>
              <w:rPr>
                <w:lang w:val="en-US"/>
              </w:rPr>
            </w:pPr>
            <w:r>
              <w:rPr>
                <w:lang w:val="en-US"/>
              </w:rPr>
              <w:t>HAROKOPIO UNIVERSITY</w:t>
            </w:r>
          </w:p>
        </w:tc>
        <w:tc>
          <w:tcPr>
            <w:tcW w:w="1701" w:type="dxa"/>
            <w:vAlign w:val="center"/>
          </w:tcPr>
          <w:p w:rsidR="00000000" w:rsidRDefault="00000000">
            <w:pPr>
              <w:pStyle w:val="a6"/>
              <w:spacing w:before="60" w:after="60"/>
              <w:rPr>
                <w:lang w:val="en-US"/>
              </w:rPr>
            </w:pPr>
            <w:r>
              <w:rPr>
                <w:lang w:val="en-US"/>
              </w:rPr>
              <w:t>492</w:t>
            </w:r>
          </w:p>
        </w:tc>
        <w:tc>
          <w:tcPr>
            <w:tcW w:w="1330" w:type="dxa"/>
          </w:tcPr>
          <w:p w:rsidR="00000000" w:rsidRDefault="00000000">
            <w:pPr>
              <w:pStyle w:val="a6"/>
              <w:spacing w:before="60" w:after="60"/>
              <w:rPr>
                <w:lang w:val="en-US"/>
              </w:rPr>
            </w:pPr>
            <w:r>
              <w:rPr>
                <w:lang w:val="en-US"/>
              </w:rPr>
              <w:t>390</w:t>
            </w:r>
          </w:p>
        </w:tc>
      </w:tr>
      <w:tr w:rsidR="00000000">
        <w:tblPrEx>
          <w:tblCellMar>
            <w:top w:w="0" w:type="dxa"/>
            <w:bottom w:w="0" w:type="dxa"/>
          </w:tblCellMar>
        </w:tblPrEx>
        <w:trPr>
          <w:cantSplit/>
          <w:jc w:val="center"/>
        </w:trPr>
        <w:tc>
          <w:tcPr>
            <w:tcW w:w="6383" w:type="dxa"/>
          </w:tcPr>
          <w:p w:rsidR="00000000" w:rsidRDefault="00000000">
            <w:pPr>
              <w:pStyle w:val="a6"/>
              <w:spacing w:before="60" w:after="60"/>
              <w:jc w:val="left"/>
              <w:rPr>
                <w:lang w:val="en-US"/>
              </w:rPr>
            </w:pPr>
            <w:r>
              <w:rPr>
                <w:lang w:val="en-US"/>
              </w:rPr>
              <w:t>HELLENIC OPEN UNIVERSITY</w:t>
            </w:r>
          </w:p>
        </w:tc>
        <w:tc>
          <w:tcPr>
            <w:tcW w:w="1701" w:type="dxa"/>
            <w:vAlign w:val="center"/>
          </w:tcPr>
          <w:p w:rsidR="00000000" w:rsidRDefault="00000000">
            <w:pPr>
              <w:pStyle w:val="a6"/>
              <w:spacing w:before="60" w:after="60"/>
              <w:rPr>
                <w:lang w:val="en-GB"/>
              </w:rPr>
            </w:pPr>
            <w:r>
              <w:rPr>
                <w:lang w:val="en-GB"/>
              </w:rPr>
              <w:t>2549</w:t>
            </w:r>
          </w:p>
        </w:tc>
        <w:tc>
          <w:tcPr>
            <w:tcW w:w="1330" w:type="dxa"/>
          </w:tcPr>
          <w:p w:rsidR="00000000" w:rsidRDefault="00000000">
            <w:pPr>
              <w:pStyle w:val="a6"/>
              <w:spacing w:before="60" w:after="60"/>
              <w:rPr>
                <w:lang w:val="en-GB"/>
              </w:rPr>
            </w:pPr>
            <w:r>
              <w:rPr>
                <w:lang w:val="en-GB"/>
              </w:rPr>
              <w:t>1349</w:t>
            </w:r>
          </w:p>
        </w:tc>
      </w:tr>
      <w:tr w:rsidR="00000000">
        <w:tblPrEx>
          <w:tblCellMar>
            <w:top w:w="0" w:type="dxa"/>
            <w:bottom w:w="0" w:type="dxa"/>
          </w:tblCellMar>
        </w:tblPrEx>
        <w:trPr>
          <w:cantSplit/>
          <w:jc w:val="center"/>
        </w:trPr>
        <w:tc>
          <w:tcPr>
            <w:tcW w:w="6383" w:type="dxa"/>
          </w:tcPr>
          <w:p w:rsidR="00000000" w:rsidRDefault="00000000">
            <w:pPr>
              <w:pStyle w:val="a6"/>
              <w:spacing w:before="60" w:after="60"/>
              <w:jc w:val="left"/>
              <w:rPr>
                <w:b/>
                <w:w w:val="150"/>
                <w:lang w:val="en-GB"/>
              </w:rPr>
            </w:pPr>
            <w:r>
              <w:rPr>
                <w:b/>
                <w:w w:val="150"/>
                <w:lang w:val="en-US"/>
              </w:rPr>
              <w:t>GENERAL TOTAL</w:t>
            </w:r>
          </w:p>
        </w:tc>
        <w:tc>
          <w:tcPr>
            <w:tcW w:w="1701" w:type="dxa"/>
            <w:vAlign w:val="center"/>
          </w:tcPr>
          <w:p w:rsidR="00000000" w:rsidRDefault="00000000">
            <w:pPr>
              <w:pStyle w:val="a6"/>
              <w:spacing w:before="60" w:after="60"/>
              <w:rPr>
                <w:b/>
                <w:w w:val="150"/>
                <w:lang w:val="en-GB"/>
              </w:rPr>
            </w:pPr>
            <w:r>
              <w:rPr>
                <w:b/>
                <w:w w:val="150"/>
                <w:lang w:val="en-GB"/>
              </w:rPr>
              <w:t>323339</w:t>
            </w:r>
          </w:p>
        </w:tc>
        <w:tc>
          <w:tcPr>
            <w:tcW w:w="1330" w:type="dxa"/>
          </w:tcPr>
          <w:p w:rsidR="00000000" w:rsidRDefault="00000000">
            <w:pPr>
              <w:pStyle w:val="a6"/>
              <w:spacing w:before="60" w:after="60"/>
              <w:rPr>
                <w:b/>
                <w:w w:val="150"/>
                <w:lang w:val="en-GB"/>
              </w:rPr>
            </w:pPr>
            <w:r>
              <w:rPr>
                <w:b/>
                <w:w w:val="150"/>
                <w:lang w:val="en-GB"/>
              </w:rPr>
              <w:t>170675</w:t>
            </w:r>
          </w:p>
        </w:tc>
      </w:tr>
    </w:tbl>
    <w:p w:rsidR="00000000" w:rsidRDefault="00000000">
      <w:pPr>
        <w:tabs>
          <w:tab w:val="left" w:pos="567"/>
          <w:tab w:val="left" w:pos="1021"/>
          <w:tab w:val="left" w:pos="1474"/>
          <w:tab w:val="left" w:pos="1928"/>
        </w:tabs>
        <w:jc w:val="center"/>
        <w:rPr>
          <w:b/>
          <w:color w:val="000000"/>
          <w:lang w:val="en-US"/>
        </w:rPr>
      </w:pPr>
    </w:p>
    <w:p w:rsidR="00000000" w:rsidRDefault="00000000">
      <w:pPr>
        <w:tabs>
          <w:tab w:val="left" w:pos="567"/>
          <w:tab w:val="left" w:pos="1021"/>
          <w:tab w:val="left" w:pos="1474"/>
          <w:tab w:val="left" w:pos="1928"/>
        </w:tabs>
        <w:jc w:val="center"/>
        <w:rPr>
          <w:caps/>
          <w:color w:val="000000"/>
          <w:lang w:val="en-GB"/>
        </w:rPr>
      </w:pPr>
      <w:r>
        <w:rPr>
          <w:b/>
          <w:color w:val="000000"/>
          <w:lang w:val="en-US"/>
        </w:rPr>
        <w:t>TABLE</w:t>
      </w:r>
      <w:r>
        <w:rPr>
          <w:b/>
          <w:color w:val="000000"/>
          <w:lang w:val="en-GB"/>
        </w:rPr>
        <w:t xml:space="preserve"> 7</w:t>
      </w:r>
    </w:p>
    <w:p w:rsidR="00000000" w:rsidRDefault="00000000">
      <w:pPr>
        <w:pStyle w:val="-0"/>
        <w:rPr>
          <w:color w:val="000000"/>
          <w:lang w:val="en-GB"/>
        </w:rPr>
      </w:pPr>
      <w:r>
        <w:rPr>
          <w:color w:val="000000"/>
          <w:lang w:val="en-GB"/>
        </w:rPr>
        <w:t>(</w:t>
      </w:r>
      <w:r>
        <w:rPr>
          <w:color w:val="000000"/>
          <w:lang w:val="en-US"/>
        </w:rPr>
        <w:t>Source</w:t>
      </w:r>
      <w:r>
        <w:rPr>
          <w:color w:val="000000"/>
          <w:lang w:val="en-GB"/>
        </w:rPr>
        <w:t xml:space="preserve"> </w:t>
      </w:r>
      <w:r>
        <w:rPr>
          <w:lang w:val="en-US"/>
        </w:rPr>
        <w:t>Ministry of National Education and Religious Affairs</w:t>
      </w:r>
      <w:r>
        <w:rPr>
          <w:color w:val="000000"/>
          <w:lang w:val="en-GB"/>
        </w:rPr>
        <w:t xml:space="preserve">, </w:t>
      </w:r>
      <w:r>
        <w:rPr>
          <w:lang w:val="en-GB"/>
        </w:rPr>
        <w:t>Directorate for Planning and Operational Research</w:t>
      </w:r>
      <w:r>
        <w:rPr>
          <w:color w:val="000000"/>
          <w:lang w:val="en-GB"/>
        </w:rPr>
        <w:t xml:space="preserve">, Dept. of Op. Research </w:t>
      </w:r>
      <w:r>
        <w:rPr>
          <w:color w:val="000000"/>
          <w:lang w:val="en-US"/>
        </w:rPr>
        <w:t xml:space="preserve"> &amp; Statistics</w:t>
      </w:r>
      <w:r>
        <w:rPr>
          <w:color w:val="000000"/>
          <w:lang w:val="en-GB"/>
        </w:rPr>
        <w:t>)</w:t>
      </w:r>
    </w:p>
    <w:p w:rsidR="00000000" w:rsidRDefault="00000000">
      <w:pPr>
        <w:tabs>
          <w:tab w:val="left" w:pos="567"/>
          <w:tab w:val="left" w:pos="1021"/>
          <w:tab w:val="left" w:pos="1474"/>
          <w:tab w:val="left" w:pos="1928"/>
        </w:tabs>
        <w:jc w:val="center"/>
        <w:rPr>
          <w:b/>
          <w:lang w:val="en-GB"/>
        </w:rPr>
      </w:pPr>
      <w:r>
        <w:rPr>
          <w:b/>
          <w:lang w:val="en-US"/>
        </w:rPr>
        <w:br w:type="page"/>
        <w:t xml:space="preserve">NUMBER OF STUDENTS ENROLLED IN UNIVERSITIES </w:t>
      </w:r>
      <w:r>
        <w:rPr>
          <w:b/>
          <w:lang w:val="en-GB"/>
        </w:rPr>
        <w:t>2001 - 2002</w:t>
      </w:r>
    </w:p>
    <w:tbl>
      <w:tblPr>
        <w:tblW w:w="0" w:type="auto"/>
        <w:jc w:val="center"/>
        <w:tblBorders>
          <w:top w:val="single" w:sz="4" w:space="0" w:color="auto"/>
          <w:bottom w:val="single" w:sz="4" w:space="0" w:color="auto"/>
        </w:tblBorders>
        <w:tblLayout w:type="fixed"/>
        <w:tblLook w:val="0000" w:firstRow="0" w:lastRow="0" w:firstColumn="0" w:lastColumn="0" w:noHBand="0" w:noVBand="0"/>
      </w:tblPr>
      <w:tblGrid>
        <w:gridCol w:w="6364"/>
        <w:gridCol w:w="1701"/>
        <w:gridCol w:w="1310"/>
      </w:tblGrid>
      <w:tr w:rsidR="00000000">
        <w:tblPrEx>
          <w:tblCellMar>
            <w:top w:w="0" w:type="dxa"/>
            <w:bottom w:w="0" w:type="dxa"/>
          </w:tblCellMar>
        </w:tblPrEx>
        <w:trPr>
          <w:jc w:val="center"/>
        </w:trPr>
        <w:tc>
          <w:tcPr>
            <w:tcW w:w="6364" w:type="dxa"/>
            <w:tcBorders>
              <w:top w:val="single" w:sz="4" w:space="0" w:color="auto"/>
              <w:bottom w:val="single" w:sz="4" w:space="0" w:color="auto"/>
            </w:tcBorders>
            <w:vAlign w:val="center"/>
          </w:tcPr>
          <w:p w:rsidR="00000000" w:rsidRDefault="00000000">
            <w:pPr>
              <w:pStyle w:val="a6"/>
              <w:rPr>
                <w:b/>
                <w:lang w:val="en-GB"/>
              </w:rPr>
            </w:pPr>
            <w:r>
              <w:rPr>
                <w:b/>
                <w:lang w:val="en-US"/>
              </w:rPr>
              <w:t>UNIVERSITIES</w:t>
            </w:r>
          </w:p>
        </w:tc>
        <w:tc>
          <w:tcPr>
            <w:tcW w:w="1701" w:type="dxa"/>
            <w:tcBorders>
              <w:top w:val="single" w:sz="4" w:space="0" w:color="auto"/>
              <w:bottom w:val="single" w:sz="4" w:space="0" w:color="auto"/>
            </w:tcBorders>
            <w:vAlign w:val="center"/>
          </w:tcPr>
          <w:p w:rsidR="00000000" w:rsidRDefault="00000000">
            <w:pPr>
              <w:pStyle w:val="a6"/>
              <w:rPr>
                <w:b/>
                <w:lang w:val="en-GB"/>
              </w:rPr>
            </w:pPr>
            <w:r>
              <w:rPr>
                <w:b/>
                <w:lang w:val="en-US"/>
              </w:rPr>
              <w:t>TOTAL No OF ENROLLED  STUDENTS</w:t>
            </w:r>
          </w:p>
        </w:tc>
        <w:tc>
          <w:tcPr>
            <w:tcW w:w="1310" w:type="dxa"/>
            <w:tcBorders>
              <w:top w:val="single" w:sz="4" w:space="0" w:color="auto"/>
              <w:bottom w:val="single" w:sz="4" w:space="0" w:color="auto"/>
            </w:tcBorders>
            <w:vAlign w:val="center"/>
          </w:tcPr>
          <w:p w:rsidR="00000000" w:rsidRDefault="00000000">
            <w:pPr>
              <w:pStyle w:val="a6"/>
              <w:rPr>
                <w:b/>
                <w:lang w:val="en-US"/>
              </w:rPr>
            </w:pPr>
            <w:r>
              <w:rPr>
                <w:b/>
                <w:lang w:val="en-GB"/>
              </w:rPr>
              <w:t>WOMEN</w:t>
            </w:r>
          </w:p>
        </w:tc>
      </w:tr>
      <w:tr w:rsidR="00000000">
        <w:tblPrEx>
          <w:tblCellMar>
            <w:top w:w="0" w:type="dxa"/>
            <w:bottom w:w="0" w:type="dxa"/>
          </w:tblCellMar>
        </w:tblPrEx>
        <w:trPr>
          <w:jc w:val="center"/>
        </w:trPr>
        <w:tc>
          <w:tcPr>
            <w:tcW w:w="6364" w:type="dxa"/>
            <w:tcBorders>
              <w:top w:val="single" w:sz="4" w:space="0" w:color="auto"/>
            </w:tcBorders>
          </w:tcPr>
          <w:p w:rsidR="00000000" w:rsidRDefault="00000000">
            <w:pPr>
              <w:pStyle w:val="a6"/>
              <w:spacing w:before="60" w:after="60"/>
              <w:jc w:val="left"/>
              <w:rPr>
                <w:lang w:val="en-US"/>
              </w:rPr>
            </w:pPr>
            <w:r>
              <w:rPr>
                <w:lang w:val="en-US"/>
              </w:rPr>
              <w:t>NATIONAL AND KAPODISTRIAN UNIVERSITY OF ATHENS</w:t>
            </w:r>
          </w:p>
        </w:tc>
        <w:tc>
          <w:tcPr>
            <w:tcW w:w="1701" w:type="dxa"/>
            <w:tcBorders>
              <w:top w:val="single" w:sz="4" w:space="0" w:color="auto"/>
            </w:tcBorders>
            <w:vAlign w:val="center"/>
          </w:tcPr>
          <w:p w:rsidR="00000000" w:rsidRDefault="00000000">
            <w:pPr>
              <w:pStyle w:val="a6"/>
              <w:spacing w:before="60" w:after="60"/>
              <w:rPr>
                <w:lang w:val="en-US"/>
              </w:rPr>
            </w:pPr>
            <w:r>
              <w:rPr>
                <w:lang w:val="en-US"/>
              </w:rPr>
              <w:t>88878</w:t>
            </w:r>
          </w:p>
        </w:tc>
        <w:tc>
          <w:tcPr>
            <w:tcW w:w="1310" w:type="dxa"/>
            <w:tcBorders>
              <w:top w:val="single" w:sz="4" w:space="0" w:color="auto"/>
            </w:tcBorders>
          </w:tcPr>
          <w:p w:rsidR="00000000" w:rsidRDefault="00000000">
            <w:pPr>
              <w:pStyle w:val="a6"/>
              <w:spacing w:before="60" w:after="60"/>
              <w:rPr>
                <w:lang w:val="en-US"/>
              </w:rPr>
            </w:pPr>
            <w:r>
              <w:rPr>
                <w:lang w:val="en-US"/>
              </w:rPr>
              <w:t>52965</w:t>
            </w:r>
          </w:p>
        </w:tc>
      </w:tr>
      <w:tr w:rsidR="00000000">
        <w:tblPrEx>
          <w:tblCellMar>
            <w:top w:w="0" w:type="dxa"/>
            <w:bottom w:w="0" w:type="dxa"/>
          </w:tblCellMar>
        </w:tblPrEx>
        <w:trPr>
          <w:jc w:val="center"/>
        </w:trPr>
        <w:tc>
          <w:tcPr>
            <w:tcW w:w="6364" w:type="dxa"/>
          </w:tcPr>
          <w:p w:rsidR="00000000" w:rsidRDefault="00000000">
            <w:pPr>
              <w:pStyle w:val="a6"/>
              <w:spacing w:before="60" w:after="60"/>
              <w:jc w:val="left"/>
              <w:rPr>
                <w:lang w:val="en-US"/>
              </w:rPr>
            </w:pPr>
            <w:r>
              <w:rPr>
                <w:lang w:val="en-US"/>
              </w:rPr>
              <w:t>NATIONAL TECHNICAL UNIVERSITY OF ATHENS</w:t>
            </w:r>
          </w:p>
        </w:tc>
        <w:tc>
          <w:tcPr>
            <w:tcW w:w="1701" w:type="dxa"/>
            <w:vAlign w:val="center"/>
          </w:tcPr>
          <w:p w:rsidR="00000000" w:rsidRDefault="00000000">
            <w:pPr>
              <w:pStyle w:val="a6"/>
              <w:spacing w:before="60" w:after="60"/>
              <w:rPr>
                <w:lang w:val="en-US"/>
              </w:rPr>
            </w:pPr>
            <w:r>
              <w:rPr>
                <w:lang w:val="en-US"/>
              </w:rPr>
              <w:t>12960</w:t>
            </w:r>
          </w:p>
        </w:tc>
        <w:tc>
          <w:tcPr>
            <w:tcW w:w="1310" w:type="dxa"/>
          </w:tcPr>
          <w:p w:rsidR="00000000" w:rsidRDefault="00000000">
            <w:pPr>
              <w:pStyle w:val="a6"/>
              <w:spacing w:before="60" w:after="60"/>
              <w:rPr>
                <w:lang w:val="en-US"/>
              </w:rPr>
            </w:pPr>
            <w:r>
              <w:rPr>
                <w:lang w:val="en-US"/>
              </w:rPr>
              <w:t>3804</w:t>
            </w:r>
          </w:p>
        </w:tc>
      </w:tr>
      <w:tr w:rsidR="00000000">
        <w:tblPrEx>
          <w:tblCellMar>
            <w:top w:w="0" w:type="dxa"/>
            <w:bottom w:w="0" w:type="dxa"/>
          </w:tblCellMar>
        </w:tblPrEx>
        <w:trPr>
          <w:jc w:val="center"/>
        </w:trPr>
        <w:tc>
          <w:tcPr>
            <w:tcW w:w="6364" w:type="dxa"/>
          </w:tcPr>
          <w:p w:rsidR="00000000" w:rsidRDefault="00000000">
            <w:pPr>
              <w:pStyle w:val="a6"/>
              <w:spacing w:before="60" w:after="60"/>
              <w:jc w:val="left"/>
              <w:rPr>
                <w:lang w:val="en-US"/>
              </w:rPr>
            </w:pPr>
            <w:r>
              <w:rPr>
                <w:lang w:val="en-US"/>
              </w:rPr>
              <w:t>ARISTOTLE UNIVERSITY OF THESSALONIKI</w:t>
            </w:r>
          </w:p>
        </w:tc>
        <w:tc>
          <w:tcPr>
            <w:tcW w:w="1701" w:type="dxa"/>
            <w:vAlign w:val="center"/>
          </w:tcPr>
          <w:p w:rsidR="00000000" w:rsidRDefault="00000000">
            <w:pPr>
              <w:pStyle w:val="a6"/>
              <w:spacing w:before="60" w:after="60"/>
              <w:rPr>
                <w:lang w:val="en-US"/>
              </w:rPr>
            </w:pPr>
            <w:r>
              <w:rPr>
                <w:lang w:val="en-US"/>
              </w:rPr>
              <w:t>74402</w:t>
            </w:r>
          </w:p>
        </w:tc>
        <w:tc>
          <w:tcPr>
            <w:tcW w:w="1310" w:type="dxa"/>
          </w:tcPr>
          <w:p w:rsidR="00000000" w:rsidRDefault="00000000">
            <w:pPr>
              <w:pStyle w:val="a6"/>
              <w:spacing w:before="60" w:after="60"/>
              <w:rPr>
                <w:lang w:val="en-US"/>
              </w:rPr>
            </w:pPr>
            <w:r>
              <w:rPr>
                <w:lang w:val="en-US"/>
              </w:rPr>
              <w:t>39013</w:t>
            </w:r>
          </w:p>
        </w:tc>
      </w:tr>
      <w:tr w:rsidR="00000000">
        <w:tblPrEx>
          <w:tblCellMar>
            <w:top w:w="0" w:type="dxa"/>
            <w:bottom w:w="0" w:type="dxa"/>
          </w:tblCellMar>
        </w:tblPrEx>
        <w:trPr>
          <w:jc w:val="center"/>
        </w:trPr>
        <w:tc>
          <w:tcPr>
            <w:tcW w:w="6364" w:type="dxa"/>
          </w:tcPr>
          <w:p w:rsidR="00000000" w:rsidRDefault="00000000">
            <w:pPr>
              <w:pStyle w:val="a6"/>
              <w:spacing w:before="60" w:after="60"/>
              <w:jc w:val="left"/>
              <w:rPr>
                <w:lang w:val="en-US"/>
              </w:rPr>
            </w:pPr>
            <w:r>
              <w:rPr>
                <w:lang w:val="en-US"/>
              </w:rPr>
              <w:t xml:space="preserve">ATHENS UNIVERSITY OF ECONOMICS </w:t>
            </w:r>
          </w:p>
        </w:tc>
        <w:tc>
          <w:tcPr>
            <w:tcW w:w="1701" w:type="dxa"/>
            <w:vAlign w:val="center"/>
          </w:tcPr>
          <w:p w:rsidR="00000000" w:rsidRDefault="00000000">
            <w:pPr>
              <w:pStyle w:val="a6"/>
              <w:spacing w:before="60" w:after="60"/>
              <w:rPr>
                <w:lang w:val="en-US"/>
              </w:rPr>
            </w:pPr>
            <w:r>
              <w:rPr>
                <w:lang w:val="en-US"/>
              </w:rPr>
              <w:t>22635</w:t>
            </w:r>
          </w:p>
        </w:tc>
        <w:tc>
          <w:tcPr>
            <w:tcW w:w="1310" w:type="dxa"/>
          </w:tcPr>
          <w:p w:rsidR="00000000" w:rsidRDefault="00000000">
            <w:pPr>
              <w:pStyle w:val="a6"/>
              <w:spacing w:before="60" w:after="60"/>
              <w:rPr>
                <w:lang w:val="en-US"/>
              </w:rPr>
            </w:pPr>
            <w:r>
              <w:rPr>
                <w:lang w:val="en-US"/>
              </w:rPr>
              <w:t>10311</w:t>
            </w:r>
          </w:p>
        </w:tc>
      </w:tr>
      <w:tr w:rsidR="00000000">
        <w:tblPrEx>
          <w:tblCellMar>
            <w:top w:w="0" w:type="dxa"/>
            <w:bottom w:w="0" w:type="dxa"/>
          </w:tblCellMar>
        </w:tblPrEx>
        <w:trPr>
          <w:jc w:val="center"/>
        </w:trPr>
        <w:tc>
          <w:tcPr>
            <w:tcW w:w="6364" w:type="dxa"/>
          </w:tcPr>
          <w:p w:rsidR="00000000" w:rsidRDefault="00000000">
            <w:pPr>
              <w:pStyle w:val="a6"/>
              <w:spacing w:before="60" w:after="60"/>
              <w:jc w:val="left"/>
              <w:rPr>
                <w:lang w:val="en-US"/>
              </w:rPr>
            </w:pPr>
            <w:r>
              <w:rPr>
                <w:lang w:val="en-US"/>
              </w:rPr>
              <w:t>AGRICULTURAL UNIVERSITY OF ATHENS</w:t>
            </w:r>
          </w:p>
        </w:tc>
        <w:tc>
          <w:tcPr>
            <w:tcW w:w="1701" w:type="dxa"/>
            <w:vAlign w:val="center"/>
          </w:tcPr>
          <w:p w:rsidR="00000000" w:rsidRDefault="00000000">
            <w:pPr>
              <w:pStyle w:val="a6"/>
              <w:spacing w:before="60" w:after="60"/>
              <w:rPr>
                <w:lang w:val="en-GB"/>
              </w:rPr>
            </w:pPr>
            <w:r>
              <w:rPr>
                <w:lang w:val="en-GB"/>
              </w:rPr>
              <w:t>3539</w:t>
            </w:r>
          </w:p>
        </w:tc>
        <w:tc>
          <w:tcPr>
            <w:tcW w:w="1310" w:type="dxa"/>
          </w:tcPr>
          <w:p w:rsidR="00000000" w:rsidRDefault="00000000">
            <w:pPr>
              <w:pStyle w:val="a6"/>
              <w:spacing w:before="60" w:after="60"/>
              <w:rPr>
                <w:lang w:val="en-GB"/>
              </w:rPr>
            </w:pPr>
            <w:r>
              <w:rPr>
                <w:lang w:val="en-GB"/>
              </w:rPr>
              <w:t>1269</w:t>
            </w:r>
          </w:p>
        </w:tc>
      </w:tr>
      <w:tr w:rsidR="00000000">
        <w:tblPrEx>
          <w:tblCellMar>
            <w:top w:w="0" w:type="dxa"/>
            <w:bottom w:w="0" w:type="dxa"/>
          </w:tblCellMar>
        </w:tblPrEx>
        <w:trPr>
          <w:jc w:val="center"/>
        </w:trPr>
        <w:tc>
          <w:tcPr>
            <w:tcW w:w="6364" w:type="dxa"/>
          </w:tcPr>
          <w:p w:rsidR="00000000" w:rsidRDefault="00000000">
            <w:pPr>
              <w:pStyle w:val="a6"/>
              <w:spacing w:before="60" w:after="60"/>
              <w:jc w:val="left"/>
              <w:rPr>
                <w:lang w:val="en-GB"/>
              </w:rPr>
            </w:pPr>
            <w:r>
              <w:rPr>
                <w:lang w:val="en-US"/>
              </w:rPr>
              <w:t>ATHENS SCHOOL OF FINE ARTS</w:t>
            </w:r>
          </w:p>
        </w:tc>
        <w:tc>
          <w:tcPr>
            <w:tcW w:w="1701" w:type="dxa"/>
            <w:vAlign w:val="center"/>
          </w:tcPr>
          <w:p w:rsidR="00000000" w:rsidRDefault="00000000">
            <w:pPr>
              <w:pStyle w:val="a6"/>
              <w:spacing w:before="60" w:after="60"/>
              <w:rPr>
                <w:lang w:val="en-US"/>
              </w:rPr>
            </w:pPr>
            <w:r>
              <w:rPr>
                <w:lang w:val="en-US"/>
              </w:rPr>
              <w:t>834</w:t>
            </w:r>
          </w:p>
        </w:tc>
        <w:tc>
          <w:tcPr>
            <w:tcW w:w="1310" w:type="dxa"/>
          </w:tcPr>
          <w:p w:rsidR="00000000" w:rsidRDefault="00000000">
            <w:pPr>
              <w:pStyle w:val="a6"/>
              <w:spacing w:before="60" w:after="60"/>
              <w:rPr>
                <w:lang w:val="en-US"/>
              </w:rPr>
            </w:pPr>
            <w:r>
              <w:rPr>
                <w:lang w:val="en-US"/>
              </w:rPr>
              <w:t>531</w:t>
            </w:r>
          </w:p>
        </w:tc>
      </w:tr>
      <w:tr w:rsidR="00000000">
        <w:tblPrEx>
          <w:tblCellMar>
            <w:top w:w="0" w:type="dxa"/>
            <w:bottom w:w="0" w:type="dxa"/>
          </w:tblCellMar>
        </w:tblPrEx>
        <w:trPr>
          <w:jc w:val="center"/>
        </w:trPr>
        <w:tc>
          <w:tcPr>
            <w:tcW w:w="6364" w:type="dxa"/>
          </w:tcPr>
          <w:p w:rsidR="00000000" w:rsidRDefault="00000000">
            <w:pPr>
              <w:pStyle w:val="a6"/>
              <w:spacing w:before="60" w:after="60"/>
              <w:jc w:val="left"/>
              <w:rPr>
                <w:lang w:val="en-US"/>
              </w:rPr>
            </w:pPr>
            <w:r>
              <w:rPr>
                <w:lang w:val="en-US"/>
              </w:rPr>
              <w:t>PANTEION UNIVERSITY OF SOCIAL AND POLITICAL SCIENCES</w:t>
            </w:r>
          </w:p>
        </w:tc>
        <w:tc>
          <w:tcPr>
            <w:tcW w:w="1701" w:type="dxa"/>
            <w:vAlign w:val="center"/>
          </w:tcPr>
          <w:p w:rsidR="00000000" w:rsidRDefault="00000000">
            <w:pPr>
              <w:pStyle w:val="a6"/>
              <w:spacing w:before="60" w:after="60"/>
              <w:rPr>
                <w:lang w:val="en-US"/>
              </w:rPr>
            </w:pPr>
            <w:r>
              <w:rPr>
                <w:lang w:val="en-US"/>
              </w:rPr>
              <w:t>15038</w:t>
            </w:r>
          </w:p>
        </w:tc>
        <w:tc>
          <w:tcPr>
            <w:tcW w:w="1310" w:type="dxa"/>
          </w:tcPr>
          <w:p w:rsidR="00000000" w:rsidRDefault="00000000">
            <w:pPr>
              <w:pStyle w:val="a6"/>
              <w:spacing w:before="60" w:after="60"/>
              <w:rPr>
                <w:lang w:val="en-US"/>
              </w:rPr>
            </w:pPr>
            <w:r>
              <w:rPr>
                <w:lang w:val="en-US"/>
              </w:rPr>
              <w:t>9556</w:t>
            </w:r>
          </w:p>
        </w:tc>
      </w:tr>
      <w:tr w:rsidR="00000000">
        <w:tblPrEx>
          <w:tblCellMar>
            <w:top w:w="0" w:type="dxa"/>
            <w:bottom w:w="0" w:type="dxa"/>
          </w:tblCellMar>
        </w:tblPrEx>
        <w:trPr>
          <w:jc w:val="center"/>
        </w:trPr>
        <w:tc>
          <w:tcPr>
            <w:tcW w:w="6364" w:type="dxa"/>
          </w:tcPr>
          <w:p w:rsidR="00000000" w:rsidRDefault="00000000">
            <w:pPr>
              <w:pStyle w:val="a6"/>
              <w:spacing w:before="60" w:after="60"/>
              <w:jc w:val="left"/>
              <w:rPr>
                <w:lang w:val="en-US"/>
              </w:rPr>
            </w:pPr>
            <w:r>
              <w:rPr>
                <w:lang w:val="en-US"/>
              </w:rPr>
              <w:t>UNIVERSITY OF PIRAEUS</w:t>
            </w:r>
          </w:p>
        </w:tc>
        <w:tc>
          <w:tcPr>
            <w:tcW w:w="1701" w:type="dxa"/>
            <w:vAlign w:val="center"/>
          </w:tcPr>
          <w:p w:rsidR="00000000" w:rsidRDefault="00000000">
            <w:pPr>
              <w:pStyle w:val="a6"/>
              <w:spacing w:before="60" w:after="60"/>
              <w:rPr>
                <w:lang w:val="en-US"/>
              </w:rPr>
            </w:pPr>
            <w:r>
              <w:rPr>
                <w:lang w:val="en-US"/>
              </w:rPr>
              <w:t>18623</w:t>
            </w:r>
          </w:p>
        </w:tc>
        <w:tc>
          <w:tcPr>
            <w:tcW w:w="1310" w:type="dxa"/>
          </w:tcPr>
          <w:p w:rsidR="00000000" w:rsidRDefault="00000000">
            <w:pPr>
              <w:pStyle w:val="a6"/>
              <w:spacing w:before="60" w:after="60"/>
              <w:rPr>
                <w:lang w:val="en-US"/>
              </w:rPr>
            </w:pPr>
            <w:r>
              <w:rPr>
                <w:lang w:val="en-US"/>
              </w:rPr>
              <w:t>7929</w:t>
            </w:r>
          </w:p>
        </w:tc>
      </w:tr>
      <w:tr w:rsidR="00000000">
        <w:tblPrEx>
          <w:tblCellMar>
            <w:top w:w="0" w:type="dxa"/>
            <w:bottom w:w="0" w:type="dxa"/>
          </w:tblCellMar>
        </w:tblPrEx>
        <w:trPr>
          <w:jc w:val="center"/>
        </w:trPr>
        <w:tc>
          <w:tcPr>
            <w:tcW w:w="6364" w:type="dxa"/>
          </w:tcPr>
          <w:p w:rsidR="00000000" w:rsidRDefault="00000000">
            <w:pPr>
              <w:pStyle w:val="a6"/>
              <w:spacing w:before="60" w:after="60"/>
              <w:jc w:val="left"/>
              <w:rPr>
                <w:lang w:val="en-US"/>
              </w:rPr>
            </w:pPr>
            <w:r>
              <w:rPr>
                <w:lang w:val="en-US"/>
              </w:rPr>
              <w:t>UNIVERSITY OF MACEDONIA</w:t>
            </w:r>
          </w:p>
        </w:tc>
        <w:tc>
          <w:tcPr>
            <w:tcW w:w="1701" w:type="dxa"/>
            <w:vAlign w:val="center"/>
          </w:tcPr>
          <w:p w:rsidR="00000000" w:rsidRDefault="00000000">
            <w:pPr>
              <w:pStyle w:val="a6"/>
              <w:spacing w:before="60" w:after="60"/>
              <w:rPr>
                <w:lang w:val="en-US"/>
              </w:rPr>
            </w:pPr>
            <w:r>
              <w:rPr>
                <w:lang w:val="en-US"/>
              </w:rPr>
              <w:t>12529</w:t>
            </w:r>
          </w:p>
        </w:tc>
        <w:tc>
          <w:tcPr>
            <w:tcW w:w="1310" w:type="dxa"/>
          </w:tcPr>
          <w:p w:rsidR="00000000" w:rsidRDefault="00000000">
            <w:pPr>
              <w:pStyle w:val="a6"/>
              <w:spacing w:before="60" w:after="60"/>
              <w:rPr>
                <w:lang w:val="en-US"/>
              </w:rPr>
            </w:pPr>
            <w:r>
              <w:rPr>
                <w:lang w:val="en-US"/>
              </w:rPr>
              <w:t>5586</w:t>
            </w:r>
          </w:p>
        </w:tc>
      </w:tr>
      <w:tr w:rsidR="00000000">
        <w:tblPrEx>
          <w:tblCellMar>
            <w:top w:w="0" w:type="dxa"/>
            <w:bottom w:w="0" w:type="dxa"/>
          </w:tblCellMar>
        </w:tblPrEx>
        <w:trPr>
          <w:jc w:val="center"/>
        </w:trPr>
        <w:tc>
          <w:tcPr>
            <w:tcW w:w="6364" w:type="dxa"/>
          </w:tcPr>
          <w:p w:rsidR="00000000" w:rsidRDefault="00000000">
            <w:pPr>
              <w:pStyle w:val="a6"/>
              <w:spacing w:before="60" w:after="60"/>
              <w:jc w:val="left"/>
              <w:rPr>
                <w:lang w:val="en-US"/>
              </w:rPr>
            </w:pPr>
            <w:r>
              <w:rPr>
                <w:lang w:val="en-US"/>
              </w:rPr>
              <w:t>UNIVERSITY OF PATRAS</w:t>
            </w:r>
          </w:p>
        </w:tc>
        <w:tc>
          <w:tcPr>
            <w:tcW w:w="1701" w:type="dxa"/>
            <w:vAlign w:val="center"/>
          </w:tcPr>
          <w:p w:rsidR="00000000" w:rsidRDefault="00000000">
            <w:pPr>
              <w:pStyle w:val="a6"/>
              <w:spacing w:before="60" w:after="60"/>
              <w:rPr>
                <w:lang w:val="en-US"/>
              </w:rPr>
            </w:pPr>
            <w:r>
              <w:rPr>
                <w:lang w:val="en-US"/>
              </w:rPr>
              <w:t>18442</w:t>
            </w:r>
          </w:p>
        </w:tc>
        <w:tc>
          <w:tcPr>
            <w:tcW w:w="1310" w:type="dxa"/>
          </w:tcPr>
          <w:p w:rsidR="00000000" w:rsidRDefault="00000000">
            <w:pPr>
              <w:pStyle w:val="a6"/>
              <w:spacing w:before="60" w:after="60"/>
              <w:rPr>
                <w:lang w:val="en-US"/>
              </w:rPr>
            </w:pPr>
            <w:r>
              <w:rPr>
                <w:lang w:val="en-US"/>
              </w:rPr>
              <w:t>7662</w:t>
            </w:r>
          </w:p>
        </w:tc>
      </w:tr>
      <w:tr w:rsidR="00000000">
        <w:tblPrEx>
          <w:tblCellMar>
            <w:top w:w="0" w:type="dxa"/>
            <w:bottom w:w="0" w:type="dxa"/>
          </w:tblCellMar>
        </w:tblPrEx>
        <w:trPr>
          <w:jc w:val="center"/>
        </w:trPr>
        <w:tc>
          <w:tcPr>
            <w:tcW w:w="6364" w:type="dxa"/>
          </w:tcPr>
          <w:p w:rsidR="00000000" w:rsidRDefault="00000000">
            <w:pPr>
              <w:pStyle w:val="a6"/>
              <w:spacing w:before="60" w:after="60"/>
              <w:jc w:val="left"/>
              <w:rPr>
                <w:lang w:val="en-US"/>
              </w:rPr>
            </w:pPr>
            <w:r>
              <w:rPr>
                <w:lang w:val="en-US"/>
              </w:rPr>
              <w:t>UNIVERSITY OF IOANNINA</w:t>
            </w:r>
          </w:p>
        </w:tc>
        <w:tc>
          <w:tcPr>
            <w:tcW w:w="1701" w:type="dxa"/>
            <w:vAlign w:val="center"/>
          </w:tcPr>
          <w:p w:rsidR="00000000" w:rsidRDefault="00000000">
            <w:pPr>
              <w:pStyle w:val="a6"/>
              <w:spacing w:before="60" w:after="60"/>
              <w:rPr>
                <w:lang w:val="en-US"/>
              </w:rPr>
            </w:pPr>
            <w:r>
              <w:rPr>
                <w:lang w:val="en-US"/>
              </w:rPr>
              <w:t>12196</w:t>
            </w:r>
          </w:p>
        </w:tc>
        <w:tc>
          <w:tcPr>
            <w:tcW w:w="1310" w:type="dxa"/>
          </w:tcPr>
          <w:p w:rsidR="00000000" w:rsidRDefault="00000000">
            <w:pPr>
              <w:pStyle w:val="a6"/>
              <w:spacing w:before="60" w:after="60"/>
              <w:rPr>
                <w:lang w:val="en-US"/>
              </w:rPr>
            </w:pPr>
            <w:r>
              <w:rPr>
                <w:lang w:val="en-US"/>
              </w:rPr>
              <w:t>7726</w:t>
            </w:r>
          </w:p>
        </w:tc>
      </w:tr>
      <w:tr w:rsidR="00000000">
        <w:tblPrEx>
          <w:tblCellMar>
            <w:top w:w="0" w:type="dxa"/>
            <w:bottom w:w="0" w:type="dxa"/>
          </w:tblCellMar>
        </w:tblPrEx>
        <w:trPr>
          <w:jc w:val="center"/>
        </w:trPr>
        <w:tc>
          <w:tcPr>
            <w:tcW w:w="6364" w:type="dxa"/>
          </w:tcPr>
          <w:p w:rsidR="00000000" w:rsidRDefault="00000000">
            <w:pPr>
              <w:pStyle w:val="a6"/>
              <w:spacing w:before="60" w:after="60"/>
              <w:jc w:val="left"/>
              <w:rPr>
                <w:lang w:val="en-US"/>
              </w:rPr>
            </w:pPr>
            <w:r>
              <w:rPr>
                <w:lang w:val="en-US"/>
              </w:rPr>
              <w:t>DEMOCRITUS UNIVERSITY OF THRACE</w:t>
            </w:r>
          </w:p>
        </w:tc>
        <w:tc>
          <w:tcPr>
            <w:tcW w:w="1701" w:type="dxa"/>
            <w:vAlign w:val="center"/>
          </w:tcPr>
          <w:p w:rsidR="00000000" w:rsidRDefault="00000000">
            <w:pPr>
              <w:pStyle w:val="a6"/>
              <w:spacing w:before="60" w:after="60"/>
              <w:rPr>
                <w:lang w:val="en-US"/>
              </w:rPr>
            </w:pPr>
            <w:r>
              <w:rPr>
                <w:lang w:val="en-US"/>
              </w:rPr>
              <w:t>15992</w:t>
            </w:r>
          </w:p>
        </w:tc>
        <w:tc>
          <w:tcPr>
            <w:tcW w:w="1310" w:type="dxa"/>
          </w:tcPr>
          <w:p w:rsidR="00000000" w:rsidRDefault="00000000">
            <w:pPr>
              <w:pStyle w:val="a6"/>
              <w:spacing w:before="60" w:after="60"/>
              <w:rPr>
                <w:lang w:val="en-US"/>
              </w:rPr>
            </w:pPr>
            <w:r>
              <w:rPr>
                <w:lang w:val="en-US"/>
              </w:rPr>
              <w:t>9217</w:t>
            </w:r>
          </w:p>
        </w:tc>
      </w:tr>
      <w:tr w:rsidR="00000000">
        <w:tblPrEx>
          <w:tblCellMar>
            <w:top w:w="0" w:type="dxa"/>
            <w:bottom w:w="0" w:type="dxa"/>
          </w:tblCellMar>
        </w:tblPrEx>
        <w:trPr>
          <w:jc w:val="center"/>
        </w:trPr>
        <w:tc>
          <w:tcPr>
            <w:tcW w:w="6364" w:type="dxa"/>
          </w:tcPr>
          <w:p w:rsidR="00000000" w:rsidRDefault="00000000">
            <w:pPr>
              <w:pStyle w:val="a6"/>
              <w:spacing w:before="60" w:after="60"/>
              <w:jc w:val="left"/>
              <w:rPr>
                <w:lang w:val="en-US"/>
              </w:rPr>
            </w:pPr>
            <w:r>
              <w:rPr>
                <w:lang w:val="en-US"/>
              </w:rPr>
              <w:t>UNIVERSITY OF CRETE</w:t>
            </w:r>
          </w:p>
        </w:tc>
        <w:tc>
          <w:tcPr>
            <w:tcW w:w="1701" w:type="dxa"/>
            <w:vAlign w:val="center"/>
          </w:tcPr>
          <w:p w:rsidR="00000000" w:rsidRDefault="00000000">
            <w:pPr>
              <w:pStyle w:val="a6"/>
              <w:spacing w:before="60" w:after="60"/>
              <w:rPr>
                <w:lang w:val="en-US"/>
              </w:rPr>
            </w:pPr>
            <w:r>
              <w:rPr>
                <w:lang w:val="en-US"/>
              </w:rPr>
              <w:t>8655</w:t>
            </w:r>
          </w:p>
        </w:tc>
        <w:tc>
          <w:tcPr>
            <w:tcW w:w="1310" w:type="dxa"/>
          </w:tcPr>
          <w:p w:rsidR="00000000" w:rsidRDefault="00000000">
            <w:pPr>
              <w:pStyle w:val="a6"/>
              <w:spacing w:before="60" w:after="60"/>
              <w:rPr>
                <w:lang w:val="en-US"/>
              </w:rPr>
            </w:pPr>
            <w:r>
              <w:rPr>
                <w:lang w:val="en-US"/>
              </w:rPr>
              <w:t>5182</w:t>
            </w:r>
          </w:p>
        </w:tc>
      </w:tr>
      <w:tr w:rsidR="00000000">
        <w:tblPrEx>
          <w:tblCellMar>
            <w:top w:w="0" w:type="dxa"/>
            <w:bottom w:w="0" w:type="dxa"/>
          </w:tblCellMar>
        </w:tblPrEx>
        <w:trPr>
          <w:jc w:val="center"/>
        </w:trPr>
        <w:tc>
          <w:tcPr>
            <w:tcW w:w="6364" w:type="dxa"/>
          </w:tcPr>
          <w:p w:rsidR="00000000" w:rsidRDefault="00000000">
            <w:pPr>
              <w:pStyle w:val="a6"/>
              <w:spacing w:before="60" w:after="60"/>
              <w:jc w:val="left"/>
              <w:rPr>
                <w:lang w:val="en-US"/>
              </w:rPr>
            </w:pPr>
            <w:r>
              <w:rPr>
                <w:lang w:val="en-US"/>
              </w:rPr>
              <w:t>TECHNICAL UNIVERSITY OF CRETE</w:t>
            </w:r>
          </w:p>
        </w:tc>
        <w:tc>
          <w:tcPr>
            <w:tcW w:w="1701" w:type="dxa"/>
            <w:vAlign w:val="center"/>
          </w:tcPr>
          <w:p w:rsidR="00000000" w:rsidRDefault="00000000">
            <w:pPr>
              <w:pStyle w:val="a6"/>
              <w:spacing w:before="60" w:after="60"/>
              <w:rPr>
                <w:lang w:val="en-US"/>
              </w:rPr>
            </w:pPr>
            <w:r>
              <w:rPr>
                <w:lang w:val="en-US"/>
              </w:rPr>
              <w:t>1701</w:t>
            </w:r>
          </w:p>
        </w:tc>
        <w:tc>
          <w:tcPr>
            <w:tcW w:w="1310" w:type="dxa"/>
          </w:tcPr>
          <w:p w:rsidR="00000000" w:rsidRDefault="00000000">
            <w:pPr>
              <w:pStyle w:val="a6"/>
              <w:spacing w:before="60" w:after="60"/>
              <w:rPr>
                <w:lang w:val="en-US"/>
              </w:rPr>
            </w:pPr>
            <w:r>
              <w:rPr>
                <w:lang w:val="en-US"/>
              </w:rPr>
              <w:t>415</w:t>
            </w:r>
          </w:p>
        </w:tc>
      </w:tr>
      <w:tr w:rsidR="00000000">
        <w:tblPrEx>
          <w:tblCellMar>
            <w:top w:w="0" w:type="dxa"/>
            <w:bottom w:w="0" w:type="dxa"/>
          </w:tblCellMar>
        </w:tblPrEx>
        <w:trPr>
          <w:jc w:val="center"/>
        </w:trPr>
        <w:tc>
          <w:tcPr>
            <w:tcW w:w="6364" w:type="dxa"/>
          </w:tcPr>
          <w:p w:rsidR="00000000" w:rsidRDefault="00000000">
            <w:pPr>
              <w:pStyle w:val="a6"/>
              <w:spacing w:before="60" w:after="60"/>
              <w:jc w:val="left"/>
              <w:rPr>
                <w:lang w:val="en-US"/>
              </w:rPr>
            </w:pPr>
            <w:r>
              <w:rPr>
                <w:lang w:val="en-US"/>
              </w:rPr>
              <w:t xml:space="preserve">UNIVERSITY OF THE AEGEAN </w:t>
            </w:r>
          </w:p>
        </w:tc>
        <w:tc>
          <w:tcPr>
            <w:tcW w:w="1701" w:type="dxa"/>
            <w:vAlign w:val="center"/>
          </w:tcPr>
          <w:p w:rsidR="00000000" w:rsidRDefault="00000000">
            <w:pPr>
              <w:pStyle w:val="a6"/>
              <w:spacing w:before="60" w:after="60"/>
              <w:rPr>
                <w:lang w:val="en-US"/>
              </w:rPr>
            </w:pPr>
            <w:r>
              <w:rPr>
                <w:lang w:val="en-US"/>
              </w:rPr>
              <w:t>6243</w:t>
            </w:r>
          </w:p>
        </w:tc>
        <w:tc>
          <w:tcPr>
            <w:tcW w:w="1310" w:type="dxa"/>
          </w:tcPr>
          <w:p w:rsidR="00000000" w:rsidRDefault="00000000">
            <w:pPr>
              <w:pStyle w:val="a6"/>
              <w:spacing w:before="60" w:after="60"/>
              <w:rPr>
                <w:lang w:val="en-US"/>
              </w:rPr>
            </w:pPr>
            <w:r>
              <w:rPr>
                <w:lang w:val="en-US"/>
              </w:rPr>
              <w:t>3773</w:t>
            </w:r>
          </w:p>
        </w:tc>
      </w:tr>
      <w:tr w:rsidR="00000000">
        <w:tblPrEx>
          <w:tblCellMar>
            <w:top w:w="0" w:type="dxa"/>
            <w:bottom w:w="0" w:type="dxa"/>
          </w:tblCellMar>
        </w:tblPrEx>
        <w:trPr>
          <w:jc w:val="center"/>
        </w:trPr>
        <w:tc>
          <w:tcPr>
            <w:tcW w:w="6364" w:type="dxa"/>
          </w:tcPr>
          <w:p w:rsidR="00000000" w:rsidRDefault="00000000">
            <w:pPr>
              <w:pStyle w:val="a6"/>
              <w:spacing w:before="60" w:after="60"/>
              <w:jc w:val="left"/>
              <w:rPr>
                <w:lang w:val="en-US"/>
              </w:rPr>
            </w:pPr>
            <w:r>
              <w:rPr>
                <w:lang w:val="en-US"/>
              </w:rPr>
              <w:t>IONIAN UNIVERSITY</w:t>
            </w:r>
          </w:p>
        </w:tc>
        <w:tc>
          <w:tcPr>
            <w:tcW w:w="1701" w:type="dxa"/>
            <w:vAlign w:val="center"/>
          </w:tcPr>
          <w:p w:rsidR="00000000" w:rsidRDefault="00000000">
            <w:pPr>
              <w:pStyle w:val="a6"/>
              <w:spacing w:before="60" w:after="60"/>
              <w:rPr>
                <w:lang w:val="en-US"/>
              </w:rPr>
            </w:pPr>
            <w:r>
              <w:rPr>
                <w:lang w:val="en-US"/>
              </w:rPr>
              <w:t>1667</w:t>
            </w:r>
          </w:p>
        </w:tc>
        <w:tc>
          <w:tcPr>
            <w:tcW w:w="1310" w:type="dxa"/>
          </w:tcPr>
          <w:p w:rsidR="00000000" w:rsidRDefault="00000000">
            <w:pPr>
              <w:pStyle w:val="a6"/>
              <w:spacing w:before="60" w:after="60"/>
              <w:rPr>
                <w:lang w:val="en-US"/>
              </w:rPr>
            </w:pPr>
            <w:r>
              <w:rPr>
                <w:lang w:val="en-US"/>
              </w:rPr>
              <w:t>1331</w:t>
            </w:r>
          </w:p>
        </w:tc>
      </w:tr>
      <w:tr w:rsidR="00000000">
        <w:tblPrEx>
          <w:tblCellMar>
            <w:top w:w="0" w:type="dxa"/>
            <w:bottom w:w="0" w:type="dxa"/>
          </w:tblCellMar>
        </w:tblPrEx>
        <w:trPr>
          <w:jc w:val="center"/>
        </w:trPr>
        <w:tc>
          <w:tcPr>
            <w:tcW w:w="6364" w:type="dxa"/>
          </w:tcPr>
          <w:p w:rsidR="00000000" w:rsidRDefault="00000000">
            <w:pPr>
              <w:pStyle w:val="a6"/>
              <w:spacing w:before="60" w:after="60"/>
              <w:jc w:val="left"/>
              <w:rPr>
                <w:lang w:val="en-US"/>
              </w:rPr>
            </w:pPr>
            <w:r>
              <w:rPr>
                <w:lang w:val="en-US"/>
              </w:rPr>
              <w:t>UNIVERSITY OF THESSALY</w:t>
            </w:r>
          </w:p>
        </w:tc>
        <w:tc>
          <w:tcPr>
            <w:tcW w:w="1701" w:type="dxa"/>
            <w:vAlign w:val="center"/>
          </w:tcPr>
          <w:p w:rsidR="00000000" w:rsidRDefault="00000000">
            <w:pPr>
              <w:pStyle w:val="a6"/>
              <w:spacing w:before="60" w:after="60"/>
              <w:rPr>
                <w:lang w:val="en-US"/>
              </w:rPr>
            </w:pPr>
            <w:r>
              <w:rPr>
                <w:lang w:val="en-US"/>
              </w:rPr>
              <w:t>5121</w:t>
            </w:r>
          </w:p>
        </w:tc>
        <w:tc>
          <w:tcPr>
            <w:tcW w:w="1310" w:type="dxa"/>
          </w:tcPr>
          <w:p w:rsidR="00000000" w:rsidRDefault="00000000">
            <w:pPr>
              <w:pStyle w:val="a6"/>
              <w:spacing w:before="60" w:after="60"/>
              <w:rPr>
                <w:lang w:val="en-US"/>
              </w:rPr>
            </w:pPr>
            <w:r>
              <w:rPr>
                <w:lang w:val="en-US"/>
              </w:rPr>
              <w:t>3028</w:t>
            </w:r>
          </w:p>
        </w:tc>
      </w:tr>
      <w:tr w:rsidR="00000000">
        <w:tblPrEx>
          <w:tblCellMar>
            <w:top w:w="0" w:type="dxa"/>
            <w:bottom w:w="0" w:type="dxa"/>
          </w:tblCellMar>
        </w:tblPrEx>
        <w:trPr>
          <w:jc w:val="center"/>
        </w:trPr>
        <w:tc>
          <w:tcPr>
            <w:tcW w:w="6364" w:type="dxa"/>
          </w:tcPr>
          <w:p w:rsidR="00000000" w:rsidRDefault="00000000">
            <w:pPr>
              <w:pStyle w:val="a6"/>
              <w:spacing w:before="60" w:after="60"/>
              <w:jc w:val="left"/>
              <w:rPr>
                <w:lang w:val="en-US"/>
              </w:rPr>
            </w:pPr>
            <w:r>
              <w:rPr>
                <w:lang w:val="en-US"/>
              </w:rPr>
              <w:t>HAROKOPIO UNIVERSITY</w:t>
            </w:r>
          </w:p>
        </w:tc>
        <w:tc>
          <w:tcPr>
            <w:tcW w:w="1701" w:type="dxa"/>
            <w:vAlign w:val="center"/>
          </w:tcPr>
          <w:p w:rsidR="00000000" w:rsidRDefault="00000000">
            <w:pPr>
              <w:pStyle w:val="a6"/>
              <w:spacing w:before="60" w:after="60"/>
              <w:rPr>
                <w:lang w:val="en-US"/>
              </w:rPr>
            </w:pPr>
            <w:r>
              <w:rPr>
                <w:lang w:val="en-US"/>
              </w:rPr>
              <w:t>633</w:t>
            </w:r>
          </w:p>
        </w:tc>
        <w:tc>
          <w:tcPr>
            <w:tcW w:w="1310" w:type="dxa"/>
          </w:tcPr>
          <w:p w:rsidR="00000000" w:rsidRDefault="00000000">
            <w:pPr>
              <w:pStyle w:val="a6"/>
              <w:spacing w:before="60" w:after="60"/>
              <w:rPr>
                <w:lang w:val="en-US"/>
              </w:rPr>
            </w:pPr>
            <w:r>
              <w:rPr>
                <w:lang w:val="en-US"/>
              </w:rPr>
              <w:t>477</w:t>
            </w:r>
          </w:p>
        </w:tc>
      </w:tr>
      <w:tr w:rsidR="00000000">
        <w:tblPrEx>
          <w:tblCellMar>
            <w:top w:w="0" w:type="dxa"/>
            <w:bottom w:w="0" w:type="dxa"/>
          </w:tblCellMar>
        </w:tblPrEx>
        <w:trPr>
          <w:jc w:val="center"/>
        </w:trPr>
        <w:tc>
          <w:tcPr>
            <w:tcW w:w="6364" w:type="dxa"/>
          </w:tcPr>
          <w:p w:rsidR="00000000" w:rsidRDefault="00000000">
            <w:pPr>
              <w:pStyle w:val="a6"/>
              <w:spacing w:before="60" w:after="60"/>
              <w:jc w:val="left"/>
              <w:rPr>
                <w:lang w:val="en-US"/>
              </w:rPr>
            </w:pPr>
            <w:r>
              <w:rPr>
                <w:lang w:val="en-US"/>
              </w:rPr>
              <w:t>HELLENIC OPEN UNIVERSITY</w:t>
            </w:r>
          </w:p>
        </w:tc>
        <w:tc>
          <w:tcPr>
            <w:tcW w:w="1701" w:type="dxa"/>
            <w:vAlign w:val="center"/>
          </w:tcPr>
          <w:p w:rsidR="00000000" w:rsidRDefault="00000000">
            <w:pPr>
              <w:pStyle w:val="a6"/>
              <w:spacing w:before="60" w:after="60"/>
              <w:rPr>
                <w:lang w:val="en-GB"/>
              </w:rPr>
            </w:pPr>
            <w:r>
              <w:rPr>
                <w:lang w:val="en-GB"/>
              </w:rPr>
              <w:t>4913</w:t>
            </w:r>
          </w:p>
        </w:tc>
        <w:tc>
          <w:tcPr>
            <w:tcW w:w="1310" w:type="dxa"/>
          </w:tcPr>
          <w:p w:rsidR="00000000" w:rsidRDefault="00000000">
            <w:pPr>
              <w:pStyle w:val="a6"/>
              <w:spacing w:before="60" w:after="60"/>
              <w:rPr>
                <w:lang w:val="en-GB"/>
              </w:rPr>
            </w:pPr>
            <w:r>
              <w:rPr>
                <w:lang w:val="en-GB"/>
              </w:rPr>
              <w:t>2750</w:t>
            </w:r>
          </w:p>
        </w:tc>
      </w:tr>
      <w:tr w:rsidR="00000000">
        <w:tblPrEx>
          <w:tblCellMar>
            <w:top w:w="0" w:type="dxa"/>
            <w:bottom w:w="0" w:type="dxa"/>
          </w:tblCellMar>
        </w:tblPrEx>
        <w:trPr>
          <w:jc w:val="center"/>
        </w:trPr>
        <w:tc>
          <w:tcPr>
            <w:tcW w:w="6364" w:type="dxa"/>
          </w:tcPr>
          <w:p w:rsidR="00000000" w:rsidRDefault="00000000">
            <w:pPr>
              <w:pStyle w:val="a6"/>
              <w:spacing w:before="60" w:after="60"/>
              <w:jc w:val="left"/>
              <w:rPr>
                <w:b/>
                <w:w w:val="150"/>
                <w:lang w:val="en-GB"/>
              </w:rPr>
            </w:pPr>
            <w:r>
              <w:rPr>
                <w:b/>
                <w:w w:val="150"/>
                <w:lang w:val="en-US"/>
              </w:rPr>
              <w:t>GENERAL TOTAL</w:t>
            </w:r>
          </w:p>
        </w:tc>
        <w:tc>
          <w:tcPr>
            <w:tcW w:w="1701" w:type="dxa"/>
            <w:vAlign w:val="center"/>
          </w:tcPr>
          <w:p w:rsidR="00000000" w:rsidRDefault="00000000">
            <w:pPr>
              <w:pStyle w:val="a6"/>
              <w:spacing w:before="60" w:after="60"/>
              <w:rPr>
                <w:b/>
                <w:w w:val="150"/>
                <w:lang w:val="en-GB"/>
              </w:rPr>
            </w:pPr>
            <w:r>
              <w:rPr>
                <w:b/>
                <w:w w:val="150"/>
                <w:lang w:val="en-GB"/>
              </w:rPr>
              <w:t>325001</w:t>
            </w:r>
          </w:p>
        </w:tc>
        <w:tc>
          <w:tcPr>
            <w:tcW w:w="1310" w:type="dxa"/>
          </w:tcPr>
          <w:p w:rsidR="00000000" w:rsidRDefault="00000000">
            <w:pPr>
              <w:pStyle w:val="a6"/>
              <w:spacing w:before="60" w:after="60"/>
              <w:rPr>
                <w:b/>
                <w:w w:val="150"/>
                <w:lang w:val="en-GB"/>
              </w:rPr>
            </w:pPr>
            <w:r>
              <w:rPr>
                <w:b/>
                <w:w w:val="150"/>
                <w:lang w:val="en-GB"/>
              </w:rPr>
              <w:t>172525</w:t>
            </w:r>
          </w:p>
        </w:tc>
      </w:tr>
    </w:tbl>
    <w:p w:rsidR="00000000" w:rsidRDefault="00000000">
      <w:pPr>
        <w:tabs>
          <w:tab w:val="left" w:pos="567"/>
          <w:tab w:val="left" w:pos="1021"/>
          <w:tab w:val="left" w:pos="1474"/>
          <w:tab w:val="left" w:pos="1928"/>
        </w:tabs>
        <w:jc w:val="center"/>
        <w:rPr>
          <w:b/>
          <w:color w:val="000000"/>
          <w:lang w:val="en-US"/>
        </w:rPr>
      </w:pPr>
    </w:p>
    <w:p w:rsidR="00000000" w:rsidRDefault="00000000">
      <w:pPr>
        <w:tabs>
          <w:tab w:val="left" w:pos="567"/>
          <w:tab w:val="left" w:pos="1021"/>
          <w:tab w:val="left" w:pos="1474"/>
          <w:tab w:val="left" w:pos="1928"/>
        </w:tabs>
        <w:jc w:val="center"/>
        <w:rPr>
          <w:b/>
          <w:caps/>
          <w:color w:val="000000"/>
          <w:lang w:val="en-GB"/>
        </w:rPr>
      </w:pPr>
      <w:r>
        <w:rPr>
          <w:b/>
          <w:color w:val="000000"/>
          <w:lang w:val="en-US"/>
        </w:rPr>
        <w:t>TABLE</w:t>
      </w:r>
      <w:r>
        <w:rPr>
          <w:b/>
          <w:color w:val="000000"/>
          <w:lang w:val="en-GB"/>
        </w:rPr>
        <w:t xml:space="preserve"> 8</w:t>
      </w:r>
    </w:p>
    <w:p w:rsidR="00000000" w:rsidRDefault="00000000">
      <w:pPr>
        <w:pStyle w:val="-0"/>
        <w:rPr>
          <w:color w:val="000000"/>
          <w:lang w:val="en-GB"/>
        </w:rPr>
      </w:pPr>
      <w:r>
        <w:rPr>
          <w:color w:val="000000"/>
          <w:lang w:val="en-GB"/>
        </w:rPr>
        <w:t>(</w:t>
      </w:r>
      <w:r>
        <w:rPr>
          <w:color w:val="000000"/>
          <w:lang w:val="en-US"/>
        </w:rPr>
        <w:t xml:space="preserve">Source </w:t>
      </w:r>
      <w:r>
        <w:rPr>
          <w:lang w:val="en-US"/>
        </w:rPr>
        <w:t>Ministry of National Education and Religious Affairs</w:t>
      </w:r>
      <w:r>
        <w:rPr>
          <w:color w:val="000000"/>
          <w:lang w:val="en-GB"/>
        </w:rPr>
        <w:t xml:space="preserve">, </w:t>
      </w:r>
      <w:r>
        <w:rPr>
          <w:lang w:val="en-GB"/>
        </w:rPr>
        <w:t>Directorate for Planning and Operational Research</w:t>
      </w:r>
      <w:r>
        <w:rPr>
          <w:color w:val="000000"/>
          <w:lang w:val="en-GB"/>
        </w:rPr>
        <w:t>, Dept. of Op. Research  &amp; Statistics)</w:t>
      </w:r>
    </w:p>
    <w:p w:rsidR="00000000" w:rsidRDefault="00000000">
      <w:pPr>
        <w:tabs>
          <w:tab w:val="left" w:pos="567"/>
          <w:tab w:val="left" w:pos="1021"/>
          <w:tab w:val="left" w:pos="1474"/>
          <w:tab w:val="left" w:pos="1928"/>
        </w:tabs>
        <w:jc w:val="center"/>
        <w:rPr>
          <w:b/>
          <w:caps/>
          <w:lang w:val="en-US"/>
        </w:rPr>
      </w:pPr>
      <w:r>
        <w:rPr>
          <w:b/>
          <w:caps/>
          <w:lang w:val="en-US"/>
        </w:rPr>
        <w:br w:type="page"/>
        <w:t>ADDITIONAL TEACHING SUPPORT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77"/>
        <w:gridCol w:w="2130"/>
        <w:gridCol w:w="2131"/>
        <w:gridCol w:w="2131"/>
      </w:tblGrid>
      <w:tr w:rsidR="00000000">
        <w:tblPrEx>
          <w:tblCellMar>
            <w:top w:w="0" w:type="dxa"/>
            <w:bottom w:w="0" w:type="dxa"/>
          </w:tblCellMar>
        </w:tblPrEx>
        <w:trPr>
          <w:jc w:val="center"/>
        </w:trPr>
        <w:tc>
          <w:tcPr>
            <w:tcW w:w="9369" w:type="dxa"/>
            <w:gridSpan w:val="4"/>
            <w:tcBorders>
              <w:left w:val="nil"/>
              <w:bottom w:val="single" w:sz="4" w:space="0" w:color="auto"/>
              <w:right w:val="nil"/>
            </w:tcBorders>
          </w:tcPr>
          <w:p w:rsidR="00000000" w:rsidRDefault="00000000">
            <w:pPr>
              <w:pStyle w:val="a6"/>
              <w:rPr>
                <w:b/>
                <w:color w:val="0000FF"/>
                <w:lang w:val="en-GB"/>
              </w:rPr>
            </w:pPr>
            <w:r>
              <w:rPr>
                <w:b/>
                <w:lang w:val="en-US"/>
              </w:rPr>
              <w:t xml:space="preserve">Additional </w:t>
            </w:r>
            <w:r>
              <w:rPr>
                <w:b/>
                <w:lang w:val="en-GB"/>
              </w:rPr>
              <w:t xml:space="preserve"> </w:t>
            </w:r>
            <w:r>
              <w:rPr>
                <w:b/>
                <w:lang w:val="en-US"/>
              </w:rPr>
              <w:t xml:space="preserve">Teaching </w:t>
            </w:r>
            <w:r>
              <w:rPr>
                <w:b/>
                <w:lang w:val="en-GB"/>
              </w:rPr>
              <w:t xml:space="preserve"> </w:t>
            </w:r>
            <w:r>
              <w:rPr>
                <w:b/>
                <w:lang w:val="en-US"/>
              </w:rPr>
              <w:t>Support of Students of Integrated Lykeia</w:t>
            </w:r>
            <w:r>
              <w:rPr>
                <w:b/>
                <w:lang w:val="en-GB"/>
              </w:rPr>
              <w:t xml:space="preserve"> </w:t>
            </w:r>
            <w:r>
              <w:rPr>
                <w:b/>
                <w:lang w:val="en-US"/>
              </w:rPr>
              <w:t>&amp;Technical</w:t>
            </w:r>
            <w:r>
              <w:rPr>
                <w:b/>
                <w:lang w:val="en-GB"/>
              </w:rPr>
              <w:t xml:space="preserve"> Vocational Schools</w:t>
            </w:r>
          </w:p>
        </w:tc>
      </w:tr>
      <w:tr w:rsidR="00000000">
        <w:tblPrEx>
          <w:tblCellMar>
            <w:top w:w="0" w:type="dxa"/>
            <w:bottom w:w="0" w:type="dxa"/>
          </w:tblCellMar>
        </w:tblPrEx>
        <w:trPr>
          <w:jc w:val="center"/>
        </w:trPr>
        <w:tc>
          <w:tcPr>
            <w:tcW w:w="2977" w:type="dxa"/>
            <w:tcBorders>
              <w:top w:val="single" w:sz="4" w:space="0" w:color="auto"/>
              <w:left w:val="nil"/>
              <w:bottom w:val="single" w:sz="4" w:space="0" w:color="auto"/>
              <w:right w:val="nil"/>
            </w:tcBorders>
            <w:shd w:val="pct5" w:color="auto" w:fill="auto"/>
          </w:tcPr>
          <w:p w:rsidR="00000000" w:rsidRDefault="00000000">
            <w:pPr>
              <w:pStyle w:val="a6"/>
              <w:rPr>
                <w:b/>
                <w:color w:val="0000FF"/>
                <w:lang w:val="en-US"/>
              </w:rPr>
            </w:pPr>
            <w:r>
              <w:rPr>
                <w:b/>
                <w:lang w:val="en-US"/>
              </w:rPr>
              <w:t>School Year</w:t>
            </w:r>
          </w:p>
        </w:tc>
        <w:tc>
          <w:tcPr>
            <w:tcW w:w="2130" w:type="dxa"/>
            <w:tcBorders>
              <w:top w:val="single" w:sz="4" w:space="0" w:color="auto"/>
              <w:left w:val="nil"/>
              <w:bottom w:val="single" w:sz="4" w:space="0" w:color="auto"/>
              <w:right w:val="nil"/>
            </w:tcBorders>
            <w:shd w:val="pct5" w:color="auto" w:fill="auto"/>
          </w:tcPr>
          <w:p w:rsidR="00000000" w:rsidRDefault="00000000">
            <w:pPr>
              <w:pStyle w:val="a6"/>
              <w:rPr>
                <w:b/>
                <w:color w:val="0000FF"/>
                <w:lang w:val="en-US"/>
              </w:rPr>
            </w:pPr>
            <w:r>
              <w:rPr>
                <w:b/>
                <w:lang w:val="en-US"/>
              </w:rPr>
              <w:t>Boys</w:t>
            </w:r>
          </w:p>
        </w:tc>
        <w:tc>
          <w:tcPr>
            <w:tcW w:w="2131" w:type="dxa"/>
            <w:tcBorders>
              <w:top w:val="single" w:sz="4" w:space="0" w:color="auto"/>
              <w:left w:val="nil"/>
              <w:bottom w:val="single" w:sz="4" w:space="0" w:color="auto"/>
              <w:right w:val="nil"/>
            </w:tcBorders>
            <w:shd w:val="pct5" w:color="auto" w:fill="auto"/>
          </w:tcPr>
          <w:p w:rsidR="00000000" w:rsidRDefault="00000000">
            <w:pPr>
              <w:pStyle w:val="a6"/>
              <w:rPr>
                <w:b/>
                <w:color w:val="0000FF"/>
                <w:lang w:val="en-US"/>
              </w:rPr>
            </w:pPr>
            <w:r>
              <w:rPr>
                <w:b/>
                <w:lang w:val="en-US"/>
              </w:rPr>
              <w:t>Girls</w:t>
            </w:r>
          </w:p>
        </w:tc>
        <w:tc>
          <w:tcPr>
            <w:tcW w:w="2131" w:type="dxa"/>
            <w:tcBorders>
              <w:top w:val="single" w:sz="4" w:space="0" w:color="auto"/>
              <w:left w:val="nil"/>
              <w:bottom w:val="single" w:sz="4" w:space="0" w:color="auto"/>
              <w:right w:val="nil"/>
            </w:tcBorders>
            <w:shd w:val="pct5" w:color="auto" w:fill="auto"/>
          </w:tcPr>
          <w:p w:rsidR="00000000" w:rsidRDefault="00000000">
            <w:pPr>
              <w:pStyle w:val="a6"/>
              <w:rPr>
                <w:b/>
                <w:color w:val="0000FF"/>
                <w:lang w:val="en-US"/>
              </w:rPr>
            </w:pPr>
            <w:r>
              <w:rPr>
                <w:b/>
                <w:lang w:val="en-US"/>
              </w:rPr>
              <w:t>Total</w:t>
            </w:r>
          </w:p>
        </w:tc>
      </w:tr>
      <w:tr w:rsidR="00000000">
        <w:tblPrEx>
          <w:tblCellMar>
            <w:top w:w="0" w:type="dxa"/>
            <w:bottom w:w="0" w:type="dxa"/>
          </w:tblCellMar>
        </w:tblPrEx>
        <w:trPr>
          <w:jc w:val="center"/>
        </w:trPr>
        <w:tc>
          <w:tcPr>
            <w:tcW w:w="2977" w:type="dxa"/>
            <w:tcBorders>
              <w:top w:val="single" w:sz="4" w:space="0" w:color="auto"/>
              <w:left w:val="nil"/>
              <w:bottom w:val="nil"/>
              <w:right w:val="nil"/>
            </w:tcBorders>
          </w:tcPr>
          <w:p w:rsidR="00000000" w:rsidRDefault="00000000">
            <w:pPr>
              <w:pStyle w:val="a6"/>
              <w:rPr>
                <w:color w:val="0000FF"/>
                <w:lang w:val="en-US"/>
              </w:rPr>
            </w:pPr>
            <w:r>
              <w:rPr>
                <w:lang w:val="en-US"/>
              </w:rPr>
              <w:t>2001-2002</w:t>
            </w:r>
          </w:p>
        </w:tc>
        <w:tc>
          <w:tcPr>
            <w:tcW w:w="2130" w:type="dxa"/>
            <w:tcBorders>
              <w:top w:val="single" w:sz="4" w:space="0" w:color="auto"/>
              <w:left w:val="nil"/>
              <w:bottom w:val="nil"/>
              <w:right w:val="nil"/>
            </w:tcBorders>
          </w:tcPr>
          <w:p w:rsidR="00000000" w:rsidRDefault="00000000">
            <w:pPr>
              <w:pStyle w:val="a6"/>
              <w:rPr>
                <w:color w:val="0000FF"/>
                <w:lang w:val="en-US"/>
              </w:rPr>
            </w:pPr>
            <w:r>
              <w:rPr>
                <w:lang w:val="en-US"/>
              </w:rPr>
              <w:t>43564</w:t>
            </w:r>
          </w:p>
        </w:tc>
        <w:tc>
          <w:tcPr>
            <w:tcW w:w="2131" w:type="dxa"/>
            <w:tcBorders>
              <w:top w:val="single" w:sz="4" w:space="0" w:color="auto"/>
              <w:left w:val="nil"/>
              <w:bottom w:val="nil"/>
              <w:right w:val="nil"/>
            </w:tcBorders>
          </w:tcPr>
          <w:p w:rsidR="00000000" w:rsidRDefault="00000000">
            <w:pPr>
              <w:pStyle w:val="a6"/>
              <w:rPr>
                <w:color w:val="0000FF"/>
                <w:lang w:val="en-US"/>
              </w:rPr>
            </w:pPr>
            <w:r>
              <w:rPr>
                <w:lang w:val="en-US"/>
              </w:rPr>
              <w:t>55963</w:t>
            </w:r>
          </w:p>
        </w:tc>
        <w:tc>
          <w:tcPr>
            <w:tcW w:w="2131" w:type="dxa"/>
            <w:tcBorders>
              <w:top w:val="single" w:sz="4" w:space="0" w:color="auto"/>
              <w:left w:val="nil"/>
              <w:bottom w:val="nil"/>
              <w:right w:val="nil"/>
            </w:tcBorders>
          </w:tcPr>
          <w:p w:rsidR="00000000" w:rsidRDefault="00000000">
            <w:pPr>
              <w:pStyle w:val="a6"/>
              <w:rPr>
                <w:color w:val="0000FF"/>
                <w:lang w:val="en-US"/>
              </w:rPr>
            </w:pPr>
            <w:r>
              <w:rPr>
                <w:lang w:val="en-US"/>
              </w:rPr>
              <w:t>99527</w:t>
            </w:r>
          </w:p>
        </w:tc>
      </w:tr>
      <w:tr w:rsidR="00000000">
        <w:tblPrEx>
          <w:tblCellMar>
            <w:top w:w="0" w:type="dxa"/>
            <w:bottom w:w="0" w:type="dxa"/>
          </w:tblCellMar>
        </w:tblPrEx>
        <w:trPr>
          <w:jc w:val="center"/>
        </w:trPr>
        <w:tc>
          <w:tcPr>
            <w:tcW w:w="2977" w:type="dxa"/>
            <w:tcBorders>
              <w:top w:val="nil"/>
              <w:left w:val="nil"/>
              <w:bottom w:val="nil"/>
              <w:right w:val="nil"/>
            </w:tcBorders>
          </w:tcPr>
          <w:p w:rsidR="00000000" w:rsidRDefault="00000000">
            <w:pPr>
              <w:pStyle w:val="a6"/>
              <w:rPr>
                <w:color w:val="0000FF"/>
                <w:lang w:val="en-US"/>
              </w:rPr>
            </w:pPr>
            <w:r>
              <w:rPr>
                <w:lang w:val="en-US"/>
              </w:rPr>
              <w:t>2002-2003</w:t>
            </w:r>
          </w:p>
        </w:tc>
        <w:tc>
          <w:tcPr>
            <w:tcW w:w="2130" w:type="dxa"/>
            <w:tcBorders>
              <w:top w:val="nil"/>
              <w:left w:val="nil"/>
              <w:bottom w:val="nil"/>
              <w:right w:val="nil"/>
            </w:tcBorders>
          </w:tcPr>
          <w:p w:rsidR="00000000" w:rsidRDefault="00000000">
            <w:pPr>
              <w:pStyle w:val="a6"/>
              <w:rPr>
                <w:color w:val="0000FF"/>
                <w:lang w:val="en-US"/>
              </w:rPr>
            </w:pPr>
            <w:r>
              <w:rPr>
                <w:lang w:val="en-US"/>
              </w:rPr>
              <w:t>45295</w:t>
            </w:r>
          </w:p>
        </w:tc>
        <w:tc>
          <w:tcPr>
            <w:tcW w:w="2131" w:type="dxa"/>
            <w:tcBorders>
              <w:top w:val="nil"/>
              <w:left w:val="nil"/>
              <w:bottom w:val="nil"/>
              <w:right w:val="nil"/>
            </w:tcBorders>
          </w:tcPr>
          <w:p w:rsidR="00000000" w:rsidRDefault="00000000">
            <w:pPr>
              <w:pStyle w:val="a6"/>
              <w:rPr>
                <w:color w:val="0000FF"/>
                <w:lang w:val="en-US"/>
              </w:rPr>
            </w:pPr>
            <w:r>
              <w:rPr>
                <w:lang w:val="en-US"/>
              </w:rPr>
              <w:t>55302</w:t>
            </w:r>
          </w:p>
        </w:tc>
        <w:tc>
          <w:tcPr>
            <w:tcW w:w="2131" w:type="dxa"/>
            <w:tcBorders>
              <w:top w:val="nil"/>
              <w:left w:val="nil"/>
              <w:bottom w:val="nil"/>
              <w:right w:val="nil"/>
            </w:tcBorders>
          </w:tcPr>
          <w:p w:rsidR="00000000" w:rsidRDefault="00000000">
            <w:pPr>
              <w:pStyle w:val="a6"/>
              <w:rPr>
                <w:color w:val="0000FF"/>
                <w:lang w:val="en-US"/>
              </w:rPr>
            </w:pPr>
            <w:r>
              <w:rPr>
                <w:lang w:val="en-US"/>
              </w:rPr>
              <w:t>100597</w:t>
            </w:r>
          </w:p>
        </w:tc>
      </w:tr>
      <w:tr w:rsidR="00000000">
        <w:tblPrEx>
          <w:tblCellMar>
            <w:top w:w="0" w:type="dxa"/>
            <w:bottom w:w="0" w:type="dxa"/>
          </w:tblCellMar>
        </w:tblPrEx>
        <w:trPr>
          <w:jc w:val="center"/>
        </w:trPr>
        <w:tc>
          <w:tcPr>
            <w:tcW w:w="2977" w:type="dxa"/>
            <w:tcBorders>
              <w:top w:val="nil"/>
              <w:left w:val="nil"/>
              <w:right w:val="nil"/>
            </w:tcBorders>
          </w:tcPr>
          <w:p w:rsidR="00000000" w:rsidRDefault="00000000">
            <w:pPr>
              <w:pStyle w:val="a6"/>
              <w:rPr>
                <w:color w:val="0000FF"/>
                <w:lang w:val="en-US"/>
              </w:rPr>
            </w:pPr>
            <w:r>
              <w:rPr>
                <w:lang w:val="en-US"/>
              </w:rPr>
              <w:t>2003-2004</w:t>
            </w:r>
          </w:p>
        </w:tc>
        <w:tc>
          <w:tcPr>
            <w:tcW w:w="2130" w:type="dxa"/>
            <w:tcBorders>
              <w:top w:val="nil"/>
              <w:left w:val="nil"/>
              <w:right w:val="nil"/>
            </w:tcBorders>
          </w:tcPr>
          <w:p w:rsidR="00000000" w:rsidRDefault="00000000">
            <w:pPr>
              <w:pStyle w:val="a6"/>
              <w:rPr>
                <w:color w:val="0000FF"/>
                <w:lang w:val="en-US"/>
              </w:rPr>
            </w:pPr>
            <w:r>
              <w:rPr>
                <w:lang w:val="en-US"/>
              </w:rPr>
              <w:t>50702</w:t>
            </w:r>
          </w:p>
        </w:tc>
        <w:tc>
          <w:tcPr>
            <w:tcW w:w="2131" w:type="dxa"/>
            <w:tcBorders>
              <w:top w:val="nil"/>
              <w:left w:val="nil"/>
              <w:right w:val="nil"/>
            </w:tcBorders>
          </w:tcPr>
          <w:p w:rsidR="00000000" w:rsidRDefault="00000000">
            <w:pPr>
              <w:pStyle w:val="a6"/>
              <w:rPr>
                <w:color w:val="0000FF"/>
                <w:lang w:val="en-US"/>
              </w:rPr>
            </w:pPr>
            <w:r>
              <w:rPr>
                <w:lang w:val="en-US"/>
              </w:rPr>
              <w:t>61211</w:t>
            </w:r>
          </w:p>
        </w:tc>
        <w:tc>
          <w:tcPr>
            <w:tcW w:w="2131" w:type="dxa"/>
            <w:tcBorders>
              <w:top w:val="nil"/>
              <w:left w:val="nil"/>
              <w:right w:val="nil"/>
            </w:tcBorders>
          </w:tcPr>
          <w:p w:rsidR="00000000" w:rsidRDefault="00000000">
            <w:pPr>
              <w:pStyle w:val="a6"/>
              <w:rPr>
                <w:lang w:val="en-US"/>
              </w:rPr>
            </w:pPr>
            <w:r>
              <w:rPr>
                <w:lang w:val="en-US"/>
              </w:rPr>
              <w:t>111913</w:t>
            </w:r>
          </w:p>
        </w:tc>
      </w:tr>
    </w:tbl>
    <w:p w:rsidR="00000000" w:rsidRDefault="00000000">
      <w:pPr>
        <w:tabs>
          <w:tab w:val="left" w:pos="567"/>
          <w:tab w:val="left" w:pos="1021"/>
          <w:tab w:val="left" w:pos="1474"/>
          <w:tab w:val="left" w:pos="1928"/>
        </w:tabs>
        <w:jc w:val="center"/>
        <w:rPr>
          <w:b/>
          <w:color w:val="000000"/>
          <w:lang w:val="en-US"/>
        </w:rPr>
      </w:pPr>
    </w:p>
    <w:p w:rsidR="00000000" w:rsidRDefault="00000000">
      <w:pPr>
        <w:tabs>
          <w:tab w:val="left" w:pos="567"/>
          <w:tab w:val="left" w:pos="1021"/>
          <w:tab w:val="left" w:pos="1474"/>
          <w:tab w:val="left" w:pos="1928"/>
        </w:tabs>
        <w:jc w:val="center"/>
        <w:rPr>
          <w:b/>
          <w:color w:val="000000"/>
          <w:lang w:val="en-GB"/>
        </w:rPr>
      </w:pPr>
      <w:r>
        <w:rPr>
          <w:b/>
          <w:color w:val="000000"/>
          <w:lang w:val="en-US"/>
        </w:rPr>
        <w:t>TABLE</w:t>
      </w:r>
      <w:r>
        <w:rPr>
          <w:b/>
          <w:color w:val="000000"/>
          <w:lang w:val="en-GB"/>
        </w:rPr>
        <w:t xml:space="preserve"> 9</w:t>
      </w:r>
    </w:p>
    <w:p w:rsidR="00000000" w:rsidRDefault="00000000">
      <w:pPr>
        <w:pStyle w:val="-0"/>
        <w:rPr>
          <w:lang w:val="en-GB"/>
        </w:rPr>
      </w:pPr>
      <w:r>
        <w:rPr>
          <w:lang w:val="en-GB"/>
        </w:rPr>
        <w:t>(</w:t>
      </w:r>
      <w:r>
        <w:rPr>
          <w:lang w:val="en-US"/>
        </w:rPr>
        <w:t>Source</w:t>
      </w:r>
      <w:r>
        <w:rPr>
          <w:lang w:val="en-GB"/>
        </w:rPr>
        <w:t xml:space="preserve"> </w:t>
      </w:r>
      <w:r>
        <w:rPr>
          <w:lang w:val="en-US"/>
        </w:rPr>
        <w:t>Ministry of National Education and Religious Affairs,</w:t>
      </w:r>
      <w:r>
        <w:rPr>
          <w:lang w:val="en-GB"/>
        </w:rPr>
        <w:t xml:space="preserve"> Directorate for Planning and Operational Research, Dept. of Op. Research &amp; Statistics)</w:t>
      </w:r>
    </w:p>
    <w:p w:rsidR="00000000" w:rsidRDefault="00000000">
      <w:pPr>
        <w:pStyle w:val="Heading1"/>
        <w:tabs>
          <w:tab w:val="left" w:pos="567"/>
          <w:tab w:val="left" w:pos="1021"/>
          <w:tab w:val="left" w:pos="1474"/>
          <w:tab w:val="left" w:pos="1928"/>
        </w:tabs>
        <w:spacing w:before="0"/>
        <w:rPr>
          <w:caps/>
          <w:sz w:val="22"/>
          <w:lang w:val="en-GB"/>
        </w:rPr>
      </w:pPr>
    </w:p>
    <w:p w:rsidR="00000000" w:rsidRDefault="00000000">
      <w:pPr>
        <w:pStyle w:val="Heading1"/>
        <w:tabs>
          <w:tab w:val="left" w:pos="567"/>
          <w:tab w:val="left" w:pos="1021"/>
          <w:tab w:val="left" w:pos="1474"/>
          <w:tab w:val="left" w:pos="1928"/>
        </w:tabs>
        <w:spacing w:before="0"/>
        <w:rPr>
          <w:caps/>
          <w:sz w:val="22"/>
          <w:lang w:val="en-GB"/>
        </w:rPr>
      </w:pPr>
    </w:p>
    <w:p w:rsidR="00000000" w:rsidRDefault="00000000">
      <w:pPr>
        <w:pStyle w:val="Heading1"/>
        <w:tabs>
          <w:tab w:val="left" w:pos="567"/>
          <w:tab w:val="left" w:pos="1021"/>
          <w:tab w:val="left" w:pos="1474"/>
          <w:tab w:val="left" w:pos="1928"/>
        </w:tabs>
        <w:spacing w:before="0"/>
        <w:rPr>
          <w:caps/>
          <w:sz w:val="22"/>
          <w:lang w:val="en-GB"/>
        </w:rPr>
      </w:pPr>
      <w:r>
        <w:rPr>
          <w:caps/>
          <w:sz w:val="22"/>
          <w:lang w:val="en-GB"/>
        </w:rPr>
        <w:t>TEACHING PERSONNEL</w:t>
      </w:r>
    </w:p>
    <w:p w:rsidR="00000000" w:rsidRDefault="00000000">
      <w:pPr>
        <w:pStyle w:val="Heading1"/>
        <w:tabs>
          <w:tab w:val="left" w:pos="567"/>
          <w:tab w:val="left" w:pos="1021"/>
          <w:tab w:val="left" w:pos="1474"/>
          <w:tab w:val="left" w:pos="1928"/>
        </w:tabs>
        <w:spacing w:before="0"/>
        <w:ind w:left="360"/>
        <w:rPr>
          <w:color w:val="000000"/>
          <w:sz w:val="22"/>
          <w:lang w:val="en-GB"/>
        </w:rPr>
      </w:pPr>
      <w:r>
        <w:rPr>
          <w:color w:val="000000"/>
          <w:sz w:val="22"/>
          <w:lang w:val="en-GB"/>
        </w:rPr>
        <w:t>Teaching Personnel in Elementary and Secondary Education</w:t>
      </w:r>
    </w:p>
    <w:p w:rsidR="00000000" w:rsidRDefault="00000000">
      <w:pPr>
        <w:tabs>
          <w:tab w:val="left" w:pos="567"/>
          <w:tab w:val="left" w:pos="1021"/>
          <w:tab w:val="left" w:pos="1474"/>
          <w:tab w:val="left" w:pos="1928"/>
        </w:tabs>
        <w:ind w:firstLine="567"/>
        <w:rPr>
          <w:lang w:val="en-GB"/>
        </w:rPr>
      </w:pPr>
      <w:r>
        <w:rPr>
          <w:lang w:val="en-US"/>
        </w:rPr>
        <w:t>The vast majority of teachers in pre-school education are women</w:t>
      </w:r>
      <w:r>
        <w:rPr>
          <w:lang w:val="en-GB"/>
        </w:rPr>
        <w:t>. In recent years, a small increase of the number of men kindergarten teachers has been noticed.</w:t>
      </w:r>
    </w:p>
    <w:p w:rsidR="00000000" w:rsidRDefault="00000000">
      <w:pPr>
        <w:tabs>
          <w:tab w:val="left" w:pos="567"/>
          <w:tab w:val="left" w:pos="1021"/>
          <w:tab w:val="left" w:pos="1474"/>
          <w:tab w:val="left" w:pos="1928"/>
        </w:tabs>
        <w:ind w:firstLine="567"/>
        <w:rPr>
          <w:color w:val="000000"/>
          <w:lang w:val="en-GB"/>
        </w:rPr>
      </w:pPr>
      <w:r>
        <w:rPr>
          <w:color w:val="000000"/>
          <w:lang w:val="en-US"/>
        </w:rPr>
        <w:t>The</w:t>
      </w:r>
      <w:r>
        <w:rPr>
          <w:color w:val="000000"/>
          <w:lang w:val="en-GB"/>
        </w:rPr>
        <w:t xml:space="preserve"> </w:t>
      </w:r>
      <w:r>
        <w:rPr>
          <w:color w:val="000000"/>
          <w:lang w:val="en-US"/>
        </w:rPr>
        <w:t>total</w:t>
      </w:r>
      <w:r>
        <w:rPr>
          <w:color w:val="000000"/>
          <w:lang w:val="en-GB"/>
        </w:rPr>
        <w:t xml:space="preserve"> </w:t>
      </w:r>
      <w:r>
        <w:rPr>
          <w:color w:val="000000"/>
          <w:lang w:val="en-US"/>
        </w:rPr>
        <w:t>number</w:t>
      </w:r>
      <w:r>
        <w:rPr>
          <w:color w:val="000000"/>
          <w:lang w:val="en-GB"/>
        </w:rPr>
        <w:t xml:space="preserve"> </w:t>
      </w:r>
      <w:r>
        <w:rPr>
          <w:color w:val="000000"/>
          <w:lang w:val="en-US"/>
        </w:rPr>
        <w:t>of</w:t>
      </w:r>
      <w:r>
        <w:rPr>
          <w:color w:val="000000"/>
          <w:lang w:val="en-GB"/>
        </w:rPr>
        <w:t xml:space="preserve"> </w:t>
      </w:r>
      <w:r>
        <w:rPr>
          <w:color w:val="000000"/>
          <w:lang w:val="en-US"/>
        </w:rPr>
        <w:t>teaching</w:t>
      </w:r>
      <w:r>
        <w:rPr>
          <w:color w:val="000000"/>
          <w:lang w:val="en-GB"/>
        </w:rPr>
        <w:t xml:space="preserve"> </w:t>
      </w:r>
      <w:r>
        <w:rPr>
          <w:color w:val="000000"/>
          <w:lang w:val="en-US"/>
        </w:rPr>
        <w:t>personnel</w:t>
      </w:r>
      <w:r>
        <w:rPr>
          <w:color w:val="000000"/>
          <w:lang w:val="en-GB"/>
        </w:rPr>
        <w:t xml:space="preserve"> </w:t>
      </w:r>
      <w:r>
        <w:rPr>
          <w:color w:val="000000"/>
          <w:lang w:val="en-US"/>
        </w:rPr>
        <w:t>and</w:t>
      </w:r>
      <w:r>
        <w:rPr>
          <w:color w:val="000000"/>
          <w:lang w:val="en-GB"/>
        </w:rPr>
        <w:t xml:space="preserve"> </w:t>
      </w:r>
      <w:r>
        <w:rPr>
          <w:color w:val="000000"/>
          <w:lang w:val="en-US"/>
        </w:rPr>
        <w:t>the number of women teaching at</w:t>
      </w:r>
      <w:r>
        <w:rPr>
          <w:color w:val="000000"/>
          <w:lang w:val="en-GB"/>
        </w:rPr>
        <w:t xml:space="preserve"> </w:t>
      </w:r>
      <w:r>
        <w:rPr>
          <w:color w:val="000000"/>
          <w:lang w:val="en-US"/>
        </w:rPr>
        <w:t>Kindergartens</w:t>
      </w:r>
      <w:r>
        <w:rPr>
          <w:color w:val="000000"/>
          <w:lang w:val="en-GB"/>
        </w:rPr>
        <w:t xml:space="preserve"> </w:t>
      </w:r>
      <w:r>
        <w:rPr>
          <w:color w:val="000000"/>
          <w:lang w:val="en-US"/>
        </w:rPr>
        <w:t>and Elementary Schools of the country</w:t>
      </w:r>
      <w:r>
        <w:rPr>
          <w:color w:val="000000"/>
          <w:lang w:val="en-GB"/>
        </w:rPr>
        <w:t xml:space="preserve"> </w:t>
      </w:r>
      <w:r>
        <w:rPr>
          <w:color w:val="000000"/>
          <w:lang w:val="en-US"/>
        </w:rPr>
        <w:t xml:space="preserve">during years </w:t>
      </w:r>
      <w:r>
        <w:rPr>
          <w:color w:val="000000"/>
          <w:lang w:val="en-GB"/>
        </w:rPr>
        <w:t xml:space="preserve">2000-2004 </w:t>
      </w:r>
      <w:r>
        <w:rPr>
          <w:color w:val="000000"/>
          <w:lang w:val="en-US"/>
        </w:rPr>
        <w:t>are as follows</w:t>
      </w:r>
      <w:r>
        <w:rPr>
          <w:color w:val="000000"/>
          <w:lang w:val="en-GB"/>
        </w:rPr>
        <w:t>:</w:t>
      </w:r>
    </w:p>
    <w:tbl>
      <w:tblPr>
        <w:tblW w:w="0" w:type="auto"/>
        <w:jc w:val="center"/>
        <w:tblBorders>
          <w:top w:val="single" w:sz="4" w:space="0" w:color="auto"/>
          <w:bottom w:val="single" w:sz="4" w:space="0" w:color="auto"/>
        </w:tblBorders>
        <w:tblLayout w:type="fixed"/>
        <w:tblCellMar>
          <w:left w:w="56" w:type="dxa"/>
          <w:right w:w="56" w:type="dxa"/>
        </w:tblCellMar>
        <w:tblLook w:val="01E0" w:firstRow="1" w:lastRow="1" w:firstColumn="1" w:lastColumn="1" w:noHBand="0" w:noVBand="0"/>
      </w:tblPr>
      <w:tblGrid>
        <w:gridCol w:w="1874"/>
        <w:gridCol w:w="1247"/>
        <w:gridCol w:w="1247"/>
        <w:gridCol w:w="1277"/>
        <w:gridCol w:w="1217"/>
        <w:gridCol w:w="1247"/>
        <w:gridCol w:w="1247"/>
      </w:tblGrid>
      <w:tr w:rsidR="00000000">
        <w:tblPrEx>
          <w:tblCellMar>
            <w:top w:w="0" w:type="dxa"/>
            <w:bottom w:w="0" w:type="dxa"/>
          </w:tblCellMar>
        </w:tblPrEx>
        <w:trPr>
          <w:cantSplit/>
          <w:jc w:val="center"/>
        </w:trPr>
        <w:tc>
          <w:tcPr>
            <w:tcW w:w="5645" w:type="dxa"/>
            <w:gridSpan w:val="4"/>
            <w:tcBorders>
              <w:top w:val="single" w:sz="4" w:space="0" w:color="auto"/>
              <w:bottom w:val="single" w:sz="4" w:space="0" w:color="auto"/>
            </w:tcBorders>
            <w:shd w:val="pct10" w:color="auto" w:fill="auto"/>
          </w:tcPr>
          <w:p w:rsidR="00000000" w:rsidRDefault="00000000">
            <w:pPr>
              <w:pStyle w:val="a6"/>
              <w:rPr>
                <w:lang w:val="en-US"/>
              </w:rPr>
            </w:pPr>
            <w:r>
              <w:rPr>
                <w:b/>
                <w:lang w:val="en-US"/>
              </w:rPr>
              <w:t>KINDERGARTENS</w:t>
            </w:r>
          </w:p>
        </w:tc>
        <w:tc>
          <w:tcPr>
            <w:tcW w:w="3711" w:type="dxa"/>
            <w:gridSpan w:val="3"/>
            <w:tcBorders>
              <w:top w:val="single" w:sz="4" w:space="0" w:color="auto"/>
              <w:bottom w:val="single" w:sz="4" w:space="0" w:color="auto"/>
            </w:tcBorders>
            <w:shd w:val="pct10" w:color="auto" w:fill="auto"/>
          </w:tcPr>
          <w:p w:rsidR="00000000" w:rsidRDefault="00000000">
            <w:pPr>
              <w:pStyle w:val="a6"/>
              <w:rPr>
                <w:lang w:val="en-US"/>
              </w:rPr>
            </w:pPr>
            <w:r>
              <w:rPr>
                <w:b/>
                <w:lang w:val="en-US"/>
              </w:rPr>
              <w:t>ELEMENTARY SCHOOLS</w:t>
            </w:r>
          </w:p>
        </w:tc>
      </w:tr>
      <w:tr w:rsidR="00000000">
        <w:tblPrEx>
          <w:tblCellMar>
            <w:top w:w="0" w:type="dxa"/>
            <w:bottom w:w="0" w:type="dxa"/>
          </w:tblCellMar>
        </w:tblPrEx>
        <w:trPr>
          <w:jc w:val="center"/>
        </w:trPr>
        <w:tc>
          <w:tcPr>
            <w:tcW w:w="1874" w:type="dxa"/>
            <w:tcBorders>
              <w:top w:val="single" w:sz="4" w:space="0" w:color="auto"/>
              <w:bottom w:val="single" w:sz="4" w:space="0" w:color="auto"/>
            </w:tcBorders>
          </w:tcPr>
          <w:p w:rsidR="00000000" w:rsidRDefault="00000000">
            <w:pPr>
              <w:pStyle w:val="a6"/>
              <w:rPr>
                <w:b/>
                <w:color w:val="0000FF"/>
                <w:lang w:val="en-US"/>
              </w:rPr>
            </w:pPr>
            <w:r>
              <w:rPr>
                <w:b/>
                <w:lang w:val="en-US"/>
              </w:rPr>
              <w:t>School Year</w:t>
            </w:r>
          </w:p>
        </w:tc>
        <w:tc>
          <w:tcPr>
            <w:tcW w:w="1247" w:type="dxa"/>
            <w:tcBorders>
              <w:top w:val="single" w:sz="4" w:space="0" w:color="auto"/>
              <w:bottom w:val="single" w:sz="4" w:space="0" w:color="auto"/>
            </w:tcBorders>
          </w:tcPr>
          <w:p w:rsidR="00000000" w:rsidRDefault="00000000">
            <w:pPr>
              <w:pStyle w:val="a6"/>
              <w:rPr>
                <w:b/>
                <w:color w:val="0000FF"/>
                <w:lang w:val="en-US"/>
              </w:rPr>
            </w:pPr>
            <w:r>
              <w:rPr>
                <w:b/>
                <w:lang w:val="en-US"/>
              </w:rPr>
              <w:t>Total</w:t>
            </w:r>
          </w:p>
        </w:tc>
        <w:tc>
          <w:tcPr>
            <w:tcW w:w="1247" w:type="dxa"/>
            <w:tcBorders>
              <w:top w:val="single" w:sz="4" w:space="0" w:color="auto"/>
              <w:bottom w:val="single" w:sz="4" w:space="0" w:color="auto"/>
            </w:tcBorders>
          </w:tcPr>
          <w:p w:rsidR="00000000" w:rsidRDefault="00000000">
            <w:pPr>
              <w:pStyle w:val="a6"/>
              <w:rPr>
                <w:b/>
                <w:color w:val="0000FF"/>
                <w:lang w:val="en-US"/>
              </w:rPr>
            </w:pPr>
            <w:r>
              <w:rPr>
                <w:b/>
                <w:lang w:val="en-US"/>
              </w:rPr>
              <w:t>Women</w:t>
            </w:r>
          </w:p>
        </w:tc>
        <w:tc>
          <w:tcPr>
            <w:tcW w:w="1277" w:type="dxa"/>
            <w:tcBorders>
              <w:top w:val="single" w:sz="4" w:space="0" w:color="auto"/>
              <w:bottom w:val="single" w:sz="4" w:space="0" w:color="auto"/>
            </w:tcBorders>
          </w:tcPr>
          <w:p w:rsidR="00000000" w:rsidRDefault="00000000">
            <w:pPr>
              <w:pStyle w:val="a6"/>
              <w:rPr>
                <w:b/>
                <w:color w:val="0000FF"/>
                <w:lang w:val="en-US"/>
              </w:rPr>
            </w:pPr>
            <w:r>
              <w:rPr>
                <w:b/>
                <w:lang w:val="en-US"/>
              </w:rPr>
              <w:t>% women</w:t>
            </w:r>
          </w:p>
        </w:tc>
        <w:tc>
          <w:tcPr>
            <w:tcW w:w="1217" w:type="dxa"/>
            <w:tcBorders>
              <w:top w:val="single" w:sz="4" w:space="0" w:color="auto"/>
              <w:bottom w:val="single" w:sz="4" w:space="0" w:color="auto"/>
            </w:tcBorders>
          </w:tcPr>
          <w:p w:rsidR="00000000" w:rsidRDefault="00000000">
            <w:pPr>
              <w:pStyle w:val="a6"/>
              <w:rPr>
                <w:b/>
                <w:color w:val="0000FF"/>
                <w:lang w:val="en-US"/>
              </w:rPr>
            </w:pPr>
            <w:r>
              <w:rPr>
                <w:b/>
                <w:lang w:val="en-US"/>
              </w:rPr>
              <w:t>Total</w:t>
            </w:r>
          </w:p>
        </w:tc>
        <w:tc>
          <w:tcPr>
            <w:tcW w:w="1247" w:type="dxa"/>
            <w:tcBorders>
              <w:top w:val="single" w:sz="4" w:space="0" w:color="auto"/>
              <w:bottom w:val="single" w:sz="4" w:space="0" w:color="auto"/>
            </w:tcBorders>
          </w:tcPr>
          <w:p w:rsidR="00000000" w:rsidRDefault="00000000">
            <w:pPr>
              <w:pStyle w:val="a6"/>
              <w:rPr>
                <w:b/>
                <w:color w:val="0000FF"/>
                <w:lang w:val="en-US"/>
              </w:rPr>
            </w:pPr>
            <w:r>
              <w:rPr>
                <w:b/>
                <w:lang w:val="en-US"/>
              </w:rPr>
              <w:t>Women</w:t>
            </w:r>
          </w:p>
        </w:tc>
        <w:tc>
          <w:tcPr>
            <w:tcW w:w="1247" w:type="dxa"/>
            <w:tcBorders>
              <w:top w:val="single" w:sz="4" w:space="0" w:color="auto"/>
              <w:bottom w:val="single" w:sz="4" w:space="0" w:color="auto"/>
            </w:tcBorders>
          </w:tcPr>
          <w:p w:rsidR="00000000" w:rsidRDefault="00000000">
            <w:pPr>
              <w:pStyle w:val="a6"/>
              <w:rPr>
                <w:b/>
                <w:color w:val="0000FF"/>
                <w:lang w:val="en-US"/>
              </w:rPr>
            </w:pPr>
            <w:r>
              <w:rPr>
                <w:b/>
                <w:lang w:val="en-US"/>
              </w:rPr>
              <w:t>% women</w:t>
            </w:r>
          </w:p>
        </w:tc>
      </w:tr>
      <w:tr w:rsidR="00000000">
        <w:tblPrEx>
          <w:tblCellMar>
            <w:top w:w="0" w:type="dxa"/>
            <w:bottom w:w="0" w:type="dxa"/>
          </w:tblCellMar>
        </w:tblPrEx>
        <w:trPr>
          <w:jc w:val="center"/>
        </w:trPr>
        <w:tc>
          <w:tcPr>
            <w:tcW w:w="1874" w:type="dxa"/>
            <w:tcBorders>
              <w:top w:val="single" w:sz="4" w:space="0" w:color="auto"/>
            </w:tcBorders>
          </w:tcPr>
          <w:p w:rsidR="00000000" w:rsidRDefault="00000000">
            <w:pPr>
              <w:pStyle w:val="a6"/>
              <w:rPr>
                <w:color w:val="0000FF"/>
                <w:lang w:val="en-US"/>
              </w:rPr>
            </w:pPr>
            <w:r>
              <w:rPr>
                <w:lang w:val="en-US"/>
              </w:rPr>
              <w:t>2000-2001</w:t>
            </w:r>
          </w:p>
        </w:tc>
        <w:tc>
          <w:tcPr>
            <w:tcW w:w="1247" w:type="dxa"/>
            <w:tcBorders>
              <w:top w:val="single" w:sz="4" w:space="0" w:color="auto"/>
            </w:tcBorders>
          </w:tcPr>
          <w:p w:rsidR="00000000" w:rsidRDefault="00000000">
            <w:pPr>
              <w:pStyle w:val="a6"/>
              <w:rPr>
                <w:color w:val="0000FF"/>
                <w:lang w:val="en-US"/>
              </w:rPr>
            </w:pPr>
            <w:r>
              <w:rPr>
                <w:lang w:val="en-US"/>
              </w:rPr>
              <w:t>10139</w:t>
            </w:r>
          </w:p>
        </w:tc>
        <w:tc>
          <w:tcPr>
            <w:tcW w:w="1247" w:type="dxa"/>
            <w:tcBorders>
              <w:top w:val="single" w:sz="4" w:space="0" w:color="auto"/>
            </w:tcBorders>
          </w:tcPr>
          <w:p w:rsidR="00000000" w:rsidRDefault="00000000">
            <w:pPr>
              <w:pStyle w:val="a6"/>
              <w:rPr>
                <w:color w:val="0000FF"/>
                <w:lang w:val="en-US"/>
              </w:rPr>
            </w:pPr>
            <w:r>
              <w:rPr>
                <w:lang w:val="en-US"/>
              </w:rPr>
              <w:t>9823</w:t>
            </w:r>
          </w:p>
        </w:tc>
        <w:tc>
          <w:tcPr>
            <w:tcW w:w="1277" w:type="dxa"/>
            <w:tcBorders>
              <w:top w:val="single" w:sz="4" w:space="0" w:color="auto"/>
            </w:tcBorders>
          </w:tcPr>
          <w:p w:rsidR="00000000" w:rsidRDefault="00000000">
            <w:pPr>
              <w:pStyle w:val="a6"/>
              <w:rPr>
                <w:color w:val="0000FF"/>
                <w:lang w:val="en-US"/>
              </w:rPr>
            </w:pPr>
            <w:r>
              <w:rPr>
                <w:lang w:val="en-US"/>
              </w:rPr>
              <w:t>96,9%</w:t>
            </w:r>
          </w:p>
        </w:tc>
        <w:tc>
          <w:tcPr>
            <w:tcW w:w="1217" w:type="dxa"/>
            <w:tcBorders>
              <w:top w:val="single" w:sz="4" w:space="0" w:color="auto"/>
            </w:tcBorders>
          </w:tcPr>
          <w:p w:rsidR="00000000" w:rsidRDefault="00000000">
            <w:pPr>
              <w:pStyle w:val="a6"/>
              <w:rPr>
                <w:color w:val="0000FF"/>
                <w:lang w:val="en-US"/>
              </w:rPr>
            </w:pPr>
            <w:r>
              <w:rPr>
                <w:lang w:val="en-US"/>
              </w:rPr>
              <w:t>50012</w:t>
            </w:r>
          </w:p>
        </w:tc>
        <w:tc>
          <w:tcPr>
            <w:tcW w:w="1247" w:type="dxa"/>
            <w:tcBorders>
              <w:top w:val="single" w:sz="4" w:space="0" w:color="auto"/>
            </w:tcBorders>
          </w:tcPr>
          <w:p w:rsidR="00000000" w:rsidRDefault="00000000">
            <w:pPr>
              <w:pStyle w:val="a6"/>
              <w:rPr>
                <w:color w:val="0000FF"/>
                <w:lang w:val="en-US"/>
              </w:rPr>
            </w:pPr>
            <w:r>
              <w:rPr>
                <w:lang w:val="en-US"/>
              </w:rPr>
              <w:t>28419</w:t>
            </w:r>
          </w:p>
        </w:tc>
        <w:tc>
          <w:tcPr>
            <w:tcW w:w="1247" w:type="dxa"/>
            <w:tcBorders>
              <w:top w:val="single" w:sz="4" w:space="0" w:color="auto"/>
            </w:tcBorders>
          </w:tcPr>
          <w:p w:rsidR="00000000" w:rsidRDefault="00000000">
            <w:pPr>
              <w:pStyle w:val="a6"/>
              <w:rPr>
                <w:color w:val="0000FF"/>
                <w:lang w:val="en-US"/>
              </w:rPr>
            </w:pPr>
            <w:r>
              <w:rPr>
                <w:lang w:val="en-US"/>
              </w:rPr>
              <w:t>56,8%</w:t>
            </w:r>
          </w:p>
        </w:tc>
      </w:tr>
      <w:tr w:rsidR="00000000">
        <w:tblPrEx>
          <w:tblCellMar>
            <w:top w:w="0" w:type="dxa"/>
            <w:bottom w:w="0" w:type="dxa"/>
          </w:tblCellMar>
        </w:tblPrEx>
        <w:trPr>
          <w:jc w:val="center"/>
        </w:trPr>
        <w:tc>
          <w:tcPr>
            <w:tcW w:w="1874" w:type="dxa"/>
          </w:tcPr>
          <w:p w:rsidR="00000000" w:rsidRDefault="00000000">
            <w:pPr>
              <w:pStyle w:val="a6"/>
              <w:rPr>
                <w:color w:val="0000FF"/>
                <w:lang w:val="en-US"/>
              </w:rPr>
            </w:pPr>
            <w:r>
              <w:rPr>
                <w:lang w:val="en-US"/>
              </w:rPr>
              <w:t>2001-2002</w:t>
            </w:r>
          </w:p>
        </w:tc>
        <w:tc>
          <w:tcPr>
            <w:tcW w:w="1247" w:type="dxa"/>
          </w:tcPr>
          <w:p w:rsidR="00000000" w:rsidRDefault="00000000">
            <w:pPr>
              <w:pStyle w:val="a6"/>
              <w:rPr>
                <w:color w:val="0000FF"/>
                <w:lang w:val="en-US"/>
              </w:rPr>
            </w:pPr>
            <w:r>
              <w:rPr>
                <w:lang w:val="en-US"/>
              </w:rPr>
              <w:t>10295</w:t>
            </w:r>
          </w:p>
        </w:tc>
        <w:tc>
          <w:tcPr>
            <w:tcW w:w="1247" w:type="dxa"/>
          </w:tcPr>
          <w:p w:rsidR="00000000" w:rsidRDefault="00000000">
            <w:pPr>
              <w:pStyle w:val="a6"/>
              <w:rPr>
                <w:color w:val="0000FF"/>
                <w:lang w:val="en-US"/>
              </w:rPr>
            </w:pPr>
            <w:r>
              <w:rPr>
                <w:lang w:val="en-US"/>
              </w:rPr>
              <w:t>10239</w:t>
            </w:r>
          </w:p>
        </w:tc>
        <w:tc>
          <w:tcPr>
            <w:tcW w:w="1277" w:type="dxa"/>
          </w:tcPr>
          <w:p w:rsidR="00000000" w:rsidRDefault="00000000">
            <w:pPr>
              <w:pStyle w:val="a6"/>
              <w:rPr>
                <w:color w:val="0000FF"/>
                <w:lang w:val="en-US"/>
              </w:rPr>
            </w:pPr>
            <w:r>
              <w:rPr>
                <w:lang w:val="en-US"/>
              </w:rPr>
              <w:t>99,4%</w:t>
            </w:r>
          </w:p>
        </w:tc>
        <w:tc>
          <w:tcPr>
            <w:tcW w:w="1217" w:type="dxa"/>
          </w:tcPr>
          <w:p w:rsidR="00000000" w:rsidRDefault="00000000">
            <w:pPr>
              <w:pStyle w:val="a6"/>
              <w:rPr>
                <w:color w:val="0000FF"/>
                <w:lang w:val="en-US"/>
              </w:rPr>
            </w:pPr>
            <w:r>
              <w:rPr>
                <w:lang w:val="en-US"/>
              </w:rPr>
              <w:t>51606</w:t>
            </w:r>
          </w:p>
        </w:tc>
        <w:tc>
          <w:tcPr>
            <w:tcW w:w="1247" w:type="dxa"/>
          </w:tcPr>
          <w:p w:rsidR="00000000" w:rsidRDefault="00000000">
            <w:pPr>
              <w:pStyle w:val="a6"/>
              <w:rPr>
                <w:color w:val="0000FF"/>
                <w:lang w:val="en-US"/>
              </w:rPr>
            </w:pPr>
            <w:r>
              <w:rPr>
                <w:lang w:val="en-US"/>
              </w:rPr>
              <w:t>30431</w:t>
            </w:r>
          </w:p>
        </w:tc>
        <w:tc>
          <w:tcPr>
            <w:tcW w:w="1247" w:type="dxa"/>
          </w:tcPr>
          <w:p w:rsidR="00000000" w:rsidRDefault="00000000">
            <w:pPr>
              <w:pStyle w:val="a6"/>
              <w:rPr>
                <w:color w:val="0000FF"/>
                <w:lang w:val="en-US"/>
              </w:rPr>
            </w:pPr>
            <w:r>
              <w:rPr>
                <w:lang w:val="en-US"/>
              </w:rPr>
              <w:t>58,9%</w:t>
            </w:r>
          </w:p>
        </w:tc>
      </w:tr>
      <w:tr w:rsidR="00000000">
        <w:tblPrEx>
          <w:tblCellMar>
            <w:top w:w="0" w:type="dxa"/>
            <w:bottom w:w="0" w:type="dxa"/>
          </w:tblCellMar>
        </w:tblPrEx>
        <w:trPr>
          <w:jc w:val="center"/>
        </w:trPr>
        <w:tc>
          <w:tcPr>
            <w:tcW w:w="1874" w:type="dxa"/>
          </w:tcPr>
          <w:p w:rsidR="00000000" w:rsidRDefault="00000000">
            <w:pPr>
              <w:pStyle w:val="a6"/>
              <w:rPr>
                <w:color w:val="0000FF"/>
                <w:lang w:val="en-US"/>
              </w:rPr>
            </w:pPr>
            <w:r>
              <w:rPr>
                <w:lang w:val="en-US"/>
              </w:rPr>
              <w:t>2002-2003</w:t>
            </w:r>
          </w:p>
        </w:tc>
        <w:tc>
          <w:tcPr>
            <w:tcW w:w="1247" w:type="dxa"/>
          </w:tcPr>
          <w:p w:rsidR="00000000" w:rsidRDefault="00000000">
            <w:pPr>
              <w:pStyle w:val="a6"/>
              <w:rPr>
                <w:color w:val="0000FF"/>
                <w:lang w:val="en-US"/>
              </w:rPr>
            </w:pPr>
            <w:r>
              <w:rPr>
                <w:lang w:val="en-US"/>
              </w:rPr>
              <w:t>10747</w:t>
            </w:r>
          </w:p>
        </w:tc>
        <w:tc>
          <w:tcPr>
            <w:tcW w:w="1247" w:type="dxa"/>
          </w:tcPr>
          <w:p w:rsidR="00000000" w:rsidRDefault="00000000">
            <w:pPr>
              <w:pStyle w:val="a6"/>
              <w:rPr>
                <w:color w:val="0000FF"/>
                <w:lang w:val="en-US"/>
              </w:rPr>
            </w:pPr>
            <w:r>
              <w:rPr>
                <w:lang w:val="en-US"/>
              </w:rPr>
              <w:t>10685</w:t>
            </w:r>
          </w:p>
        </w:tc>
        <w:tc>
          <w:tcPr>
            <w:tcW w:w="1277" w:type="dxa"/>
          </w:tcPr>
          <w:p w:rsidR="00000000" w:rsidRDefault="00000000">
            <w:pPr>
              <w:pStyle w:val="a6"/>
              <w:rPr>
                <w:color w:val="0000FF"/>
                <w:lang w:val="en-US"/>
              </w:rPr>
            </w:pPr>
            <w:r>
              <w:rPr>
                <w:lang w:val="en-US"/>
              </w:rPr>
              <w:t>99,4%</w:t>
            </w:r>
          </w:p>
        </w:tc>
        <w:tc>
          <w:tcPr>
            <w:tcW w:w="1217" w:type="dxa"/>
          </w:tcPr>
          <w:p w:rsidR="00000000" w:rsidRDefault="00000000">
            <w:pPr>
              <w:pStyle w:val="a6"/>
              <w:rPr>
                <w:color w:val="0000FF"/>
                <w:lang w:val="en-US"/>
              </w:rPr>
            </w:pPr>
            <w:r>
              <w:rPr>
                <w:lang w:val="en-US"/>
              </w:rPr>
              <w:t>54599</w:t>
            </w:r>
          </w:p>
        </w:tc>
        <w:tc>
          <w:tcPr>
            <w:tcW w:w="1247" w:type="dxa"/>
          </w:tcPr>
          <w:p w:rsidR="00000000" w:rsidRDefault="00000000">
            <w:pPr>
              <w:pStyle w:val="a6"/>
              <w:rPr>
                <w:color w:val="0000FF"/>
                <w:lang w:val="en-US"/>
              </w:rPr>
            </w:pPr>
            <w:r>
              <w:rPr>
                <w:lang w:val="en-US"/>
              </w:rPr>
              <w:t>33012</w:t>
            </w:r>
          </w:p>
        </w:tc>
        <w:tc>
          <w:tcPr>
            <w:tcW w:w="1247" w:type="dxa"/>
          </w:tcPr>
          <w:p w:rsidR="00000000" w:rsidRDefault="00000000">
            <w:pPr>
              <w:pStyle w:val="a6"/>
              <w:rPr>
                <w:color w:val="0000FF"/>
                <w:lang w:val="en-US"/>
              </w:rPr>
            </w:pPr>
            <w:r>
              <w:rPr>
                <w:lang w:val="en-US"/>
              </w:rPr>
              <w:t>60,4%</w:t>
            </w:r>
          </w:p>
        </w:tc>
      </w:tr>
      <w:tr w:rsidR="00000000">
        <w:tblPrEx>
          <w:tblCellMar>
            <w:top w:w="0" w:type="dxa"/>
            <w:bottom w:w="0" w:type="dxa"/>
          </w:tblCellMar>
        </w:tblPrEx>
        <w:trPr>
          <w:jc w:val="center"/>
        </w:trPr>
        <w:tc>
          <w:tcPr>
            <w:tcW w:w="1874" w:type="dxa"/>
          </w:tcPr>
          <w:p w:rsidR="00000000" w:rsidRDefault="00000000">
            <w:pPr>
              <w:pStyle w:val="a6"/>
              <w:rPr>
                <w:color w:val="0000FF"/>
                <w:lang w:val="en-US"/>
              </w:rPr>
            </w:pPr>
            <w:r>
              <w:rPr>
                <w:lang w:val="en-US"/>
              </w:rPr>
              <w:t>2003-2004</w:t>
            </w:r>
          </w:p>
        </w:tc>
        <w:tc>
          <w:tcPr>
            <w:tcW w:w="1247" w:type="dxa"/>
          </w:tcPr>
          <w:p w:rsidR="00000000" w:rsidRDefault="00000000">
            <w:pPr>
              <w:pStyle w:val="a6"/>
              <w:rPr>
                <w:color w:val="0000FF"/>
                <w:lang w:val="en-US"/>
              </w:rPr>
            </w:pPr>
            <w:r>
              <w:rPr>
                <w:lang w:val="en-US"/>
              </w:rPr>
              <w:t>10992</w:t>
            </w:r>
          </w:p>
        </w:tc>
        <w:tc>
          <w:tcPr>
            <w:tcW w:w="1247" w:type="dxa"/>
          </w:tcPr>
          <w:p w:rsidR="00000000" w:rsidRDefault="00000000">
            <w:pPr>
              <w:pStyle w:val="a6"/>
              <w:rPr>
                <w:color w:val="0000FF"/>
                <w:lang w:val="en-US"/>
              </w:rPr>
            </w:pPr>
            <w:r>
              <w:rPr>
                <w:lang w:val="en-US"/>
              </w:rPr>
              <w:t>10922</w:t>
            </w:r>
          </w:p>
        </w:tc>
        <w:tc>
          <w:tcPr>
            <w:tcW w:w="1277" w:type="dxa"/>
          </w:tcPr>
          <w:p w:rsidR="00000000" w:rsidRDefault="00000000">
            <w:pPr>
              <w:pStyle w:val="a6"/>
              <w:rPr>
                <w:color w:val="0000FF"/>
                <w:lang w:val="en-US"/>
              </w:rPr>
            </w:pPr>
            <w:r>
              <w:rPr>
                <w:lang w:val="en-US"/>
              </w:rPr>
              <w:t>99,4%</w:t>
            </w:r>
          </w:p>
        </w:tc>
        <w:tc>
          <w:tcPr>
            <w:tcW w:w="1217" w:type="dxa"/>
          </w:tcPr>
          <w:p w:rsidR="00000000" w:rsidRDefault="00000000">
            <w:pPr>
              <w:pStyle w:val="a6"/>
              <w:rPr>
                <w:color w:val="0000FF"/>
                <w:lang w:val="en-US"/>
              </w:rPr>
            </w:pPr>
            <w:r>
              <w:rPr>
                <w:lang w:val="en-US"/>
              </w:rPr>
              <w:t>54131</w:t>
            </w:r>
          </w:p>
        </w:tc>
        <w:tc>
          <w:tcPr>
            <w:tcW w:w="1247" w:type="dxa"/>
          </w:tcPr>
          <w:p w:rsidR="00000000" w:rsidRDefault="00000000">
            <w:pPr>
              <w:pStyle w:val="a6"/>
              <w:rPr>
                <w:color w:val="0000FF"/>
                <w:lang w:val="en-US"/>
              </w:rPr>
            </w:pPr>
            <w:r>
              <w:rPr>
                <w:lang w:val="en-US"/>
              </w:rPr>
              <w:t>33196</w:t>
            </w:r>
          </w:p>
        </w:tc>
        <w:tc>
          <w:tcPr>
            <w:tcW w:w="1247" w:type="dxa"/>
          </w:tcPr>
          <w:p w:rsidR="00000000" w:rsidRDefault="00000000">
            <w:pPr>
              <w:pStyle w:val="a6"/>
              <w:rPr>
                <w:lang w:val="en-US"/>
              </w:rPr>
            </w:pPr>
            <w:r>
              <w:rPr>
                <w:lang w:val="en-US"/>
              </w:rPr>
              <w:t>61,3%</w:t>
            </w:r>
          </w:p>
        </w:tc>
      </w:tr>
    </w:tbl>
    <w:p w:rsidR="00000000" w:rsidRDefault="00000000">
      <w:pPr>
        <w:tabs>
          <w:tab w:val="left" w:pos="567"/>
          <w:tab w:val="left" w:pos="1021"/>
          <w:tab w:val="left" w:pos="1474"/>
          <w:tab w:val="left" w:pos="1928"/>
        </w:tabs>
        <w:jc w:val="center"/>
        <w:rPr>
          <w:b/>
          <w:color w:val="000000"/>
          <w:lang w:val="en-US"/>
        </w:rPr>
      </w:pPr>
    </w:p>
    <w:p w:rsidR="00000000" w:rsidRDefault="00000000">
      <w:pPr>
        <w:tabs>
          <w:tab w:val="left" w:pos="567"/>
          <w:tab w:val="left" w:pos="1021"/>
          <w:tab w:val="left" w:pos="1474"/>
          <w:tab w:val="left" w:pos="1928"/>
        </w:tabs>
        <w:jc w:val="center"/>
        <w:rPr>
          <w:b/>
          <w:color w:val="000000"/>
          <w:lang w:val="en-GB"/>
        </w:rPr>
      </w:pPr>
      <w:r>
        <w:rPr>
          <w:b/>
          <w:color w:val="000000"/>
          <w:lang w:val="en-US"/>
        </w:rPr>
        <w:t>TABLE</w:t>
      </w:r>
      <w:r>
        <w:rPr>
          <w:b/>
          <w:color w:val="000000"/>
          <w:lang w:val="en-GB"/>
        </w:rPr>
        <w:t xml:space="preserve"> 10</w:t>
      </w:r>
    </w:p>
    <w:p w:rsidR="00000000" w:rsidRDefault="00000000">
      <w:pPr>
        <w:pStyle w:val="-0"/>
        <w:rPr>
          <w:color w:val="000000"/>
          <w:lang w:val="en-GB"/>
        </w:rPr>
      </w:pPr>
      <w:r>
        <w:rPr>
          <w:color w:val="000000"/>
          <w:lang w:val="en-GB"/>
        </w:rPr>
        <w:t>(</w:t>
      </w:r>
      <w:r>
        <w:rPr>
          <w:color w:val="000000"/>
          <w:lang w:val="en-US"/>
        </w:rPr>
        <w:t>Source</w:t>
      </w:r>
      <w:r>
        <w:rPr>
          <w:color w:val="000000"/>
          <w:lang w:val="en-GB"/>
        </w:rPr>
        <w:t xml:space="preserve"> </w:t>
      </w:r>
      <w:r>
        <w:rPr>
          <w:lang w:val="en-US"/>
        </w:rPr>
        <w:t>Ministry of National Education and Religious Affairs</w:t>
      </w:r>
      <w:r>
        <w:rPr>
          <w:color w:val="000000"/>
          <w:lang w:val="en-GB"/>
        </w:rPr>
        <w:t xml:space="preserve">, </w:t>
      </w:r>
      <w:r>
        <w:rPr>
          <w:lang w:val="en-GB"/>
        </w:rPr>
        <w:t>Directorate for Planning and Operational Research</w:t>
      </w:r>
      <w:r>
        <w:rPr>
          <w:color w:val="000000"/>
          <w:lang w:val="en-GB"/>
        </w:rPr>
        <w:t>, Dept. of Op. Research  &amp; Statistics)</w:t>
      </w:r>
    </w:p>
    <w:p w:rsidR="00000000" w:rsidRDefault="00000000">
      <w:pPr>
        <w:tabs>
          <w:tab w:val="left" w:pos="567"/>
          <w:tab w:val="left" w:pos="1021"/>
          <w:tab w:val="left" w:pos="1474"/>
          <w:tab w:val="left" w:pos="1928"/>
        </w:tabs>
        <w:ind w:firstLine="567"/>
        <w:rPr>
          <w:color w:val="000000"/>
          <w:lang w:val="en-GB"/>
        </w:rPr>
      </w:pPr>
      <w:r>
        <w:rPr>
          <w:color w:val="000000"/>
          <w:lang w:val="en-US"/>
        </w:rPr>
        <w:br w:type="page"/>
        <w:t>The total number of teaching personnel</w:t>
      </w:r>
      <w:r>
        <w:rPr>
          <w:color w:val="000000"/>
          <w:lang w:val="en-GB"/>
        </w:rPr>
        <w:t xml:space="preserve"> </w:t>
      </w:r>
      <w:r>
        <w:rPr>
          <w:color w:val="000000"/>
          <w:lang w:val="en-US"/>
        </w:rPr>
        <w:t>and the number of women teaching at Gymnasia</w:t>
      </w:r>
      <w:r>
        <w:rPr>
          <w:color w:val="000000"/>
          <w:lang w:val="en-GB"/>
        </w:rPr>
        <w:t xml:space="preserve">, </w:t>
      </w:r>
      <w:r>
        <w:rPr>
          <w:color w:val="000000"/>
          <w:lang w:val="en-US"/>
        </w:rPr>
        <w:t>Integrated Lykeia</w:t>
      </w:r>
      <w:r>
        <w:rPr>
          <w:color w:val="000000"/>
          <w:lang w:val="en-GB"/>
        </w:rPr>
        <w:t xml:space="preserve"> </w:t>
      </w:r>
      <w:r>
        <w:rPr>
          <w:color w:val="000000"/>
          <w:lang w:val="en-US"/>
        </w:rPr>
        <w:t>and Technical Vocational Schools of the country</w:t>
      </w:r>
      <w:r>
        <w:rPr>
          <w:color w:val="000000"/>
          <w:lang w:val="en-GB"/>
        </w:rPr>
        <w:t xml:space="preserve"> </w:t>
      </w:r>
      <w:r>
        <w:rPr>
          <w:color w:val="000000"/>
          <w:lang w:val="en-US"/>
        </w:rPr>
        <w:t>during years</w:t>
      </w:r>
      <w:r>
        <w:rPr>
          <w:color w:val="000000"/>
          <w:lang w:val="en-GB"/>
        </w:rPr>
        <w:t xml:space="preserve"> 2000-2004 </w:t>
      </w:r>
      <w:r>
        <w:rPr>
          <w:color w:val="000000"/>
          <w:lang w:val="en-US"/>
        </w:rPr>
        <w:t>are as follows</w:t>
      </w:r>
      <w:r>
        <w:rPr>
          <w:color w:val="000000"/>
          <w:lang w:val="en-GB"/>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03"/>
        <w:gridCol w:w="1146"/>
        <w:gridCol w:w="1200"/>
        <w:gridCol w:w="1213"/>
        <w:gridCol w:w="1201"/>
        <w:gridCol w:w="1214"/>
        <w:gridCol w:w="1201"/>
      </w:tblGrid>
      <w:tr w:rsidR="00000000">
        <w:tblPrEx>
          <w:tblCellMar>
            <w:top w:w="0" w:type="dxa"/>
            <w:bottom w:w="0" w:type="dxa"/>
          </w:tblCellMar>
        </w:tblPrEx>
        <w:trPr>
          <w:jc w:val="center"/>
        </w:trPr>
        <w:tc>
          <w:tcPr>
            <w:tcW w:w="2203" w:type="dxa"/>
            <w:shd w:val="pct5" w:color="auto" w:fill="auto"/>
          </w:tcPr>
          <w:p w:rsidR="00000000" w:rsidRDefault="00000000">
            <w:pPr>
              <w:pStyle w:val="a6"/>
              <w:rPr>
                <w:b/>
                <w:lang w:val="en-GB"/>
              </w:rPr>
            </w:pPr>
          </w:p>
        </w:tc>
        <w:tc>
          <w:tcPr>
            <w:tcW w:w="2346" w:type="dxa"/>
            <w:gridSpan w:val="2"/>
            <w:shd w:val="pct5" w:color="auto" w:fill="auto"/>
          </w:tcPr>
          <w:p w:rsidR="00000000" w:rsidRDefault="00000000">
            <w:pPr>
              <w:pStyle w:val="a6"/>
              <w:rPr>
                <w:b/>
                <w:lang w:val="en-US"/>
              </w:rPr>
            </w:pPr>
            <w:r>
              <w:rPr>
                <w:b/>
                <w:color w:val="000000"/>
                <w:lang w:val="en-US"/>
              </w:rPr>
              <w:t>GYMNASIA</w:t>
            </w:r>
          </w:p>
        </w:tc>
        <w:tc>
          <w:tcPr>
            <w:tcW w:w="2414" w:type="dxa"/>
            <w:gridSpan w:val="2"/>
            <w:shd w:val="pct5" w:color="auto" w:fill="auto"/>
          </w:tcPr>
          <w:p w:rsidR="00000000" w:rsidRDefault="00000000">
            <w:pPr>
              <w:pStyle w:val="a6"/>
              <w:rPr>
                <w:b/>
                <w:lang w:val="en-US"/>
              </w:rPr>
            </w:pPr>
            <w:r>
              <w:rPr>
                <w:b/>
                <w:color w:val="000000"/>
                <w:lang w:val="en-US"/>
              </w:rPr>
              <w:t>LYKEIA</w:t>
            </w:r>
          </w:p>
        </w:tc>
        <w:tc>
          <w:tcPr>
            <w:tcW w:w="2415" w:type="dxa"/>
            <w:gridSpan w:val="2"/>
            <w:shd w:val="pct5" w:color="auto" w:fill="auto"/>
          </w:tcPr>
          <w:p w:rsidR="00000000" w:rsidRDefault="00000000">
            <w:pPr>
              <w:pStyle w:val="a6"/>
              <w:rPr>
                <w:b/>
                <w:lang w:val="en-US"/>
              </w:rPr>
            </w:pPr>
            <w:r>
              <w:rPr>
                <w:b/>
                <w:color w:val="000000"/>
                <w:lang w:val="en-US"/>
              </w:rPr>
              <w:t>TECHNICAL  VOCATIONAL SCHOOLS</w:t>
            </w:r>
          </w:p>
        </w:tc>
      </w:tr>
      <w:tr w:rsidR="00000000">
        <w:tblPrEx>
          <w:tblCellMar>
            <w:top w:w="0" w:type="dxa"/>
            <w:bottom w:w="0" w:type="dxa"/>
          </w:tblCellMar>
        </w:tblPrEx>
        <w:trPr>
          <w:jc w:val="center"/>
        </w:trPr>
        <w:tc>
          <w:tcPr>
            <w:tcW w:w="2203" w:type="dxa"/>
          </w:tcPr>
          <w:p w:rsidR="00000000" w:rsidRDefault="00000000">
            <w:pPr>
              <w:pStyle w:val="a6"/>
              <w:rPr>
                <w:b/>
                <w:lang w:val="en-US"/>
              </w:rPr>
            </w:pPr>
            <w:r>
              <w:rPr>
                <w:b/>
                <w:color w:val="000000"/>
                <w:lang w:val="en-US"/>
              </w:rPr>
              <w:t>School Year</w:t>
            </w:r>
          </w:p>
        </w:tc>
        <w:tc>
          <w:tcPr>
            <w:tcW w:w="1146" w:type="dxa"/>
          </w:tcPr>
          <w:p w:rsidR="00000000" w:rsidRDefault="00000000">
            <w:pPr>
              <w:pStyle w:val="a6"/>
              <w:rPr>
                <w:b/>
                <w:lang w:val="en-US"/>
              </w:rPr>
            </w:pPr>
            <w:r>
              <w:rPr>
                <w:b/>
                <w:color w:val="000000"/>
                <w:lang w:val="en-US"/>
              </w:rPr>
              <w:t>Women</w:t>
            </w:r>
          </w:p>
        </w:tc>
        <w:tc>
          <w:tcPr>
            <w:tcW w:w="1200" w:type="dxa"/>
          </w:tcPr>
          <w:p w:rsidR="00000000" w:rsidRDefault="00000000">
            <w:pPr>
              <w:pStyle w:val="a6"/>
              <w:rPr>
                <w:b/>
                <w:lang w:val="en-US"/>
              </w:rPr>
            </w:pPr>
            <w:r>
              <w:rPr>
                <w:b/>
                <w:color w:val="000000"/>
                <w:lang w:val="en-US"/>
              </w:rPr>
              <w:t>Men</w:t>
            </w:r>
          </w:p>
        </w:tc>
        <w:tc>
          <w:tcPr>
            <w:tcW w:w="1213" w:type="dxa"/>
          </w:tcPr>
          <w:p w:rsidR="00000000" w:rsidRDefault="00000000">
            <w:pPr>
              <w:pStyle w:val="a6"/>
              <w:rPr>
                <w:b/>
                <w:lang w:val="en-US"/>
              </w:rPr>
            </w:pPr>
            <w:r>
              <w:rPr>
                <w:b/>
                <w:color w:val="000000"/>
                <w:lang w:val="en-US"/>
              </w:rPr>
              <w:t>Women</w:t>
            </w:r>
          </w:p>
        </w:tc>
        <w:tc>
          <w:tcPr>
            <w:tcW w:w="1201" w:type="dxa"/>
          </w:tcPr>
          <w:p w:rsidR="00000000" w:rsidRDefault="00000000">
            <w:pPr>
              <w:pStyle w:val="a6"/>
              <w:rPr>
                <w:b/>
                <w:lang w:val="en-US"/>
              </w:rPr>
            </w:pPr>
            <w:r>
              <w:rPr>
                <w:b/>
                <w:color w:val="000000"/>
                <w:lang w:val="en-US"/>
              </w:rPr>
              <w:t>Men</w:t>
            </w:r>
          </w:p>
        </w:tc>
        <w:tc>
          <w:tcPr>
            <w:tcW w:w="1214" w:type="dxa"/>
          </w:tcPr>
          <w:p w:rsidR="00000000" w:rsidRDefault="00000000">
            <w:pPr>
              <w:pStyle w:val="a6"/>
              <w:rPr>
                <w:b/>
                <w:lang w:val="en-US"/>
              </w:rPr>
            </w:pPr>
            <w:r>
              <w:rPr>
                <w:b/>
                <w:color w:val="000000"/>
                <w:lang w:val="en-US"/>
              </w:rPr>
              <w:t>Women</w:t>
            </w:r>
          </w:p>
        </w:tc>
        <w:tc>
          <w:tcPr>
            <w:tcW w:w="1201" w:type="dxa"/>
          </w:tcPr>
          <w:p w:rsidR="00000000" w:rsidRDefault="00000000">
            <w:pPr>
              <w:pStyle w:val="a6"/>
              <w:rPr>
                <w:b/>
                <w:lang w:val="en-US"/>
              </w:rPr>
            </w:pPr>
            <w:r>
              <w:rPr>
                <w:b/>
                <w:color w:val="000000"/>
                <w:lang w:val="en-US"/>
              </w:rPr>
              <w:t>Men</w:t>
            </w:r>
          </w:p>
        </w:tc>
      </w:tr>
      <w:tr w:rsidR="00000000">
        <w:tblPrEx>
          <w:tblCellMar>
            <w:top w:w="0" w:type="dxa"/>
            <w:bottom w:w="0" w:type="dxa"/>
          </w:tblCellMar>
        </w:tblPrEx>
        <w:trPr>
          <w:jc w:val="center"/>
        </w:trPr>
        <w:tc>
          <w:tcPr>
            <w:tcW w:w="2203" w:type="dxa"/>
          </w:tcPr>
          <w:p w:rsidR="00000000" w:rsidRDefault="00000000">
            <w:pPr>
              <w:pStyle w:val="a6"/>
              <w:rPr>
                <w:lang w:val="en-US"/>
              </w:rPr>
            </w:pPr>
            <w:r>
              <w:rPr>
                <w:color w:val="000000"/>
                <w:lang w:val="en-US"/>
              </w:rPr>
              <w:t>2000-2001</w:t>
            </w:r>
          </w:p>
        </w:tc>
        <w:tc>
          <w:tcPr>
            <w:tcW w:w="1146" w:type="dxa"/>
          </w:tcPr>
          <w:p w:rsidR="00000000" w:rsidRDefault="00000000">
            <w:pPr>
              <w:pStyle w:val="a6"/>
              <w:rPr>
                <w:lang w:val="en-US"/>
              </w:rPr>
            </w:pPr>
            <w:r>
              <w:rPr>
                <w:color w:val="000000"/>
                <w:lang w:val="en-US"/>
              </w:rPr>
              <w:t>24212</w:t>
            </w:r>
          </w:p>
        </w:tc>
        <w:tc>
          <w:tcPr>
            <w:tcW w:w="1200" w:type="dxa"/>
          </w:tcPr>
          <w:p w:rsidR="00000000" w:rsidRDefault="00000000">
            <w:pPr>
              <w:pStyle w:val="a6"/>
              <w:rPr>
                <w:lang w:val="en-US"/>
              </w:rPr>
            </w:pPr>
            <w:r>
              <w:rPr>
                <w:color w:val="000000"/>
                <w:lang w:val="en-US"/>
              </w:rPr>
              <w:t>13434</w:t>
            </w:r>
          </w:p>
        </w:tc>
        <w:tc>
          <w:tcPr>
            <w:tcW w:w="1213" w:type="dxa"/>
          </w:tcPr>
          <w:p w:rsidR="00000000" w:rsidRDefault="00000000">
            <w:pPr>
              <w:pStyle w:val="a6"/>
              <w:rPr>
                <w:lang w:val="en-US"/>
              </w:rPr>
            </w:pPr>
            <w:r>
              <w:rPr>
                <w:color w:val="000000"/>
                <w:lang w:val="en-US"/>
              </w:rPr>
              <w:t>11607</w:t>
            </w:r>
          </w:p>
        </w:tc>
        <w:tc>
          <w:tcPr>
            <w:tcW w:w="1201" w:type="dxa"/>
          </w:tcPr>
          <w:p w:rsidR="00000000" w:rsidRDefault="00000000">
            <w:pPr>
              <w:pStyle w:val="a6"/>
              <w:rPr>
                <w:lang w:val="en-US"/>
              </w:rPr>
            </w:pPr>
            <w:r>
              <w:rPr>
                <w:color w:val="000000"/>
                <w:lang w:val="en-US"/>
              </w:rPr>
              <w:t>11825</w:t>
            </w:r>
          </w:p>
        </w:tc>
        <w:tc>
          <w:tcPr>
            <w:tcW w:w="1214" w:type="dxa"/>
          </w:tcPr>
          <w:p w:rsidR="00000000" w:rsidRDefault="00000000">
            <w:pPr>
              <w:pStyle w:val="a6"/>
              <w:rPr>
                <w:lang w:val="en-US"/>
              </w:rPr>
            </w:pPr>
            <w:r>
              <w:rPr>
                <w:color w:val="000000"/>
                <w:lang w:val="en-US"/>
              </w:rPr>
              <w:t>7843</w:t>
            </w:r>
          </w:p>
        </w:tc>
        <w:tc>
          <w:tcPr>
            <w:tcW w:w="1201" w:type="dxa"/>
          </w:tcPr>
          <w:p w:rsidR="00000000" w:rsidRDefault="00000000">
            <w:pPr>
              <w:pStyle w:val="a6"/>
              <w:rPr>
                <w:lang w:val="en-US"/>
              </w:rPr>
            </w:pPr>
            <w:r>
              <w:rPr>
                <w:color w:val="000000"/>
                <w:lang w:val="en-US"/>
              </w:rPr>
              <w:t>9616</w:t>
            </w:r>
          </w:p>
        </w:tc>
      </w:tr>
      <w:tr w:rsidR="00000000">
        <w:tblPrEx>
          <w:tblCellMar>
            <w:top w:w="0" w:type="dxa"/>
            <w:bottom w:w="0" w:type="dxa"/>
          </w:tblCellMar>
        </w:tblPrEx>
        <w:trPr>
          <w:jc w:val="center"/>
        </w:trPr>
        <w:tc>
          <w:tcPr>
            <w:tcW w:w="2203" w:type="dxa"/>
          </w:tcPr>
          <w:p w:rsidR="00000000" w:rsidRDefault="00000000">
            <w:pPr>
              <w:pStyle w:val="a6"/>
              <w:rPr>
                <w:lang w:val="en-US"/>
              </w:rPr>
            </w:pPr>
            <w:r>
              <w:rPr>
                <w:color w:val="000000"/>
                <w:lang w:val="en-US"/>
              </w:rPr>
              <w:t>2001-2002</w:t>
            </w:r>
          </w:p>
        </w:tc>
        <w:tc>
          <w:tcPr>
            <w:tcW w:w="1146" w:type="dxa"/>
          </w:tcPr>
          <w:p w:rsidR="00000000" w:rsidRDefault="00000000">
            <w:pPr>
              <w:pStyle w:val="a6"/>
              <w:rPr>
                <w:lang w:val="en-US"/>
              </w:rPr>
            </w:pPr>
            <w:r>
              <w:rPr>
                <w:color w:val="000000"/>
                <w:lang w:val="en-US"/>
              </w:rPr>
              <w:t>24630</w:t>
            </w:r>
          </w:p>
        </w:tc>
        <w:tc>
          <w:tcPr>
            <w:tcW w:w="1200" w:type="dxa"/>
          </w:tcPr>
          <w:p w:rsidR="00000000" w:rsidRDefault="00000000">
            <w:pPr>
              <w:pStyle w:val="a6"/>
              <w:rPr>
                <w:lang w:val="en-US"/>
              </w:rPr>
            </w:pPr>
            <w:r>
              <w:rPr>
                <w:color w:val="000000"/>
                <w:lang w:val="en-US"/>
              </w:rPr>
              <w:t>13704</w:t>
            </w:r>
          </w:p>
        </w:tc>
        <w:tc>
          <w:tcPr>
            <w:tcW w:w="1213" w:type="dxa"/>
          </w:tcPr>
          <w:p w:rsidR="00000000" w:rsidRDefault="00000000">
            <w:pPr>
              <w:pStyle w:val="a6"/>
              <w:rPr>
                <w:lang w:val="en-US"/>
              </w:rPr>
            </w:pPr>
            <w:r>
              <w:rPr>
                <w:color w:val="000000"/>
                <w:lang w:val="en-US"/>
              </w:rPr>
              <w:t>11845</w:t>
            </w:r>
          </w:p>
        </w:tc>
        <w:tc>
          <w:tcPr>
            <w:tcW w:w="1201" w:type="dxa"/>
          </w:tcPr>
          <w:p w:rsidR="00000000" w:rsidRDefault="00000000">
            <w:pPr>
              <w:pStyle w:val="a6"/>
              <w:rPr>
                <w:lang w:val="en-US"/>
              </w:rPr>
            </w:pPr>
            <w:r>
              <w:rPr>
                <w:color w:val="000000"/>
                <w:lang w:val="en-US"/>
              </w:rPr>
              <w:t>11984</w:t>
            </w:r>
          </w:p>
        </w:tc>
        <w:tc>
          <w:tcPr>
            <w:tcW w:w="1214" w:type="dxa"/>
          </w:tcPr>
          <w:p w:rsidR="00000000" w:rsidRDefault="00000000">
            <w:pPr>
              <w:pStyle w:val="a6"/>
              <w:rPr>
                <w:lang w:val="en-US"/>
              </w:rPr>
            </w:pPr>
            <w:r>
              <w:rPr>
                <w:color w:val="000000"/>
                <w:lang w:val="en-US"/>
              </w:rPr>
              <w:t>8294</w:t>
            </w:r>
          </w:p>
        </w:tc>
        <w:tc>
          <w:tcPr>
            <w:tcW w:w="1201" w:type="dxa"/>
          </w:tcPr>
          <w:p w:rsidR="00000000" w:rsidRDefault="00000000">
            <w:pPr>
              <w:pStyle w:val="a6"/>
              <w:rPr>
                <w:lang w:val="en-US"/>
              </w:rPr>
            </w:pPr>
            <w:r>
              <w:rPr>
                <w:color w:val="000000"/>
                <w:lang w:val="en-US"/>
              </w:rPr>
              <w:t>10176</w:t>
            </w:r>
          </w:p>
        </w:tc>
      </w:tr>
      <w:tr w:rsidR="00000000">
        <w:tblPrEx>
          <w:tblCellMar>
            <w:top w:w="0" w:type="dxa"/>
            <w:bottom w:w="0" w:type="dxa"/>
          </w:tblCellMar>
        </w:tblPrEx>
        <w:trPr>
          <w:jc w:val="center"/>
        </w:trPr>
        <w:tc>
          <w:tcPr>
            <w:tcW w:w="2203" w:type="dxa"/>
          </w:tcPr>
          <w:p w:rsidR="00000000" w:rsidRDefault="00000000">
            <w:pPr>
              <w:pStyle w:val="a6"/>
              <w:rPr>
                <w:lang w:val="en-US"/>
              </w:rPr>
            </w:pPr>
            <w:r>
              <w:rPr>
                <w:color w:val="000000"/>
                <w:lang w:val="en-US"/>
              </w:rPr>
              <w:t>2002-2003</w:t>
            </w:r>
          </w:p>
        </w:tc>
        <w:tc>
          <w:tcPr>
            <w:tcW w:w="1146" w:type="dxa"/>
          </w:tcPr>
          <w:p w:rsidR="00000000" w:rsidRDefault="00000000">
            <w:pPr>
              <w:pStyle w:val="a6"/>
              <w:rPr>
                <w:lang w:val="en-US"/>
              </w:rPr>
            </w:pPr>
            <w:r>
              <w:rPr>
                <w:color w:val="000000"/>
                <w:lang w:val="en-US"/>
              </w:rPr>
              <w:t>25308</w:t>
            </w:r>
          </w:p>
        </w:tc>
        <w:tc>
          <w:tcPr>
            <w:tcW w:w="1200" w:type="dxa"/>
          </w:tcPr>
          <w:p w:rsidR="00000000" w:rsidRDefault="00000000">
            <w:pPr>
              <w:pStyle w:val="a6"/>
              <w:rPr>
                <w:lang w:val="en-US"/>
              </w:rPr>
            </w:pPr>
            <w:r>
              <w:rPr>
                <w:color w:val="000000"/>
                <w:lang w:val="en-US"/>
              </w:rPr>
              <w:t>14274</w:t>
            </w:r>
          </w:p>
        </w:tc>
        <w:tc>
          <w:tcPr>
            <w:tcW w:w="1213" w:type="dxa"/>
          </w:tcPr>
          <w:p w:rsidR="00000000" w:rsidRDefault="00000000">
            <w:pPr>
              <w:pStyle w:val="a6"/>
              <w:rPr>
                <w:lang w:val="en-US"/>
              </w:rPr>
            </w:pPr>
            <w:r>
              <w:rPr>
                <w:color w:val="000000"/>
                <w:lang w:val="en-US"/>
              </w:rPr>
              <w:t>11967</w:t>
            </w:r>
          </w:p>
        </w:tc>
        <w:tc>
          <w:tcPr>
            <w:tcW w:w="1201" w:type="dxa"/>
          </w:tcPr>
          <w:p w:rsidR="00000000" w:rsidRDefault="00000000">
            <w:pPr>
              <w:pStyle w:val="a6"/>
              <w:rPr>
                <w:lang w:val="en-US"/>
              </w:rPr>
            </w:pPr>
            <w:r>
              <w:rPr>
                <w:color w:val="000000"/>
                <w:lang w:val="en-US"/>
              </w:rPr>
              <w:t>12099</w:t>
            </w:r>
          </w:p>
        </w:tc>
        <w:tc>
          <w:tcPr>
            <w:tcW w:w="1214" w:type="dxa"/>
          </w:tcPr>
          <w:p w:rsidR="00000000" w:rsidRDefault="00000000">
            <w:pPr>
              <w:pStyle w:val="a6"/>
              <w:rPr>
                <w:lang w:val="en-US"/>
              </w:rPr>
            </w:pPr>
            <w:r>
              <w:rPr>
                <w:color w:val="000000"/>
                <w:lang w:val="en-US"/>
              </w:rPr>
              <w:t>8426</w:t>
            </w:r>
          </w:p>
        </w:tc>
        <w:tc>
          <w:tcPr>
            <w:tcW w:w="1201" w:type="dxa"/>
          </w:tcPr>
          <w:p w:rsidR="00000000" w:rsidRDefault="00000000">
            <w:pPr>
              <w:pStyle w:val="a6"/>
              <w:rPr>
                <w:lang w:val="en-US"/>
              </w:rPr>
            </w:pPr>
            <w:r>
              <w:rPr>
                <w:color w:val="000000"/>
                <w:lang w:val="en-US"/>
              </w:rPr>
              <w:t>10370</w:t>
            </w:r>
          </w:p>
        </w:tc>
      </w:tr>
      <w:tr w:rsidR="00000000">
        <w:tblPrEx>
          <w:tblCellMar>
            <w:top w:w="0" w:type="dxa"/>
            <w:bottom w:w="0" w:type="dxa"/>
          </w:tblCellMar>
        </w:tblPrEx>
        <w:trPr>
          <w:jc w:val="center"/>
        </w:trPr>
        <w:tc>
          <w:tcPr>
            <w:tcW w:w="2203" w:type="dxa"/>
            <w:tcBorders>
              <w:bottom w:val="single" w:sz="4" w:space="0" w:color="auto"/>
            </w:tcBorders>
          </w:tcPr>
          <w:p w:rsidR="00000000" w:rsidRDefault="00000000">
            <w:pPr>
              <w:pStyle w:val="a6"/>
              <w:rPr>
                <w:lang w:val="en-US"/>
              </w:rPr>
            </w:pPr>
            <w:r>
              <w:rPr>
                <w:color w:val="000000"/>
                <w:lang w:val="en-US"/>
              </w:rPr>
              <w:t>2003-2004</w:t>
            </w:r>
          </w:p>
        </w:tc>
        <w:tc>
          <w:tcPr>
            <w:tcW w:w="1146" w:type="dxa"/>
            <w:tcBorders>
              <w:bottom w:val="single" w:sz="4" w:space="0" w:color="auto"/>
            </w:tcBorders>
          </w:tcPr>
          <w:p w:rsidR="00000000" w:rsidRDefault="00000000">
            <w:pPr>
              <w:pStyle w:val="a6"/>
              <w:rPr>
                <w:lang w:val="en-US"/>
              </w:rPr>
            </w:pPr>
            <w:r>
              <w:rPr>
                <w:color w:val="000000"/>
                <w:lang w:val="en-US"/>
              </w:rPr>
              <w:t>26029</w:t>
            </w:r>
          </w:p>
        </w:tc>
        <w:tc>
          <w:tcPr>
            <w:tcW w:w="1200" w:type="dxa"/>
            <w:tcBorders>
              <w:bottom w:val="single" w:sz="4" w:space="0" w:color="auto"/>
            </w:tcBorders>
          </w:tcPr>
          <w:p w:rsidR="00000000" w:rsidRDefault="00000000">
            <w:pPr>
              <w:pStyle w:val="a6"/>
              <w:rPr>
                <w:lang w:val="en-US"/>
              </w:rPr>
            </w:pPr>
            <w:r>
              <w:rPr>
                <w:color w:val="000000"/>
                <w:lang w:val="en-US"/>
              </w:rPr>
              <w:t>14444</w:t>
            </w:r>
          </w:p>
        </w:tc>
        <w:tc>
          <w:tcPr>
            <w:tcW w:w="1213" w:type="dxa"/>
            <w:tcBorders>
              <w:bottom w:val="single" w:sz="4" w:space="0" w:color="auto"/>
            </w:tcBorders>
          </w:tcPr>
          <w:p w:rsidR="00000000" w:rsidRDefault="00000000">
            <w:pPr>
              <w:pStyle w:val="a6"/>
              <w:rPr>
                <w:lang w:val="en-US"/>
              </w:rPr>
            </w:pPr>
            <w:r>
              <w:rPr>
                <w:color w:val="000000"/>
                <w:lang w:val="en-US"/>
              </w:rPr>
              <w:t>12182</w:t>
            </w:r>
          </w:p>
        </w:tc>
        <w:tc>
          <w:tcPr>
            <w:tcW w:w="1201" w:type="dxa"/>
            <w:tcBorders>
              <w:bottom w:val="single" w:sz="4" w:space="0" w:color="auto"/>
            </w:tcBorders>
          </w:tcPr>
          <w:p w:rsidR="00000000" w:rsidRDefault="00000000">
            <w:pPr>
              <w:pStyle w:val="a6"/>
              <w:rPr>
                <w:lang w:val="en-US"/>
              </w:rPr>
            </w:pPr>
            <w:r>
              <w:rPr>
                <w:color w:val="000000"/>
                <w:lang w:val="en-US"/>
              </w:rPr>
              <w:t>12395</w:t>
            </w:r>
          </w:p>
        </w:tc>
        <w:tc>
          <w:tcPr>
            <w:tcW w:w="1214" w:type="dxa"/>
            <w:tcBorders>
              <w:bottom w:val="single" w:sz="4" w:space="0" w:color="auto"/>
            </w:tcBorders>
          </w:tcPr>
          <w:p w:rsidR="00000000" w:rsidRDefault="00000000">
            <w:pPr>
              <w:pStyle w:val="a6"/>
              <w:rPr>
                <w:lang w:val="en-US"/>
              </w:rPr>
            </w:pPr>
            <w:r>
              <w:rPr>
                <w:color w:val="000000"/>
                <w:lang w:val="en-US"/>
              </w:rPr>
              <w:t>8486</w:t>
            </w:r>
          </w:p>
        </w:tc>
        <w:tc>
          <w:tcPr>
            <w:tcW w:w="1201" w:type="dxa"/>
            <w:tcBorders>
              <w:bottom w:val="single" w:sz="4" w:space="0" w:color="auto"/>
            </w:tcBorders>
          </w:tcPr>
          <w:p w:rsidR="00000000" w:rsidRDefault="00000000">
            <w:pPr>
              <w:pStyle w:val="a6"/>
              <w:rPr>
                <w:lang w:val="en-US"/>
              </w:rPr>
            </w:pPr>
            <w:r>
              <w:rPr>
                <w:color w:val="000000"/>
                <w:lang w:val="en-US"/>
              </w:rPr>
              <w:t>10312</w:t>
            </w:r>
          </w:p>
        </w:tc>
      </w:tr>
    </w:tbl>
    <w:p w:rsidR="00000000" w:rsidRDefault="00000000">
      <w:pPr>
        <w:tabs>
          <w:tab w:val="left" w:pos="567"/>
          <w:tab w:val="left" w:pos="1021"/>
          <w:tab w:val="left" w:pos="1474"/>
          <w:tab w:val="left" w:pos="1928"/>
        </w:tabs>
        <w:jc w:val="center"/>
        <w:rPr>
          <w:b/>
          <w:color w:val="000000"/>
          <w:lang w:val="en-US"/>
        </w:rPr>
      </w:pPr>
    </w:p>
    <w:p w:rsidR="00000000" w:rsidRDefault="00000000">
      <w:pPr>
        <w:tabs>
          <w:tab w:val="left" w:pos="567"/>
          <w:tab w:val="left" w:pos="1021"/>
          <w:tab w:val="left" w:pos="1474"/>
          <w:tab w:val="left" w:pos="1928"/>
        </w:tabs>
        <w:jc w:val="center"/>
        <w:rPr>
          <w:b/>
          <w:color w:val="000000"/>
          <w:lang w:val="en-GB"/>
        </w:rPr>
      </w:pPr>
      <w:r>
        <w:rPr>
          <w:b/>
          <w:color w:val="000000"/>
          <w:lang w:val="en-US"/>
        </w:rPr>
        <w:t>TABLE</w:t>
      </w:r>
      <w:r>
        <w:rPr>
          <w:b/>
          <w:color w:val="000000"/>
          <w:lang w:val="en-GB"/>
        </w:rPr>
        <w:t xml:space="preserve"> 11</w:t>
      </w:r>
    </w:p>
    <w:p w:rsidR="00000000" w:rsidRDefault="00000000">
      <w:pPr>
        <w:pStyle w:val="-0"/>
        <w:rPr>
          <w:b/>
          <w:color w:val="FF0000"/>
          <w:lang w:val="en-GB"/>
        </w:rPr>
      </w:pPr>
      <w:r>
        <w:rPr>
          <w:lang w:val="en-GB"/>
        </w:rPr>
        <w:t>(</w:t>
      </w:r>
      <w:r>
        <w:rPr>
          <w:lang w:val="en-US"/>
        </w:rPr>
        <w:t>Source</w:t>
      </w:r>
      <w:r>
        <w:rPr>
          <w:lang w:val="en-GB"/>
        </w:rPr>
        <w:t xml:space="preserve"> </w:t>
      </w:r>
      <w:r>
        <w:rPr>
          <w:lang w:val="en-US"/>
        </w:rPr>
        <w:t xml:space="preserve">Ministry of National Education and Religious Affairs, </w:t>
      </w:r>
      <w:r>
        <w:rPr>
          <w:lang w:val="en-GB"/>
        </w:rPr>
        <w:t>Directorate for Planning and Operational Research</w:t>
      </w:r>
      <w:r>
        <w:rPr>
          <w:color w:val="000000"/>
          <w:lang w:val="en-GB"/>
        </w:rPr>
        <w:t>,</w:t>
      </w:r>
      <w:r>
        <w:rPr>
          <w:lang w:val="en-GB"/>
        </w:rPr>
        <w:t xml:space="preserve"> Dept. of Op. Research </w:t>
      </w:r>
      <w:r>
        <w:rPr>
          <w:lang w:val="en-US"/>
        </w:rPr>
        <w:t xml:space="preserve"> &amp; Statistics</w:t>
      </w:r>
      <w:r>
        <w:rPr>
          <w:lang w:val="en-GB"/>
        </w:rPr>
        <w:t>)</w:t>
      </w:r>
    </w:p>
    <w:p w:rsidR="00000000" w:rsidRDefault="00000000">
      <w:pPr>
        <w:pStyle w:val="Heading1"/>
        <w:tabs>
          <w:tab w:val="left" w:pos="567"/>
          <w:tab w:val="left" w:pos="1021"/>
          <w:tab w:val="left" w:pos="1474"/>
          <w:tab w:val="left" w:pos="1928"/>
        </w:tabs>
        <w:spacing w:before="0"/>
        <w:ind w:left="360"/>
        <w:rPr>
          <w:caps/>
          <w:sz w:val="22"/>
          <w:lang w:val="en-GB"/>
        </w:rPr>
      </w:pPr>
    </w:p>
    <w:p w:rsidR="00000000" w:rsidRDefault="00000000">
      <w:pPr>
        <w:pStyle w:val="Heading1"/>
        <w:tabs>
          <w:tab w:val="left" w:pos="567"/>
          <w:tab w:val="left" w:pos="1021"/>
          <w:tab w:val="left" w:pos="1474"/>
          <w:tab w:val="left" w:pos="1928"/>
        </w:tabs>
        <w:spacing w:before="0"/>
        <w:ind w:left="360"/>
        <w:rPr>
          <w:sz w:val="22"/>
          <w:lang w:val="en-GB"/>
        </w:rPr>
      </w:pPr>
      <w:r>
        <w:rPr>
          <w:caps/>
          <w:sz w:val="22"/>
          <w:lang w:val="en-GB"/>
        </w:rPr>
        <w:br w:type="page"/>
        <w:t>T</w:t>
      </w:r>
      <w:r>
        <w:rPr>
          <w:sz w:val="22"/>
          <w:lang w:val="en-GB"/>
        </w:rPr>
        <w:t>eaching personnel in Tertiary Education</w:t>
      </w:r>
    </w:p>
    <w:p w:rsidR="00000000" w:rsidRDefault="00000000">
      <w:pPr>
        <w:pStyle w:val="BodyTextIndent"/>
        <w:tabs>
          <w:tab w:val="left" w:pos="567"/>
          <w:tab w:val="left" w:pos="1021"/>
          <w:tab w:val="left" w:pos="1474"/>
          <w:tab w:val="left" w:pos="1928"/>
        </w:tabs>
        <w:ind w:left="567" w:firstLine="567"/>
        <w:rPr>
          <w:lang w:val="en-GB"/>
        </w:rPr>
      </w:pPr>
      <w:r>
        <w:rPr>
          <w:lang w:val="en-GB"/>
        </w:rPr>
        <w:t>The participation of women in tertiary education has increased in the last five years. Women usually staff lower levels and are promoted at a slower pace than men. The tables that follow show the distribution of teaching personnel in tertiary education.</w:t>
      </w:r>
    </w:p>
    <w:p w:rsidR="00000000" w:rsidRDefault="00000000">
      <w:pPr>
        <w:pStyle w:val="Heading2"/>
        <w:tabs>
          <w:tab w:val="left" w:pos="567"/>
          <w:tab w:val="left" w:pos="1021"/>
          <w:tab w:val="left" w:pos="1474"/>
          <w:tab w:val="left" w:pos="1928"/>
        </w:tabs>
        <w:rPr>
          <w:b/>
          <w:sz w:val="22"/>
          <w:lang w:val="en-GB"/>
        </w:rPr>
      </w:pPr>
      <w:r>
        <w:rPr>
          <w:b/>
          <w:sz w:val="22"/>
          <w:lang w:val="en-US"/>
        </w:rPr>
        <w:t>GENERAL TOTAL OF TEACHING PERSONNEL</w:t>
      </w:r>
      <w:r>
        <w:rPr>
          <w:b/>
          <w:sz w:val="22"/>
          <w:lang w:val="en-GB"/>
        </w:rPr>
        <w:t xml:space="preserve"> IN TECHNOLOGICAL EDUCATIONAL INSTITUTES (</w:t>
      </w:r>
      <w:r>
        <w:rPr>
          <w:b/>
          <w:sz w:val="22"/>
        </w:rPr>
        <w:t>Τ</w:t>
      </w:r>
      <w:r>
        <w:rPr>
          <w:b/>
          <w:sz w:val="22"/>
          <w:lang w:val="en-US"/>
        </w:rPr>
        <w:t>.</w:t>
      </w:r>
      <w:r>
        <w:rPr>
          <w:b/>
          <w:sz w:val="22"/>
        </w:rPr>
        <w:t>Ε</w:t>
      </w:r>
      <w:r>
        <w:rPr>
          <w:b/>
          <w:sz w:val="22"/>
          <w:lang w:val="en-US"/>
        </w:rPr>
        <w:t>.</w:t>
      </w:r>
      <w:r>
        <w:rPr>
          <w:b/>
          <w:sz w:val="22"/>
        </w:rPr>
        <w:t>Ι</w:t>
      </w:r>
      <w:r>
        <w:rPr>
          <w:b/>
          <w:sz w:val="22"/>
          <w:lang w:val="en-US"/>
        </w:rPr>
        <w:t>.</w:t>
      </w:r>
      <w:r>
        <w:rPr>
          <w:b/>
          <w:sz w:val="22"/>
          <w:lang w:val="en-GB"/>
        </w:rPr>
        <w:t xml:space="preserve"> ) 2000 - 2001</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577"/>
        <w:gridCol w:w="1732"/>
        <w:gridCol w:w="1093"/>
        <w:gridCol w:w="983"/>
        <w:gridCol w:w="1134"/>
        <w:gridCol w:w="992"/>
        <w:gridCol w:w="985"/>
        <w:gridCol w:w="993"/>
      </w:tblGrid>
      <w:tr w:rsidR="00000000">
        <w:tblPrEx>
          <w:tblCellMar>
            <w:top w:w="0" w:type="dxa"/>
            <w:bottom w:w="0" w:type="dxa"/>
          </w:tblCellMar>
        </w:tblPrEx>
        <w:trPr>
          <w:cantSplit/>
          <w:jc w:val="center"/>
        </w:trPr>
        <w:tc>
          <w:tcPr>
            <w:tcW w:w="1577" w:type="dxa"/>
            <w:vMerge w:val="restart"/>
            <w:tcBorders>
              <w:left w:val="nil"/>
              <w:right w:val="nil"/>
            </w:tcBorders>
            <w:vAlign w:val="center"/>
          </w:tcPr>
          <w:p w:rsidR="00000000" w:rsidRDefault="00000000">
            <w:pPr>
              <w:pStyle w:val="a6"/>
              <w:spacing w:before="20" w:after="20"/>
              <w:rPr>
                <w:b/>
                <w:sz w:val="18"/>
                <w:lang w:val="en-US"/>
              </w:rPr>
            </w:pPr>
            <w:r>
              <w:rPr>
                <w:b/>
                <w:sz w:val="18"/>
                <w:lang w:val="en-US"/>
              </w:rPr>
              <w:t>DISTRICT</w:t>
            </w:r>
          </w:p>
        </w:tc>
        <w:tc>
          <w:tcPr>
            <w:tcW w:w="1732" w:type="dxa"/>
            <w:vMerge w:val="restart"/>
            <w:tcBorders>
              <w:left w:val="nil"/>
              <w:right w:val="nil"/>
            </w:tcBorders>
            <w:vAlign w:val="center"/>
          </w:tcPr>
          <w:p w:rsidR="00000000" w:rsidRDefault="00000000">
            <w:pPr>
              <w:pStyle w:val="a6"/>
              <w:spacing w:before="20" w:after="20"/>
              <w:rPr>
                <w:b/>
                <w:sz w:val="18"/>
                <w:lang w:val="en-US"/>
              </w:rPr>
            </w:pPr>
            <w:r>
              <w:rPr>
                <w:b/>
                <w:sz w:val="18"/>
                <w:lang w:val="en-US"/>
              </w:rPr>
              <w:t>BRANCH</w:t>
            </w:r>
          </w:p>
        </w:tc>
        <w:tc>
          <w:tcPr>
            <w:tcW w:w="2076" w:type="dxa"/>
            <w:gridSpan w:val="2"/>
            <w:tcBorders>
              <w:left w:val="nil"/>
              <w:bottom w:val="single" w:sz="4" w:space="0" w:color="auto"/>
              <w:right w:val="nil"/>
            </w:tcBorders>
            <w:vAlign w:val="center"/>
          </w:tcPr>
          <w:p w:rsidR="00000000" w:rsidRDefault="00000000">
            <w:pPr>
              <w:pStyle w:val="a6"/>
              <w:spacing w:before="20" w:after="20"/>
              <w:rPr>
                <w:b/>
                <w:sz w:val="18"/>
                <w:lang w:val="en-US"/>
              </w:rPr>
            </w:pPr>
            <w:r>
              <w:rPr>
                <w:b/>
                <w:sz w:val="18"/>
                <w:lang w:val="en-US"/>
              </w:rPr>
              <w:t>PERMANENT TEACHING PERSONNEL</w:t>
            </w:r>
          </w:p>
        </w:tc>
        <w:tc>
          <w:tcPr>
            <w:tcW w:w="2126" w:type="dxa"/>
            <w:gridSpan w:val="2"/>
            <w:tcBorders>
              <w:left w:val="nil"/>
              <w:bottom w:val="single" w:sz="4" w:space="0" w:color="auto"/>
              <w:right w:val="nil"/>
            </w:tcBorders>
            <w:vAlign w:val="center"/>
          </w:tcPr>
          <w:p w:rsidR="00000000" w:rsidRDefault="00000000">
            <w:pPr>
              <w:pStyle w:val="a6"/>
              <w:spacing w:before="20" w:after="20"/>
              <w:rPr>
                <w:b/>
                <w:sz w:val="18"/>
                <w:lang w:val="en-US"/>
              </w:rPr>
            </w:pPr>
            <w:r>
              <w:rPr>
                <w:b/>
                <w:sz w:val="18"/>
                <w:lang w:val="en-US"/>
              </w:rPr>
              <w:t>DISMISSIBLE TEACHING PERSONNEL</w:t>
            </w:r>
          </w:p>
        </w:tc>
        <w:tc>
          <w:tcPr>
            <w:tcW w:w="1978" w:type="dxa"/>
            <w:gridSpan w:val="2"/>
            <w:tcBorders>
              <w:left w:val="nil"/>
              <w:bottom w:val="single" w:sz="4" w:space="0" w:color="auto"/>
              <w:right w:val="nil"/>
            </w:tcBorders>
            <w:vAlign w:val="center"/>
          </w:tcPr>
          <w:p w:rsidR="00000000" w:rsidRDefault="00000000">
            <w:pPr>
              <w:pStyle w:val="a6"/>
              <w:spacing w:before="20" w:after="20"/>
              <w:rPr>
                <w:b/>
                <w:sz w:val="18"/>
                <w:lang w:val="en-US"/>
              </w:rPr>
            </w:pPr>
            <w:r>
              <w:rPr>
                <w:b/>
                <w:sz w:val="18"/>
                <w:lang w:val="en-US"/>
              </w:rPr>
              <w:t>GENERAL TOTAL PERMANENT-DISMISSIBLE PERSONNEL</w:t>
            </w:r>
          </w:p>
        </w:tc>
      </w:tr>
      <w:tr w:rsidR="00000000">
        <w:tblPrEx>
          <w:tblCellMar>
            <w:top w:w="0" w:type="dxa"/>
            <w:bottom w:w="0" w:type="dxa"/>
          </w:tblCellMar>
        </w:tblPrEx>
        <w:trPr>
          <w:cantSplit/>
          <w:jc w:val="center"/>
        </w:trPr>
        <w:tc>
          <w:tcPr>
            <w:tcW w:w="1577" w:type="dxa"/>
            <w:vMerge/>
            <w:tcBorders>
              <w:left w:val="nil"/>
              <w:bottom w:val="single" w:sz="4" w:space="0" w:color="auto"/>
              <w:right w:val="nil"/>
            </w:tcBorders>
            <w:vAlign w:val="center"/>
          </w:tcPr>
          <w:p w:rsidR="00000000" w:rsidRDefault="00000000">
            <w:pPr>
              <w:pStyle w:val="a6"/>
              <w:spacing w:before="20" w:after="20"/>
              <w:rPr>
                <w:b/>
                <w:sz w:val="18"/>
                <w:lang w:val="en-US"/>
              </w:rPr>
            </w:pPr>
          </w:p>
        </w:tc>
        <w:tc>
          <w:tcPr>
            <w:tcW w:w="1732" w:type="dxa"/>
            <w:vMerge/>
            <w:tcBorders>
              <w:left w:val="nil"/>
              <w:bottom w:val="single" w:sz="4" w:space="0" w:color="auto"/>
              <w:right w:val="nil"/>
            </w:tcBorders>
            <w:vAlign w:val="center"/>
          </w:tcPr>
          <w:p w:rsidR="00000000" w:rsidRDefault="00000000">
            <w:pPr>
              <w:pStyle w:val="a6"/>
              <w:spacing w:before="20" w:after="20"/>
              <w:rPr>
                <w:b/>
                <w:sz w:val="18"/>
                <w:lang w:val="en-US"/>
              </w:rPr>
            </w:pPr>
          </w:p>
        </w:tc>
        <w:tc>
          <w:tcPr>
            <w:tcW w:w="1093" w:type="dxa"/>
            <w:tcBorders>
              <w:top w:val="single" w:sz="4" w:space="0" w:color="auto"/>
              <w:left w:val="nil"/>
              <w:bottom w:val="single" w:sz="4" w:space="0" w:color="auto"/>
              <w:right w:val="nil"/>
            </w:tcBorders>
          </w:tcPr>
          <w:p w:rsidR="00000000" w:rsidRDefault="00000000">
            <w:pPr>
              <w:pStyle w:val="a6"/>
              <w:spacing w:before="20" w:after="20"/>
              <w:rPr>
                <w:b/>
                <w:sz w:val="18"/>
                <w:lang w:val="en-US"/>
              </w:rPr>
            </w:pPr>
            <w:r>
              <w:rPr>
                <w:b/>
                <w:sz w:val="18"/>
                <w:lang w:val="en-US"/>
              </w:rPr>
              <w:t>TOTAL</w:t>
            </w:r>
          </w:p>
        </w:tc>
        <w:tc>
          <w:tcPr>
            <w:tcW w:w="983" w:type="dxa"/>
            <w:tcBorders>
              <w:top w:val="single" w:sz="4" w:space="0" w:color="auto"/>
              <w:left w:val="nil"/>
              <w:bottom w:val="single" w:sz="4" w:space="0" w:color="auto"/>
              <w:right w:val="nil"/>
            </w:tcBorders>
          </w:tcPr>
          <w:p w:rsidR="00000000" w:rsidRDefault="00000000">
            <w:pPr>
              <w:pStyle w:val="a6"/>
              <w:spacing w:before="20" w:after="20"/>
              <w:rPr>
                <w:b/>
                <w:sz w:val="18"/>
                <w:lang w:val="en-US"/>
              </w:rPr>
            </w:pPr>
            <w:r>
              <w:rPr>
                <w:b/>
                <w:sz w:val="18"/>
                <w:lang w:val="en-US"/>
              </w:rPr>
              <w:t>WOMEN</w:t>
            </w:r>
          </w:p>
        </w:tc>
        <w:tc>
          <w:tcPr>
            <w:tcW w:w="1134" w:type="dxa"/>
            <w:tcBorders>
              <w:top w:val="single" w:sz="4" w:space="0" w:color="auto"/>
              <w:left w:val="nil"/>
              <w:bottom w:val="single" w:sz="4" w:space="0" w:color="auto"/>
              <w:right w:val="nil"/>
            </w:tcBorders>
          </w:tcPr>
          <w:p w:rsidR="00000000" w:rsidRDefault="00000000">
            <w:pPr>
              <w:pStyle w:val="a6"/>
              <w:spacing w:before="20" w:after="20"/>
              <w:rPr>
                <w:b/>
                <w:sz w:val="18"/>
                <w:lang w:val="en-US"/>
              </w:rPr>
            </w:pPr>
            <w:r>
              <w:rPr>
                <w:b/>
                <w:sz w:val="18"/>
                <w:lang w:val="en-US"/>
              </w:rPr>
              <w:t>TOTAL</w:t>
            </w:r>
          </w:p>
        </w:tc>
        <w:tc>
          <w:tcPr>
            <w:tcW w:w="992" w:type="dxa"/>
            <w:tcBorders>
              <w:top w:val="single" w:sz="4" w:space="0" w:color="auto"/>
              <w:left w:val="nil"/>
              <w:bottom w:val="single" w:sz="4" w:space="0" w:color="auto"/>
              <w:right w:val="nil"/>
            </w:tcBorders>
          </w:tcPr>
          <w:p w:rsidR="00000000" w:rsidRDefault="00000000">
            <w:pPr>
              <w:pStyle w:val="a6"/>
              <w:spacing w:before="20" w:after="20"/>
              <w:rPr>
                <w:b/>
                <w:sz w:val="18"/>
                <w:lang w:val="en-US"/>
              </w:rPr>
            </w:pPr>
            <w:r>
              <w:rPr>
                <w:b/>
                <w:sz w:val="18"/>
                <w:lang w:val="en-US"/>
              </w:rPr>
              <w:t>WOMEN</w:t>
            </w:r>
          </w:p>
        </w:tc>
        <w:tc>
          <w:tcPr>
            <w:tcW w:w="985" w:type="dxa"/>
            <w:tcBorders>
              <w:top w:val="single" w:sz="4" w:space="0" w:color="auto"/>
              <w:left w:val="nil"/>
              <w:bottom w:val="single" w:sz="4" w:space="0" w:color="auto"/>
              <w:right w:val="nil"/>
            </w:tcBorders>
          </w:tcPr>
          <w:p w:rsidR="00000000" w:rsidRDefault="00000000">
            <w:pPr>
              <w:pStyle w:val="a6"/>
              <w:spacing w:before="20" w:after="20"/>
              <w:rPr>
                <w:b/>
                <w:sz w:val="18"/>
                <w:lang w:val="en-US"/>
              </w:rPr>
            </w:pPr>
            <w:r>
              <w:rPr>
                <w:b/>
                <w:sz w:val="18"/>
                <w:lang w:val="en-US"/>
              </w:rPr>
              <w:t>TOTAL</w:t>
            </w:r>
          </w:p>
        </w:tc>
        <w:tc>
          <w:tcPr>
            <w:tcW w:w="993" w:type="dxa"/>
            <w:tcBorders>
              <w:top w:val="single" w:sz="4" w:space="0" w:color="auto"/>
              <w:left w:val="nil"/>
              <w:bottom w:val="single" w:sz="4" w:space="0" w:color="auto"/>
              <w:right w:val="nil"/>
            </w:tcBorders>
          </w:tcPr>
          <w:p w:rsidR="00000000" w:rsidRDefault="00000000">
            <w:pPr>
              <w:pStyle w:val="a6"/>
              <w:spacing w:before="20" w:after="20"/>
              <w:rPr>
                <w:b/>
                <w:sz w:val="18"/>
                <w:lang w:val="en-US"/>
              </w:rPr>
            </w:pPr>
            <w:r>
              <w:rPr>
                <w:b/>
                <w:sz w:val="18"/>
                <w:lang w:val="en-US"/>
              </w:rPr>
              <w:t>WOMEN</w:t>
            </w:r>
          </w:p>
        </w:tc>
      </w:tr>
      <w:tr w:rsidR="00000000">
        <w:tblPrEx>
          <w:tblCellMar>
            <w:top w:w="0" w:type="dxa"/>
            <w:bottom w:w="0" w:type="dxa"/>
          </w:tblCellMar>
        </w:tblPrEx>
        <w:trPr>
          <w:cantSplit/>
          <w:jc w:val="center"/>
        </w:trPr>
        <w:tc>
          <w:tcPr>
            <w:tcW w:w="1577" w:type="dxa"/>
            <w:tcBorders>
              <w:top w:val="single" w:sz="4" w:space="0" w:color="auto"/>
              <w:left w:val="nil"/>
              <w:bottom w:val="single" w:sz="4" w:space="0" w:color="auto"/>
              <w:right w:val="nil"/>
            </w:tcBorders>
            <w:vAlign w:val="center"/>
          </w:tcPr>
          <w:p w:rsidR="00000000" w:rsidRDefault="00000000">
            <w:pPr>
              <w:pStyle w:val="a6"/>
              <w:spacing w:before="10" w:after="10"/>
              <w:rPr>
                <w:b/>
                <w:sz w:val="18"/>
                <w:lang w:val="en-US"/>
              </w:rPr>
            </w:pPr>
            <w:r>
              <w:rPr>
                <w:b/>
                <w:sz w:val="18"/>
                <w:lang w:val="en-US"/>
              </w:rPr>
              <w:t>ATHENS</w:t>
            </w:r>
          </w:p>
        </w:tc>
        <w:tc>
          <w:tcPr>
            <w:tcW w:w="1732" w:type="dxa"/>
            <w:tcBorders>
              <w:top w:val="single" w:sz="4" w:space="0" w:color="auto"/>
              <w:left w:val="nil"/>
              <w:bottom w:val="single" w:sz="4" w:space="0" w:color="auto"/>
              <w:right w:val="nil"/>
            </w:tcBorders>
            <w:vAlign w:val="center"/>
          </w:tcPr>
          <w:p w:rsidR="00000000" w:rsidRDefault="00000000">
            <w:pPr>
              <w:pStyle w:val="a6"/>
              <w:spacing w:before="10" w:after="10"/>
              <w:rPr>
                <w:sz w:val="18"/>
                <w:lang w:val="en-US"/>
              </w:rPr>
            </w:pPr>
            <w:r>
              <w:rPr>
                <w:sz w:val="18"/>
                <w:lang w:val="en-US"/>
              </w:rPr>
              <w:t>ATHENS</w:t>
            </w:r>
          </w:p>
        </w:tc>
        <w:tc>
          <w:tcPr>
            <w:tcW w:w="1093" w:type="dxa"/>
            <w:tcBorders>
              <w:top w:val="single" w:sz="4" w:space="0" w:color="auto"/>
              <w:left w:val="nil"/>
              <w:bottom w:val="single" w:sz="4" w:space="0" w:color="auto"/>
              <w:right w:val="nil"/>
            </w:tcBorders>
          </w:tcPr>
          <w:p w:rsidR="00000000" w:rsidRDefault="00000000">
            <w:pPr>
              <w:pStyle w:val="a6"/>
              <w:spacing w:before="10" w:after="10"/>
              <w:rPr>
                <w:sz w:val="18"/>
                <w:lang w:val="en-US"/>
              </w:rPr>
            </w:pPr>
            <w:r>
              <w:rPr>
                <w:sz w:val="18"/>
                <w:lang w:val="en-US"/>
              </w:rPr>
              <w:t>655</w:t>
            </w:r>
          </w:p>
        </w:tc>
        <w:tc>
          <w:tcPr>
            <w:tcW w:w="983" w:type="dxa"/>
            <w:tcBorders>
              <w:top w:val="single" w:sz="4" w:space="0" w:color="auto"/>
              <w:left w:val="nil"/>
              <w:bottom w:val="single" w:sz="4" w:space="0" w:color="auto"/>
              <w:right w:val="nil"/>
            </w:tcBorders>
          </w:tcPr>
          <w:p w:rsidR="00000000" w:rsidRDefault="00000000">
            <w:pPr>
              <w:pStyle w:val="a6"/>
              <w:spacing w:before="10" w:after="10"/>
              <w:rPr>
                <w:sz w:val="18"/>
                <w:lang w:val="en-US"/>
              </w:rPr>
            </w:pPr>
            <w:r>
              <w:rPr>
                <w:sz w:val="18"/>
                <w:lang w:val="en-US"/>
              </w:rPr>
              <w:t>325</w:t>
            </w:r>
          </w:p>
        </w:tc>
        <w:tc>
          <w:tcPr>
            <w:tcW w:w="1134" w:type="dxa"/>
            <w:tcBorders>
              <w:top w:val="single" w:sz="4" w:space="0" w:color="auto"/>
              <w:left w:val="nil"/>
              <w:bottom w:val="single" w:sz="4" w:space="0" w:color="auto"/>
              <w:right w:val="nil"/>
            </w:tcBorders>
          </w:tcPr>
          <w:p w:rsidR="00000000" w:rsidRDefault="00000000">
            <w:pPr>
              <w:pStyle w:val="a6"/>
              <w:spacing w:before="10" w:after="10"/>
              <w:rPr>
                <w:sz w:val="18"/>
                <w:lang w:val="en-US"/>
              </w:rPr>
            </w:pPr>
            <w:r>
              <w:rPr>
                <w:sz w:val="18"/>
                <w:lang w:val="en-US"/>
              </w:rPr>
              <w:t>976</w:t>
            </w:r>
          </w:p>
        </w:tc>
        <w:tc>
          <w:tcPr>
            <w:tcW w:w="992" w:type="dxa"/>
            <w:tcBorders>
              <w:top w:val="single" w:sz="4" w:space="0" w:color="auto"/>
              <w:left w:val="nil"/>
              <w:bottom w:val="single" w:sz="4" w:space="0" w:color="auto"/>
              <w:right w:val="nil"/>
            </w:tcBorders>
          </w:tcPr>
          <w:p w:rsidR="00000000" w:rsidRDefault="00000000">
            <w:pPr>
              <w:pStyle w:val="a6"/>
              <w:spacing w:before="10" w:after="10"/>
              <w:rPr>
                <w:sz w:val="18"/>
                <w:lang w:val="en-US"/>
              </w:rPr>
            </w:pPr>
            <w:r>
              <w:rPr>
                <w:sz w:val="18"/>
                <w:lang w:val="en-US"/>
              </w:rPr>
              <w:t>503</w:t>
            </w:r>
          </w:p>
        </w:tc>
        <w:tc>
          <w:tcPr>
            <w:tcW w:w="985" w:type="dxa"/>
            <w:tcBorders>
              <w:top w:val="single" w:sz="4" w:space="0" w:color="auto"/>
              <w:left w:val="nil"/>
              <w:bottom w:val="single" w:sz="4" w:space="0" w:color="auto"/>
              <w:right w:val="nil"/>
            </w:tcBorders>
          </w:tcPr>
          <w:p w:rsidR="00000000" w:rsidRDefault="00000000">
            <w:pPr>
              <w:pStyle w:val="a6"/>
              <w:spacing w:before="10" w:after="10"/>
              <w:rPr>
                <w:sz w:val="18"/>
                <w:lang w:val="en-US"/>
              </w:rPr>
            </w:pPr>
            <w:r>
              <w:rPr>
                <w:sz w:val="18"/>
                <w:lang w:val="en-US"/>
              </w:rPr>
              <w:t>1631</w:t>
            </w:r>
          </w:p>
        </w:tc>
        <w:tc>
          <w:tcPr>
            <w:tcW w:w="993" w:type="dxa"/>
            <w:tcBorders>
              <w:top w:val="single" w:sz="4" w:space="0" w:color="auto"/>
              <w:left w:val="nil"/>
              <w:bottom w:val="single" w:sz="4" w:space="0" w:color="auto"/>
              <w:right w:val="nil"/>
            </w:tcBorders>
          </w:tcPr>
          <w:p w:rsidR="00000000" w:rsidRDefault="00000000">
            <w:pPr>
              <w:pStyle w:val="a6"/>
              <w:spacing w:before="10" w:after="10"/>
              <w:rPr>
                <w:sz w:val="18"/>
                <w:lang w:val="en-US"/>
              </w:rPr>
            </w:pPr>
            <w:r>
              <w:rPr>
                <w:sz w:val="18"/>
                <w:lang w:val="en-US"/>
              </w:rPr>
              <w:t>828</w:t>
            </w:r>
          </w:p>
        </w:tc>
      </w:tr>
      <w:tr w:rsidR="00000000">
        <w:tblPrEx>
          <w:tblCellMar>
            <w:top w:w="0" w:type="dxa"/>
            <w:bottom w:w="0" w:type="dxa"/>
          </w:tblCellMar>
        </w:tblPrEx>
        <w:trPr>
          <w:cantSplit/>
          <w:jc w:val="center"/>
        </w:trPr>
        <w:tc>
          <w:tcPr>
            <w:tcW w:w="1577" w:type="dxa"/>
            <w:vMerge w:val="restart"/>
            <w:tcBorders>
              <w:top w:val="single" w:sz="4" w:space="0" w:color="auto"/>
              <w:left w:val="nil"/>
              <w:bottom w:val="nil"/>
              <w:right w:val="nil"/>
            </w:tcBorders>
            <w:vAlign w:val="center"/>
          </w:tcPr>
          <w:p w:rsidR="00000000" w:rsidRDefault="00000000">
            <w:pPr>
              <w:pStyle w:val="a6"/>
              <w:spacing w:before="10" w:after="10"/>
              <w:rPr>
                <w:b/>
                <w:sz w:val="18"/>
                <w:lang w:val="en-US"/>
              </w:rPr>
            </w:pPr>
            <w:r>
              <w:rPr>
                <w:b/>
                <w:sz w:val="18"/>
                <w:lang w:val="en-US"/>
              </w:rPr>
              <w:t>EPIRUS</w:t>
            </w:r>
          </w:p>
        </w:tc>
        <w:tc>
          <w:tcPr>
            <w:tcW w:w="1732" w:type="dxa"/>
            <w:tcBorders>
              <w:top w:val="single" w:sz="4" w:space="0" w:color="auto"/>
              <w:left w:val="nil"/>
              <w:bottom w:val="nil"/>
              <w:right w:val="nil"/>
            </w:tcBorders>
            <w:vAlign w:val="center"/>
          </w:tcPr>
          <w:p w:rsidR="00000000" w:rsidRDefault="00000000">
            <w:pPr>
              <w:pStyle w:val="a6"/>
              <w:spacing w:before="10" w:after="10"/>
              <w:rPr>
                <w:sz w:val="18"/>
                <w:lang w:val="en-US"/>
              </w:rPr>
            </w:pPr>
            <w:r>
              <w:rPr>
                <w:sz w:val="18"/>
                <w:lang w:val="en-US"/>
              </w:rPr>
              <w:t>ARTA</w:t>
            </w:r>
          </w:p>
        </w:tc>
        <w:tc>
          <w:tcPr>
            <w:tcW w:w="1093" w:type="dxa"/>
            <w:tcBorders>
              <w:top w:val="single" w:sz="4" w:space="0" w:color="auto"/>
              <w:left w:val="nil"/>
              <w:bottom w:val="nil"/>
              <w:right w:val="nil"/>
            </w:tcBorders>
          </w:tcPr>
          <w:p w:rsidR="00000000" w:rsidRDefault="00000000">
            <w:pPr>
              <w:pStyle w:val="a6"/>
              <w:spacing w:before="10" w:after="10"/>
              <w:rPr>
                <w:sz w:val="18"/>
                <w:lang w:val="en-US"/>
              </w:rPr>
            </w:pPr>
            <w:r>
              <w:rPr>
                <w:sz w:val="18"/>
                <w:lang w:val="en-US"/>
              </w:rPr>
              <w:t>39</w:t>
            </w:r>
          </w:p>
        </w:tc>
        <w:tc>
          <w:tcPr>
            <w:tcW w:w="983" w:type="dxa"/>
            <w:tcBorders>
              <w:top w:val="single" w:sz="4" w:space="0" w:color="auto"/>
              <w:left w:val="nil"/>
              <w:bottom w:val="nil"/>
              <w:right w:val="nil"/>
            </w:tcBorders>
          </w:tcPr>
          <w:p w:rsidR="00000000" w:rsidRDefault="00000000">
            <w:pPr>
              <w:pStyle w:val="a6"/>
              <w:spacing w:before="10" w:after="10"/>
              <w:rPr>
                <w:sz w:val="18"/>
                <w:lang w:val="en-US"/>
              </w:rPr>
            </w:pPr>
            <w:r>
              <w:rPr>
                <w:sz w:val="18"/>
                <w:lang w:val="en-US"/>
              </w:rPr>
              <w:t>13</w:t>
            </w:r>
          </w:p>
        </w:tc>
        <w:tc>
          <w:tcPr>
            <w:tcW w:w="1134" w:type="dxa"/>
            <w:tcBorders>
              <w:top w:val="single" w:sz="4" w:space="0" w:color="auto"/>
              <w:left w:val="nil"/>
              <w:bottom w:val="nil"/>
              <w:right w:val="nil"/>
            </w:tcBorders>
          </w:tcPr>
          <w:p w:rsidR="00000000" w:rsidRDefault="00000000">
            <w:pPr>
              <w:pStyle w:val="a6"/>
              <w:spacing w:before="10" w:after="10"/>
              <w:rPr>
                <w:sz w:val="18"/>
                <w:lang w:val="en-US"/>
              </w:rPr>
            </w:pPr>
            <w:r>
              <w:rPr>
                <w:sz w:val="18"/>
                <w:lang w:val="en-US"/>
              </w:rPr>
              <w:t>207</w:t>
            </w:r>
          </w:p>
        </w:tc>
        <w:tc>
          <w:tcPr>
            <w:tcW w:w="992" w:type="dxa"/>
            <w:tcBorders>
              <w:top w:val="single" w:sz="4" w:space="0" w:color="auto"/>
              <w:left w:val="nil"/>
              <w:bottom w:val="nil"/>
              <w:right w:val="nil"/>
            </w:tcBorders>
          </w:tcPr>
          <w:p w:rsidR="00000000" w:rsidRDefault="00000000">
            <w:pPr>
              <w:pStyle w:val="a6"/>
              <w:spacing w:before="10" w:after="10"/>
              <w:rPr>
                <w:sz w:val="18"/>
                <w:lang w:val="en-US"/>
              </w:rPr>
            </w:pPr>
            <w:r>
              <w:rPr>
                <w:sz w:val="18"/>
                <w:lang w:val="en-US"/>
              </w:rPr>
              <w:t>81</w:t>
            </w:r>
          </w:p>
        </w:tc>
        <w:tc>
          <w:tcPr>
            <w:tcW w:w="985" w:type="dxa"/>
            <w:tcBorders>
              <w:top w:val="single" w:sz="4" w:space="0" w:color="auto"/>
              <w:left w:val="nil"/>
              <w:bottom w:val="nil"/>
              <w:right w:val="nil"/>
            </w:tcBorders>
          </w:tcPr>
          <w:p w:rsidR="00000000" w:rsidRDefault="00000000">
            <w:pPr>
              <w:pStyle w:val="a6"/>
              <w:spacing w:before="10" w:after="10"/>
              <w:rPr>
                <w:sz w:val="18"/>
                <w:lang w:val="en-US"/>
              </w:rPr>
            </w:pPr>
            <w:r>
              <w:rPr>
                <w:sz w:val="18"/>
                <w:lang w:val="en-US"/>
              </w:rPr>
              <w:t>246</w:t>
            </w:r>
          </w:p>
        </w:tc>
        <w:tc>
          <w:tcPr>
            <w:tcW w:w="993" w:type="dxa"/>
            <w:tcBorders>
              <w:top w:val="single" w:sz="4" w:space="0" w:color="auto"/>
              <w:left w:val="nil"/>
              <w:bottom w:val="nil"/>
              <w:right w:val="nil"/>
            </w:tcBorders>
          </w:tcPr>
          <w:p w:rsidR="00000000" w:rsidRDefault="00000000">
            <w:pPr>
              <w:pStyle w:val="a6"/>
              <w:spacing w:before="10" w:after="10"/>
              <w:rPr>
                <w:sz w:val="18"/>
                <w:lang w:val="en-US"/>
              </w:rPr>
            </w:pPr>
            <w:r>
              <w:rPr>
                <w:sz w:val="18"/>
                <w:lang w:val="en-US"/>
              </w:rPr>
              <w:t>94</w:t>
            </w:r>
          </w:p>
        </w:tc>
      </w:tr>
      <w:tr w:rsidR="00000000">
        <w:tblPrEx>
          <w:tblCellMar>
            <w:top w:w="0" w:type="dxa"/>
            <w:bottom w:w="0" w:type="dxa"/>
          </w:tblCellMar>
        </w:tblPrEx>
        <w:trPr>
          <w:cantSplit/>
          <w:jc w:val="center"/>
        </w:trPr>
        <w:tc>
          <w:tcPr>
            <w:tcW w:w="1577" w:type="dxa"/>
            <w:vMerge/>
            <w:tcBorders>
              <w:top w:val="nil"/>
              <w:left w:val="nil"/>
              <w:bottom w:val="nil"/>
              <w:right w:val="nil"/>
            </w:tcBorders>
            <w:vAlign w:val="center"/>
          </w:tcPr>
          <w:p w:rsidR="00000000" w:rsidRDefault="00000000">
            <w:pPr>
              <w:pStyle w:val="a6"/>
              <w:spacing w:before="10" w:after="10"/>
              <w:rPr>
                <w:b/>
                <w:sz w:val="18"/>
                <w:lang w:val="en-US"/>
              </w:rPr>
            </w:pPr>
          </w:p>
        </w:tc>
        <w:tc>
          <w:tcPr>
            <w:tcW w:w="1732" w:type="dxa"/>
            <w:tcBorders>
              <w:top w:val="nil"/>
              <w:left w:val="nil"/>
              <w:bottom w:val="nil"/>
              <w:right w:val="nil"/>
            </w:tcBorders>
            <w:vAlign w:val="center"/>
          </w:tcPr>
          <w:p w:rsidR="00000000" w:rsidRDefault="00000000">
            <w:pPr>
              <w:pStyle w:val="a6"/>
              <w:spacing w:before="10" w:after="10"/>
              <w:rPr>
                <w:sz w:val="18"/>
                <w:lang w:val="en-US"/>
              </w:rPr>
            </w:pPr>
            <w:r>
              <w:rPr>
                <w:sz w:val="18"/>
                <w:lang w:val="en-US"/>
              </w:rPr>
              <w:t>IOANNINA</w:t>
            </w:r>
          </w:p>
        </w:tc>
        <w:tc>
          <w:tcPr>
            <w:tcW w:w="1093" w:type="dxa"/>
            <w:tcBorders>
              <w:top w:val="nil"/>
              <w:left w:val="nil"/>
              <w:bottom w:val="nil"/>
              <w:right w:val="nil"/>
            </w:tcBorders>
          </w:tcPr>
          <w:p w:rsidR="00000000" w:rsidRDefault="00000000">
            <w:pPr>
              <w:pStyle w:val="a6"/>
              <w:spacing w:before="10" w:after="10"/>
              <w:rPr>
                <w:sz w:val="18"/>
                <w:lang w:val="en-US"/>
              </w:rPr>
            </w:pPr>
            <w:r>
              <w:rPr>
                <w:sz w:val="18"/>
                <w:lang w:val="en-US"/>
              </w:rPr>
              <w:t>20</w:t>
            </w:r>
          </w:p>
        </w:tc>
        <w:tc>
          <w:tcPr>
            <w:tcW w:w="983" w:type="dxa"/>
            <w:tcBorders>
              <w:top w:val="nil"/>
              <w:left w:val="nil"/>
              <w:bottom w:val="nil"/>
              <w:right w:val="nil"/>
            </w:tcBorders>
          </w:tcPr>
          <w:p w:rsidR="00000000" w:rsidRDefault="00000000">
            <w:pPr>
              <w:pStyle w:val="a6"/>
              <w:spacing w:before="10" w:after="10"/>
              <w:rPr>
                <w:sz w:val="18"/>
                <w:lang w:val="en-US"/>
              </w:rPr>
            </w:pPr>
            <w:r>
              <w:rPr>
                <w:sz w:val="18"/>
                <w:lang w:val="en-US"/>
              </w:rPr>
              <w:t>7</w:t>
            </w:r>
          </w:p>
        </w:tc>
        <w:tc>
          <w:tcPr>
            <w:tcW w:w="1134" w:type="dxa"/>
            <w:tcBorders>
              <w:top w:val="nil"/>
              <w:left w:val="nil"/>
              <w:bottom w:val="nil"/>
              <w:right w:val="nil"/>
            </w:tcBorders>
          </w:tcPr>
          <w:p w:rsidR="00000000" w:rsidRDefault="00000000">
            <w:pPr>
              <w:pStyle w:val="a6"/>
              <w:spacing w:before="10" w:after="10"/>
              <w:rPr>
                <w:sz w:val="18"/>
                <w:lang w:val="en-US"/>
              </w:rPr>
            </w:pPr>
            <w:r>
              <w:rPr>
                <w:sz w:val="18"/>
                <w:lang w:val="en-US"/>
              </w:rPr>
              <w:t>173</w:t>
            </w:r>
          </w:p>
        </w:tc>
        <w:tc>
          <w:tcPr>
            <w:tcW w:w="992" w:type="dxa"/>
            <w:tcBorders>
              <w:top w:val="nil"/>
              <w:left w:val="nil"/>
              <w:bottom w:val="nil"/>
              <w:right w:val="nil"/>
            </w:tcBorders>
          </w:tcPr>
          <w:p w:rsidR="00000000" w:rsidRDefault="00000000">
            <w:pPr>
              <w:pStyle w:val="a6"/>
              <w:spacing w:before="10" w:after="10"/>
              <w:rPr>
                <w:sz w:val="18"/>
                <w:lang w:val="en-US"/>
              </w:rPr>
            </w:pPr>
            <w:r>
              <w:rPr>
                <w:sz w:val="18"/>
                <w:lang w:val="en-US"/>
              </w:rPr>
              <w:t>132</w:t>
            </w:r>
          </w:p>
        </w:tc>
        <w:tc>
          <w:tcPr>
            <w:tcW w:w="985" w:type="dxa"/>
            <w:tcBorders>
              <w:top w:val="nil"/>
              <w:left w:val="nil"/>
              <w:bottom w:val="nil"/>
              <w:right w:val="nil"/>
            </w:tcBorders>
          </w:tcPr>
          <w:p w:rsidR="00000000" w:rsidRDefault="00000000">
            <w:pPr>
              <w:pStyle w:val="a6"/>
              <w:spacing w:before="10" w:after="10"/>
              <w:rPr>
                <w:sz w:val="18"/>
                <w:lang w:val="en-US"/>
              </w:rPr>
            </w:pPr>
            <w:r>
              <w:rPr>
                <w:sz w:val="18"/>
                <w:lang w:val="en-US"/>
              </w:rPr>
              <w:t>193</w:t>
            </w:r>
          </w:p>
        </w:tc>
        <w:tc>
          <w:tcPr>
            <w:tcW w:w="993" w:type="dxa"/>
            <w:tcBorders>
              <w:top w:val="nil"/>
              <w:left w:val="nil"/>
              <w:bottom w:val="nil"/>
              <w:right w:val="nil"/>
            </w:tcBorders>
          </w:tcPr>
          <w:p w:rsidR="00000000" w:rsidRDefault="00000000">
            <w:pPr>
              <w:pStyle w:val="a6"/>
              <w:spacing w:before="10" w:after="10"/>
              <w:rPr>
                <w:sz w:val="18"/>
                <w:lang w:val="en-US"/>
              </w:rPr>
            </w:pPr>
            <w:r>
              <w:rPr>
                <w:sz w:val="18"/>
                <w:lang w:val="en-US"/>
              </w:rPr>
              <w:t>139</w:t>
            </w:r>
          </w:p>
        </w:tc>
      </w:tr>
      <w:tr w:rsidR="00000000">
        <w:tblPrEx>
          <w:tblCellMar>
            <w:top w:w="0" w:type="dxa"/>
            <w:bottom w:w="0" w:type="dxa"/>
          </w:tblCellMar>
        </w:tblPrEx>
        <w:trPr>
          <w:cantSplit/>
          <w:jc w:val="center"/>
        </w:trPr>
        <w:tc>
          <w:tcPr>
            <w:tcW w:w="1577" w:type="dxa"/>
            <w:vMerge/>
            <w:tcBorders>
              <w:top w:val="nil"/>
              <w:left w:val="nil"/>
              <w:bottom w:val="nil"/>
              <w:right w:val="nil"/>
            </w:tcBorders>
            <w:vAlign w:val="center"/>
          </w:tcPr>
          <w:p w:rsidR="00000000" w:rsidRDefault="00000000">
            <w:pPr>
              <w:pStyle w:val="a6"/>
              <w:spacing w:before="10" w:after="10"/>
              <w:rPr>
                <w:b/>
                <w:sz w:val="18"/>
                <w:lang w:val="en-US"/>
              </w:rPr>
            </w:pPr>
          </w:p>
        </w:tc>
        <w:tc>
          <w:tcPr>
            <w:tcW w:w="1732" w:type="dxa"/>
            <w:tcBorders>
              <w:top w:val="nil"/>
              <w:left w:val="nil"/>
              <w:bottom w:val="nil"/>
              <w:right w:val="nil"/>
            </w:tcBorders>
            <w:vAlign w:val="center"/>
          </w:tcPr>
          <w:p w:rsidR="00000000" w:rsidRDefault="00000000">
            <w:pPr>
              <w:pStyle w:val="a6"/>
              <w:spacing w:before="10" w:after="10"/>
              <w:rPr>
                <w:sz w:val="18"/>
                <w:lang w:val="en-US"/>
              </w:rPr>
            </w:pPr>
            <w:r>
              <w:rPr>
                <w:sz w:val="18"/>
                <w:lang w:val="en-US"/>
              </w:rPr>
              <w:t>IGOUMENITSA</w:t>
            </w:r>
          </w:p>
        </w:tc>
        <w:tc>
          <w:tcPr>
            <w:tcW w:w="1093" w:type="dxa"/>
            <w:tcBorders>
              <w:top w:val="nil"/>
              <w:left w:val="nil"/>
              <w:bottom w:val="nil"/>
              <w:right w:val="nil"/>
            </w:tcBorders>
          </w:tcPr>
          <w:p w:rsidR="00000000" w:rsidRDefault="00000000">
            <w:pPr>
              <w:pStyle w:val="a6"/>
              <w:spacing w:before="10" w:after="10"/>
              <w:rPr>
                <w:sz w:val="18"/>
                <w:lang w:val="en-US"/>
              </w:rPr>
            </w:pPr>
            <w:r>
              <w:rPr>
                <w:sz w:val="18"/>
                <w:lang w:val="en-US"/>
              </w:rPr>
              <w:t>15</w:t>
            </w:r>
          </w:p>
        </w:tc>
        <w:tc>
          <w:tcPr>
            <w:tcW w:w="983" w:type="dxa"/>
            <w:tcBorders>
              <w:top w:val="nil"/>
              <w:left w:val="nil"/>
              <w:bottom w:val="nil"/>
              <w:right w:val="nil"/>
            </w:tcBorders>
          </w:tcPr>
          <w:p w:rsidR="00000000" w:rsidRDefault="00000000">
            <w:pPr>
              <w:pStyle w:val="a6"/>
              <w:spacing w:before="10" w:after="10"/>
              <w:rPr>
                <w:sz w:val="18"/>
                <w:lang w:val="en-US"/>
              </w:rPr>
            </w:pPr>
            <w:r>
              <w:rPr>
                <w:sz w:val="18"/>
                <w:lang w:val="en-US"/>
              </w:rPr>
              <w:t>3</w:t>
            </w:r>
          </w:p>
        </w:tc>
        <w:tc>
          <w:tcPr>
            <w:tcW w:w="1134" w:type="dxa"/>
            <w:tcBorders>
              <w:top w:val="nil"/>
              <w:left w:val="nil"/>
              <w:bottom w:val="nil"/>
              <w:right w:val="nil"/>
            </w:tcBorders>
          </w:tcPr>
          <w:p w:rsidR="00000000" w:rsidRDefault="00000000">
            <w:pPr>
              <w:pStyle w:val="a6"/>
              <w:spacing w:before="10" w:after="10"/>
              <w:rPr>
                <w:sz w:val="18"/>
                <w:lang w:val="en-US"/>
              </w:rPr>
            </w:pPr>
            <w:r>
              <w:rPr>
                <w:sz w:val="18"/>
                <w:lang w:val="en-US"/>
              </w:rPr>
              <w:t>107</w:t>
            </w:r>
          </w:p>
        </w:tc>
        <w:tc>
          <w:tcPr>
            <w:tcW w:w="992" w:type="dxa"/>
            <w:tcBorders>
              <w:top w:val="nil"/>
              <w:left w:val="nil"/>
              <w:bottom w:val="nil"/>
              <w:right w:val="nil"/>
            </w:tcBorders>
          </w:tcPr>
          <w:p w:rsidR="00000000" w:rsidRDefault="00000000">
            <w:pPr>
              <w:pStyle w:val="a6"/>
              <w:spacing w:before="10" w:after="10"/>
              <w:rPr>
                <w:sz w:val="18"/>
                <w:lang w:val="en-US"/>
              </w:rPr>
            </w:pPr>
            <w:r>
              <w:rPr>
                <w:sz w:val="18"/>
                <w:lang w:val="en-US"/>
              </w:rPr>
              <w:t>59</w:t>
            </w:r>
          </w:p>
        </w:tc>
        <w:tc>
          <w:tcPr>
            <w:tcW w:w="985" w:type="dxa"/>
            <w:tcBorders>
              <w:top w:val="nil"/>
              <w:left w:val="nil"/>
              <w:bottom w:val="nil"/>
              <w:right w:val="nil"/>
            </w:tcBorders>
          </w:tcPr>
          <w:p w:rsidR="00000000" w:rsidRDefault="00000000">
            <w:pPr>
              <w:pStyle w:val="a6"/>
              <w:spacing w:before="10" w:after="10"/>
              <w:rPr>
                <w:sz w:val="18"/>
                <w:lang w:val="en-US"/>
              </w:rPr>
            </w:pPr>
            <w:r>
              <w:rPr>
                <w:sz w:val="18"/>
                <w:lang w:val="en-US"/>
              </w:rPr>
              <w:t>122</w:t>
            </w:r>
          </w:p>
        </w:tc>
        <w:tc>
          <w:tcPr>
            <w:tcW w:w="993" w:type="dxa"/>
            <w:tcBorders>
              <w:top w:val="nil"/>
              <w:left w:val="nil"/>
              <w:bottom w:val="nil"/>
              <w:right w:val="nil"/>
            </w:tcBorders>
          </w:tcPr>
          <w:p w:rsidR="00000000" w:rsidRDefault="00000000">
            <w:pPr>
              <w:pStyle w:val="a6"/>
              <w:spacing w:before="10" w:after="10"/>
              <w:rPr>
                <w:sz w:val="18"/>
                <w:lang w:val="en-US"/>
              </w:rPr>
            </w:pPr>
            <w:r>
              <w:rPr>
                <w:sz w:val="18"/>
                <w:lang w:val="en-US"/>
              </w:rPr>
              <w:t>62</w:t>
            </w:r>
          </w:p>
        </w:tc>
      </w:tr>
      <w:tr w:rsidR="00000000">
        <w:tblPrEx>
          <w:tblCellMar>
            <w:top w:w="0" w:type="dxa"/>
            <w:bottom w:w="0" w:type="dxa"/>
          </w:tblCellMar>
        </w:tblPrEx>
        <w:trPr>
          <w:cantSplit/>
          <w:jc w:val="center"/>
        </w:trPr>
        <w:tc>
          <w:tcPr>
            <w:tcW w:w="1577" w:type="dxa"/>
            <w:vMerge/>
            <w:tcBorders>
              <w:top w:val="nil"/>
              <w:left w:val="nil"/>
              <w:bottom w:val="nil"/>
              <w:right w:val="nil"/>
            </w:tcBorders>
            <w:vAlign w:val="center"/>
          </w:tcPr>
          <w:p w:rsidR="00000000" w:rsidRDefault="00000000">
            <w:pPr>
              <w:pStyle w:val="a6"/>
              <w:spacing w:before="10" w:after="10"/>
              <w:rPr>
                <w:b/>
                <w:sz w:val="18"/>
                <w:lang w:val="en-US"/>
              </w:rPr>
            </w:pPr>
          </w:p>
        </w:tc>
        <w:tc>
          <w:tcPr>
            <w:tcW w:w="1732" w:type="dxa"/>
            <w:tcBorders>
              <w:top w:val="nil"/>
              <w:left w:val="nil"/>
              <w:bottom w:val="nil"/>
              <w:right w:val="nil"/>
            </w:tcBorders>
            <w:vAlign w:val="center"/>
          </w:tcPr>
          <w:p w:rsidR="00000000" w:rsidRDefault="00000000">
            <w:pPr>
              <w:pStyle w:val="a6"/>
              <w:spacing w:before="10" w:after="10"/>
              <w:rPr>
                <w:sz w:val="18"/>
                <w:lang w:val="en-US"/>
              </w:rPr>
            </w:pPr>
            <w:r>
              <w:rPr>
                <w:sz w:val="18"/>
                <w:lang w:val="en-US"/>
              </w:rPr>
              <w:t>PREVEZA</w:t>
            </w:r>
          </w:p>
        </w:tc>
        <w:tc>
          <w:tcPr>
            <w:tcW w:w="1093" w:type="dxa"/>
            <w:tcBorders>
              <w:top w:val="nil"/>
              <w:left w:val="nil"/>
              <w:bottom w:val="nil"/>
              <w:right w:val="nil"/>
            </w:tcBorders>
          </w:tcPr>
          <w:p w:rsidR="00000000" w:rsidRDefault="00000000">
            <w:pPr>
              <w:pStyle w:val="a6"/>
              <w:spacing w:before="10" w:after="10"/>
              <w:rPr>
                <w:sz w:val="18"/>
                <w:lang w:val="en-US"/>
              </w:rPr>
            </w:pPr>
            <w:r>
              <w:rPr>
                <w:sz w:val="18"/>
                <w:lang w:val="en-US"/>
              </w:rPr>
              <w:t>6</w:t>
            </w:r>
          </w:p>
        </w:tc>
        <w:tc>
          <w:tcPr>
            <w:tcW w:w="983" w:type="dxa"/>
            <w:tcBorders>
              <w:top w:val="nil"/>
              <w:left w:val="nil"/>
              <w:bottom w:val="nil"/>
              <w:right w:val="nil"/>
            </w:tcBorders>
          </w:tcPr>
          <w:p w:rsidR="00000000" w:rsidRDefault="00000000">
            <w:pPr>
              <w:pStyle w:val="a6"/>
              <w:spacing w:before="10" w:after="10"/>
              <w:rPr>
                <w:sz w:val="18"/>
                <w:lang w:val="en-US"/>
              </w:rPr>
            </w:pPr>
            <w:r>
              <w:rPr>
                <w:sz w:val="18"/>
                <w:lang w:val="en-US"/>
              </w:rPr>
              <w:t>1</w:t>
            </w:r>
          </w:p>
        </w:tc>
        <w:tc>
          <w:tcPr>
            <w:tcW w:w="1134" w:type="dxa"/>
            <w:tcBorders>
              <w:top w:val="nil"/>
              <w:left w:val="nil"/>
              <w:bottom w:val="nil"/>
              <w:right w:val="nil"/>
            </w:tcBorders>
          </w:tcPr>
          <w:p w:rsidR="00000000" w:rsidRDefault="00000000">
            <w:pPr>
              <w:pStyle w:val="a6"/>
              <w:spacing w:before="10" w:after="10"/>
              <w:rPr>
                <w:sz w:val="18"/>
                <w:lang w:val="en-US"/>
              </w:rPr>
            </w:pPr>
            <w:r>
              <w:rPr>
                <w:sz w:val="18"/>
                <w:lang w:val="en-US"/>
              </w:rPr>
              <w:t>41</w:t>
            </w:r>
          </w:p>
        </w:tc>
        <w:tc>
          <w:tcPr>
            <w:tcW w:w="992" w:type="dxa"/>
            <w:tcBorders>
              <w:top w:val="nil"/>
              <w:left w:val="nil"/>
              <w:bottom w:val="nil"/>
              <w:right w:val="nil"/>
            </w:tcBorders>
          </w:tcPr>
          <w:p w:rsidR="00000000" w:rsidRDefault="00000000">
            <w:pPr>
              <w:pStyle w:val="a6"/>
              <w:spacing w:before="10" w:after="10"/>
              <w:rPr>
                <w:sz w:val="18"/>
                <w:lang w:val="en-US"/>
              </w:rPr>
            </w:pPr>
            <w:r>
              <w:rPr>
                <w:sz w:val="18"/>
                <w:lang w:val="en-US"/>
              </w:rPr>
              <w:t>21</w:t>
            </w:r>
          </w:p>
        </w:tc>
        <w:tc>
          <w:tcPr>
            <w:tcW w:w="985" w:type="dxa"/>
            <w:tcBorders>
              <w:top w:val="nil"/>
              <w:left w:val="nil"/>
              <w:bottom w:val="nil"/>
              <w:right w:val="nil"/>
            </w:tcBorders>
          </w:tcPr>
          <w:p w:rsidR="00000000" w:rsidRDefault="00000000">
            <w:pPr>
              <w:pStyle w:val="a6"/>
              <w:spacing w:before="10" w:after="10"/>
              <w:rPr>
                <w:sz w:val="18"/>
                <w:lang w:val="en-US"/>
              </w:rPr>
            </w:pPr>
            <w:r>
              <w:rPr>
                <w:sz w:val="18"/>
                <w:lang w:val="en-US"/>
              </w:rPr>
              <w:t>47</w:t>
            </w:r>
          </w:p>
        </w:tc>
        <w:tc>
          <w:tcPr>
            <w:tcW w:w="993" w:type="dxa"/>
            <w:tcBorders>
              <w:top w:val="nil"/>
              <w:left w:val="nil"/>
              <w:bottom w:val="nil"/>
              <w:right w:val="nil"/>
            </w:tcBorders>
          </w:tcPr>
          <w:p w:rsidR="00000000" w:rsidRDefault="00000000">
            <w:pPr>
              <w:pStyle w:val="a6"/>
              <w:spacing w:before="10" w:after="10"/>
              <w:rPr>
                <w:sz w:val="18"/>
                <w:lang w:val="en-US"/>
              </w:rPr>
            </w:pPr>
            <w:r>
              <w:rPr>
                <w:sz w:val="18"/>
                <w:lang w:val="en-US"/>
              </w:rPr>
              <w:t>22</w:t>
            </w:r>
          </w:p>
        </w:tc>
      </w:tr>
      <w:tr w:rsidR="00000000">
        <w:tblPrEx>
          <w:tblCellMar>
            <w:top w:w="0" w:type="dxa"/>
            <w:bottom w:w="0" w:type="dxa"/>
          </w:tblCellMar>
        </w:tblPrEx>
        <w:trPr>
          <w:cantSplit/>
          <w:jc w:val="center"/>
        </w:trPr>
        <w:tc>
          <w:tcPr>
            <w:tcW w:w="1577" w:type="dxa"/>
            <w:vMerge/>
            <w:tcBorders>
              <w:top w:val="nil"/>
              <w:left w:val="nil"/>
              <w:bottom w:val="nil"/>
              <w:right w:val="nil"/>
            </w:tcBorders>
            <w:vAlign w:val="center"/>
          </w:tcPr>
          <w:p w:rsidR="00000000" w:rsidRDefault="00000000">
            <w:pPr>
              <w:pStyle w:val="a6"/>
              <w:spacing w:before="10" w:after="10"/>
              <w:rPr>
                <w:b/>
                <w:sz w:val="18"/>
                <w:lang w:val="en-US"/>
              </w:rPr>
            </w:pPr>
          </w:p>
        </w:tc>
        <w:tc>
          <w:tcPr>
            <w:tcW w:w="1732" w:type="dxa"/>
            <w:tcBorders>
              <w:top w:val="nil"/>
              <w:left w:val="nil"/>
              <w:bottom w:val="nil"/>
              <w:right w:val="nil"/>
            </w:tcBorders>
            <w:vAlign w:val="center"/>
          </w:tcPr>
          <w:p w:rsidR="00000000" w:rsidRDefault="00000000">
            <w:pPr>
              <w:pStyle w:val="a6"/>
              <w:spacing w:before="10" w:after="10"/>
              <w:rPr>
                <w:sz w:val="18"/>
                <w:lang w:val="en-US"/>
              </w:rPr>
            </w:pPr>
            <w:r>
              <w:rPr>
                <w:sz w:val="18"/>
                <w:lang w:val="en-US"/>
              </w:rPr>
              <w:t>ARGOSTOLI</w:t>
            </w:r>
          </w:p>
        </w:tc>
        <w:tc>
          <w:tcPr>
            <w:tcW w:w="1093" w:type="dxa"/>
            <w:tcBorders>
              <w:top w:val="nil"/>
              <w:left w:val="nil"/>
              <w:bottom w:val="nil"/>
              <w:right w:val="nil"/>
            </w:tcBorders>
          </w:tcPr>
          <w:p w:rsidR="00000000" w:rsidRDefault="00000000">
            <w:pPr>
              <w:pStyle w:val="a6"/>
              <w:spacing w:before="10" w:after="10"/>
              <w:rPr>
                <w:sz w:val="18"/>
                <w:lang w:val="en-US"/>
              </w:rPr>
            </w:pPr>
            <w:r>
              <w:rPr>
                <w:sz w:val="18"/>
                <w:lang w:val="en-US"/>
              </w:rPr>
              <w:t>1</w:t>
            </w:r>
          </w:p>
        </w:tc>
        <w:tc>
          <w:tcPr>
            <w:tcW w:w="983" w:type="dxa"/>
            <w:tcBorders>
              <w:top w:val="nil"/>
              <w:left w:val="nil"/>
              <w:bottom w:val="nil"/>
              <w:right w:val="nil"/>
            </w:tcBorders>
          </w:tcPr>
          <w:p w:rsidR="00000000" w:rsidRDefault="00000000">
            <w:pPr>
              <w:pStyle w:val="a6"/>
              <w:spacing w:before="10" w:after="10"/>
              <w:rPr>
                <w:sz w:val="18"/>
                <w:lang w:val="en-US"/>
              </w:rPr>
            </w:pPr>
            <w:r>
              <w:rPr>
                <w:sz w:val="18"/>
                <w:lang w:val="en-US"/>
              </w:rPr>
              <w:t>1</w:t>
            </w:r>
          </w:p>
        </w:tc>
        <w:tc>
          <w:tcPr>
            <w:tcW w:w="1134" w:type="dxa"/>
            <w:tcBorders>
              <w:top w:val="nil"/>
              <w:left w:val="nil"/>
              <w:bottom w:val="nil"/>
              <w:right w:val="nil"/>
            </w:tcBorders>
          </w:tcPr>
          <w:p w:rsidR="00000000" w:rsidRDefault="00000000">
            <w:pPr>
              <w:pStyle w:val="a6"/>
              <w:spacing w:before="10" w:after="10"/>
              <w:rPr>
                <w:sz w:val="18"/>
                <w:lang w:val="en-US"/>
              </w:rPr>
            </w:pPr>
            <w:r>
              <w:rPr>
                <w:sz w:val="18"/>
                <w:lang w:val="en-US"/>
              </w:rPr>
              <w:t>22</w:t>
            </w:r>
          </w:p>
        </w:tc>
        <w:tc>
          <w:tcPr>
            <w:tcW w:w="992" w:type="dxa"/>
            <w:tcBorders>
              <w:top w:val="nil"/>
              <w:left w:val="nil"/>
              <w:bottom w:val="nil"/>
              <w:right w:val="nil"/>
            </w:tcBorders>
          </w:tcPr>
          <w:p w:rsidR="00000000" w:rsidRDefault="00000000">
            <w:pPr>
              <w:pStyle w:val="a6"/>
              <w:spacing w:before="10" w:after="10"/>
              <w:rPr>
                <w:sz w:val="18"/>
                <w:lang w:val="en-US"/>
              </w:rPr>
            </w:pPr>
            <w:r>
              <w:rPr>
                <w:sz w:val="18"/>
                <w:lang w:val="en-US"/>
              </w:rPr>
              <w:t>11</w:t>
            </w:r>
          </w:p>
        </w:tc>
        <w:tc>
          <w:tcPr>
            <w:tcW w:w="985" w:type="dxa"/>
            <w:tcBorders>
              <w:top w:val="nil"/>
              <w:left w:val="nil"/>
              <w:bottom w:val="nil"/>
              <w:right w:val="nil"/>
            </w:tcBorders>
          </w:tcPr>
          <w:p w:rsidR="00000000" w:rsidRDefault="00000000">
            <w:pPr>
              <w:pStyle w:val="a6"/>
              <w:spacing w:before="10" w:after="10"/>
              <w:rPr>
                <w:sz w:val="18"/>
                <w:lang w:val="en-US"/>
              </w:rPr>
            </w:pPr>
            <w:r>
              <w:rPr>
                <w:sz w:val="18"/>
                <w:lang w:val="en-US"/>
              </w:rPr>
              <w:t>23</w:t>
            </w:r>
          </w:p>
        </w:tc>
        <w:tc>
          <w:tcPr>
            <w:tcW w:w="993" w:type="dxa"/>
            <w:tcBorders>
              <w:top w:val="nil"/>
              <w:left w:val="nil"/>
              <w:bottom w:val="nil"/>
              <w:right w:val="nil"/>
            </w:tcBorders>
          </w:tcPr>
          <w:p w:rsidR="00000000" w:rsidRDefault="00000000">
            <w:pPr>
              <w:pStyle w:val="a6"/>
              <w:spacing w:before="10" w:after="10"/>
              <w:rPr>
                <w:sz w:val="18"/>
                <w:lang w:val="en-US"/>
              </w:rPr>
            </w:pPr>
            <w:r>
              <w:rPr>
                <w:sz w:val="18"/>
                <w:lang w:val="en-US"/>
              </w:rPr>
              <w:t>12</w:t>
            </w:r>
          </w:p>
        </w:tc>
      </w:tr>
      <w:tr w:rsidR="00000000">
        <w:tblPrEx>
          <w:tblCellMar>
            <w:top w:w="0" w:type="dxa"/>
            <w:bottom w:w="0" w:type="dxa"/>
          </w:tblCellMar>
        </w:tblPrEx>
        <w:trPr>
          <w:cantSplit/>
          <w:jc w:val="center"/>
        </w:trPr>
        <w:tc>
          <w:tcPr>
            <w:tcW w:w="1577" w:type="dxa"/>
            <w:vMerge/>
            <w:tcBorders>
              <w:top w:val="nil"/>
              <w:left w:val="nil"/>
              <w:bottom w:val="single" w:sz="4" w:space="0" w:color="auto"/>
              <w:right w:val="nil"/>
            </w:tcBorders>
            <w:vAlign w:val="center"/>
          </w:tcPr>
          <w:p w:rsidR="00000000" w:rsidRDefault="00000000">
            <w:pPr>
              <w:pStyle w:val="a6"/>
              <w:spacing w:before="10" w:after="10"/>
              <w:rPr>
                <w:b/>
                <w:sz w:val="18"/>
                <w:lang w:val="en-US"/>
              </w:rPr>
            </w:pPr>
          </w:p>
        </w:tc>
        <w:tc>
          <w:tcPr>
            <w:tcW w:w="1732" w:type="dxa"/>
            <w:tcBorders>
              <w:top w:val="nil"/>
              <w:left w:val="nil"/>
              <w:bottom w:val="single" w:sz="4" w:space="0" w:color="auto"/>
              <w:right w:val="nil"/>
            </w:tcBorders>
            <w:vAlign w:val="center"/>
          </w:tcPr>
          <w:p w:rsidR="00000000" w:rsidRDefault="00000000">
            <w:pPr>
              <w:pStyle w:val="a6"/>
              <w:spacing w:before="10" w:after="10"/>
              <w:rPr>
                <w:sz w:val="18"/>
                <w:lang w:val="en-US"/>
              </w:rPr>
            </w:pPr>
            <w:r>
              <w:rPr>
                <w:sz w:val="18"/>
                <w:lang w:val="en-US"/>
              </w:rPr>
              <w:t>LIXOURI</w:t>
            </w:r>
          </w:p>
        </w:tc>
        <w:tc>
          <w:tcPr>
            <w:tcW w:w="1093" w:type="dxa"/>
            <w:tcBorders>
              <w:top w:val="nil"/>
              <w:left w:val="nil"/>
              <w:bottom w:val="single" w:sz="4" w:space="0" w:color="auto"/>
              <w:right w:val="nil"/>
            </w:tcBorders>
          </w:tcPr>
          <w:p w:rsidR="00000000" w:rsidRDefault="00000000">
            <w:pPr>
              <w:pStyle w:val="a6"/>
              <w:spacing w:before="10" w:after="10"/>
              <w:rPr>
                <w:sz w:val="18"/>
                <w:lang w:val="en-US"/>
              </w:rPr>
            </w:pPr>
          </w:p>
        </w:tc>
        <w:tc>
          <w:tcPr>
            <w:tcW w:w="983" w:type="dxa"/>
            <w:tcBorders>
              <w:top w:val="nil"/>
              <w:left w:val="nil"/>
              <w:bottom w:val="single" w:sz="4" w:space="0" w:color="auto"/>
              <w:right w:val="nil"/>
            </w:tcBorders>
          </w:tcPr>
          <w:p w:rsidR="00000000" w:rsidRDefault="00000000">
            <w:pPr>
              <w:pStyle w:val="a6"/>
              <w:spacing w:before="10" w:after="10"/>
              <w:rPr>
                <w:sz w:val="18"/>
                <w:lang w:val="en-US"/>
              </w:rPr>
            </w:pPr>
          </w:p>
        </w:tc>
        <w:tc>
          <w:tcPr>
            <w:tcW w:w="1134" w:type="dxa"/>
            <w:tcBorders>
              <w:top w:val="nil"/>
              <w:left w:val="nil"/>
              <w:bottom w:val="single" w:sz="4" w:space="0" w:color="auto"/>
              <w:right w:val="nil"/>
            </w:tcBorders>
          </w:tcPr>
          <w:p w:rsidR="00000000" w:rsidRDefault="00000000">
            <w:pPr>
              <w:pStyle w:val="a6"/>
              <w:spacing w:before="10" w:after="10"/>
              <w:rPr>
                <w:sz w:val="18"/>
                <w:lang w:val="en-US"/>
              </w:rPr>
            </w:pPr>
          </w:p>
        </w:tc>
        <w:tc>
          <w:tcPr>
            <w:tcW w:w="992" w:type="dxa"/>
            <w:tcBorders>
              <w:top w:val="nil"/>
              <w:left w:val="nil"/>
              <w:bottom w:val="single" w:sz="4" w:space="0" w:color="auto"/>
              <w:right w:val="nil"/>
            </w:tcBorders>
          </w:tcPr>
          <w:p w:rsidR="00000000" w:rsidRDefault="00000000">
            <w:pPr>
              <w:pStyle w:val="a6"/>
              <w:spacing w:before="10" w:after="10"/>
              <w:rPr>
                <w:sz w:val="18"/>
                <w:lang w:val="en-US"/>
              </w:rPr>
            </w:pPr>
          </w:p>
        </w:tc>
        <w:tc>
          <w:tcPr>
            <w:tcW w:w="985" w:type="dxa"/>
            <w:tcBorders>
              <w:top w:val="nil"/>
              <w:left w:val="nil"/>
              <w:bottom w:val="single" w:sz="4" w:space="0" w:color="auto"/>
              <w:right w:val="nil"/>
            </w:tcBorders>
          </w:tcPr>
          <w:p w:rsidR="00000000" w:rsidRDefault="00000000">
            <w:pPr>
              <w:pStyle w:val="a6"/>
              <w:spacing w:before="10" w:after="10"/>
              <w:rPr>
                <w:sz w:val="18"/>
                <w:lang w:val="en-US"/>
              </w:rPr>
            </w:pPr>
            <w:r>
              <w:rPr>
                <w:sz w:val="18"/>
                <w:lang w:val="en-US"/>
              </w:rPr>
              <w:t>0</w:t>
            </w:r>
          </w:p>
        </w:tc>
        <w:tc>
          <w:tcPr>
            <w:tcW w:w="993" w:type="dxa"/>
            <w:tcBorders>
              <w:top w:val="nil"/>
              <w:left w:val="nil"/>
              <w:bottom w:val="single" w:sz="4" w:space="0" w:color="auto"/>
              <w:right w:val="nil"/>
            </w:tcBorders>
          </w:tcPr>
          <w:p w:rsidR="00000000" w:rsidRDefault="00000000">
            <w:pPr>
              <w:pStyle w:val="a6"/>
              <w:spacing w:before="10" w:after="10"/>
              <w:rPr>
                <w:sz w:val="18"/>
                <w:lang w:val="en-US"/>
              </w:rPr>
            </w:pPr>
            <w:r>
              <w:rPr>
                <w:sz w:val="18"/>
                <w:lang w:val="en-US"/>
              </w:rPr>
              <w:t>0</w:t>
            </w:r>
          </w:p>
        </w:tc>
      </w:tr>
      <w:tr w:rsidR="00000000">
        <w:tblPrEx>
          <w:tblCellMar>
            <w:top w:w="0" w:type="dxa"/>
            <w:bottom w:w="0" w:type="dxa"/>
          </w:tblCellMar>
        </w:tblPrEx>
        <w:trPr>
          <w:cantSplit/>
          <w:jc w:val="center"/>
        </w:trPr>
        <w:tc>
          <w:tcPr>
            <w:tcW w:w="1577" w:type="dxa"/>
            <w:vMerge w:val="restart"/>
            <w:tcBorders>
              <w:top w:val="single" w:sz="4" w:space="0" w:color="auto"/>
              <w:left w:val="nil"/>
              <w:bottom w:val="nil"/>
              <w:right w:val="nil"/>
            </w:tcBorders>
            <w:vAlign w:val="center"/>
          </w:tcPr>
          <w:p w:rsidR="00000000" w:rsidRDefault="00000000">
            <w:pPr>
              <w:pStyle w:val="a6"/>
              <w:spacing w:before="10" w:after="10"/>
              <w:rPr>
                <w:b/>
                <w:sz w:val="18"/>
                <w:lang w:val="en-US"/>
              </w:rPr>
            </w:pPr>
            <w:r>
              <w:rPr>
                <w:b/>
                <w:sz w:val="18"/>
                <w:lang w:val="en-US"/>
              </w:rPr>
              <w:t>CRETE</w:t>
            </w:r>
          </w:p>
        </w:tc>
        <w:tc>
          <w:tcPr>
            <w:tcW w:w="1732" w:type="dxa"/>
            <w:tcBorders>
              <w:top w:val="single" w:sz="4" w:space="0" w:color="auto"/>
              <w:left w:val="nil"/>
              <w:bottom w:val="nil"/>
              <w:right w:val="nil"/>
            </w:tcBorders>
            <w:vAlign w:val="center"/>
          </w:tcPr>
          <w:p w:rsidR="00000000" w:rsidRDefault="00000000">
            <w:pPr>
              <w:pStyle w:val="a6"/>
              <w:spacing w:before="10" w:after="10"/>
              <w:rPr>
                <w:sz w:val="18"/>
                <w:lang w:val="en-US"/>
              </w:rPr>
            </w:pPr>
            <w:r>
              <w:rPr>
                <w:sz w:val="18"/>
                <w:lang w:val="en-US"/>
              </w:rPr>
              <w:t>HERAKLEION</w:t>
            </w:r>
          </w:p>
        </w:tc>
        <w:tc>
          <w:tcPr>
            <w:tcW w:w="1093" w:type="dxa"/>
            <w:tcBorders>
              <w:top w:val="single" w:sz="4" w:space="0" w:color="auto"/>
              <w:left w:val="nil"/>
              <w:bottom w:val="nil"/>
              <w:right w:val="nil"/>
            </w:tcBorders>
          </w:tcPr>
          <w:p w:rsidR="00000000" w:rsidRDefault="00000000">
            <w:pPr>
              <w:pStyle w:val="a6"/>
              <w:spacing w:before="10" w:after="10"/>
              <w:rPr>
                <w:sz w:val="18"/>
                <w:lang w:val="en-US"/>
              </w:rPr>
            </w:pPr>
            <w:r>
              <w:rPr>
                <w:sz w:val="18"/>
                <w:lang w:val="en-US"/>
              </w:rPr>
              <w:t>194</w:t>
            </w:r>
          </w:p>
        </w:tc>
        <w:tc>
          <w:tcPr>
            <w:tcW w:w="983" w:type="dxa"/>
            <w:tcBorders>
              <w:top w:val="single" w:sz="4" w:space="0" w:color="auto"/>
              <w:left w:val="nil"/>
              <w:bottom w:val="nil"/>
              <w:right w:val="nil"/>
            </w:tcBorders>
          </w:tcPr>
          <w:p w:rsidR="00000000" w:rsidRDefault="00000000">
            <w:pPr>
              <w:pStyle w:val="a6"/>
              <w:spacing w:before="10" w:after="10"/>
              <w:rPr>
                <w:sz w:val="18"/>
                <w:lang w:val="en-US"/>
              </w:rPr>
            </w:pPr>
            <w:r>
              <w:rPr>
                <w:sz w:val="18"/>
                <w:lang w:val="en-US"/>
              </w:rPr>
              <w:t>58</w:t>
            </w:r>
          </w:p>
        </w:tc>
        <w:tc>
          <w:tcPr>
            <w:tcW w:w="1134" w:type="dxa"/>
            <w:tcBorders>
              <w:top w:val="single" w:sz="4" w:space="0" w:color="auto"/>
              <w:left w:val="nil"/>
              <w:bottom w:val="nil"/>
              <w:right w:val="nil"/>
            </w:tcBorders>
          </w:tcPr>
          <w:p w:rsidR="00000000" w:rsidRDefault="00000000">
            <w:pPr>
              <w:pStyle w:val="a6"/>
              <w:spacing w:before="10" w:after="10"/>
              <w:rPr>
                <w:sz w:val="18"/>
                <w:lang w:val="en-US"/>
              </w:rPr>
            </w:pPr>
            <w:r>
              <w:rPr>
                <w:sz w:val="18"/>
                <w:lang w:val="en-US"/>
              </w:rPr>
              <w:t>615</w:t>
            </w:r>
          </w:p>
        </w:tc>
        <w:tc>
          <w:tcPr>
            <w:tcW w:w="992" w:type="dxa"/>
            <w:tcBorders>
              <w:top w:val="single" w:sz="4" w:space="0" w:color="auto"/>
              <w:left w:val="nil"/>
              <w:bottom w:val="nil"/>
              <w:right w:val="nil"/>
            </w:tcBorders>
          </w:tcPr>
          <w:p w:rsidR="00000000" w:rsidRDefault="00000000">
            <w:pPr>
              <w:pStyle w:val="a6"/>
              <w:spacing w:before="10" w:after="10"/>
              <w:rPr>
                <w:sz w:val="18"/>
                <w:lang w:val="en-US"/>
              </w:rPr>
            </w:pPr>
            <w:r>
              <w:rPr>
                <w:sz w:val="18"/>
                <w:lang w:val="en-US"/>
              </w:rPr>
              <w:t>305</w:t>
            </w:r>
          </w:p>
        </w:tc>
        <w:tc>
          <w:tcPr>
            <w:tcW w:w="985" w:type="dxa"/>
            <w:tcBorders>
              <w:top w:val="single" w:sz="4" w:space="0" w:color="auto"/>
              <w:left w:val="nil"/>
              <w:bottom w:val="nil"/>
              <w:right w:val="nil"/>
            </w:tcBorders>
          </w:tcPr>
          <w:p w:rsidR="00000000" w:rsidRDefault="00000000">
            <w:pPr>
              <w:pStyle w:val="a6"/>
              <w:spacing w:before="10" w:after="10"/>
              <w:rPr>
                <w:sz w:val="18"/>
                <w:lang w:val="en-US"/>
              </w:rPr>
            </w:pPr>
            <w:r>
              <w:rPr>
                <w:sz w:val="18"/>
                <w:lang w:val="en-US"/>
              </w:rPr>
              <w:t>809</w:t>
            </w:r>
          </w:p>
        </w:tc>
        <w:tc>
          <w:tcPr>
            <w:tcW w:w="993" w:type="dxa"/>
            <w:tcBorders>
              <w:top w:val="single" w:sz="4" w:space="0" w:color="auto"/>
              <w:left w:val="nil"/>
              <w:bottom w:val="nil"/>
              <w:right w:val="nil"/>
            </w:tcBorders>
          </w:tcPr>
          <w:p w:rsidR="00000000" w:rsidRDefault="00000000">
            <w:pPr>
              <w:pStyle w:val="a6"/>
              <w:spacing w:before="10" w:after="10"/>
              <w:rPr>
                <w:sz w:val="18"/>
                <w:lang w:val="en-US"/>
              </w:rPr>
            </w:pPr>
            <w:r>
              <w:rPr>
                <w:sz w:val="18"/>
                <w:lang w:val="en-US"/>
              </w:rPr>
              <w:t>363</w:t>
            </w:r>
          </w:p>
        </w:tc>
      </w:tr>
      <w:tr w:rsidR="00000000">
        <w:tblPrEx>
          <w:tblCellMar>
            <w:top w:w="0" w:type="dxa"/>
            <w:bottom w:w="0" w:type="dxa"/>
          </w:tblCellMar>
        </w:tblPrEx>
        <w:trPr>
          <w:cantSplit/>
          <w:jc w:val="center"/>
        </w:trPr>
        <w:tc>
          <w:tcPr>
            <w:tcW w:w="1577" w:type="dxa"/>
            <w:vMerge/>
            <w:tcBorders>
              <w:top w:val="nil"/>
              <w:left w:val="nil"/>
              <w:bottom w:val="nil"/>
              <w:right w:val="nil"/>
            </w:tcBorders>
            <w:vAlign w:val="center"/>
          </w:tcPr>
          <w:p w:rsidR="00000000" w:rsidRDefault="00000000">
            <w:pPr>
              <w:pStyle w:val="a6"/>
              <w:spacing w:before="10" w:after="10"/>
              <w:rPr>
                <w:b/>
                <w:sz w:val="18"/>
                <w:lang w:val="en-US"/>
              </w:rPr>
            </w:pPr>
          </w:p>
        </w:tc>
        <w:tc>
          <w:tcPr>
            <w:tcW w:w="1732" w:type="dxa"/>
            <w:tcBorders>
              <w:top w:val="nil"/>
              <w:left w:val="nil"/>
              <w:bottom w:val="nil"/>
              <w:right w:val="nil"/>
            </w:tcBorders>
            <w:vAlign w:val="center"/>
          </w:tcPr>
          <w:p w:rsidR="00000000" w:rsidRDefault="00000000">
            <w:pPr>
              <w:pStyle w:val="a6"/>
              <w:spacing w:before="10" w:after="10"/>
              <w:rPr>
                <w:sz w:val="18"/>
                <w:lang w:val="en-US"/>
              </w:rPr>
            </w:pPr>
            <w:r>
              <w:rPr>
                <w:sz w:val="18"/>
                <w:lang w:val="en-US"/>
              </w:rPr>
              <w:t>CHANIA</w:t>
            </w:r>
          </w:p>
        </w:tc>
        <w:tc>
          <w:tcPr>
            <w:tcW w:w="1093" w:type="dxa"/>
            <w:tcBorders>
              <w:top w:val="nil"/>
              <w:left w:val="nil"/>
              <w:bottom w:val="nil"/>
              <w:right w:val="nil"/>
            </w:tcBorders>
          </w:tcPr>
          <w:p w:rsidR="00000000" w:rsidRDefault="00000000">
            <w:pPr>
              <w:pStyle w:val="a6"/>
              <w:spacing w:before="10" w:after="10"/>
              <w:rPr>
                <w:sz w:val="18"/>
                <w:lang w:val="en-US"/>
              </w:rPr>
            </w:pPr>
            <w:r>
              <w:rPr>
                <w:sz w:val="18"/>
                <w:lang w:val="en-US"/>
              </w:rPr>
              <w:t>44</w:t>
            </w:r>
          </w:p>
        </w:tc>
        <w:tc>
          <w:tcPr>
            <w:tcW w:w="983" w:type="dxa"/>
            <w:tcBorders>
              <w:top w:val="nil"/>
              <w:left w:val="nil"/>
              <w:bottom w:val="nil"/>
              <w:right w:val="nil"/>
            </w:tcBorders>
          </w:tcPr>
          <w:p w:rsidR="00000000" w:rsidRDefault="00000000">
            <w:pPr>
              <w:pStyle w:val="a6"/>
              <w:spacing w:before="10" w:after="10"/>
              <w:rPr>
                <w:sz w:val="18"/>
                <w:lang w:val="en-US"/>
              </w:rPr>
            </w:pPr>
            <w:r>
              <w:rPr>
                <w:sz w:val="18"/>
                <w:lang w:val="en-US"/>
              </w:rPr>
              <w:t>14</w:t>
            </w:r>
          </w:p>
        </w:tc>
        <w:tc>
          <w:tcPr>
            <w:tcW w:w="1134" w:type="dxa"/>
            <w:tcBorders>
              <w:top w:val="nil"/>
              <w:left w:val="nil"/>
              <w:bottom w:val="nil"/>
              <w:right w:val="nil"/>
            </w:tcBorders>
          </w:tcPr>
          <w:p w:rsidR="00000000" w:rsidRDefault="00000000">
            <w:pPr>
              <w:pStyle w:val="a6"/>
              <w:spacing w:before="10" w:after="10"/>
              <w:rPr>
                <w:sz w:val="18"/>
                <w:lang w:val="en-US"/>
              </w:rPr>
            </w:pPr>
            <w:r>
              <w:rPr>
                <w:sz w:val="18"/>
                <w:lang w:val="en-US"/>
              </w:rPr>
              <w:t>109</w:t>
            </w:r>
          </w:p>
        </w:tc>
        <w:tc>
          <w:tcPr>
            <w:tcW w:w="992" w:type="dxa"/>
            <w:tcBorders>
              <w:top w:val="nil"/>
              <w:left w:val="nil"/>
              <w:bottom w:val="nil"/>
              <w:right w:val="nil"/>
            </w:tcBorders>
          </w:tcPr>
          <w:p w:rsidR="00000000" w:rsidRDefault="00000000">
            <w:pPr>
              <w:pStyle w:val="a6"/>
              <w:spacing w:before="10" w:after="10"/>
              <w:rPr>
                <w:sz w:val="18"/>
                <w:lang w:val="en-US"/>
              </w:rPr>
            </w:pPr>
            <w:r>
              <w:rPr>
                <w:sz w:val="18"/>
                <w:lang w:val="en-US"/>
              </w:rPr>
              <w:t>33</w:t>
            </w:r>
          </w:p>
        </w:tc>
        <w:tc>
          <w:tcPr>
            <w:tcW w:w="985" w:type="dxa"/>
            <w:tcBorders>
              <w:top w:val="nil"/>
              <w:left w:val="nil"/>
              <w:bottom w:val="nil"/>
              <w:right w:val="nil"/>
            </w:tcBorders>
          </w:tcPr>
          <w:p w:rsidR="00000000" w:rsidRDefault="00000000">
            <w:pPr>
              <w:pStyle w:val="a6"/>
              <w:spacing w:before="10" w:after="10"/>
              <w:rPr>
                <w:sz w:val="18"/>
                <w:lang w:val="en-US"/>
              </w:rPr>
            </w:pPr>
            <w:r>
              <w:rPr>
                <w:sz w:val="18"/>
                <w:lang w:val="en-US"/>
              </w:rPr>
              <w:t>153</w:t>
            </w:r>
          </w:p>
        </w:tc>
        <w:tc>
          <w:tcPr>
            <w:tcW w:w="993" w:type="dxa"/>
            <w:tcBorders>
              <w:top w:val="nil"/>
              <w:left w:val="nil"/>
              <w:bottom w:val="nil"/>
              <w:right w:val="nil"/>
            </w:tcBorders>
          </w:tcPr>
          <w:p w:rsidR="00000000" w:rsidRDefault="00000000">
            <w:pPr>
              <w:pStyle w:val="a6"/>
              <w:spacing w:before="10" w:after="10"/>
              <w:rPr>
                <w:sz w:val="18"/>
                <w:lang w:val="en-US"/>
              </w:rPr>
            </w:pPr>
            <w:r>
              <w:rPr>
                <w:sz w:val="18"/>
                <w:lang w:val="en-US"/>
              </w:rPr>
              <w:t>47</w:t>
            </w:r>
          </w:p>
        </w:tc>
      </w:tr>
      <w:tr w:rsidR="00000000">
        <w:tblPrEx>
          <w:tblCellMar>
            <w:top w:w="0" w:type="dxa"/>
            <w:bottom w:w="0" w:type="dxa"/>
          </w:tblCellMar>
        </w:tblPrEx>
        <w:trPr>
          <w:cantSplit/>
          <w:jc w:val="center"/>
        </w:trPr>
        <w:tc>
          <w:tcPr>
            <w:tcW w:w="1577" w:type="dxa"/>
            <w:vMerge/>
            <w:tcBorders>
              <w:top w:val="nil"/>
              <w:left w:val="nil"/>
              <w:bottom w:val="nil"/>
              <w:right w:val="nil"/>
            </w:tcBorders>
            <w:vAlign w:val="center"/>
          </w:tcPr>
          <w:p w:rsidR="00000000" w:rsidRDefault="00000000">
            <w:pPr>
              <w:pStyle w:val="a6"/>
              <w:spacing w:before="10" w:after="10"/>
              <w:rPr>
                <w:b/>
                <w:sz w:val="18"/>
                <w:lang w:val="en-US"/>
              </w:rPr>
            </w:pPr>
          </w:p>
        </w:tc>
        <w:tc>
          <w:tcPr>
            <w:tcW w:w="1732" w:type="dxa"/>
            <w:tcBorders>
              <w:top w:val="nil"/>
              <w:left w:val="nil"/>
              <w:bottom w:val="nil"/>
              <w:right w:val="nil"/>
            </w:tcBorders>
            <w:vAlign w:val="center"/>
          </w:tcPr>
          <w:p w:rsidR="00000000" w:rsidRDefault="00000000">
            <w:pPr>
              <w:pStyle w:val="a6"/>
              <w:spacing w:before="10" w:after="10"/>
              <w:rPr>
                <w:sz w:val="18"/>
                <w:lang w:val="en-US"/>
              </w:rPr>
            </w:pPr>
            <w:r>
              <w:rPr>
                <w:sz w:val="18"/>
                <w:lang w:val="en-US"/>
              </w:rPr>
              <w:t>RETHYMNON</w:t>
            </w:r>
          </w:p>
        </w:tc>
        <w:tc>
          <w:tcPr>
            <w:tcW w:w="1093" w:type="dxa"/>
            <w:tcBorders>
              <w:top w:val="nil"/>
              <w:left w:val="nil"/>
              <w:bottom w:val="nil"/>
              <w:right w:val="nil"/>
            </w:tcBorders>
          </w:tcPr>
          <w:p w:rsidR="00000000" w:rsidRDefault="00000000">
            <w:pPr>
              <w:pStyle w:val="a6"/>
              <w:spacing w:before="10" w:after="10"/>
              <w:rPr>
                <w:sz w:val="18"/>
                <w:lang w:val="en-US"/>
              </w:rPr>
            </w:pPr>
            <w:r>
              <w:rPr>
                <w:sz w:val="18"/>
                <w:lang w:val="en-US"/>
              </w:rPr>
              <w:t>2</w:t>
            </w:r>
          </w:p>
        </w:tc>
        <w:tc>
          <w:tcPr>
            <w:tcW w:w="983" w:type="dxa"/>
            <w:tcBorders>
              <w:top w:val="nil"/>
              <w:left w:val="nil"/>
              <w:bottom w:val="nil"/>
              <w:right w:val="nil"/>
            </w:tcBorders>
          </w:tcPr>
          <w:p w:rsidR="00000000" w:rsidRDefault="00000000">
            <w:pPr>
              <w:pStyle w:val="a6"/>
              <w:spacing w:before="10" w:after="10"/>
              <w:rPr>
                <w:sz w:val="18"/>
                <w:lang w:val="en-US"/>
              </w:rPr>
            </w:pPr>
          </w:p>
        </w:tc>
        <w:tc>
          <w:tcPr>
            <w:tcW w:w="1134" w:type="dxa"/>
            <w:tcBorders>
              <w:top w:val="nil"/>
              <w:left w:val="nil"/>
              <w:bottom w:val="nil"/>
              <w:right w:val="nil"/>
            </w:tcBorders>
          </w:tcPr>
          <w:p w:rsidR="00000000" w:rsidRDefault="00000000">
            <w:pPr>
              <w:pStyle w:val="a6"/>
              <w:spacing w:before="10" w:after="10"/>
              <w:rPr>
                <w:sz w:val="18"/>
                <w:lang w:val="en-US"/>
              </w:rPr>
            </w:pPr>
            <w:r>
              <w:rPr>
                <w:sz w:val="18"/>
                <w:lang w:val="en-US"/>
              </w:rPr>
              <w:t>14</w:t>
            </w:r>
          </w:p>
        </w:tc>
        <w:tc>
          <w:tcPr>
            <w:tcW w:w="992" w:type="dxa"/>
            <w:tcBorders>
              <w:top w:val="nil"/>
              <w:left w:val="nil"/>
              <w:bottom w:val="nil"/>
              <w:right w:val="nil"/>
            </w:tcBorders>
          </w:tcPr>
          <w:p w:rsidR="00000000" w:rsidRDefault="00000000">
            <w:pPr>
              <w:pStyle w:val="a6"/>
              <w:spacing w:before="10" w:after="10"/>
              <w:rPr>
                <w:sz w:val="18"/>
                <w:lang w:val="en-US"/>
              </w:rPr>
            </w:pPr>
            <w:r>
              <w:rPr>
                <w:sz w:val="18"/>
                <w:lang w:val="en-US"/>
              </w:rPr>
              <w:t>4</w:t>
            </w:r>
          </w:p>
        </w:tc>
        <w:tc>
          <w:tcPr>
            <w:tcW w:w="985" w:type="dxa"/>
            <w:tcBorders>
              <w:top w:val="nil"/>
              <w:left w:val="nil"/>
              <w:bottom w:val="nil"/>
              <w:right w:val="nil"/>
            </w:tcBorders>
          </w:tcPr>
          <w:p w:rsidR="00000000" w:rsidRDefault="00000000">
            <w:pPr>
              <w:pStyle w:val="a6"/>
              <w:spacing w:before="10" w:after="10"/>
              <w:rPr>
                <w:sz w:val="18"/>
                <w:lang w:val="en-US"/>
              </w:rPr>
            </w:pPr>
            <w:r>
              <w:rPr>
                <w:sz w:val="18"/>
                <w:lang w:val="en-US"/>
              </w:rPr>
              <w:t>16</w:t>
            </w:r>
          </w:p>
        </w:tc>
        <w:tc>
          <w:tcPr>
            <w:tcW w:w="993" w:type="dxa"/>
            <w:tcBorders>
              <w:top w:val="nil"/>
              <w:left w:val="nil"/>
              <w:bottom w:val="nil"/>
              <w:right w:val="nil"/>
            </w:tcBorders>
          </w:tcPr>
          <w:p w:rsidR="00000000" w:rsidRDefault="00000000">
            <w:pPr>
              <w:pStyle w:val="a6"/>
              <w:spacing w:before="10" w:after="10"/>
              <w:rPr>
                <w:sz w:val="18"/>
                <w:lang w:val="en-US"/>
              </w:rPr>
            </w:pPr>
            <w:r>
              <w:rPr>
                <w:sz w:val="18"/>
                <w:lang w:val="en-US"/>
              </w:rPr>
              <w:t>4</w:t>
            </w:r>
          </w:p>
        </w:tc>
      </w:tr>
      <w:tr w:rsidR="00000000">
        <w:tblPrEx>
          <w:tblCellMar>
            <w:top w:w="0" w:type="dxa"/>
            <w:bottom w:w="0" w:type="dxa"/>
          </w:tblCellMar>
        </w:tblPrEx>
        <w:trPr>
          <w:cantSplit/>
          <w:jc w:val="center"/>
        </w:trPr>
        <w:tc>
          <w:tcPr>
            <w:tcW w:w="1577" w:type="dxa"/>
            <w:vMerge/>
            <w:tcBorders>
              <w:top w:val="nil"/>
              <w:left w:val="nil"/>
              <w:bottom w:val="single" w:sz="4" w:space="0" w:color="auto"/>
              <w:right w:val="nil"/>
            </w:tcBorders>
            <w:vAlign w:val="center"/>
          </w:tcPr>
          <w:p w:rsidR="00000000" w:rsidRDefault="00000000">
            <w:pPr>
              <w:pStyle w:val="a6"/>
              <w:spacing w:before="10" w:after="10"/>
              <w:rPr>
                <w:b/>
                <w:sz w:val="18"/>
                <w:lang w:val="en-US"/>
              </w:rPr>
            </w:pPr>
          </w:p>
        </w:tc>
        <w:tc>
          <w:tcPr>
            <w:tcW w:w="1732" w:type="dxa"/>
            <w:tcBorders>
              <w:top w:val="nil"/>
              <w:left w:val="nil"/>
              <w:bottom w:val="single" w:sz="4" w:space="0" w:color="auto"/>
              <w:right w:val="nil"/>
            </w:tcBorders>
            <w:vAlign w:val="center"/>
          </w:tcPr>
          <w:p w:rsidR="00000000" w:rsidRDefault="00000000">
            <w:pPr>
              <w:pStyle w:val="a6"/>
              <w:spacing w:before="10" w:after="10"/>
              <w:rPr>
                <w:sz w:val="18"/>
                <w:lang w:val="en-US"/>
              </w:rPr>
            </w:pPr>
            <w:r>
              <w:rPr>
                <w:sz w:val="18"/>
                <w:lang w:val="en-US"/>
              </w:rPr>
              <w:t>SITEIA</w:t>
            </w:r>
          </w:p>
        </w:tc>
        <w:tc>
          <w:tcPr>
            <w:tcW w:w="1093" w:type="dxa"/>
            <w:tcBorders>
              <w:top w:val="nil"/>
              <w:left w:val="nil"/>
              <w:bottom w:val="single" w:sz="4" w:space="0" w:color="auto"/>
              <w:right w:val="nil"/>
            </w:tcBorders>
          </w:tcPr>
          <w:p w:rsidR="00000000" w:rsidRDefault="00000000">
            <w:pPr>
              <w:pStyle w:val="a6"/>
              <w:spacing w:before="10" w:after="10"/>
              <w:rPr>
                <w:sz w:val="18"/>
                <w:lang w:val="en-US"/>
              </w:rPr>
            </w:pPr>
          </w:p>
        </w:tc>
        <w:tc>
          <w:tcPr>
            <w:tcW w:w="983" w:type="dxa"/>
            <w:tcBorders>
              <w:top w:val="nil"/>
              <w:left w:val="nil"/>
              <w:bottom w:val="single" w:sz="4" w:space="0" w:color="auto"/>
              <w:right w:val="nil"/>
            </w:tcBorders>
          </w:tcPr>
          <w:p w:rsidR="00000000" w:rsidRDefault="00000000">
            <w:pPr>
              <w:pStyle w:val="a6"/>
              <w:spacing w:before="10" w:after="10"/>
              <w:rPr>
                <w:sz w:val="18"/>
                <w:lang w:val="en-US"/>
              </w:rPr>
            </w:pPr>
          </w:p>
        </w:tc>
        <w:tc>
          <w:tcPr>
            <w:tcW w:w="1134" w:type="dxa"/>
            <w:tcBorders>
              <w:top w:val="nil"/>
              <w:left w:val="nil"/>
              <w:bottom w:val="single" w:sz="4" w:space="0" w:color="auto"/>
              <w:right w:val="nil"/>
            </w:tcBorders>
          </w:tcPr>
          <w:p w:rsidR="00000000" w:rsidRDefault="00000000">
            <w:pPr>
              <w:pStyle w:val="a6"/>
              <w:spacing w:before="10" w:after="10"/>
              <w:rPr>
                <w:sz w:val="18"/>
                <w:lang w:val="en-US"/>
              </w:rPr>
            </w:pPr>
            <w:r>
              <w:rPr>
                <w:sz w:val="18"/>
                <w:lang w:val="en-US"/>
              </w:rPr>
              <w:t>17</w:t>
            </w:r>
          </w:p>
        </w:tc>
        <w:tc>
          <w:tcPr>
            <w:tcW w:w="992" w:type="dxa"/>
            <w:tcBorders>
              <w:top w:val="nil"/>
              <w:left w:val="nil"/>
              <w:bottom w:val="single" w:sz="4" w:space="0" w:color="auto"/>
              <w:right w:val="nil"/>
            </w:tcBorders>
          </w:tcPr>
          <w:p w:rsidR="00000000" w:rsidRDefault="00000000">
            <w:pPr>
              <w:pStyle w:val="a6"/>
              <w:spacing w:before="10" w:after="10"/>
              <w:rPr>
                <w:sz w:val="18"/>
                <w:lang w:val="en-US"/>
              </w:rPr>
            </w:pPr>
            <w:r>
              <w:rPr>
                <w:sz w:val="18"/>
                <w:lang w:val="en-US"/>
              </w:rPr>
              <w:t>10</w:t>
            </w:r>
          </w:p>
        </w:tc>
        <w:tc>
          <w:tcPr>
            <w:tcW w:w="985" w:type="dxa"/>
            <w:tcBorders>
              <w:top w:val="nil"/>
              <w:left w:val="nil"/>
              <w:bottom w:val="single" w:sz="4" w:space="0" w:color="auto"/>
              <w:right w:val="nil"/>
            </w:tcBorders>
          </w:tcPr>
          <w:p w:rsidR="00000000" w:rsidRDefault="00000000">
            <w:pPr>
              <w:pStyle w:val="a6"/>
              <w:spacing w:before="10" w:after="10"/>
              <w:rPr>
                <w:sz w:val="18"/>
                <w:lang w:val="en-US"/>
              </w:rPr>
            </w:pPr>
            <w:r>
              <w:rPr>
                <w:sz w:val="18"/>
                <w:lang w:val="en-US"/>
              </w:rPr>
              <w:t>17</w:t>
            </w:r>
          </w:p>
        </w:tc>
        <w:tc>
          <w:tcPr>
            <w:tcW w:w="993" w:type="dxa"/>
            <w:tcBorders>
              <w:top w:val="nil"/>
              <w:left w:val="nil"/>
              <w:bottom w:val="single" w:sz="4" w:space="0" w:color="auto"/>
              <w:right w:val="nil"/>
            </w:tcBorders>
          </w:tcPr>
          <w:p w:rsidR="00000000" w:rsidRDefault="00000000">
            <w:pPr>
              <w:pStyle w:val="a6"/>
              <w:spacing w:before="10" w:after="10"/>
              <w:rPr>
                <w:sz w:val="18"/>
                <w:lang w:val="en-US"/>
              </w:rPr>
            </w:pPr>
            <w:r>
              <w:rPr>
                <w:sz w:val="18"/>
                <w:lang w:val="en-US"/>
              </w:rPr>
              <w:t>10</w:t>
            </w:r>
          </w:p>
        </w:tc>
      </w:tr>
      <w:tr w:rsidR="00000000">
        <w:tblPrEx>
          <w:tblCellMar>
            <w:top w:w="0" w:type="dxa"/>
            <w:bottom w:w="0" w:type="dxa"/>
          </w:tblCellMar>
        </w:tblPrEx>
        <w:trPr>
          <w:cantSplit/>
          <w:jc w:val="center"/>
        </w:trPr>
        <w:tc>
          <w:tcPr>
            <w:tcW w:w="1577" w:type="dxa"/>
            <w:tcBorders>
              <w:top w:val="single" w:sz="4" w:space="0" w:color="auto"/>
              <w:left w:val="nil"/>
              <w:bottom w:val="nil"/>
              <w:right w:val="nil"/>
            </w:tcBorders>
            <w:vAlign w:val="center"/>
          </w:tcPr>
          <w:p w:rsidR="00000000" w:rsidRDefault="00000000">
            <w:pPr>
              <w:pStyle w:val="a6"/>
              <w:spacing w:before="10" w:after="10"/>
              <w:rPr>
                <w:b/>
                <w:sz w:val="18"/>
                <w:lang w:val="en-US"/>
              </w:rPr>
            </w:pPr>
            <w:r>
              <w:rPr>
                <w:b/>
                <w:sz w:val="18"/>
                <w:lang w:val="en-US"/>
              </w:rPr>
              <w:t>THESSALONIKI</w:t>
            </w:r>
          </w:p>
        </w:tc>
        <w:tc>
          <w:tcPr>
            <w:tcW w:w="1732" w:type="dxa"/>
            <w:tcBorders>
              <w:top w:val="single" w:sz="4" w:space="0" w:color="auto"/>
              <w:left w:val="nil"/>
              <w:bottom w:val="nil"/>
              <w:right w:val="nil"/>
            </w:tcBorders>
            <w:vAlign w:val="center"/>
          </w:tcPr>
          <w:p w:rsidR="00000000" w:rsidRDefault="00000000">
            <w:pPr>
              <w:pStyle w:val="a6"/>
              <w:spacing w:before="10" w:after="10"/>
              <w:rPr>
                <w:sz w:val="18"/>
                <w:lang w:val="en-US"/>
              </w:rPr>
            </w:pPr>
            <w:r>
              <w:rPr>
                <w:sz w:val="18"/>
                <w:lang w:val="en-US"/>
              </w:rPr>
              <w:t>THESSALONIKI</w:t>
            </w:r>
          </w:p>
        </w:tc>
        <w:tc>
          <w:tcPr>
            <w:tcW w:w="1093" w:type="dxa"/>
            <w:tcBorders>
              <w:top w:val="single" w:sz="4" w:space="0" w:color="auto"/>
              <w:left w:val="nil"/>
              <w:bottom w:val="nil"/>
              <w:right w:val="nil"/>
            </w:tcBorders>
          </w:tcPr>
          <w:p w:rsidR="00000000" w:rsidRDefault="00000000">
            <w:pPr>
              <w:pStyle w:val="a6"/>
              <w:spacing w:before="10" w:after="10"/>
              <w:rPr>
                <w:sz w:val="18"/>
                <w:lang w:val="en-US"/>
              </w:rPr>
            </w:pPr>
            <w:r>
              <w:rPr>
                <w:sz w:val="18"/>
                <w:lang w:val="en-US"/>
              </w:rPr>
              <w:t>418</w:t>
            </w:r>
          </w:p>
        </w:tc>
        <w:tc>
          <w:tcPr>
            <w:tcW w:w="983" w:type="dxa"/>
            <w:tcBorders>
              <w:top w:val="single" w:sz="4" w:space="0" w:color="auto"/>
              <w:left w:val="nil"/>
              <w:bottom w:val="nil"/>
              <w:right w:val="nil"/>
            </w:tcBorders>
          </w:tcPr>
          <w:p w:rsidR="00000000" w:rsidRDefault="00000000">
            <w:pPr>
              <w:pStyle w:val="a6"/>
              <w:spacing w:before="10" w:after="10"/>
              <w:rPr>
                <w:sz w:val="18"/>
                <w:lang w:val="en-US"/>
              </w:rPr>
            </w:pPr>
            <w:r>
              <w:rPr>
                <w:sz w:val="18"/>
                <w:lang w:val="en-US"/>
              </w:rPr>
              <w:t>150</w:t>
            </w:r>
          </w:p>
        </w:tc>
        <w:tc>
          <w:tcPr>
            <w:tcW w:w="1134" w:type="dxa"/>
            <w:tcBorders>
              <w:top w:val="single" w:sz="4" w:space="0" w:color="auto"/>
              <w:left w:val="nil"/>
              <w:bottom w:val="nil"/>
              <w:right w:val="nil"/>
            </w:tcBorders>
          </w:tcPr>
          <w:p w:rsidR="00000000" w:rsidRDefault="00000000">
            <w:pPr>
              <w:pStyle w:val="a6"/>
              <w:spacing w:before="10" w:after="10"/>
              <w:rPr>
                <w:sz w:val="18"/>
                <w:lang w:val="en-US"/>
              </w:rPr>
            </w:pPr>
            <w:r>
              <w:rPr>
                <w:sz w:val="18"/>
                <w:lang w:val="en-US"/>
              </w:rPr>
              <w:t>726</w:t>
            </w:r>
          </w:p>
        </w:tc>
        <w:tc>
          <w:tcPr>
            <w:tcW w:w="992" w:type="dxa"/>
            <w:tcBorders>
              <w:top w:val="single" w:sz="4" w:space="0" w:color="auto"/>
              <w:left w:val="nil"/>
              <w:bottom w:val="nil"/>
              <w:right w:val="nil"/>
            </w:tcBorders>
          </w:tcPr>
          <w:p w:rsidR="00000000" w:rsidRDefault="00000000">
            <w:pPr>
              <w:pStyle w:val="a6"/>
              <w:spacing w:before="10" w:after="10"/>
              <w:rPr>
                <w:sz w:val="18"/>
                <w:lang w:val="en-US"/>
              </w:rPr>
            </w:pPr>
            <w:r>
              <w:rPr>
                <w:sz w:val="18"/>
                <w:lang w:val="en-US"/>
              </w:rPr>
              <w:t>381</w:t>
            </w:r>
          </w:p>
        </w:tc>
        <w:tc>
          <w:tcPr>
            <w:tcW w:w="985" w:type="dxa"/>
            <w:tcBorders>
              <w:top w:val="single" w:sz="4" w:space="0" w:color="auto"/>
              <w:left w:val="nil"/>
              <w:bottom w:val="nil"/>
              <w:right w:val="nil"/>
            </w:tcBorders>
          </w:tcPr>
          <w:p w:rsidR="00000000" w:rsidRDefault="00000000">
            <w:pPr>
              <w:pStyle w:val="a6"/>
              <w:spacing w:before="10" w:after="10"/>
              <w:rPr>
                <w:sz w:val="18"/>
                <w:lang w:val="en-US"/>
              </w:rPr>
            </w:pPr>
            <w:r>
              <w:rPr>
                <w:sz w:val="18"/>
                <w:lang w:val="en-US"/>
              </w:rPr>
              <w:t>1144</w:t>
            </w:r>
          </w:p>
        </w:tc>
        <w:tc>
          <w:tcPr>
            <w:tcW w:w="993" w:type="dxa"/>
            <w:tcBorders>
              <w:top w:val="single" w:sz="4" w:space="0" w:color="auto"/>
              <w:left w:val="nil"/>
              <w:bottom w:val="nil"/>
              <w:right w:val="nil"/>
            </w:tcBorders>
          </w:tcPr>
          <w:p w:rsidR="00000000" w:rsidRDefault="00000000">
            <w:pPr>
              <w:pStyle w:val="a6"/>
              <w:spacing w:before="10" w:after="10"/>
              <w:rPr>
                <w:sz w:val="18"/>
                <w:lang w:val="en-US"/>
              </w:rPr>
            </w:pPr>
            <w:r>
              <w:rPr>
                <w:sz w:val="18"/>
                <w:lang w:val="en-US"/>
              </w:rPr>
              <w:t>531</w:t>
            </w:r>
          </w:p>
        </w:tc>
      </w:tr>
      <w:tr w:rsidR="00000000">
        <w:tblPrEx>
          <w:tblCellMar>
            <w:top w:w="0" w:type="dxa"/>
            <w:bottom w:w="0" w:type="dxa"/>
          </w:tblCellMar>
        </w:tblPrEx>
        <w:trPr>
          <w:cantSplit/>
          <w:jc w:val="center"/>
        </w:trPr>
        <w:tc>
          <w:tcPr>
            <w:tcW w:w="1577" w:type="dxa"/>
            <w:vMerge w:val="restart"/>
            <w:tcBorders>
              <w:top w:val="nil"/>
              <w:left w:val="nil"/>
              <w:bottom w:val="nil"/>
              <w:right w:val="nil"/>
            </w:tcBorders>
            <w:vAlign w:val="center"/>
          </w:tcPr>
          <w:p w:rsidR="00000000" w:rsidRDefault="00000000">
            <w:pPr>
              <w:pStyle w:val="a6"/>
              <w:spacing w:before="10" w:after="10"/>
              <w:rPr>
                <w:b/>
                <w:sz w:val="18"/>
                <w:lang w:val="en-US"/>
              </w:rPr>
            </w:pPr>
            <w:r>
              <w:rPr>
                <w:b/>
                <w:sz w:val="18"/>
                <w:lang w:val="en-US"/>
              </w:rPr>
              <w:t>KILKIS</w:t>
            </w:r>
          </w:p>
        </w:tc>
        <w:tc>
          <w:tcPr>
            <w:tcW w:w="1732" w:type="dxa"/>
            <w:tcBorders>
              <w:top w:val="nil"/>
              <w:left w:val="nil"/>
              <w:bottom w:val="nil"/>
              <w:right w:val="nil"/>
            </w:tcBorders>
            <w:vAlign w:val="center"/>
          </w:tcPr>
          <w:p w:rsidR="00000000" w:rsidRDefault="00000000">
            <w:pPr>
              <w:pStyle w:val="a6"/>
              <w:spacing w:before="10" w:after="10"/>
              <w:rPr>
                <w:sz w:val="18"/>
                <w:lang w:val="en-US"/>
              </w:rPr>
            </w:pPr>
            <w:r>
              <w:rPr>
                <w:sz w:val="18"/>
                <w:lang w:val="en-US"/>
              </w:rPr>
              <w:t>KILKIS</w:t>
            </w:r>
          </w:p>
        </w:tc>
        <w:tc>
          <w:tcPr>
            <w:tcW w:w="1093" w:type="dxa"/>
            <w:tcBorders>
              <w:top w:val="nil"/>
              <w:left w:val="nil"/>
              <w:bottom w:val="nil"/>
              <w:right w:val="nil"/>
            </w:tcBorders>
          </w:tcPr>
          <w:p w:rsidR="00000000" w:rsidRDefault="00000000">
            <w:pPr>
              <w:pStyle w:val="a6"/>
              <w:spacing w:before="10" w:after="10"/>
              <w:rPr>
                <w:sz w:val="18"/>
                <w:lang w:val="en-US"/>
              </w:rPr>
            </w:pPr>
            <w:r>
              <w:rPr>
                <w:sz w:val="18"/>
                <w:lang w:val="en-US"/>
              </w:rPr>
              <w:t>4</w:t>
            </w:r>
          </w:p>
        </w:tc>
        <w:tc>
          <w:tcPr>
            <w:tcW w:w="983" w:type="dxa"/>
            <w:tcBorders>
              <w:top w:val="nil"/>
              <w:left w:val="nil"/>
              <w:bottom w:val="nil"/>
              <w:right w:val="nil"/>
            </w:tcBorders>
          </w:tcPr>
          <w:p w:rsidR="00000000" w:rsidRDefault="00000000">
            <w:pPr>
              <w:pStyle w:val="a6"/>
              <w:spacing w:before="10" w:after="10"/>
              <w:rPr>
                <w:sz w:val="18"/>
                <w:lang w:val="en-US"/>
              </w:rPr>
            </w:pPr>
            <w:r>
              <w:rPr>
                <w:sz w:val="18"/>
                <w:lang w:val="en-US"/>
              </w:rPr>
              <w:t>2</w:t>
            </w:r>
          </w:p>
        </w:tc>
        <w:tc>
          <w:tcPr>
            <w:tcW w:w="1134" w:type="dxa"/>
            <w:tcBorders>
              <w:top w:val="nil"/>
              <w:left w:val="nil"/>
              <w:bottom w:val="nil"/>
              <w:right w:val="nil"/>
            </w:tcBorders>
          </w:tcPr>
          <w:p w:rsidR="00000000" w:rsidRDefault="00000000">
            <w:pPr>
              <w:pStyle w:val="a6"/>
              <w:spacing w:before="10" w:after="10"/>
              <w:rPr>
                <w:sz w:val="18"/>
                <w:lang w:val="en-US"/>
              </w:rPr>
            </w:pPr>
            <w:r>
              <w:rPr>
                <w:sz w:val="18"/>
                <w:lang w:val="en-US"/>
              </w:rPr>
              <w:t>19</w:t>
            </w:r>
          </w:p>
        </w:tc>
        <w:tc>
          <w:tcPr>
            <w:tcW w:w="992" w:type="dxa"/>
            <w:tcBorders>
              <w:top w:val="nil"/>
              <w:left w:val="nil"/>
              <w:bottom w:val="nil"/>
              <w:right w:val="nil"/>
            </w:tcBorders>
          </w:tcPr>
          <w:p w:rsidR="00000000" w:rsidRDefault="00000000">
            <w:pPr>
              <w:pStyle w:val="a6"/>
              <w:spacing w:before="10" w:after="10"/>
              <w:rPr>
                <w:sz w:val="18"/>
                <w:lang w:val="en-US"/>
              </w:rPr>
            </w:pPr>
            <w:r>
              <w:rPr>
                <w:sz w:val="18"/>
                <w:lang w:val="en-US"/>
              </w:rPr>
              <w:t>8</w:t>
            </w:r>
          </w:p>
        </w:tc>
        <w:tc>
          <w:tcPr>
            <w:tcW w:w="985" w:type="dxa"/>
            <w:tcBorders>
              <w:top w:val="nil"/>
              <w:left w:val="nil"/>
              <w:bottom w:val="nil"/>
              <w:right w:val="nil"/>
            </w:tcBorders>
          </w:tcPr>
          <w:p w:rsidR="00000000" w:rsidRDefault="00000000">
            <w:pPr>
              <w:pStyle w:val="a6"/>
              <w:spacing w:before="10" w:after="10"/>
              <w:rPr>
                <w:sz w:val="18"/>
                <w:lang w:val="en-US"/>
              </w:rPr>
            </w:pPr>
            <w:r>
              <w:rPr>
                <w:sz w:val="18"/>
                <w:lang w:val="en-US"/>
              </w:rPr>
              <w:t>23</w:t>
            </w:r>
          </w:p>
        </w:tc>
        <w:tc>
          <w:tcPr>
            <w:tcW w:w="993" w:type="dxa"/>
            <w:tcBorders>
              <w:top w:val="nil"/>
              <w:left w:val="nil"/>
              <w:bottom w:val="nil"/>
              <w:right w:val="nil"/>
            </w:tcBorders>
          </w:tcPr>
          <w:p w:rsidR="00000000" w:rsidRDefault="00000000">
            <w:pPr>
              <w:pStyle w:val="a6"/>
              <w:spacing w:before="10" w:after="10"/>
              <w:rPr>
                <w:sz w:val="18"/>
                <w:lang w:val="en-US"/>
              </w:rPr>
            </w:pPr>
            <w:r>
              <w:rPr>
                <w:sz w:val="18"/>
                <w:lang w:val="en-US"/>
              </w:rPr>
              <w:t>10</w:t>
            </w:r>
          </w:p>
        </w:tc>
      </w:tr>
      <w:tr w:rsidR="00000000">
        <w:tblPrEx>
          <w:tblCellMar>
            <w:top w:w="0" w:type="dxa"/>
            <w:bottom w:w="0" w:type="dxa"/>
          </w:tblCellMar>
        </w:tblPrEx>
        <w:trPr>
          <w:cantSplit/>
          <w:jc w:val="center"/>
        </w:trPr>
        <w:tc>
          <w:tcPr>
            <w:tcW w:w="1577" w:type="dxa"/>
            <w:vMerge/>
            <w:tcBorders>
              <w:top w:val="nil"/>
              <w:left w:val="nil"/>
              <w:bottom w:val="single" w:sz="4" w:space="0" w:color="auto"/>
              <w:right w:val="nil"/>
            </w:tcBorders>
            <w:vAlign w:val="center"/>
          </w:tcPr>
          <w:p w:rsidR="00000000" w:rsidRDefault="00000000">
            <w:pPr>
              <w:pStyle w:val="a6"/>
              <w:spacing w:before="10" w:after="10"/>
              <w:rPr>
                <w:b/>
                <w:sz w:val="18"/>
                <w:lang w:val="en-US"/>
              </w:rPr>
            </w:pPr>
          </w:p>
        </w:tc>
        <w:tc>
          <w:tcPr>
            <w:tcW w:w="1732" w:type="dxa"/>
            <w:tcBorders>
              <w:top w:val="nil"/>
              <w:left w:val="nil"/>
              <w:bottom w:val="single" w:sz="4" w:space="0" w:color="auto"/>
              <w:right w:val="nil"/>
            </w:tcBorders>
            <w:vAlign w:val="center"/>
          </w:tcPr>
          <w:p w:rsidR="00000000" w:rsidRDefault="00000000">
            <w:pPr>
              <w:pStyle w:val="a6"/>
              <w:spacing w:before="10" w:after="10"/>
              <w:rPr>
                <w:sz w:val="18"/>
                <w:lang w:val="en-US"/>
              </w:rPr>
            </w:pPr>
            <w:r>
              <w:rPr>
                <w:sz w:val="18"/>
                <w:lang w:val="en-US"/>
              </w:rPr>
              <w:t>MOUDANIA</w:t>
            </w:r>
          </w:p>
        </w:tc>
        <w:tc>
          <w:tcPr>
            <w:tcW w:w="1093" w:type="dxa"/>
            <w:tcBorders>
              <w:top w:val="nil"/>
              <w:left w:val="nil"/>
              <w:bottom w:val="single" w:sz="4" w:space="0" w:color="auto"/>
              <w:right w:val="nil"/>
            </w:tcBorders>
          </w:tcPr>
          <w:p w:rsidR="00000000" w:rsidRDefault="00000000">
            <w:pPr>
              <w:pStyle w:val="a6"/>
              <w:spacing w:before="10" w:after="10"/>
              <w:rPr>
                <w:sz w:val="18"/>
                <w:lang w:val="en-US"/>
              </w:rPr>
            </w:pPr>
          </w:p>
        </w:tc>
        <w:tc>
          <w:tcPr>
            <w:tcW w:w="983" w:type="dxa"/>
            <w:tcBorders>
              <w:top w:val="nil"/>
              <w:left w:val="nil"/>
              <w:bottom w:val="single" w:sz="4" w:space="0" w:color="auto"/>
              <w:right w:val="nil"/>
            </w:tcBorders>
          </w:tcPr>
          <w:p w:rsidR="00000000" w:rsidRDefault="00000000">
            <w:pPr>
              <w:pStyle w:val="a6"/>
              <w:spacing w:before="10" w:after="10"/>
              <w:rPr>
                <w:sz w:val="18"/>
                <w:lang w:val="en-US"/>
              </w:rPr>
            </w:pPr>
          </w:p>
        </w:tc>
        <w:tc>
          <w:tcPr>
            <w:tcW w:w="1134" w:type="dxa"/>
            <w:tcBorders>
              <w:top w:val="nil"/>
              <w:left w:val="nil"/>
              <w:bottom w:val="single" w:sz="4" w:space="0" w:color="auto"/>
              <w:right w:val="nil"/>
            </w:tcBorders>
          </w:tcPr>
          <w:p w:rsidR="00000000" w:rsidRDefault="00000000">
            <w:pPr>
              <w:pStyle w:val="a6"/>
              <w:spacing w:before="10" w:after="10"/>
              <w:rPr>
                <w:sz w:val="18"/>
                <w:lang w:val="en-US"/>
              </w:rPr>
            </w:pPr>
            <w:r>
              <w:rPr>
                <w:sz w:val="18"/>
                <w:lang w:val="en-US"/>
              </w:rPr>
              <w:t>14</w:t>
            </w:r>
          </w:p>
        </w:tc>
        <w:tc>
          <w:tcPr>
            <w:tcW w:w="992" w:type="dxa"/>
            <w:tcBorders>
              <w:top w:val="nil"/>
              <w:left w:val="nil"/>
              <w:bottom w:val="single" w:sz="4" w:space="0" w:color="auto"/>
              <w:right w:val="nil"/>
            </w:tcBorders>
          </w:tcPr>
          <w:p w:rsidR="00000000" w:rsidRDefault="00000000">
            <w:pPr>
              <w:pStyle w:val="a6"/>
              <w:spacing w:before="10" w:after="10"/>
              <w:rPr>
                <w:sz w:val="18"/>
                <w:lang w:val="en-US"/>
              </w:rPr>
            </w:pPr>
            <w:r>
              <w:rPr>
                <w:sz w:val="18"/>
                <w:lang w:val="en-US"/>
              </w:rPr>
              <w:t>6</w:t>
            </w:r>
          </w:p>
        </w:tc>
        <w:tc>
          <w:tcPr>
            <w:tcW w:w="985" w:type="dxa"/>
            <w:tcBorders>
              <w:top w:val="nil"/>
              <w:left w:val="nil"/>
              <w:bottom w:val="single" w:sz="4" w:space="0" w:color="auto"/>
              <w:right w:val="nil"/>
            </w:tcBorders>
          </w:tcPr>
          <w:p w:rsidR="00000000" w:rsidRDefault="00000000">
            <w:pPr>
              <w:pStyle w:val="a6"/>
              <w:spacing w:before="10" w:after="10"/>
              <w:rPr>
                <w:sz w:val="18"/>
                <w:lang w:val="en-US"/>
              </w:rPr>
            </w:pPr>
            <w:r>
              <w:rPr>
                <w:sz w:val="18"/>
                <w:lang w:val="en-US"/>
              </w:rPr>
              <w:t>14</w:t>
            </w:r>
          </w:p>
        </w:tc>
        <w:tc>
          <w:tcPr>
            <w:tcW w:w="993" w:type="dxa"/>
            <w:tcBorders>
              <w:top w:val="nil"/>
              <w:left w:val="nil"/>
              <w:bottom w:val="single" w:sz="4" w:space="0" w:color="auto"/>
              <w:right w:val="nil"/>
            </w:tcBorders>
          </w:tcPr>
          <w:p w:rsidR="00000000" w:rsidRDefault="00000000">
            <w:pPr>
              <w:pStyle w:val="a6"/>
              <w:spacing w:before="10" w:after="10"/>
              <w:rPr>
                <w:sz w:val="18"/>
                <w:lang w:val="en-US"/>
              </w:rPr>
            </w:pPr>
            <w:r>
              <w:rPr>
                <w:sz w:val="18"/>
                <w:lang w:val="en-US"/>
              </w:rPr>
              <w:t>6</w:t>
            </w:r>
          </w:p>
        </w:tc>
      </w:tr>
      <w:tr w:rsidR="00000000">
        <w:tblPrEx>
          <w:tblCellMar>
            <w:top w:w="0" w:type="dxa"/>
            <w:bottom w:w="0" w:type="dxa"/>
          </w:tblCellMar>
        </w:tblPrEx>
        <w:trPr>
          <w:cantSplit/>
          <w:jc w:val="center"/>
        </w:trPr>
        <w:tc>
          <w:tcPr>
            <w:tcW w:w="1577" w:type="dxa"/>
            <w:vMerge w:val="restart"/>
            <w:tcBorders>
              <w:top w:val="single" w:sz="4" w:space="0" w:color="auto"/>
              <w:left w:val="nil"/>
              <w:bottom w:val="nil"/>
              <w:right w:val="nil"/>
            </w:tcBorders>
            <w:vAlign w:val="center"/>
          </w:tcPr>
          <w:p w:rsidR="00000000" w:rsidRDefault="00000000">
            <w:pPr>
              <w:pStyle w:val="a6"/>
              <w:spacing w:before="10" w:after="10"/>
              <w:rPr>
                <w:b/>
                <w:sz w:val="18"/>
                <w:lang w:val="en-US"/>
              </w:rPr>
            </w:pPr>
            <w:r>
              <w:rPr>
                <w:b/>
                <w:sz w:val="18"/>
                <w:lang w:val="en-US"/>
              </w:rPr>
              <w:t>KAVALA</w:t>
            </w:r>
          </w:p>
        </w:tc>
        <w:tc>
          <w:tcPr>
            <w:tcW w:w="1732" w:type="dxa"/>
            <w:tcBorders>
              <w:top w:val="single" w:sz="4" w:space="0" w:color="auto"/>
              <w:left w:val="nil"/>
              <w:bottom w:val="nil"/>
              <w:right w:val="nil"/>
            </w:tcBorders>
            <w:vAlign w:val="center"/>
          </w:tcPr>
          <w:p w:rsidR="00000000" w:rsidRDefault="00000000">
            <w:pPr>
              <w:pStyle w:val="a6"/>
              <w:spacing w:before="10" w:after="10"/>
              <w:rPr>
                <w:sz w:val="18"/>
                <w:lang w:val="en-US"/>
              </w:rPr>
            </w:pPr>
            <w:r>
              <w:rPr>
                <w:sz w:val="18"/>
                <w:lang w:val="en-US"/>
              </w:rPr>
              <w:t>KAVALA</w:t>
            </w:r>
          </w:p>
        </w:tc>
        <w:tc>
          <w:tcPr>
            <w:tcW w:w="1093" w:type="dxa"/>
            <w:tcBorders>
              <w:top w:val="single" w:sz="4" w:space="0" w:color="auto"/>
              <w:left w:val="nil"/>
              <w:bottom w:val="nil"/>
              <w:right w:val="nil"/>
            </w:tcBorders>
          </w:tcPr>
          <w:p w:rsidR="00000000" w:rsidRDefault="00000000">
            <w:pPr>
              <w:pStyle w:val="a6"/>
              <w:spacing w:before="10" w:after="10"/>
              <w:rPr>
                <w:sz w:val="18"/>
                <w:lang w:val="en-US"/>
              </w:rPr>
            </w:pPr>
            <w:r>
              <w:rPr>
                <w:sz w:val="18"/>
                <w:lang w:val="en-US"/>
              </w:rPr>
              <w:t>75</w:t>
            </w:r>
          </w:p>
        </w:tc>
        <w:tc>
          <w:tcPr>
            <w:tcW w:w="983" w:type="dxa"/>
            <w:tcBorders>
              <w:top w:val="single" w:sz="4" w:space="0" w:color="auto"/>
              <w:left w:val="nil"/>
              <w:bottom w:val="nil"/>
              <w:right w:val="nil"/>
            </w:tcBorders>
          </w:tcPr>
          <w:p w:rsidR="00000000" w:rsidRDefault="00000000">
            <w:pPr>
              <w:pStyle w:val="a6"/>
              <w:spacing w:before="10" w:after="10"/>
              <w:rPr>
                <w:sz w:val="18"/>
                <w:lang w:val="en-US"/>
              </w:rPr>
            </w:pPr>
            <w:r>
              <w:rPr>
                <w:sz w:val="18"/>
                <w:lang w:val="en-US"/>
              </w:rPr>
              <w:t>12</w:t>
            </w:r>
          </w:p>
        </w:tc>
        <w:tc>
          <w:tcPr>
            <w:tcW w:w="1134" w:type="dxa"/>
            <w:tcBorders>
              <w:top w:val="single" w:sz="4" w:space="0" w:color="auto"/>
              <w:left w:val="nil"/>
              <w:bottom w:val="nil"/>
              <w:right w:val="nil"/>
            </w:tcBorders>
          </w:tcPr>
          <w:p w:rsidR="00000000" w:rsidRDefault="00000000">
            <w:pPr>
              <w:pStyle w:val="a6"/>
              <w:spacing w:before="10" w:after="10"/>
              <w:rPr>
                <w:sz w:val="18"/>
                <w:lang w:val="en-US"/>
              </w:rPr>
            </w:pPr>
            <w:r>
              <w:rPr>
                <w:sz w:val="18"/>
                <w:lang w:val="en-US"/>
              </w:rPr>
              <w:t>270</w:t>
            </w:r>
          </w:p>
        </w:tc>
        <w:tc>
          <w:tcPr>
            <w:tcW w:w="992" w:type="dxa"/>
            <w:tcBorders>
              <w:top w:val="single" w:sz="4" w:space="0" w:color="auto"/>
              <w:left w:val="nil"/>
              <w:bottom w:val="nil"/>
              <w:right w:val="nil"/>
            </w:tcBorders>
          </w:tcPr>
          <w:p w:rsidR="00000000" w:rsidRDefault="00000000">
            <w:pPr>
              <w:pStyle w:val="a6"/>
              <w:spacing w:before="10" w:after="10"/>
              <w:rPr>
                <w:sz w:val="18"/>
                <w:lang w:val="en-US"/>
              </w:rPr>
            </w:pPr>
            <w:r>
              <w:rPr>
                <w:sz w:val="18"/>
                <w:lang w:val="en-US"/>
              </w:rPr>
              <w:t>65</w:t>
            </w:r>
          </w:p>
        </w:tc>
        <w:tc>
          <w:tcPr>
            <w:tcW w:w="985" w:type="dxa"/>
            <w:tcBorders>
              <w:top w:val="single" w:sz="4" w:space="0" w:color="auto"/>
              <w:left w:val="nil"/>
              <w:bottom w:val="nil"/>
              <w:right w:val="nil"/>
            </w:tcBorders>
          </w:tcPr>
          <w:p w:rsidR="00000000" w:rsidRDefault="00000000">
            <w:pPr>
              <w:pStyle w:val="a6"/>
              <w:spacing w:before="10" w:after="10"/>
              <w:rPr>
                <w:sz w:val="18"/>
                <w:lang w:val="en-US"/>
              </w:rPr>
            </w:pPr>
            <w:r>
              <w:rPr>
                <w:sz w:val="18"/>
                <w:lang w:val="en-US"/>
              </w:rPr>
              <w:t>345</w:t>
            </w:r>
          </w:p>
        </w:tc>
        <w:tc>
          <w:tcPr>
            <w:tcW w:w="993" w:type="dxa"/>
            <w:tcBorders>
              <w:top w:val="single" w:sz="4" w:space="0" w:color="auto"/>
              <w:left w:val="nil"/>
              <w:bottom w:val="nil"/>
              <w:right w:val="nil"/>
            </w:tcBorders>
          </w:tcPr>
          <w:p w:rsidR="00000000" w:rsidRDefault="00000000">
            <w:pPr>
              <w:pStyle w:val="a6"/>
              <w:spacing w:before="10" w:after="10"/>
              <w:rPr>
                <w:sz w:val="18"/>
                <w:lang w:val="en-US"/>
              </w:rPr>
            </w:pPr>
            <w:r>
              <w:rPr>
                <w:sz w:val="18"/>
                <w:lang w:val="en-US"/>
              </w:rPr>
              <w:t>77</w:t>
            </w:r>
          </w:p>
        </w:tc>
      </w:tr>
      <w:tr w:rsidR="00000000">
        <w:tblPrEx>
          <w:tblCellMar>
            <w:top w:w="0" w:type="dxa"/>
            <w:bottom w:w="0" w:type="dxa"/>
          </w:tblCellMar>
        </w:tblPrEx>
        <w:trPr>
          <w:cantSplit/>
          <w:jc w:val="center"/>
        </w:trPr>
        <w:tc>
          <w:tcPr>
            <w:tcW w:w="1577" w:type="dxa"/>
            <w:vMerge/>
            <w:tcBorders>
              <w:top w:val="nil"/>
              <w:left w:val="nil"/>
              <w:bottom w:val="single" w:sz="4" w:space="0" w:color="auto"/>
              <w:right w:val="nil"/>
            </w:tcBorders>
            <w:vAlign w:val="center"/>
          </w:tcPr>
          <w:p w:rsidR="00000000" w:rsidRDefault="00000000">
            <w:pPr>
              <w:pStyle w:val="a6"/>
              <w:spacing w:before="10" w:after="10"/>
              <w:rPr>
                <w:b/>
                <w:sz w:val="18"/>
                <w:lang w:val="en-US"/>
              </w:rPr>
            </w:pPr>
          </w:p>
        </w:tc>
        <w:tc>
          <w:tcPr>
            <w:tcW w:w="1732" w:type="dxa"/>
            <w:tcBorders>
              <w:top w:val="nil"/>
              <w:left w:val="nil"/>
              <w:bottom w:val="single" w:sz="4" w:space="0" w:color="auto"/>
              <w:right w:val="nil"/>
            </w:tcBorders>
            <w:vAlign w:val="center"/>
          </w:tcPr>
          <w:p w:rsidR="00000000" w:rsidRDefault="00000000">
            <w:pPr>
              <w:pStyle w:val="a6"/>
              <w:spacing w:before="10" w:after="10"/>
              <w:rPr>
                <w:sz w:val="18"/>
                <w:lang w:val="en-US"/>
              </w:rPr>
            </w:pPr>
            <w:r>
              <w:rPr>
                <w:sz w:val="18"/>
                <w:lang w:val="en-US"/>
              </w:rPr>
              <w:t>DRAMA</w:t>
            </w:r>
          </w:p>
        </w:tc>
        <w:tc>
          <w:tcPr>
            <w:tcW w:w="1093" w:type="dxa"/>
            <w:tcBorders>
              <w:top w:val="nil"/>
              <w:left w:val="nil"/>
              <w:bottom w:val="single" w:sz="4" w:space="0" w:color="auto"/>
              <w:right w:val="nil"/>
            </w:tcBorders>
          </w:tcPr>
          <w:p w:rsidR="00000000" w:rsidRDefault="00000000">
            <w:pPr>
              <w:pStyle w:val="a6"/>
              <w:spacing w:before="10" w:after="10"/>
              <w:rPr>
                <w:sz w:val="18"/>
                <w:lang w:val="en-US"/>
              </w:rPr>
            </w:pPr>
            <w:r>
              <w:rPr>
                <w:sz w:val="18"/>
                <w:lang w:val="en-US"/>
              </w:rPr>
              <w:t>15</w:t>
            </w:r>
          </w:p>
        </w:tc>
        <w:tc>
          <w:tcPr>
            <w:tcW w:w="983" w:type="dxa"/>
            <w:tcBorders>
              <w:top w:val="nil"/>
              <w:left w:val="nil"/>
              <w:bottom w:val="single" w:sz="4" w:space="0" w:color="auto"/>
              <w:right w:val="nil"/>
            </w:tcBorders>
          </w:tcPr>
          <w:p w:rsidR="00000000" w:rsidRDefault="00000000">
            <w:pPr>
              <w:pStyle w:val="a6"/>
              <w:spacing w:before="10" w:after="10"/>
              <w:rPr>
                <w:sz w:val="18"/>
                <w:lang w:val="en-US"/>
              </w:rPr>
            </w:pPr>
            <w:r>
              <w:rPr>
                <w:sz w:val="18"/>
                <w:lang w:val="en-US"/>
              </w:rPr>
              <w:t>6</w:t>
            </w:r>
          </w:p>
        </w:tc>
        <w:tc>
          <w:tcPr>
            <w:tcW w:w="1134" w:type="dxa"/>
            <w:tcBorders>
              <w:top w:val="nil"/>
              <w:left w:val="nil"/>
              <w:bottom w:val="single" w:sz="4" w:space="0" w:color="auto"/>
              <w:right w:val="nil"/>
            </w:tcBorders>
          </w:tcPr>
          <w:p w:rsidR="00000000" w:rsidRDefault="00000000">
            <w:pPr>
              <w:pStyle w:val="a6"/>
              <w:spacing w:before="10" w:after="10"/>
              <w:rPr>
                <w:sz w:val="18"/>
                <w:lang w:val="en-US"/>
              </w:rPr>
            </w:pPr>
            <w:r>
              <w:rPr>
                <w:sz w:val="18"/>
                <w:lang w:val="en-US"/>
              </w:rPr>
              <w:t>36</w:t>
            </w:r>
          </w:p>
        </w:tc>
        <w:tc>
          <w:tcPr>
            <w:tcW w:w="992" w:type="dxa"/>
            <w:tcBorders>
              <w:top w:val="nil"/>
              <w:left w:val="nil"/>
              <w:bottom w:val="single" w:sz="4" w:space="0" w:color="auto"/>
              <w:right w:val="nil"/>
            </w:tcBorders>
          </w:tcPr>
          <w:p w:rsidR="00000000" w:rsidRDefault="00000000">
            <w:pPr>
              <w:pStyle w:val="a6"/>
              <w:spacing w:before="10" w:after="10"/>
              <w:rPr>
                <w:sz w:val="18"/>
                <w:lang w:val="en-US"/>
              </w:rPr>
            </w:pPr>
            <w:r>
              <w:rPr>
                <w:sz w:val="18"/>
                <w:lang w:val="en-US"/>
              </w:rPr>
              <w:t>3</w:t>
            </w:r>
          </w:p>
        </w:tc>
        <w:tc>
          <w:tcPr>
            <w:tcW w:w="985" w:type="dxa"/>
            <w:tcBorders>
              <w:top w:val="nil"/>
              <w:left w:val="nil"/>
              <w:bottom w:val="single" w:sz="4" w:space="0" w:color="auto"/>
              <w:right w:val="nil"/>
            </w:tcBorders>
          </w:tcPr>
          <w:p w:rsidR="00000000" w:rsidRDefault="00000000">
            <w:pPr>
              <w:pStyle w:val="a6"/>
              <w:spacing w:before="10" w:after="10"/>
              <w:rPr>
                <w:sz w:val="18"/>
                <w:lang w:val="en-US"/>
              </w:rPr>
            </w:pPr>
            <w:r>
              <w:rPr>
                <w:sz w:val="18"/>
                <w:lang w:val="en-US"/>
              </w:rPr>
              <w:t>51</w:t>
            </w:r>
          </w:p>
        </w:tc>
        <w:tc>
          <w:tcPr>
            <w:tcW w:w="993" w:type="dxa"/>
            <w:tcBorders>
              <w:top w:val="nil"/>
              <w:left w:val="nil"/>
              <w:bottom w:val="single" w:sz="4" w:space="0" w:color="auto"/>
              <w:right w:val="nil"/>
            </w:tcBorders>
          </w:tcPr>
          <w:p w:rsidR="00000000" w:rsidRDefault="00000000">
            <w:pPr>
              <w:pStyle w:val="a6"/>
              <w:spacing w:before="10" w:after="10"/>
              <w:rPr>
                <w:sz w:val="18"/>
                <w:lang w:val="en-US"/>
              </w:rPr>
            </w:pPr>
            <w:r>
              <w:rPr>
                <w:sz w:val="18"/>
                <w:lang w:val="en-US"/>
              </w:rPr>
              <w:t>9</w:t>
            </w:r>
          </w:p>
        </w:tc>
      </w:tr>
      <w:tr w:rsidR="00000000">
        <w:tblPrEx>
          <w:tblCellMar>
            <w:top w:w="0" w:type="dxa"/>
            <w:bottom w:w="0" w:type="dxa"/>
          </w:tblCellMar>
        </w:tblPrEx>
        <w:trPr>
          <w:cantSplit/>
          <w:jc w:val="center"/>
        </w:trPr>
        <w:tc>
          <w:tcPr>
            <w:tcW w:w="1577" w:type="dxa"/>
            <w:tcBorders>
              <w:top w:val="single" w:sz="4" w:space="0" w:color="auto"/>
              <w:left w:val="nil"/>
              <w:bottom w:val="single" w:sz="4" w:space="0" w:color="auto"/>
              <w:right w:val="nil"/>
            </w:tcBorders>
            <w:vAlign w:val="center"/>
          </w:tcPr>
          <w:p w:rsidR="00000000" w:rsidRDefault="00000000">
            <w:pPr>
              <w:pStyle w:val="a6"/>
              <w:spacing w:before="10" w:after="10"/>
              <w:rPr>
                <w:b/>
                <w:sz w:val="18"/>
                <w:lang w:val="en-US"/>
              </w:rPr>
            </w:pPr>
            <w:r>
              <w:rPr>
                <w:b/>
                <w:sz w:val="18"/>
                <w:lang w:val="en-US"/>
              </w:rPr>
              <w:t>KALAMATA</w:t>
            </w:r>
          </w:p>
        </w:tc>
        <w:tc>
          <w:tcPr>
            <w:tcW w:w="1732" w:type="dxa"/>
            <w:tcBorders>
              <w:top w:val="single" w:sz="4" w:space="0" w:color="auto"/>
              <w:left w:val="nil"/>
              <w:bottom w:val="single" w:sz="4" w:space="0" w:color="auto"/>
              <w:right w:val="nil"/>
            </w:tcBorders>
            <w:vAlign w:val="center"/>
          </w:tcPr>
          <w:p w:rsidR="00000000" w:rsidRDefault="00000000">
            <w:pPr>
              <w:pStyle w:val="a6"/>
              <w:spacing w:before="10" w:after="10"/>
              <w:rPr>
                <w:sz w:val="18"/>
                <w:lang w:val="en-US"/>
              </w:rPr>
            </w:pPr>
            <w:r>
              <w:rPr>
                <w:sz w:val="18"/>
                <w:lang w:val="en-US"/>
              </w:rPr>
              <w:t>KALAMATA</w:t>
            </w:r>
          </w:p>
        </w:tc>
        <w:tc>
          <w:tcPr>
            <w:tcW w:w="1093" w:type="dxa"/>
            <w:tcBorders>
              <w:top w:val="single" w:sz="4" w:space="0" w:color="auto"/>
              <w:left w:val="nil"/>
              <w:bottom w:val="single" w:sz="4" w:space="0" w:color="auto"/>
              <w:right w:val="nil"/>
            </w:tcBorders>
          </w:tcPr>
          <w:p w:rsidR="00000000" w:rsidRDefault="00000000">
            <w:pPr>
              <w:pStyle w:val="a6"/>
              <w:spacing w:before="10" w:after="10"/>
              <w:rPr>
                <w:sz w:val="18"/>
                <w:lang w:val="en-US"/>
              </w:rPr>
            </w:pPr>
            <w:r>
              <w:rPr>
                <w:sz w:val="18"/>
                <w:lang w:val="en-US"/>
              </w:rPr>
              <w:t>41</w:t>
            </w:r>
          </w:p>
        </w:tc>
        <w:tc>
          <w:tcPr>
            <w:tcW w:w="983" w:type="dxa"/>
            <w:tcBorders>
              <w:top w:val="single" w:sz="4" w:space="0" w:color="auto"/>
              <w:left w:val="nil"/>
              <w:bottom w:val="single" w:sz="4" w:space="0" w:color="auto"/>
              <w:right w:val="nil"/>
            </w:tcBorders>
          </w:tcPr>
          <w:p w:rsidR="00000000" w:rsidRDefault="00000000">
            <w:pPr>
              <w:pStyle w:val="a6"/>
              <w:spacing w:before="10" w:after="10"/>
              <w:rPr>
                <w:sz w:val="18"/>
                <w:lang w:val="en-US"/>
              </w:rPr>
            </w:pPr>
            <w:r>
              <w:rPr>
                <w:sz w:val="18"/>
                <w:lang w:val="en-US"/>
              </w:rPr>
              <w:t>10</w:t>
            </w:r>
          </w:p>
        </w:tc>
        <w:tc>
          <w:tcPr>
            <w:tcW w:w="1134" w:type="dxa"/>
            <w:tcBorders>
              <w:top w:val="single" w:sz="4" w:space="0" w:color="auto"/>
              <w:left w:val="nil"/>
              <w:bottom w:val="single" w:sz="4" w:space="0" w:color="auto"/>
              <w:right w:val="nil"/>
            </w:tcBorders>
          </w:tcPr>
          <w:p w:rsidR="00000000" w:rsidRDefault="00000000">
            <w:pPr>
              <w:pStyle w:val="a6"/>
              <w:spacing w:before="10" w:after="10"/>
              <w:rPr>
                <w:sz w:val="18"/>
                <w:lang w:val="en-US"/>
              </w:rPr>
            </w:pPr>
            <w:r>
              <w:rPr>
                <w:sz w:val="18"/>
                <w:lang w:val="en-US"/>
              </w:rPr>
              <w:t>168</w:t>
            </w:r>
          </w:p>
        </w:tc>
        <w:tc>
          <w:tcPr>
            <w:tcW w:w="992" w:type="dxa"/>
            <w:tcBorders>
              <w:top w:val="single" w:sz="4" w:space="0" w:color="auto"/>
              <w:left w:val="nil"/>
              <w:bottom w:val="single" w:sz="4" w:space="0" w:color="auto"/>
              <w:right w:val="nil"/>
            </w:tcBorders>
          </w:tcPr>
          <w:p w:rsidR="00000000" w:rsidRDefault="00000000">
            <w:pPr>
              <w:pStyle w:val="a6"/>
              <w:spacing w:before="10" w:after="10"/>
              <w:rPr>
                <w:sz w:val="18"/>
                <w:lang w:val="en-US"/>
              </w:rPr>
            </w:pPr>
            <w:r>
              <w:rPr>
                <w:sz w:val="18"/>
                <w:lang w:val="en-US"/>
              </w:rPr>
              <w:t>53</w:t>
            </w:r>
          </w:p>
        </w:tc>
        <w:tc>
          <w:tcPr>
            <w:tcW w:w="985" w:type="dxa"/>
            <w:tcBorders>
              <w:top w:val="single" w:sz="4" w:space="0" w:color="auto"/>
              <w:left w:val="nil"/>
              <w:bottom w:val="single" w:sz="4" w:space="0" w:color="auto"/>
              <w:right w:val="nil"/>
            </w:tcBorders>
          </w:tcPr>
          <w:p w:rsidR="00000000" w:rsidRDefault="00000000">
            <w:pPr>
              <w:pStyle w:val="a6"/>
              <w:spacing w:before="10" w:after="10"/>
              <w:rPr>
                <w:sz w:val="18"/>
                <w:lang w:val="en-US"/>
              </w:rPr>
            </w:pPr>
            <w:r>
              <w:rPr>
                <w:sz w:val="18"/>
                <w:lang w:val="en-US"/>
              </w:rPr>
              <w:t>209</w:t>
            </w:r>
          </w:p>
        </w:tc>
        <w:tc>
          <w:tcPr>
            <w:tcW w:w="993" w:type="dxa"/>
            <w:tcBorders>
              <w:top w:val="single" w:sz="4" w:space="0" w:color="auto"/>
              <w:left w:val="nil"/>
              <w:bottom w:val="single" w:sz="4" w:space="0" w:color="auto"/>
              <w:right w:val="nil"/>
            </w:tcBorders>
          </w:tcPr>
          <w:p w:rsidR="00000000" w:rsidRDefault="00000000">
            <w:pPr>
              <w:pStyle w:val="a6"/>
              <w:spacing w:before="10" w:after="10"/>
              <w:rPr>
                <w:sz w:val="18"/>
                <w:lang w:val="en-US"/>
              </w:rPr>
            </w:pPr>
            <w:r>
              <w:rPr>
                <w:sz w:val="18"/>
                <w:lang w:val="en-US"/>
              </w:rPr>
              <w:t>63</w:t>
            </w:r>
          </w:p>
        </w:tc>
      </w:tr>
      <w:tr w:rsidR="00000000">
        <w:tblPrEx>
          <w:tblCellMar>
            <w:top w:w="0" w:type="dxa"/>
            <w:bottom w:w="0" w:type="dxa"/>
          </w:tblCellMar>
        </w:tblPrEx>
        <w:trPr>
          <w:cantSplit/>
          <w:jc w:val="center"/>
        </w:trPr>
        <w:tc>
          <w:tcPr>
            <w:tcW w:w="1577" w:type="dxa"/>
            <w:vMerge w:val="restart"/>
            <w:tcBorders>
              <w:top w:val="single" w:sz="4" w:space="0" w:color="auto"/>
              <w:left w:val="nil"/>
              <w:bottom w:val="nil"/>
              <w:right w:val="nil"/>
            </w:tcBorders>
            <w:vAlign w:val="center"/>
          </w:tcPr>
          <w:p w:rsidR="00000000" w:rsidRDefault="00000000">
            <w:pPr>
              <w:pStyle w:val="a6"/>
              <w:spacing w:before="10" w:after="10"/>
              <w:rPr>
                <w:b/>
                <w:sz w:val="18"/>
                <w:lang w:val="en-US"/>
              </w:rPr>
            </w:pPr>
            <w:r>
              <w:rPr>
                <w:b/>
                <w:sz w:val="18"/>
                <w:lang w:val="en-US"/>
              </w:rPr>
              <w:t>KOZANI</w:t>
            </w:r>
          </w:p>
        </w:tc>
        <w:tc>
          <w:tcPr>
            <w:tcW w:w="1732" w:type="dxa"/>
            <w:tcBorders>
              <w:top w:val="single" w:sz="4" w:space="0" w:color="auto"/>
              <w:left w:val="nil"/>
              <w:bottom w:val="nil"/>
              <w:right w:val="nil"/>
            </w:tcBorders>
            <w:vAlign w:val="center"/>
          </w:tcPr>
          <w:p w:rsidR="00000000" w:rsidRDefault="00000000">
            <w:pPr>
              <w:pStyle w:val="a6"/>
              <w:spacing w:before="10" w:after="10"/>
              <w:rPr>
                <w:sz w:val="18"/>
                <w:lang w:val="en-US"/>
              </w:rPr>
            </w:pPr>
            <w:r>
              <w:rPr>
                <w:sz w:val="18"/>
                <w:lang w:val="en-US"/>
              </w:rPr>
              <w:t>KOZANI</w:t>
            </w:r>
          </w:p>
        </w:tc>
        <w:tc>
          <w:tcPr>
            <w:tcW w:w="1093" w:type="dxa"/>
            <w:tcBorders>
              <w:top w:val="single" w:sz="4" w:space="0" w:color="auto"/>
              <w:left w:val="nil"/>
              <w:bottom w:val="nil"/>
              <w:right w:val="nil"/>
            </w:tcBorders>
          </w:tcPr>
          <w:p w:rsidR="00000000" w:rsidRDefault="00000000">
            <w:pPr>
              <w:pStyle w:val="a6"/>
              <w:spacing w:before="10" w:after="10"/>
              <w:rPr>
                <w:sz w:val="18"/>
                <w:lang w:val="en-US"/>
              </w:rPr>
            </w:pPr>
            <w:r>
              <w:rPr>
                <w:sz w:val="18"/>
                <w:lang w:val="en-US"/>
              </w:rPr>
              <w:t>71</w:t>
            </w:r>
          </w:p>
        </w:tc>
        <w:tc>
          <w:tcPr>
            <w:tcW w:w="983" w:type="dxa"/>
            <w:tcBorders>
              <w:top w:val="single" w:sz="4" w:space="0" w:color="auto"/>
              <w:left w:val="nil"/>
              <w:bottom w:val="nil"/>
              <w:right w:val="nil"/>
            </w:tcBorders>
          </w:tcPr>
          <w:p w:rsidR="00000000" w:rsidRDefault="00000000">
            <w:pPr>
              <w:pStyle w:val="a6"/>
              <w:spacing w:before="10" w:after="10"/>
              <w:rPr>
                <w:sz w:val="18"/>
                <w:lang w:val="en-US"/>
              </w:rPr>
            </w:pPr>
            <w:r>
              <w:rPr>
                <w:sz w:val="18"/>
                <w:lang w:val="en-US"/>
              </w:rPr>
              <w:t>16</w:t>
            </w:r>
          </w:p>
        </w:tc>
        <w:tc>
          <w:tcPr>
            <w:tcW w:w="1134" w:type="dxa"/>
            <w:tcBorders>
              <w:top w:val="single" w:sz="4" w:space="0" w:color="auto"/>
              <w:left w:val="nil"/>
              <w:bottom w:val="nil"/>
              <w:right w:val="nil"/>
            </w:tcBorders>
          </w:tcPr>
          <w:p w:rsidR="00000000" w:rsidRDefault="00000000">
            <w:pPr>
              <w:pStyle w:val="a6"/>
              <w:spacing w:before="10" w:after="10"/>
              <w:rPr>
                <w:sz w:val="18"/>
                <w:lang w:val="en-US"/>
              </w:rPr>
            </w:pPr>
            <w:r>
              <w:rPr>
                <w:sz w:val="18"/>
                <w:lang w:val="en-US"/>
              </w:rPr>
              <w:t>298</w:t>
            </w:r>
          </w:p>
        </w:tc>
        <w:tc>
          <w:tcPr>
            <w:tcW w:w="992" w:type="dxa"/>
            <w:tcBorders>
              <w:top w:val="single" w:sz="4" w:space="0" w:color="auto"/>
              <w:left w:val="nil"/>
              <w:bottom w:val="nil"/>
              <w:right w:val="nil"/>
            </w:tcBorders>
          </w:tcPr>
          <w:p w:rsidR="00000000" w:rsidRDefault="00000000">
            <w:pPr>
              <w:pStyle w:val="a6"/>
              <w:spacing w:before="10" w:after="10"/>
              <w:rPr>
                <w:sz w:val="18"/>
                <w:lang w:val="en-US"/>
              </w:rPr>
            </w:pPr>
            <w:r>
              <w:rPr>
                <w:sz w:val="18"/>
                <w:lang w:val="en-US"/>
              </w:rPr>
              <w:t>80</w:t>
            </w:r>
          </w:p>
        </w:tc>
        <w:tc>
          <w:tcPr>
            <w:tcW w:w="985" w:type="dxa"/>
            <w:tcBorders>
              <w:top w:val="single" w:sz="4" w:space="0" w:color="auto"/>
              <w:left w:val="nil"/>
              <w:bottom w:val="nil"/>
              <w:right w:val="nil"/>
            </w:tcBorders>
          </w:tcPr>
          <w:p w:rsidR="00000000" w:rsidRDefault="00000000">
            <w:pPr>
              <w:pStyle w:val="a6"/>
              <w:spacing w:before="10" w:after="10"/>
              <w:rPr>
                <w:sz w:val="18"/>
                <w:lang w:val="en-US"/>
              </w:rPr>
            </w:pPr>
            <w:r>
              <w:rPr>
                <w:sz w:val="18"/>
                <w:lang w:val="en-US"/>
              </w:rPr>
              <w:t>369</w:t>
            </w:r>
          </w:p>
        </w:tc>
        <w:tc>
          <w:tcPr>
            <w:tcW w:w="993" w:type="dxa"/>
            <w:tcBorders>
              <w:top w:val="single" w:sz="4" w:space="0" w:color="auto"/>
              <w:left w:val="nil"/>
              <w:bottom w:val="nil"/>
              <w:right w:val="nil"/>
            </w:tcBorders>
          </w:tcPr>
          <w:p w:rsidR="00000000" w:rsidRDefault="00000000">
            <w:pPr>
              <w:pStyle w:val="a6"/>
              <w:spacing w:before="10" w:after="10"/>
              <w:rPr>
                <w:sz w:val="18"/>
                <w:lang w:val="en-US"/>
              </w:rPr>
            </w:pPr>
            <w:r>
              <w:rPr>
                <w:sz w:val="18"/>
                <w:lang w:val="en-US"/>
              </w:rPr>
              <w:t>96</w:t>
            </w:r>
          </w:p>
        </w:tc>
      </w:tr>
      <w:tr w:rsidR="00000000">
        <w:tblPrEx>
          <w:tblCellMar>
            <w:top w:w="0" w:type="dxa"/>
            <w:bottom w:w="0" w:type="dxa"/>
          </w:tblCellMar>
        </w:tblPrEx>
        <w:trPr>
          <w:cantSplit/>
          <w:jc w:val="center"/>
        </w:trPr>
        <w:tc>
          <w:tcPr>
            <w:tcW w:w="1577" w:type="dxa"/>
            <w:vMerge/>
            <w:tcBorders>
              <w:top w:val="nil"/>
              <w:left w:val="nil"/>
              <w:bottom w:val="nil"/>
              <w:right w:val="nil"/>
            </w:tcBorders>
            <w:vAlign w:val="center"/>
          </w:tcPr>
          <w:p w:rsidR="00000000" w:rsidRDefault="00000000">
            <w:pPr>
              <w:pStyle w:val="a6"/>
              <w:spacing w:before="10" w:after="10"/>
              <w:rPr>
                <w:b/>
                <w:sz w:val="18"/>
                <w:lang w:val="en-US"/>
              </w:rPr>
            </w:pPr>
          </w:p>
        </w:tc>
        <w:tc>
          <w:tcPr>
            <w:tcW w:w="1732" w:type="dxa"/>
            <w:tcBorders>
              <w:top w:val="nil"/>
              <w:left w:val="nil"/>
              <w:bottom w:val="nil"/>
              <w:right w:val="nil"/>
            </w:tcBorders>
            <w:vAlign w:val="center"/>
          </w:tcPr>
          <w:p w:rsidR="00000000" w:rsidRDefault="00000000">
            <w:pPr>
              <w:pStyle w:val="a6"/>
              <w:spacing w:before="10" w:after="10"/>
              <w:rPr>
                <w:sz w:val="18"/>
                <w:lang w:val="en-US"/>
              </w:rPr>
            </w:pPr>
            <w:r>
              <w:rPr>
                <w:sz w:val="18"/>
                <w:lang w:val="en-US"/>
              </w:rPr>
              <w:t>FLORINA</w:t>
            </w:r>
          </w:p>
        </w:tc>
        <w:tc>
          <w:tcPr>
            <w:tcW w:w="1093" w:type="dxa"/>
            <w:tcBorders>
              <w:top w:val="nil"/>
              <w:left w:val="nil"/>
              <w:bottom w:val="nil"/>
              <w:right w:val="nil"/>
            </w:tcBorders>
          </w:tcPr>
          <w:p w:rsidR="00000000" w:rsidRDefault="00000000">
            <w:pPr>
              <w:pStyle w:val="a6"/>
              <w:spacing w:before="10" w:after="10"/>
              <w:rPr>
                <w:sz w:val="18"/>
                <w:lang w:val="en-US"/>
              </w:rPr>
            </w:pPr>
            <w:r>
              <w:rPr>
                <w:sz w:val="18"/>
                <w:lang w:val="en-US"/>
              </w:rPr>
              <w:t>26</w:t>
            </w:r>
          </w:p>
        </w:tc>
        <w:tc>
          <w:tcPr>
            <w:tcW w:w="983" w:type="dxa"/>
            <w:tcBorders>
              <w:top w:val="nil"/>
              <w:left w:val="nil"/>
              <w:bottom w:val="nil"/>
              <w:right w:val="nil"/>
            </w:tcBorders>
          </w:tcPr>
          <w:p w:rsidR="00000000" w:rsidRDefault="00000000">
            <w:pPr>
              <w:pStyle w:val="a6"/>
              <w:spacing w:before="10" w:after="10"/>
              <w:rPr>
                <w:sz w:val="18"/>
                <w:lang w:val="en-US"/>
              </w:rPr>
            </w:pPr>
            <w:r>
              <w:rPr>
                <w:sz w:val="18"/>
                <w:lang w:val="en-US"/>
              </w:rPr>
              <w:t>2</w:t>
            </w:r>
          </w:p>
        </w:tc>
        <w:tc>
          <w:tcPr>
            <w:tcW w:w="1134" w:type="dxa"/>
            <w:tcBorders>
              <w:top w:val="nil"/>
              <w:left w:val="nil"/>
              <w:bottom w:val="nil"/>
              <w:right w:val="nil"/>
            </w:tcBorders>
          </w:tcPr>
          <w:p w:rsidR="00000000" w:rsidRDefault="00000000">
            <w:pPr>
              <w:pStyle w:val="a6"/>
              <w:spacing w:before="10" w:after="10"/>
              <w:rPr>
                <w:sz w:val="18"/>
                <w:lang w:val="en-US"/>
              </w:rPr>
            </w:pPr>
            <w:r>
              <w:rPr>
                <w:sz w:val="18"/>
                <w:lang w:val="en-US"/>
              </w:rPr>
              <w:t>67</w:t>
            </w:r>
          </w:p>
        </w:tc>
        <w:tc>
          <w:tcPr>
            <w:tcW w:w="992" w:type="dxa"/>
            <w:tcBorders>
              <w:top w:val="nil"/>
              <w:left w:val="nil"/>
              <w:bottom w:val="nil"/>
              <w:right w:val="nil"/>
            </w:tcBorders>
          </w:tcPr>
          <w:p w:rsidR="00000000" w:rsidRDefault="00000000">
            <w:pPr>
              <w:pStyle w:val="a6"/>
              <w:spacing w:before="10" w:after="10"/>
              <w:rPr>
                <w:sz w:val="18"/>
                <w:lang w:val="en-US"/>
              </w:rPr>
            </w:pPr>
            <w:r>
              <w:rPr>
                <w:sz w:val="18"/>
                <w:lang w:val="en-US"/>
              </w:rPr>
              <w:t>23</w:t>
            </w:r>
          </w:p>
        </w:tc>
        <w:tc>
          <w:tcPr>
            <w:tcW w:w="985" w:type="dxa"/>
            <w:tcBorders>
              <w:top w:val="nil"/>
              <w:left w:val="nil"/>
              <w:bottom w:val="nil"/>
              <w:right w:val="nil"/>
            </w:tcBorders>
          </w:tcPr>
          <w:p w:rsidR="00000000" w:rsidRDefault="00000000">
            <w:pPr>
              <w:pStyle w:val="a6"/>
              <w:spacing w:before="10" w:after="10"/>
              <w:rPr>
                <w:sz w:val="18"/>
                <w:lang w:val="en-US"/>
              </w:rPr>
            </w:pPr>
            <w:r>
              <w:rPr>
                <w:sz w:val="18"/>
                <w:lang w:val="en-US"/>
              </w:rPr>
              <w:t>93</w:t>
            </w:r>
          </w:p>
        </w:tc>
        <w:tc>
          <w:tcPr>
            <w:tcW w:w="993" w:type="dxa"/>
            <w:tcBorders>
              <w:top w:val="nil"/>
              <w:left w:val="nil"/>
              <w:bottom w:val="nil"/>
              <w:right w:val="nil"/>
            </w:tcBorders>
          </w:tcPr>
          <w:p w:rsidR="00000000" w:rsidRDefault="00000000">
            <w:pPr>
              <w:pStyle w:val="a6"/>
              <w:spacing w:before="10" w:after="10"/>
              <w:rPr>
                <w:sz w:val="18"/>
                <w:lang w:val="en-US"/>
              </w:rPr>
            </w:pPr>
            <w:r>
              <w:rPr>
                <w:sz w:val="18"/>
                <w:lang w:val="en-US"/>
              </w:rPr>
              <w:t>25</w:t>
            </w:r>
          </w:p>
        </w:tc>
      </w:tr>
      <w:tr w:rsidR="00000000">
        <w:tblPrEx>
          <w:tblCellMar>
            <w:top w:w="0" w:type="dxa"/>
            <w:bottom w:w="0" w:type="dxa"/>
          </w:tblCellMar>
        </w:tblPrEx>
        <w:trPr>
          <w:cantSplit/>
          <w:jc w:val="center"/>
        </w:trPr>
        <w:tc>
          <w:tcPr>
            <w:tcW w:w="1577" w:type="dxa"/>
            <w:vMerge/>
            <w:tcBorders>
              <w:top w:val="nil"/>
              <w:left w:val="nil"/>
              <w:bottom w:val="single" w:sz="4" w:space="0" w:color="auto"/>
              <w:right w:val="nil"/>
            </w:tcBorders>
            <w:vAlign w:val="center"/>
          </w:tcPr>
          <w:p w:rsidR="00000000" w:rsidRDefault="00000000">
            <w:pPr>
              <w:pStyle w:val="a6"/>
              <w:spacing w:before="10" w:after="10"/>
              <w:rPr>
                <w:b/>
                <w:sz w:val="18"/>
                <w:lang w:val="en-US"/>
              </w:rPr>
            </w:pPr>
          </w:p>
        </w:tc>
        <w:tc>
          <w:tcPr>
            <w:tcW w:w="1732" w:type="dxa"/>
            <w:tcBorders>
              <w:top w:val="nil"/>
              <w:left w:val="nil"/>
              <w:bottom w:val="single" w:sz="4" w:space="0" w:color="auto"/>
              <w:right w:val="nil"/>
            </w:tcBorders>
            <w:vAlign w:val="center"/>
          </w:tcPr>
          <w:p w:rsidR="00000000" w:rsidRDefault="00000000">
            <w:pPr>
              <w:pStyle w:val="a6"/>
              <w:spacing w:before="10" w:after="10"/>
              <w:rPr>
                <w:sz w:val="18"/>
                <w:lang w:val="en-US"/>
              </w:rPr>
            </w:pPr>
            <w:r>
              <w:rPr>
                <w:sz w:val="18"/>
                <w:lang w:val="en-US"/>
              </w:rPr>
              <w:t>KASTORIA</w:t>
            </w:r>
          </w:p>
        </w:tc>
        <w:tc>
          <w:tcPr>
            <w:tcW w:w="1093" w:type="dxa"/>
            <w:tcBorders>
              <w:top w:val="nil"/>
              <w:left w:val="nil"/>
              <w:bottom w:val="single" w:sz="4" w:space="0" w:color="auto"/>
              <w:right w:val="nil"/>
            </w:tcBorders>
          </w:tcPr>
          <w:p w:rsidR="00000000" w:rsidRDefault="00000000">
            <w:pPr>
              <w:pStyle w:val="a6"/>
              <w:spacing w:before="10" w:after="10"/>
              <w:rPr>
                <w:sz w:val="18"/>
                <w:lang w:val="en-US"/>
              </w:rPr>
            </w:pPr>
            <w:r>
              <w:rPr>
                <w:sz w:val="18"/>
                <w:lang w:val="en-US"/>
              </w:rPr>
              <w:t>11</w:t>
            </w:r>
          </w:p>
        </w:tc>
        <w:tc>
          <w:tcPr>
            <w:tcW w:w="983" w:type="dxa"/>
            <w:tcBorders>
              <w:top w:val="nil"/>
              <w:left w:val="nil"/>
              <w:bottom w:val="single" w:sz="4" w:space="0" w:color="auto"/>
              <w:right w:val="nil"/>
            </w:tcBorders>
          </w:tcPr>
          <w:p w:rsidR="00000000" w:rsidRDefault="00000000">
            <w:pPr>
              <w:pStyle w:val="a6"/>
              <w:spacing w:before="10" w:after="10"/>
              <w:rPr>
                <w:sz w:val="18"/>
                <w:lang w:val="en-US"/>
              </w:rPr>
            </w:pPr>
            <w:r>
              <w:rPr>
                <w:sz w:val="18"/>
                <w:lang w:val="en-US"/>
              </w:rPr>
              <w:t>5</w:t>
            </w:r>
          </w:p>
        </w:tc>
        <w:tc>
          <w:tcPr>
            <w:tcW w:w="1134" w:type="dxa"/>
            <w:tcBorders>
              <w:top w:val="nil"/>
              <w:left w:val="nil"/>
              <w:bottom w:val="single" w:sz="4" w:space="0" w:color="auto"/>
              <w:right w:val="nil"/>
            </w:tcBorders>
          </w:tcPr>
          <w:p w:rsidR="00000000" w:rsidRDefault="00000000">
            <w:pPr>
              <w:pStyle w:val="a6"/>
              <w:spacing w:before="10" w:after="10"/>
              <w:rPr>
                <w:sz w:val="18"/>
                <w:lang w:val="en-US"/>
              </w:rPr>
            </w:pPr>
            <w:r>
              <w:rPr>
                <w:sz w:val="18"/>
                <w:lang w:val="en-US"/>
              </w:rPr>
              <w:t>48</w:t>
            </w:r>
          </w:p>
        </w:tc>
        <w:tc>
          <w:tcPr>
            <w:tcW w:w="992" w:type="dxa"/>
            <w:tcBorders>
              <w:top w:val="nil"/>
              <w:left w:val="nil"/>
              <w:bottom w:val="single" w:sz="4" w:space="0" w:color="auto"/>
              <w:right w:val="nil"/>
            </w:tcBorders>
          </w:tcPr>
          <w:p w:rsidR="00000000" w:rsidRDefault="00000000">
            <w:pPr>
              <w:pStyle w:val="a6"/>
              <w:spacing w:before="10" w:after="10"/>
              <w:rPr>
                <w:sz w:val="18"/>
                <w:lang w:val="en-US"/>
              </w:rPr>
            </w:pPr>
            <w:r>
              <w:rPr>
                <w:sz w:val="18"/>
                <w:lang w:val="en-US"/>
              </w:rPr>
              <w:t>20</w:t>
            </w:r>
          </w:p>
        </w:tc>
        <w:tc>
          <w:tcPr>
            <w:tcW w:w="985" w:type="dxa"/>
            <w:tcBorders>
              <w:top w:val="nil"/>
              <w:left w:val="nil"/>
              <w:bottom w:val="single" w:sz="4" w:space="0" w:color="auto"/>
              <w:right w:val="nil"/>
            </w:tcBorders>
          </w:tcPr>
          <w:p w:rsidR="00000000" w:rsidRDefault="00000000">
            <w:pPr>
              <w:pStyle w:val="a6"/>
              <w:spacing w:before="10" w:after="10"/>
              <w:rPr>
                <w:sz w:val="18"/>
                <w:lang w:val="en-US"/>
              </w:rPr>
            </w:pPr>
            <w:r>
              <w:rPr>
                <w:sz w:val="18"/>
                <w:lang w:val="en-US"/>
              </w:rPr>
              <w:t>59</w:t>
            </w:r>
          </w:p>
        </w:tc>
        <w:tc>
          <w:tcPr>
            <w:tcW w:w="993" w:type="dxa"/>
            <w:tcBorders>
              <w:top w:val="nil"/>
              <w:left w:val="nil"/>
              <w:bottom w:val="single" w:sz="4" w:space="0" w:color="auto"/>
              <w:right w:val="nil"/>
            </w:tcBorders>
          </w:tcPr>
          <w:p w:rsidR="00000000" w:rsidRDefault="00000000">
            <w:pPr>
              <w:pStyle w:val="a6"/>
              <w:spacing w:before="10" w:after="10"/>
              <w:rPr>
                <w:sz w:val="18"/>
                <w:lang w:val="en-US"/>
              </w:rPr>
            </w:pPr>
            <w:r>
              <w:rPr>
                <w:sz w:val="18"/>
                <w:lang w:val="en-US"/>
              </w:rPr>
              <w:t>25</w:t>
            </w:r>
          </w:p>
        </w:tc>
      </w:tr>
      <w:tr w:rsidR="00000000">
        <w:tblPrEx>
          <w:tblCellMar>
            <w:top w:w="0" w:type="dxa"/>
            <w:bottom w:w="0" w:type="dxa"/>
          </w:tblCellMar>
        </w:tblPrEx>
        <w:trPr>
          <w:cantSplit/>
          <w:jc w:val="center"/>
        </w:trPr>
        <w:tc>
          <w:tcPr>
            <w:tcW w:w="1577" w:type="dxa"/>
            <w:vMerge w:val="restart"/>
            <w:tcBorders>
              <w:top w:val="single" w:sz="4" w:space="0" w:color="auto"/>
              <w:left w:val="nil"/>
              <w:bottom w:val="nil"/>
              <w:right w:val="nil"/>
            </w:tcBorders>
            <w:vAlign w:val="center"/>
          </w:tcPr>
          <w:p w:rsidR="00000000" w:rsidRDefault="00000000">
            <w:pPr>
              <w:pStyle w:val="a6"/>
              <w:spacing w:before="10" w:after="10"/>
              <w:rPr>
                <w:b/>
                <w:sz w:val="18"/>
                <w:lang w:val="en-US"/>
              </w:rPr>
            </w:pPr>
            <w:r>
              <w:rPr>
                <w:b/>
                <w:sz w:val="18"/>
                <w:lang w:val="en-US"/>
              </w:rPr>
              <w:t>LARISSA</w:t>
            </w:r>
          </w:p>
        </w:tc>
        <w:tc>
          <w:tcPr>
            <w:tcW w:w="1732" w:type="dxa"/>
            <w:tcBorders>
              <w:top w:val="single" w:sz="4" w:space="0" w:color="auto"/>
              <w:left w:val="nil"/>
              <w:bottom w:val="nil"/>
              <w:right w:val="nil"/>
            </w:tcBorders>
            <w:vAlign w:val="center"/>
          </w:tcPr>
          <w:p w:rsidR="00000000" w:rsidRDefault="00000000">
            <w:pPr>
              <w:pStyle w:val="a6"/>
              <w:spacing w:before="10" w:after="10"/>
              <w:rPr>
                <w:sz w:val="18"/>
                <w:lang w:val="en-US"/>
              </w:rPr>
            </w:pPr>
            <w:r>
              <w:rPr>
                <w:sz w:val="18"/>
                <w:lang w:val="en-US"/>
              </w:rPr>
              <w:t>LARISSA</w:t>
            </w:r>
          </w:p>
        </w:tc>
        <w:tc>
          <w:tcPr>
            <w:tcW w:w="1093" w:type="dxa"/>
            <w:tcBorders>
              <w:top w:val="single" w:sz="4" w:space="0" w:color="auto"/>
              <w:left w:val="nil"/>
              <w:bottom w:val="nil"/>
              <w:right w:val="nil"/>
            </w:tcBorders>
          </w:tcPr>
          <w:p w:rsidR="00000000" w:rsidRDefault="00000000">
            <w:pPr>
              <w:pStyle w:val="a6"/>
              <w:spacing w:before="10" w:after="10"/>
              <w:rPr>
                <w:sz w:val="18"/>
                <w:lang w:val="en-US"/>
              </w:rPr>
            </w:pPr>
            <w:r>
              <w:rPr>
                <w:sz w:val="18"/>
                <w:lang w:val="en-US"/>
              </w:rPr>
              <w:t>215</w:t>
            </w:r>
          </w:p>
        </w:tc>
        <w:tc>
          <w:tcPr>
            <w:tcW w:w="983" w:type="dxa"/>
            <w:tcBorders>
              <w:top w:val="single" w:sz="4" w:space="0" w:color="auto"/>
              <w:left w:val="nil"/>
              <w:bottom w:val="nil"/>
              <w:right w:val="nil"/>
            </w:tcBorders>
          </w:tcPr>
          <w:p w:rsidR="00000000" w:rsidRDefault="00000000">
            <w:pPr>
              <w:pStyle w:val="a6"/>
              <w:spacing w:before="10" w:after="10"/>
              <w:rPr>
                <w:sz w:val="18"/>
                <w:lang w:val="en-US"/>
              </w:rPr>
            </w:pPr>
            <w:r>
              <w:rPr>
                <w:sz w:val="18"/>
                <w:lang w:val="en-US"/>
              </w:rPr>
              <w:t>48</w:t>
            </w:r>
          </w:p>
        </w:tc>
        <w:tc>
          <w:tcPr>
            <w:tcW w:w="1134" w:type="dxa"/>
            <w:tcBorders>
              <w:top w:val="single" w:sz="4" w:space="0" w:color="auto"/>
              <w:left w:val="nil"/>
              <w:bottom w:val="nil"/>
              <w:right w:val="nil"/>
            </w:tcBorders>
          </w:tcPr>
          <w:p w:rsidR="00000000" w:rsidRDefault="00000000">
            <w:pPr>
              <w:pStyle w:val="a6"/>
              <w:spacing w:before="10" w:after="10"/>
              <w:rPr>
                <w:sz w:val="18"/>
                <w:lang w:val="en-US"/>
              </w:rPr>
            </w:pPr>
            <w:r>
              <w:rPr>
                <w:sz w:val="18"/>
                <w:lang w:val="en-US"/>
              </w:rPr>
              <w:t>482</w:t>
            </w:r>
          </w:p>
        </w:tc>
        <w:tc>
          <w:tcPr>
            <w:tcW w:w="992" w:type="dxa"/>
            <w:tcBorders>
              <w:top w:val="single" w:sz="4" w:space="0" w:color="auto"/>
              <w:left w:val="nil"/>
              <w:bottom w:val="nil"/>
              <w:right w:val="nil"/>
            </w:tcBorders>
          </w:tcPr>
          <w:p w:rsidR="00000000" w:rsidRDefault="00000000">
            <w:pPr>
              <w:pStyle w:val="a6"/>
              <w:spacing w:before="10" w:after="10"/>
              <w:rPr>
                <w:sz w:val="18"/>
                <w:lang w:val="en-US"/>
              </w:rPr>
            </w:pPr>
            <w:r>
              <w:rPr>
                <w:sz w:val="18"/>
                <w:lang w:val="en-US"/>
              </w:rPr>
              <w:t>213</w:t>
            </w:r>
          </w:p>
        </w:tc>
        <w:tc>
          <w:tcPr>
            <w:tcW w:w="985" w:type="dxa"/>
            <w:tcBorders>
              <w:top w:val="single" w:sz="4" w:space="0" w:color="auto"/>
              <w:left w:val="nil"/>
              <w:bottom w:val="nil"/>
              <w:right w:val="nil"/>
            </w:tcBorders>
          </w:tcPr>
          <w:p w:rsidR="00000000" w:rsidRDefault="00000000">
            <w:pPr>
              <w:pStyle w:val="a6"/>
              <w:spacing w:before="10" w:after="10"/>
              <w:rPr>
                <w:sz w:val="18"/>
                <w:lang w:val="en-US"/>
              </w:rPr>
            </w:pPr>
            <w:r>
              <w:rPr>
                <w:sz w:val="18"/>
                <w:lang w:val="en-US"/>
              </w:rPr>
              <w:t>697</w:t>
            </w:r>
          </w:p>
        </w:tc>
        <w:tc>
          <w:tcPr>
            <w:tcW w:w="993" w:type="dxa"/>
            <w:tcBorders>
              <w:top w:val="single" w:sz="4" w:space="0" w:color="auto"/>
              <w:left w:val="nil"/>
              <w:bottom w:val="nil"/>
              <w:right w:val="nil"/>
            </w:tcBorders>
          </w:tcPr>
          <w:p w:rsidR="00000000" w:rsidRDefault="00000000">
            <w:pPr>
              <w:pStyle w:val="a6"/>
              <w:spacing w:before="10" w:after="10"/>
              <w:rPr>
                <w:sz w:val="18"/>
                <w:lang w:val="en-US"/>
              </w:rPr>
            </w:pPr>
            <w:r>
              <w:rPr>
                <w:sz w:val="18"/>
                <w:lang w:val="en-US"/>
              </w:rPr>
              <w:t>261</w:t>
            </w:r>
          </w:p>
        </w:tc>
      </w:tr>
      <w:tr w:rsidR="00000000">
        <w:tblPrEx>
          <w:tblCellMar>
            <w:top w:w="0" w:type="dxa"/>
            <w:bottom w:w="0" w:type="dxa"/>
          </w:tblCellMar>
        </w:tblPrEx>
        <w:trPr>
          <w:cantSplit/>
          <w:jc w:val="center"/>
        </w:trPr>
        <w:tc>
          <w:tcPr>
            <w:tcW w:w="1577" w:type="dxa"/>
            <w:vMerge/>
            <w:tcBorders>
              <w:top w:val="nil"/>
              <w:left w:val="nil"/>
              <w:bottom w:val="single" w:sz="4" w:space="0" w:color="auto"/>
              <w:right w:val="nil"/>
            </w:tcBorders>
            <w:vAlign w:val="center"/>
          </w:tcPr>
          <w:p w:rsidR="00000000" w:rsidRDefault="00000000">
            <w:pPr>
              <w:pStyle w:val="a6"/>
              <w:spacing w:before="10" w:after="10"/>
              <w:rPr>
                <w:b/>
                <w:sz w:val="18"/>
                <w:lang w:val="en-US"/>
              </w:rPr>
            </w:pPr>
          </w:p>
        </w:tc>
        <w:tc>
          <w:tcPr>
            <w:tcW w:w="1732" w:type="dxa"/>
            <w:tcBorders>
              <w:top w:val="nil"/>
              <w:left w:val="nil"/>
              <w:bottom w:val="single" w:sz="4" w:space="0" w:color="auto"/>
              <w:right w:val="nil"/>
            </w:tcBorders>
            <w:vAlign w:val="center"/>
          </w:tcPr>
          <w:p w:rsidR="00000000" w:rsidRDefault="00000000">
            <w:pPr>
              <w:pStyle w:val="a6"/>
              <w:spacing w:before="10" w:after="10"/>
              <w:rPr>
                <w:sz w:val="18"/>
                <w:lang w:val="en-US"/>
              </w:rPr>
            </w:pPr>
            <w:r>
              <w:rPr>
                <w:sz w:val="18"/>
                <w:lang w:val="en-US"/>
              </w:rPr>
              <w:t>KARDITSA</w:t>
            </w:r>
          </w:p>
        </w:tc>
        <w:tc>
          <w:tcPr>
            <w:tcW w:w="1093" w:type="dxa"/>
            <w:tcBorders>
              <w:top w:val="nil"/>
              <w:left w:val="nil"/>
              <w:bottom w:val="single" w:sz="4" w:space="0" w:color="auto"/>
              <w:right w:val="nil"/>
            </w:tcBorders>
          </w:tcPr>
          <w:p w:rsidR="00000000" w:rsidRDefault="00000000">
            <w:pPr>
              <w:pStyle w:val="a6"/>
              <w:spacing w:before="10" w:after="10"/>
              <w:rPr>
                <w:sz w:val="18"/>
                <w:lang w:val="en-US"/>
              </w:rPr>
            </w:pPr>
            <w:r>
              <w:rPr>
                <w:sz w:val="18"/>
                <w:lang w:val="en-US"/>
              </w:rPr>
              <w:t>18</w:t>
            </w:r>
          </w:p>
        </w:tc>
        <w:tc>
          <w:tcPr>
            <w:tcW w:w="983" w:type="dxa"/>
            <w:tcBorders>
              <w:top w:val="nil"/>
              <w:left w:val="nil"/>
              <w:bottom w:val="single" w:sz="4" w:space="0" w:color="auto"/>
              <w:right w:val="nil"/>
            </w:tcBorders>
          </w:tcPr>
          <w:p w:rsidR="00000000" w:rsidRDefault="00000000">
            <w:pPr>
              <w:pStyle w:val="a6"/>
              <w:spacing w:before="10" w:after="10"/>
              <w:rPr>
                <w:sz w:val="18"/>
                <w:lang w:val="en-US"/>
              </w:rPr>
            </w:pPr>
            <w:r>
              <w:rPr>
                <w:sz w:val="18"/>
                <w:lang w:val="en-US"/>
              </w:rPr>
              <w:t>4</w:t>
            </w:r>
          </w:p>
        </w:tc>
        <w:tc>
          <w:tcPr>
            <w:tcW w:w="1134" w:type="dxa"/>
            <w:tcBorders>
              <w:top w:val="nil"/>
              <w:left w:val="nil"/>
              <w:bottom w:val="single" w:sz="4" w:space="0" w:color="auto"/>
              <w:right w:val="nil"/>
            </w:tcBorders>
          </w:tcPr>
          <w:p w:rsidR="00000000" w:rsidRDefault="00000000">
            <w:pPr>
              <w:pStyle w:val="a6"/>
              <w:spacing w:before="10" w:after="10"/>
              <w:rPr>
                <w:sz w:val="18"/>
                <w:lang w:val="en-US"/>
              </w:rPr>
            </w:pPr>
            <w:r>
              <w:rPr>
                <w:sz w:val="18"/>
                <w:lang w:val="en-US"/>
              </w:rPr>
              <w:t>55</w:t>
            </w:r>
          </w:p>
        </w:tc>
        <w:tc>
          <w:tcPr>
            <w:tcW w:w="992" w:type="dxa"/>
            <w:tcBorders>
              <w:top w:val="nil"/>
              <w:left w:val="nil"/>
              <w:bottom w:val="single" w:sz="4" w:space="0" w:color="auto"/>
              <w:right w:val="nil"/>
            </w:tcBorders>
          </w:tcPr>
          <w:p w:rsidR="00000000" w:rsidRDefault="00000000">
            <w:pPr>
              <w:pStyle w:val="a6"/>
              <w:spacing w:before="10" w:after="10"/>
              <w:rPr>
                <w:sz w:val="18"/>
                <w:lang w:val="en-US"/>
              </w:rPr>
            </w:pPr>
            <w:r>
              <w:rPr>
                <w:sz w:val="18"/>
                <w:lang w:val="en-US"/>
              </w:rPr>
              <w:t>20</w:t>
            </w:r>
          </w:p>
        </w:tc>
        <w:tc>
          <w:tcPr>
            <w:tcW w:w="985" w:type="dxa"/>
            <w:tcBorders>
              <w:top w:val="nil"/>
              <w:left w:val="nil"/>
              <w:bottom w:val="single" w:sz="4" w:space="0" w:color="auto"/>
              <w:right w:val="nil"/>
            </w:tcBorders>
          </w:tcPr>
          <w:p w:rsidR="00000000" w:rsidRDefault="00000000">
            <w:pPr>
              <w:pStyle w:val="a6"/>
              <w:spacing w:before="10" w:after="10"/>
              <w:rPr>
                <w:sz w:val="18"/>
                <w:lang w:val="en-US"/>
              </w:rPr>
            </w:pPr>
            <w:r>
              <w:rPr>
                <w:sz w:val="18"/>
                <w:lang w:val="en-US"/>
              </w:rPr>
              <w:t>73</w:t>
            </w:r>
          </w:p>
        </w:tc>
        <w:tc>
          <w:tcPr>
            <w:tcW w:w="993" w:type="dxa"/>
            <w:tcBorders>
              <w:top w:val="nil"/>
              <w:left w:val="nil"/>
              <w:bottom w:val="single" w:sz="4" w:space="0" w:color="auto"/>
              <w:right w:val="nil"/>
            </w:tcBorders>
          </w:tcPr>
          <w:p w:rsidR="00000000" w:rsidRDefault="00000000">
            <w:pPr>
              <w:pStyle w:val="a6"/>
              <w:spacing w:before="10" w:after="10"/>
              <w:rPr>
                <w:sz w:val="18"/>
                <w:lang w:val="en-US"/>
              </w:rPr>
            </w:pPr>
            <w:r>
              <w:rPr>
                <w:sz w:val="18"/>
                <w:lang w:val="en-US"/>
              </w:rPr>
              <w:t>24</w:t>
            </w:r>
          </w:p>
        </w:tc>
      </w:tr>
      <w:tr w:rsidR="00000000">
        <w:tblPrEx>
          <w:tblCellMar>
            <w:top w:w="0" w:type="dxa"/>
            <w:bottom w:w="0" w:type="dxa"/>
          </w:tblCellMar>
        </w:tblPrEx>
        <w:trPr>
          <w:cantSplit/>
          <w:jc w:val="center"/>
        </w:trPr>
        <w:tc>
          <w:tcPr>
            <w:tcW w:w="1577" w:type="dxa"/>
            <w:vMerge w:val="restart"/>
            <w:tcBorders>
              <w:top w:val="single" w:sz="4" w:space="0" w:color="auto"/>
              <w:left w:val="nil"/>
              <w:bottom w:val="nil"/>
              <w:right w:val="nil"/>
            </w:tcBorders>
            <w:vAlign w:val="center"/>
          </w:tcPr>
          <w:p w:rsidR="00000000" w:rsidRDefault="00000000">
            <w:pPr>
              <w:pStyle w:val="a6"/>
              <w:spacing w:before="10" w:after="10"/>
              <w:rPr>
                <w:b/>
                <w:sz w:val="18"/>
                <w:lang w:val="en-US"/>
              </w:rPr>
            </w:pPr>
            <w:r>
              <w:rPr>
                <w:b/>
                <w:sz w:val="18"/>
                <w:lang w:val="en-US"/>
              </w:rPr>
              <w:t>LAMIA</w:t>
            </w:r>
          </w:p>
        </w:tc>
        <w:tc>
          <w:tcPr>
            <w:tcW w:w="1732" w:type="dxa"/>
            <w:tcBorders>
              <w:top w:val="single" w:sz="4" w:space="0" w:color="auto"/>
              <w:left w:val="nil"/>
              <w:bottom w:val="nil"/>
              <w:right w:val="nil"/>
            </w:tcBorders>
            <w:vAlign w:val="center"/>
          </w:tcPr>
          <w:p w:rsidR="00000000" w:rsidRDefault="00000000">
            <w:pPr>
              <w:pStyle w:val="a6"/>
              <w:spacing w:before="10" w:after="10"/>
              <w:rPr>
                <w:sz w:val="18"/>
                <w:lang w:val="en-US"/>
              </w:rPr>
            </w:pPr>
            <w:r>
              <w:rPr>
                <w:sz w:val="18"/>
                <w:lang w:val="en-US"/>
              </w:rPr>
              <w:t>LAMIA</w:t>
            </w:r>
          </w:p>
        </w:tc>
        <w:tc>
          <w:tcPr>
            <w:tcW w:w="1093" w:type="dxa"/>
            <w:tcBorders>
              <w:top w:val="single" w:sz="4" w:space="0" w:color="auto"/>
              <w:left w:val="nil"/>
              <w:bottom w:val="nil"/>
              <w:right w:val="nil"/>
            </w:tcBorders>
          </w:tcPr>
          <w:p w:rsidR="00000000" w:rsidRDefault="00000000">
            <w:pPr>
              <w:pStyle w:val="a6"/>
              <w:spacing w:before="10" w:after="10"/>
              <w:rPr>
                <w:sz w:val="18"/>
                <w:lang w:val="en-US"/>
              </w:rPr>
            </w:pPr>
            <w:r>
              <w:rPr>
                <w:sz w:val="18"/>
                <w:lang w:val="en-US"/>
              </w:rPr>
              <w:t>48</w:t>
            </w:r>
          </w:p>
        </w:tc>
        <w:tc>
          <w:tcPr>
            <w:tcW w:w="983" w:type="dxa"/>
            <w:tcBorders>
              <w:top w:val="single" w:sz="4" w:space="0" w:color="auto"/>
              <w:left w:val="nil"/>
              <w:bottom w:val="nil"/>
              <w:right w:val="nil"/>
            </w:tcBorders>
          </w:tcPr>
          <w:p w:rsidR="00000000" w:rsidRDefault="00000000">
            <w:pPr>
              <w:pStyle w:val="a6"/>
              <w:spacing w:before="10" w:after="10"/>
              <w:rPr>
                <w:sz w:val="18"/>
                <w:lang w:val="en-US"/>
              </w:rPr>
            </w:pPr>
            <w:r>
              <w:rPr>
                <w:sz w:val="18"/>
                <w:lang w:val="en-US"/>
              </w:rPr>
              <w:t>4</w:t>
            </w:r>
          </w:p>
        </w:tc>
        <w:tc>
          <w:tcPr>
            <w:tcW w:w="1134" w:type="dxa"/>
            <w:tcBorders>
              <w:top w:val="single" w:sz="4" w:space="0" w:color="auto"/>
              <w:left w:val="nil"/>
              <w:bottom w:val="nil"/>
              <w:right w:val="nil"/>
            </w:tcBorders>
          </w:tcPr>
          <w:p w:rsidR="00000000" w:rsidRDefault="00000000">
            <w:pPr>
              <w:pStyle w:val="a6"/>
              <w:spacing w:before="10" w:after="10"/>
              <w:rPr>
                <w:sz w:val="18"/>
                <w:lang w:val="en-US"/>
              </w:rPr>
            </w:pPr>
            <w:r>
              <w:rPr>
                <w:sz w:val="18"/>
                <w:lang w:val="en-US"/>
              </w:rPr>
              <w:t>275</w:t>
            </w:r>
          </w:p>
        </w:tc>
        <w:tc>
          <w:tcPr>
            <w:tcW w:w="992" w:type="dxa"/>
            <w:tcBorders>
              <w:top w:val="single" w:sz="4" w:space="0" w:color="auto"/>
              <w:left w:val="nil"/>
              <w:bottom w:val="nil"/>
              <w:right w:val="nil"/>
            </w:tcBorders>
          </w:tcPr>
          <w:p w:rsidR="00000000" w:rsidRDefault="00000000">
            <w:pPr>
              <w:pStyle w:val="a6"/>
              <w:spacing w:before="10" w:after="10"/>
              <w:rPr>
                <w:sz w:val="18"/>
                <w:lang w:val="en-US"/>
              </w:rPr>
            </w:pPr>
            <w:r>
              <w:rPr>
                <w:sz w:val="18"/>
                <w:lang w:val="en-US"/>
              </w:rPr>
              <w:t>161</w:t>
            </w:r>
          </w:p>
        </w:tc>
        <w:tc>
          <w:tcPr>
            <w:tcW w:w="985" w:type="dxa"/>
            <w:tcBorders>
              <w:top w:val="single" w:sz="4" w:space="0" w:color="auto"/>
              <w:left w:val="nil"/>
              <w:bottom w:val="nil"/>
              <w:right w:val="nil"/>
            </w:tcBorders>
          </w:tcPr>
          <w:p w:rsidR="00000000" w:rsidRDefault="00000000">
            <w:pPr>
              <w:pStyle w:val="a6"/>
              <w:spacing w:before="10" w:after="10"/>
              <w:rPr>
                <w:sz w:val="18"/>
                <w:lang w:val="en-US"/>
              </w:rPr>
            </w:pPr>
            <w:r>
              <w:rPr>
                <w:sz w:val="18"/>
                <w:lang w:val="en-US"/>
              </w:rPr>
              <w:t>323</w:t>
            </w:r>
          </w:p>
        </w:tc>
        <w:tc>
          <w:tcPr>
            <w:tcW w:w="993" w:type="dxa"/>
            <w:tcBorders>
              <w:top w:val="single" w:sz="4" w:space="0" w:color="auto"/>
              <w:left w:val="nil"/>
              <w:bottom w:val="nil"/>
              <w:right w:val="nil"/>
            </w:tcBorders>
          </w:tcPr>
          <w:p w:rsidR="00000000" w:rsidRDefault="00000000">
            <w:pPr>
              <w:pStyle w:val="a6"/>
              <w:spacing w:before="10" w:after="10"/>
              <w:rPr>
                <w:sz w:val="18"/>
                <w:lang w:val="en-US"/>
              </w:rPr>
            </w:pPr>
            <w:r>
              <w:rPr>
                <w:sz w:val="18"/>
                <w:lang w:val="en-US"/>
              </w:rPr>
              <w:t>165</w:t>
            </w:r>
          </w:p>
        </w:tc>
      </w:tr>
      <w:tr w:rsidR="00000000">
        <w:tblPrEx>
          <w:tblCellMar>
            <w:top w:w="0" w:type="dxa"/>
            <w:bottom w:w="0" w:type="dxa"/>
          </w:tblCellMar>
        </w:tblPrEx>
        <w:trPr>
          <w:cantSplit/>
          <w:jc w:val="center"/>
        </w:trPr>
        <w:tc>
          <w:tcPr>
            <w:tcW w:w="1577" w:type="dxa"/>
            <w:vMerge/>
            <w:tcBorders>
              <w:top w:val="nil"/>
              <w:left w:val="nil"/>
              <w:bottom w:val="nil"/>
              <w:right w:val="nil"/>
            </w:tcBorders>
            <w:vAlign w:val="center"/>
          </w:tcPr>
          <w:p w:rsidR="00000000" w:rsidRDefault="00000000">
            <w:pPr>
              <w:pStyle w:val="a6"/>
              <w:spacing w:before="10" w:after="10"/>
              <w:rPr>
                <w:b/>
                <w:sz w:val="18"/>
                <w:lang w:val="en-US"/>
              </w:rPr>
            </w:pPr>
          </w:p>
        </w:tc>
        <w:tc>
          <w:tcPr>
            <w:tcW w:w="1732" w:type="dxa"/>
            <w:tcBorders>
              <w:top w:val="nil"/>
              <w:left w:val="nil"/>
              <w:bottom w:val="nil"/>
              <w:right w:val="nil"/>
            </w:tcBorders>
            <w:vAlign w:val="center"/>
          </w:tcPr>
          <w:p w:rsidR="00000000" w:rsidRDefault="00000000">
            <w:pPr>
              <w:pStyle w:val="a6"/>
              <w:spacing w:before="10" w:after="10"/>
              <w:rPr>
                <w:sz w:val="18"/>
                <w:lang w:val="en-US"/>
              </w:rPr>
            </w:pPr>
            <w:r>
              <w:rPr>
                <w:sz w:val="18"/>
                <w:lang w:val="en-US"/>
              </w:rPr>
              <w:t>KARPENISSI</w:t>
            </w:r>
          </w:p>
        </w:tc>
        <w:tc>
          <w:tcPr>
            <w:tcW w:w="1093" w:type="dxa"/>
            <w:tcBorders>
              <w:top w:val="nil"/>
              <w:left w:val="nil"/>
              <w:bottom w:val="nil"/>
              <w:right w:val="nil"/>
            </w:tcBorders>
          </w:tcPr>
          <w:p w:rsidR="00000000" w:rsidRDefault="00000000">
            <w:pPr>
              <w:pStyle w:val="a6"/>
              <w:spacing w:before="10" w:after="10"/>
              <w:rPr>
                <w:sz w:val="18"/>
                <w:lang w:val="en-US"/>
              </w:rPr>
            </w:pPr>
            <w:r>
              <w:rPr>
                <w:sz w:val="18"/>
                <w:lang w:val="en-US"/>
              </w:rPr>
              <w:t>9</w:t>
            </w:r>
          </w:p>
        </w:tc>
        <w:tc>
          <w:tcPr>
            <w:tcW w:w="983" w:type="dxa"/>
            <w:tcBorders>
              <w:top w:val="nil"/>
              <w:left w:val="nil"/>
              <w:bottom w:val="nil"/>
              <w:right w:val="nil"/>
            </w:tcBorders>
          </w:tcPr>
          <w:p w:rsidR="00000000" w:rsidRDefault="00000000">
            <w:pPr>
              <w:pStyle w:val="a6"/>
              <w:spacing w:before="10" w:after="10"/>
              <w:rPr>
                <w:sz w:val="18"/>
                <w:lang w:val="en-US"/>
              </w:rPr>
            </w:pPr>
            <w:r>
              <w:rPr>
                <w:sz w:val="18"/>
                <w:lang w:val="en-US"/>
              </w:rPr>
              <w:t>3</w:t>
            </w:r>
          </w:p>
        </w:tc>
        <w:tc>
          <w:tcPr>
            <w:tcW w:w="1134" w:type="dxa"/>
            <w:tcBorders>
              <w:top w:val="nil"/>
              <w:left w:val="nil"/>
              <w:bottom w:val="nil"/>
              <w:right w:val="nil"/>
            </w:tcBorders>
          </w:tcPr>
          <w:p w:rsidR="00000000" w:rsidRDefault="00000000">
            <w:pPr>
              <w:pStyle w:val="a6"/>
              <w:spacing w:before="10" w:after="10"/>
              <w:rPr>
                <w:sz w:val="18"/>
                <w:lang w:val="en-US"/>
              </w:rPr>
            </w:pPr>
            <w:r>
              <w:rPr>
                <w:sz w:val="18"/>
                <w:lang w:val="en-US"/>
              </w:rPr>
              <w:t>24</w:t>
            </w:r>
          </w:p>
        </w:tc>
        <w:tc>
          <w:tcPr>
            <w:tcW w:w="992" w:type="dxa"/>
            <w:tcBorders>
              <w:top w:val="nil"/>
              <w:left w:val="nil"/>
              <w:bottom w:val="nil"/>
              <w:right w:val="nil"/>
            </w:tcBorders>
          </w:tcPr>
          <w:p w:rsidR="00000000" w:rsidRDefault="00000000">
            <w:pPr>
              <w:pStyle w:val="a6"/>
              <w:spacing w:before="10" w:after="10"/>
              <w:rPr>
                <w:sz w:val="18"/>
                <w:lang w:val="en-US"/>
              </w:rPr>
            </w:pPr>
            <w:r>
              <w:rPr>
                <w:sz w:val="18"/>
                <w:lang w:val="en-US"/>
              </w:rPr>
              <w:t>8</w:t>
            </w:r>
          </w:p>
        </w:tc>
        <w:tc>
          <w:tcPr>
            <w:tcW w:w="985" w:type="dxa"/>
            <w:tcBorders>
              <w:top w:val="nil"/>
              <w:left w:val="nil"/>
              <w:bottom w:val="nil"/>
              <w:right w:val="nil"/>
            </w:tcBorders>
          </w:tcPr>
          <w:p w:rsidR="00000000" w:rsidRDefault="00000000">
            <w:pPr>
              <w:pStyle w:val="a6"/>
              <w:spacing w:before="10" w:after="10"/>
              <w:rPr>
                <w:sz w:val="18"/>
                <w:lang w:val="en-US"/>
              </w:rPr>
            </w:pPr>
            <w:r>
              <w:rPr>
                <w:sz w:val="18"/>
                <w:lang w:val="en-US"/>
              </w:rPr>
              <w:t>33</w:t>
            </w:r>
          </w:p>
        </w:tc>
        <w:tc>
          <w:tcPr>
            <w:tcW w:w="993" w:type="dxa"/>
            <w:tcBorders>
              <w:top w:val="nil"/>
              <w:left w:val="nil"/>
              <w:bottom w:val="nil"/>
              <w:right w:val="nil"/>
            </w:tcBorders>
          </w:tcPr>
          <w:p w:rsidR="00000000" w:rsidRDefault="00000000">
            <w:pPr>
              <w:pStyle w:val="a6"/>
              <w:spacing w:before="10" w:after="10"/>
              <w:rPr>
                <w:sz w:val="18"/>
                <w:lang w:val="en-US"/>
              </w:rPr>
            </w:pPr>
            <w:r>
              <w:rPr>
                <w:sz w:val="18"/>
                <w:lang w:val="en-US"/>
              </w:rPr>
              <w:t>11</w:t>
            </w:r>
          </w:p>
        </w:tc>
      </w:tr>
      <w:tr w:rsidR="00000000">
        <w:tblPrEx>
          <w:tblCellMar>
            <w:top w:w="0" w:type="dxa"/>
            <w:bottom w:w="0" w:type="dxa"/>
          </w:tblCellMar>
        </w:tblPrEx>
        <w:trPr>
          <w:cantSplit/>
          <w:jc w:val="center"/>
        </w:trPr>
        <w:tc>
          <w:tcPr>
            <w:tcW w:w="1577" w:type="dxa"/>
            <w:vMerge/>
            <w:tcBorders>
              <w:top w:val="nil"/>
              <w:left w:val="nil"/>
              <w:bottom w:val="single" w:sz="4" w:space="0" w:color="auto"/>
              <w:right w:val="nil"/>
            </w:tcBorders>
            <w:vAlign w:val="center"/>
          </w:tcPr>
          <w:p w:rsidR="00000000" w:rsidRDefault="00000000">
            <w:pPr>
              <w:pStyle w:val="a6"/>
              <w:spacing w:before="10" w:after="10"/>
              <w:rPr>
                <w:b/>
                <w:sz w:val="18"/>
                <w:lang w:val="en-US"/>
              </w:rPr>
            </w:pPr>
          </w:p>
        </w:tc>
        <w:tc>
          <w:tcPr>
            <w:tcW w:w="1732" w:type="dxa"/>
            <w:tcBorders>
              <w:top w:val="nil"/>
              <w:left w:val="nil"/>
              <w:bottom w:val="single" w:sz="4" w:space="0" w:color="auto"/>
              <w:right w:val="nil"/>
            </w:tcBorders>
            <w:vAlign w:val="center"/>
          </w:tcPr>
          <w:p w:rsidR="00000000" w:rsidRDefault="00000000">
            <w:pPr>
              <w:pStyle w:val="a6"/>
              <w:spacing w:before="10" w:after="10"/>
              <w:rPr>
                <w:sz w:val="18"/>
                <w:lang w:val="en-US"/>
              </w:rPr>
            </w:pPr>
            <w:r>
              <w:rPr>
                <w:sz w:val="18"/>
                <w:lang w:val="en-US"/>
              </w:rPr>
              <w:t>AMFISSA</w:t>
            </w:r>
          </w:p>
        </w:tc>
        <w:tc>
          <w:tcPr>
            <w:tcW w:w="1093" w:type="dxa"/>
            <w:tcBorders>
              <w:top w:val="nil"/>
              <w:left w:val="nil"/>
              <w:bottom w:val="single" w:sz="4" w:space="0" w:color="auto"/>
              <w:right w:val="nil"/>
            </w:tcBorders>
          </w:tcPr>
          <w:p w:rsidR="00000000" w:rsidRDefault="00000000">
            <w:pPr>
              <w:pStyle w:val="a6"/>
              <w:spacing w:before="10" w:after="10"/>
              <w:rPr>
                <w:sz w:val="18"/>
                <w:lang w:val="en-US"/>
              </w:rPr>
            </w:pPr>
            <w:r>
              <w:rPr>
                <w:sz w:val="18"/>
                <w:lang w:val="en-US"/>
              </w:rPr>
              <w:t>1</w:t>
            </w:r>
          </w:p>
        </w:tc>
        <w:tc>
          <w:tcPr>
            <w:tcW w:w="983" w:type="dxa"/>
            <w:tcBorders>
              <w:top w:val="nil"/>
              <w:left w:val="nil"/>
              <w:bottom w:val="single" w:sz="4" w:space="0" w:color="auto"/>
              <w:right w:val="nil"/>
            </w:tcBorders>
          </w:tcPr>
          <w:p w:rsidR="00000000" w:rsidRDefault="00000000">
            <w:pPr>
              <w:pStyle w:val="a6"/>
              <w:spacing w:before="10" w:after="10"/>
              <w:rPr>
                <w:sz w:val="18"/>
                <w:lang w:val="en-US"/>
              </w:rPr>
            </w:pPr>
          </w:p>
        </w:tc>
        <w:tc>
          <w:tcPr>
            <w:tcW w:w="1134" w:type="dxa"/>
            <w:tcBorders>
              <w:top w:val="nil"/>
              <w:left w:val="nil"/>
              <w:bottom w:val="single" w:sz="4" w:space="0" w:color="auto"/>
              <w:right w:val="nil"/>
            </w:tcBorders>
          </w:tcPr>
          <w:p w:rsidR="00000000" w:rsidRDefault="00000000">
            <w:pPr>
              <w:pStyle w:val="a6"/>
              <w:spacing w:before="10" w:after="10"/>
              <w:rPr>
                <w:sz w:val="18"/>
                <w:lang w:val="en-US"/>
              </w:rPr>
            </w:pPr>
            <w:r>
              <w:rPr>
                <w:sz w:val="18"/>
                <w:lang w:val="en-US"/>
              </w:rPr>
              <w:t>41</w:t>
            </w:r>
          </w:p>
        </w:tc>
        <w:tc>
          <w:tcPr>
            <w:tcW w:w="992" w:type="dxa"/>
            <w:tcBorders>
              <w:top w:val="nil"/>
              <w:left w:val="nil"/>
              <w:bottom w:val="single" w:sz="4" w:space="0" w:color="auto"/>
              <w:right w:val="nil"/>
            </w:tcBorders>
          </w:tcPr>
          <w:p w:rsidR="00000000" w:rsidRDefault="00000000">
            <w:pPr>
              <w:pStyle w:val="a6"/>
              <w:spacing w:before="10" w:after="10"/>
              <w:rPr>
                <w:sz w:val="18"/>
                <w:lang w:val="en-US"/>
              </w:rPr>
            </w:pPr>
            <w:r>
              <w:rPr>
                <w:sz w:val="18"/>
                <w:lang w:val="en-US"/>
              </w:rPr>
              <w:t>27</w:t>
            </w:r>
          </w:p>
        </w:tc>
        <w:tc>
          <w:tcPr>
            <w:tcW w:w="985" w:type="dxa"/>
            <w:tcBorders>
              <w:top w:val="nil"/>
              <w:left w:val="nil"/>
              <w:bottom w:val="single" w:sz="4" w:space="0" w:color="auto"/>
              <w:right w:val="nil"/>
            </w:tcBorders>
          </w:tcPr>
          <w:p w:rsidR="00000000" w:rsidRDefault="00000000">
            <w:pPr>
              <w:pStyle w:val="a6"/>
              <w:spacing w:before="10" w:after="10"/>
              <w:rPr>
                <w:sz w:val="18"/>
                <w:lang w:val="en-US"/>
              </w:rPr>
            </w:pPr>
            <w:r>
              <w:rPr>
                <w:sz w:val="18"/>
                <w:lang w:val="en-US"/>
              </w:rPr>
              <w:t>42</w:t>
            </w:r>
          </w:p>
        </w:tc>
        <w:tc>
          <w:tcPr>
            <w:tcW w:w="993" w:type="dxa"/>
            <w:tcBorders>
              <w:top w:val="nil"/>
              <w:left w:val="nil"/>
              <w:bottom w:val="single" w:sz="4" w:space="0" w:color="auto"/>
              <w:right w:val="nil"/>
            </w:tcBorders>
          </w:tcPr>
          <w:p w:rsidR="00000000" w:rsidRDefault="00000000">
            <w:pPr>
              <w:pStyle w:val="a6"/>
              <w:spacing w:before="10" w:after="10"/>
              <w:rPr>
                <w:sz w:val="18"/>
                <w:lang w:val="en-US"/>
              </w:rPr>
            </w:pPr>
            <w:r>
              <w:rPr>
                <w:sz w:val="18"/>
                <w:lang w:val="en-US"/>
              </w:rPr>
              <w:t>27</w:t>
            </w:r>
          </w:p>
        </w:tc>
      </w:tr>
      <w:tr w:rsidR="00000000">
        <w:tblPrEx>
          <w:tblCellMar>
            <w:top w:w="0" w:type="dxa"/>
            <w:bottom w:w="0" w:type="dxa"/>
          </w:tblCellMar>
        </w:tblPrEx>
        <w:trPr>
          <w:cantSplit/>
          <w:jc w:val="center"/>
        </w:trPr>
        <w:tc>
          <w:tcPr>
            <w:tcW w:w="1577" w:type="dxa"/>
            <w:tcBorders>
              <w:top w:val="single" w:sz="4" w:space="0" w:color="auto"/>
              <w:left w:val="nil"/>
              <w:bottom w:val="single" w:sz="4" w:space="0" w:color="auto"/>
              <w:right w:val="nil"/>
            </w:tcBorders>
            <w:vAlign w:val="center"/>
          </w:tcPr>
          <w:p w:rsidR="00000000" w:rsidRDefault="00000000">
            <w:pPr>
              <w:pStyle w:val="a6"/>
              <w:spacing w:before="10" w:after="10"/>
              <w:rPr>
                <w:b/>
                <w:sz w:val="18"/>
                <w:lang w:val="en-US"/>
              </w:rPr>
            </w:pPr>
            <w:r>
              <w:rPr>
                <w:b/>
                <w:sz w:val="18"/>
                <w:lang w:val="en-US"/>
              </w:rPr>
              <w:t>MESSOLONGHI</w:t>
            </w:r>
          </w:p>
        </w:tc>
        <w:tc>
          <w:tcPr>
            <w:tcW w:w="1732" w:type="dxa"/>
            <w:tcBorders>
              <w:top w:val="single" w:sz="4" w:space="0" w:color="auto"/>
              <w:left w:val="nil"/>
              <w:bottom w:val="single" w:sz="4" w:space="0" w:color="auto"/>
              <w:right w:val="nil"/>
            </w:tcBorders>
            <w:vAlign w:val="center"/>
          </w:tcPr>
          <w:p w:rsidR="00000000" w:rsidRDefault="00000000">
            <w:pPr>
              <w:pStyle w:val="a6"/>
              <w:spacing w:before="10" w:after="10"/>
              <w:rPr>
                <w:sz w:val="18"/>
                <w:lang w:val="en-US"/>
              </w:rPr>
            </w:pPr>
            <w:r>
              <w:rPr>
                <w:sz w:val="18"/>
                <w:lang w:val="en-US"/>
              </w:rPr>
              <w:t>MESSOLONGHI</w:t>
            </w:r>
          </w:p>
        </w:tc>
        <w:tc>
          <w:tcPr>
            <w:tcW w:w="1093" w:type="dxa"/>
            <w:tcBorders>
              <w:top w:val="single" w:sz="4" w:space="0" w:color="auto"/>
              <w:left w:val="nil"/>
              <w:bottom w:val="single" w:sz="4" w:space="0" w:color="auto"/>
              <w:right w:val="nil"/>
            </w:tcBorders>
          </w:tcPr>
          <w:p w:rsidR="00000000" w:rsidRDefault="00000000">
            <w:pPr>
              <w:pStyle w:val="a6"/>
              <w:spacing w:before="10" w:after="10"/>
              <w:rPr>
                <w:sz w:val="18"/>
                <w:lang w:val="en-US"/>
              </w:rPr>
            </w:pPr>
            <w:r>
              <w:rPr>
                <w:sz w:val="18"/>
                <w:lang w:val="en-US"/>
              </w:rPr>
              <w:t>37</w:t>
            </w:r>
          </w:p>
        </w:tc>
        <w:tc>
          <w:tcPr>
            <w:tcW w:w="983" w:type="dxa"/>
            <w:tcBorders>
              <w:top w:val="single" w:sz="4" w:space="0" w:color="auto"/>
              <w:left w:val="nil"/>
              <w:bottom w:val="single" w:sz="4" w:space="0" w:color="auto"/>
              <w:right w:val="nil"/>
            </w:tcBorders>
          </w:tcPr>
          <w:p w:rsidR="00000000" w:rsidRDefault="00000000">
            <w:pPr>
              <w:pStyle w:val="a6"/>
              <w:spacing w:before="10" w:after="10"/>
              <w:rPr>
                <w:sz w:val="18"/>
                <w:lang w:val="en-US"/>
              </w:rPr>
            </w:pPr>
            <w:r>
              <w:rPr>
                <w:sz w:val="18"/>
                <w:lang w:val="en-US"/>
              </w:rPr>
              <w:t>11</w:t>
            </w:r>
          </w:p>
        </w:tc>
        <w:tc>
          <w:tcPr>
            <w:tcW w:w="1134" w:type="dxa"/>
            <w:tcBorders>
              <w:top w:val="single" w:sz="4" w:space="0" w:color="auto"/>
              <w:left w:val="nil"/>
              <w:bottom w:val="single" w:sz="4" w:space="0" w:color="auto"/>
              <w:right w:val="nil"/>
            </w:tcBorders>
          </w:tcPr>
          <w:p w:rsidR="00000000" w:rsidRDefault="00000000">
            <w:pPr>
              <w:pStyle w:val="a6"/>
              <w:spacing w:before="10" w:after="10"/>
              <w:rPr>
                <w:sz w:val="18"/>
                <w:lang w:val="en-US"/>
              </w:rPr>
            </w:pPr>
            <w:r>
              <w:rPr>
                <w:sz w:val="18"/>
                <w:lang w:val="en-US"/>
              </w:rPr>
              <w:t>175</w:t>
            </w:r>
          </w:p>
        </w:tc>
        <w:tc>
          <w:tcPr>
            <w:tcW w:w="992" w:type="dxa"/>
            <w:tcBorders>
              <w:top w:val="single" w:sz="4" w:space="0" w:color="auto"/>
              <w:left w:val="nil"/>
              <w:bottom w:val="single" w:sz="4" w:space="0" w:color="auto"/>
              <w:right w:val="nil"/>
            </w:tcBorders>
          </w:tcPr>
          <w:p w:rsidR="00000000" w:rsidRDefault="00000000">
            <w:pPr>
              <w:pStyle w:val="a6"/>
              <w:spacing w:before="10" w:after="10"/>
              <w:rPr>
                <w:sz w:val="18"/>
                <w:lang w:val="en-US"/>
              </w:rPr>
            </w:pPr>
            <w:r>
              <w:rPr>
                <w:sz w:val="18"/>
                <w:lang w:val="en-US"/>
              </w:rPr>
              <w:t>60</w:t>
            </w:r>
          </w:p>
        </w:tc>
        <w:tc>
          <w:tcPr>
            <w:tcW w:w="985" w:type="dxa"/>
            <w:tcBorders>
              <w:top w:val="single" w:sz="4" w:space="0" w:color="auto"/>
              <w:left w:val="nil"/>
              <w:bottom w:val="single" w:sz="4" w:space="0" w:color="auto"/>
              <w:right w:val="nil"/>
            </w:tcBorders>
          </w:tcPr>
          <w:p w:rsidR="00000000" w:rsidRDefault="00000000">
            <w:pPr>
              <w:pStyle w:val="a6"/>
              <w:spacing w:before="10" w:after="10"/>
              <w:rPr>
                <w:sz w:val="18"/>
                <w:lang w:val="en-US"/>
              </w:rPr>
            </w:pPr>
            <w:r>
              <w:rPr>
                <w:sz w:val="18"/>
                <w:lang w:val="en-US"/>
              </w:rPr>
              <w:t>212</w:t>
            </w:r>
          </w:p>
        </w:tc>
        <w:tc>
          <w:tcPr>
            <w:tcW w:w="993" w:type="dxa"/>
            <w:tcBorders>
              <w:top w:val="single" w:sz="4" w:space="0" w:color="auto"/>
              <w:left w:val="nil"/>
              <w:bottom w:val="single" w:sz="4" w:space="0" w:color="auto"/>
              <w:right w:val="nil"/>
            </w:tcBorders>
          </w:tcPr>
          <w:p w:rsidR="00000000" w:rsidRDefault="00000000">
            <w:pPr>
              <w:pStyle w:val="a6"/>
              <w:spacing w:before="10" w:after="10"/>
              <w:rPr>
                <w:sz w:val="18"/>
                <w:lang w:val="en-US"/>
              </w:rPr>
            </w:pPr>
            <w:r>
              <w:rPr>
                <w:sz w:val="18"/>
                <w:lang w:val="en-US"/>
              </w:rPr>
              <w:t>71</w:t>
            </w:r>
          </w:p>
        </w:tc>
      </w:tr>
      <w:tr w:rsidR="00000000">
        <w:tblPrEx>
          <w:tblCellMar>
            <w:top w:w="0" w:type="dxa"/>
            <w:bottom w:w="0" w:type="dxa"/>
          </w:tblCellMar>
        </w:tblPrEx>
        <w:trPr>
          <w:cantSplit/>
          <w:jc w:val="center"/>
        </w:trPr>
        <w:tc>
          <w:tcPr>
            <w:tcW w:w="1577" w:type="dxa"/>
            <w:tcBorders>
              <w:top w:val="single" w:sz="4" w:space="0" w:color="auto"/>
              <w:left w:val="nil"/>
              <w:bottom w:val="single" w:sz="4" w:space="0" w:color="auto"/>
              <w:right w:val="nil"/>
            </w:tcBorders>
            <w:vAlign w:val="center"/>
          </w:tcPr>
          <w:p w:rsidR="00000000" w:rsidRDefault="00000000">
            <w:pPr>
              <w:pStyle w:val="a6"/>
              <w:spacing w:before="10" w:after="10"/>
              <w:rPr>
                <w:b/>
                <w:sz w:val="18"/>
                <w:lang w:val="en-US"/>
              </w:rPr>
            </w:pPr>
            <w:r>
              <w:rPr>
                <w:b/>
                <w:sz w:val="18"/>
                <w:lang w:val="en-US"/>
              </w:rPr>
              <w:t>PATRA</w:t>
            </w:r>
          </w:p>
        </w:tc>
        <w:tc>
          <w:tcPr>
            <w:tcW w:w="1732" w:type="dxa"/>
            <w:tcBorders>
              <w:top w:val="single" w:sz="4" w:space="0" w:color="auto"/>
              <w:left w:val="nil"/>
              <w:bottom w:val="single" w:sz="4" w:space="0" w:color="auto"/>
              <w:right w:val="nil"/>
            </w:tcBorders>
            <w:vAlign w:val="center"/>
          </w:tcPr>
          <w:p w:rsidR="00000000" w:rsidRDefault="00000000">
            <w:pPr>
              <w:pStyle w:val="a6"/>
              <w:spacing w:before="10" w:after="10"/>
              <w:rPr>
                <w:sz w:val="18"/>
                <w:lang w:val="en-US"/>
              </w:rPr>
            </w:pPr>
            <w:r>
              <w:rPr>
                <w:sz w:val="18"/>
                <w:lang w:val="en-US"/>
              </w:rPr>
              <w:t>PATRA</w:t>
            </w:r>
          </w:p>
        </w:tc>
        <w:tc>
          <w:tcPr>
            <w:tcW w:w="1093" w:type="dxa"/>
            <w:tcBorders>
              <w:top w:val="single" w:sz="4" w:space="0" w:color="auto"/>
              <w:left w:val="nil"/>
              <w:bottom w:val="single" w:sz="4" w:space="0" w:color="auto"/>
              <w:right w:val="nil"/>
            </w:tcBorders>
          </w:tcPr>
          <w:p w:rsidR="00000000" w:rsidRDefault="00000000">
            <w:pPr>
              <w:pStyle w:val="a6"/>
              <w:spacing w:before="10" w:after="10"/>
              <w:rPr>
                <w:sz w:val="18"/>
                <w:lang w:val="en-US"/>
              </w:rPr>
            </w:pPr>
            <w:r>
              <w:rPr>
                <w:sz w:val="18"/>
                <w:lang w:val="en-US"/>
              </w:rPr>
              <w:t>184</w:t>
            </w:r>
          </w:p>
        </w:tc>
        <w:tc>
          <w:tcPr>
            <w:tcW w:w="983" w:type="dxa"/>
            <w:tcBorders>
              <w:top w:val="single" w:sz="4" w:space="0" w:color="auto"/>
              <w:left w:val="nil"/>
              <w:bottom w:val="single" w:sz="4" w:space="0" w:color="auto"/>
              <w:right w:val="nil"/>
            </w:tcBorders>
          </w:tcPr>
          <w:p w:rsidR="00000000" w:rsidRDefault="00000000">
            <w:pPr>
              <w:pStyle w:val="a6"/>
              <w:spacing w:before="10" w:after="10"/>
              <w:rPr>
                <w:sz w:val="18"/>
                <w:lang w:val="en-US"/>
              </w:rPr>
            </w:pPr>
            <w:r>
              <w:rPr>
                <w:sz w:val="18"/>
                <w:lang w:val="en-US"/>
              </w:rPr>
              <w:t>67</w:t>
            </w:r>
          </w:p>
        </w:tc>
        <w:tc>
          <w:tcPr>
            <w:tcW w:w="1134" w:type="dxa"/>
            <w:tcBorders>
              <w:top w:val="single" w:sz="4" w:space="0" w:color="auto"/>
              <w:left w:val="nil"/>
              <w:bottom w:val="single" w:sz="4" w:space="0" w:color="auto"/>
              <w:right w:val="nil"/>
            </w:tcBorders>
          </w:tcPr>
          <w:p w:rsidR="00000000" w:rsidRDefault="00000000">
            <w:pPr>
              <w:pStyle w:val="a6"/>
              <w:spacing w:before="10" w:after="10"/>
              <w:rPr>
                <w:sz w:val="18"/>
                <w:lang w:val="en-US"/>
              </w:rPr>
            </w:pPr>
            <w:r>
              <w:rPr>
                <w:sz w:val="18"/>
                <w:lang w:val="en-US"/>
              </w:rPr>
              <w:t>463</w:t>
            </w:r>
          </w:p>
        </w:tc>
        <w:tc>
          <w:tcPr>
            <w:tcW w:w="992" w:type="dxa"/>
            <w:tcBorders>
              <w:top w:val="single" w:sz="4" w:space="0" w:color="auto"/>
              <w:left w:val="nil"/>
              <w:bottom w:val="single" w:sz="4" w:space="0" w:color="auto"/>
              <w:right w:val="nil"/>
            </w:tcBorders>
          </w:tcPr>
          <w:p w:rsidR="00000000" w:rsidRDefault="00000000">
            <w:pPr>
              <w:pStyle w:val="a6"/>
              <w:spacing w:before="10" w:after="10"/>
              <w:rPr>
                <w:sz w:val="18"/>
                <w:lang w:val="en-US"/>
              </w:rPr>
            </w:pPr>
            <w:r>
              <w:rPr>
                <w:sz w:val="18"/>
                <w:lang w:val="en-US"/>
              </w:rPr>
              <w:t>237</w:t>
            </w:r>
          </w:p>
        </w:tc>
        <w:tc>
          <w:tcPr>
            <w:tcW w:w="985" w:type="dxa"/>
            <w:tcBorders>
              <w:top w:val="single" w:sz="4" w:space="0" w:color="auto"/>
              <w:left w:val="nil"/>
              <w:bottom w:val="single" w:sz="4" w:space="0" w:color="auto"/>
              <w:right w:val="nil"/>
            </w:tcBorders>
          </w:tcPr>
          <w:p w:rsidR="00000000" w:rsidRDefault="00000000">
            <w:pPr>
              <w:pStyle w:val="a6"/>
              <w:spacing w:before="10" w:after="10"/>
              <w:rPr>
                <w:sz w:val="18"/>
                <w:lang w:val="en-US"/>
              </w:rPr>
            </w:pPr>
            <w:r>
              <w:rPr>
                <w:sz w:val="18"/>
                <w:lang w:val="en-US"/>
              </w:rPr>
              <w:t>647</w:t>
            </w:r>
          </w:p>
        </w:tc>
        <w:tc>
          <w:tcPr>
            <w:tcW w:w="993" w:type="dxa"/>
            <w:tcBorders>
              <w:top w:val="single" w:sz="4" w:space="0" w:color="auto"/>
              <w:left w:val="nil"/>
              <w:bottom w:val="single" w:sz="4" w:space="0" w:color="auto"/>
              <w:right w:val="nil"/>
            </w:tcBorders>
          </w:tcPr>
          <w:p w:rsidR="00000000" w:rsidRDefault="00000000">
            <w:pPr>
              <w:pStyle w:val="a6"/>
              <w:spacing w:before="10" w:after="10"/>
              <w:rPr>
                <w:sz w:val="18"/>
                <w:lang w:val="en-US"/>
              </w:rPr>
            </w:pPr>
            <w:r>
              <w:rPr>
                <w:sz w:val="18"/>
                <w:lang w:val="en-US"/>
              </w:rPr>
              <w:t>304</w:t>
            </w:r>
          </w:p>
        </w:tc>
      </w:tr>
      <w:tr w:rsidR="00000000">
        <w:tblPrEx>
          <w:tblCellMar>
            <w:top w:w="0" w:type="dxa"/>
            <w:bottom w:w="0" w:type="dxa"/>
          </w:tblCellMar>
        </w:tblPrEx>
        <w:trPr>
          <w:cantSplit/>
          <w:jc w:val="center"/>
        </w:trPr>
        <w:tc>
          <w:tcPr>
            <w:tcW w:w="1577" w:type="dxa"/>
            <w:tcBorders>
              <w:top w:val="single" w:sz="4" w:space="0" w:color="auto"/>
              <w:left w:val="nil"/>
              <w:bottom w:val="single" w:sz="4" w:space="0" w:color="auto"/>
              <w:right w:val="nil"/>
            </w:tcBorders>
            <w:vAlign w:val="center"/>
          </w:tcPr>
          <w:p w:rsidR="00000000" w:rsidRDefault="00000000">
            <w:pPr>
              <w:pStyle w:val="a6"/>
              <w:spacing w:before="10" w:after="10"/>
              <w:rPr>
                <w:b/>
                <w:sz w:val="18"/>
                <w:lang w:val="en-US"/>
              </w:rPr>
            </w:pPr>
            <w:r>
              <w:rPr>
                <w:b/>
                <w:sz w:val="18"/>
                <w:lang w:val="en-US"/>
              </w:rPr>
              <w:t>PIRAEUS</w:t>
            </w:r>
          </w:p>
        </w:tc>
        <w:tc>
          <w:tcPr>
            <w:tcW w:w="1732" w:type="dxa"/>
            <w:tcBorders>
              <w:top w:val="single" w:sz="4" w:space="0" w:color="auto"/>
              <w:left w:val="nil"/>
              <w:bottom w:val="single" w:sz="4" w:space="0" w:color="auto"/>
              <w:right w:val="nil"/>
            </w:tcBorders>
            <w:vAlign w:val="center"/>
          </w:tcPr>
          <w:p w:rsidR="00000000" w:rsidRDefault="00000000">
            <w:pPr>
              <w:pStyle w:val="a6"/>
              <w:spacing w:before="10" w:after="10"/>
              <w:rPr>
                <w:sz w:val="18"/>
                <w:lang w:val="en-US"/>
              </w:rPr>
            </w:pPr>
            <w:r>
              <w:rPr>
                <w:sz w:val="18"/>
                <w:lang w:val="en-US"/>
              </w:rPr>
              <w:t>PIRAEUS</w:t>
            </w:r>
          </w:p>
        </w:tc>
        <w:tc>
          <w:tcPr>
            <w:tcW w:w="1093" w:type="dxa"/>
            <w:tcBorders>
              <w:top w:val="single" w:sz="4" w:space="0" w:color="auto"/>
              <w:left w:val="nil"/>
              <w:bottom w:val="single" w:sz="4" w:space="0" w:color="auto"/>
              <w:right w:val="nil"/>
            </w:tcBorders>
          </w:tcPr>
          <w:p w:rsidR="00000000" w:rsidRDefault="00000000">
            <w:pPr>
              <w:pStyle w:val="a6"/>
              <w:spacing w:before="10" w:after="10"/>
              <w:rPr>
                <w:sz w:val="18"/>
                <w:lang w:val="en-US"/>
              </w:rPr>
            </w:pPr>
            <w:r>
              <w:rPr>
                <w:sz w:val="18"/>
                <w:lang w:val="en-US"/>
              </w:rPr>
              <w:t>292</w:t>
            </w:r>
          </w:p>
        </w:tc>
        <w:tc>
          <w:tcPr>
            <w:tcW w:w="983" w:type="dxa"/>
            <w:tcBorders>
              <w:top w:val="single" w:sz="4" w:space="0" w:color="auto"/>
              <w:left w:val="nil"/>
              <w:bottom w:val="single" w:sz="4" w:space="0" w:color="auto"/>
              <w:right w:val="nil"/>
            </w:tcBorders>
          </w:tcPr>
          <w:p w:rsidR="00000000" w:rsidRDefault="00000000">
            <w:pPr>
              <w:pStyle w:val="a6"/>
              <w:spacing w:before="10" w:after="10"/>
              <w:rPr>
                <w:sz w:val="18"/>
                <w:lang w:val="en-US"/>
              </w:rPr>
            </w:pPr>
            <w:r>
              <w:rPr>
                <w:sz w:val="18"/>
                <w:lang w:val="en-US"/>
              </w:rPr>
              <w:t>50</w:t>
            </w:r>
          </w:p>
        </w:tc>
        <w:tc>
          <w:tcPr>
            <w:tcW w:w="1134" w:type="dxa"/>
            <w:tcBorders>
              <w:top w:val="single" w:sz="4" w:space="0" w:color="auto"/>
              <w:left w:val="nil"/>
              <w:bottom w:val="single" w:sz="4" w:space="0" w:color="auto"/>
              <w:right w:val="nil"/>
            </w:tcBorders>
          </w:tcPr>
          <w:p w:rsidR="00000000" w:rsidRDefault="00000000">
            <w:pPr>
              <w:pStyle w:val="a6"/>
              <w:spacing w:before="10" w:after="10"/>
              <w:rPr>
                <w:sz w:val="18"/>
                <w:lang w:val="en-US"/>
              </w:rPr>
            </w:pPr>
            <w:r>
              <w:rPr>
                <w:sz w:val="18"/>
                <w:lang w:val="en-US"/>
              </w:rPr>
              <w:t>540</w:t>
            </w:r>
          </w:p>
        </w:tc>
        <w:tc>
          <w:tcPr>
            <w:tcW w:w="992" w:type="dxa"/>
            <w:tcBorders>
              <w:top w:val="single" w:sz="4" w:space="0" w:color="auto"/>
              <w:left w:val="nil"/>
              <w:bottom w:val="single" w:sz="4" w:space="0" w:color="auto"/>
              <w:right w:val="nil"/>
            </w:tcBorders>
          </w:tcPr>
          <w:p w:rsidR="00000000" w:rsidRDefault="00000000">
            <w:pPr>
              <w:pStyle w:val="a6"/>
              <w:spacing w:before="10" w:after="10"/>
              <w:rPr>
                <w:sz w:val="18"/>
                <w:lang w:val="en-US"/>
              </w:rPr>
            </w:pPr>
            <w:r>
              <w:rPr>
                <w:sz w:val="18"/>
                <w:lang w:val="en-US"/>
              </w:rPr>
              <w:t>166</w:t>
            </w:r>
          </w:p>
        </w:tc>
        <w:tc>
          <w:tcPr>
            <w:tcW w:w="985" w:type="dxa"/>
            <w:tcBorders>
              <w:top w:val="single" w:sz="4" w:space="0" w:color="auto"/>
              <w:left w:val="nil"/>
              <w:bottom w:val="single" w:sz="4" w:space="0" w:color="auto"/>
              <w:right w:val="nil"/>
            </w:tcBorders>
          </w:tcPr>
          <w:p w:rsidR="00000000" w:rsidRDefault="00000000">
            <w:pPr>
              <w:pStyle w:val="a6"/>
              <w:spacing w:before="10" w:after="10"/>
              <w:rPr>
                <w:sz w:val="18"/>
                <w:lang w:val="en-US"/>
              </w:rPr>
            </w:pPr>
            <w:r>
              <w:rPr>
                <w:sz w:val="18"/>
                <w:lang w:val="en-US"/>
              </w:rPr>
              <w:t>832</w:t>
            </w:r>
          </w:p>
        </w:tc>
        <w:tc>
          <w:tcPr>
            <w:tcW w:w="993" w:type="dxa"/>
            <w:tcBorders>
              <w:top w:val="single" w:sz="4" w:space="0" w:color="auto"/>
              <w:left w:val="nil"/>
              <w:bottom w:val="single" w:sz="4" w:space="0" w:color="auto"/>
              <w:right w:val="nil"/>
            </w:tcBorders>
          </w:tcPr>
          <w:p w:rsidR="00000000" w:rsidRDefault="00000000">
            <w:pPr>
              <w:pStyle w:val="a6"/>
              <w:spacing w:before="10" w:after="10"/>
              <w:rPr>
                <w:sz w:val="18"/>
                <w:lang w:val="en-US"/>
              </w:rPr>
            </w:pPr>
            <w:r>
              <w:rPr>
                <w:sz w:val="18"/>
                <w:lang w:val="en-US"/>
              </w:rPr>
              <w:t>216</w:t>
            </w:r>
          </w:p>
        </w:tc>
      </w:tr>
      <w:tr w:rsidR="00000000">
        <w:tblPrEx>
          <w:tblCellMar>
            <w:top w:w="0" w:type="dxa"/>
            <w:bottom w:w="0" w:type="dxa"/>
          </w:tblCellMar>
        </w:tblPrEx>
        <w:trPr>
          <w:cantSplit/>
          <w:jc w:val="center"/>
        </w:trPr>
        <w:tc>
          <w:tcPr>
            <w:tcW w:w="1577" w:type="dxa"/>
            <w:tcBorders>
              <w:top w:val="single" w:sz="4" w:space="0" w:color="auto"/>
              <w:left w:val="nil"/>
              <w:bottom w:val="single" w:sz="4" w:space="0" w:color="auto"/>
              <w:right w:val="nil"/>
            </w:tcBorders>
            <w:vAlign w:val="center"/>
          </w:tcPr>
          <w:p w:rsidR="00000000" w:rsidRDefault="00000000">
            <w:pPr>
              <w:pStyle w:val="a6"/>
              <w:spacing w:before="10" w:after="10"/>
              <w:rPr>
                <w:b/>
                <w:sz w:val="18"/>
                <w:lang w:val="en-US"/>
              </w:rPr>
            </w:pPr>
            <w:r>
              <w:rPr>
                <w:b/>
                <w:sz w:val="18"/>
                <w:lang w:val="en-US"/>
              </w:rPr>
              <w:t>SERRES</w:t>
            </w:r>
          </w:p>
        </w:tc>
        <w:tc>
          <w:tcPr>
            <w:tcW w:w="1732" w:type="dxa"/>
            <w:tcBorders>
              <w:top w:val="single" w:sz="4" w:space="0" w:color="auto"/>
              <w:left w:val="nil"/>
              <w:bottom w:val="single" w:sz="4" w:space="0" w:color="auto"/>
              <w:right w:val="nil"/>
            </w:tcBorders>
            <w:vAlign w:val="center"/>
          </w:tcPr>
          <w:p w:rsidR="00000000" w:rsidRDefault="00000000">
            <w:pPr>
              <w:pStyle w:val="a6"/>
              <w:spacing w:before="10" w:after="10"/>
              <w:rPr>
                <w:sz w:val="18"/>
                <w:lang w:val="en-US"/>
              </w:rPr>
            </w:pPr>
            <w:r>
              <w:rPr>
                <w:sz w:val="18"/>
                <w:lang w:val="en-US"/>
              </w:rPr>
              <w:t>SERRES</w:t>
            </w:r>
          </w:p>
        </w:tc>
        <w:tc>
          <w:tcPr>
            <w:tcW w:w="1093" w:type="dxa"/>
            <w:tcBorders>
              <w:top w:val="single" w:sz="4" w:space="0" w:color="auto"/>
              <w:left w:val="nil"/>
              <w:bottom w:val="single" w:sz="4" w:space="0" w:color="auto"/>
              <w:right w:val="nil"/>
            </w:tcBorders>
          </w:tcPr>
          <w:p w:rsidR="00000000" w:rsidRDefault="00000000">
            <w:pPr>
              <w:pStyle w:val="a6"/>
              <w:spacing w:before="10" w:after="10"/>
              <w:rPr>
                <w:sz w:val="18"/>
                <w:lang w:val="en-US"/>
              </w:rPr>
            </w:pPr>
            <w:r>
              <w:rPr>
                <w:sz w:val="18"/>
                <w:lang w:val="en-US"/>
              </w:rPr>
              <w:t>55</w:t>
            </w:r>
          </w:p>
        </w:tc>
        <w:tc>
          <w:tcPr>
            <w:tcW w:w="983" w:type="dxa"/>
            <w:tcBorders>
              <w:top w:val="single" w:sz="4" w:space="0" w:color="auto"/>
              <w:left w:val="nil"/>
              <w:bottom w:val="single" w:sz="4" w:space="0" w:color="auto"/>
              <w:right w:val="nil"/>
            </w:tcBorders>
          </w:tcPr>
          <w:p w:rsidR="00000000" w:rsidRDefault="00000000">
            <w:pPr>
              <w:pStyle w:val="a6"/>
              <w:spacing w:before="10" w:after="10"/>
              <w:rPr>
                <w:sz w:val="18"/>
                <w:lang w:val="en-US"/>
              </w:rPr>
            </w:pPr>
            <w:r>
              <w:rPr>
                <w:sz w:val="18"/>
                <w:lang w:val="en-US"/>
              </w:rPr>
              <w:t>10</w:t>
            </w:r>
          </w:p>
        </w:tc>
        <w:tc>
          <w:tcPr>
            <w:tcW w:w="1134" w:type="dxa"/>
            <w:tcBorders>
              <w:top w:val="single" w:sz="4" w:space="0" w:color="auto"/>
              <w:left w:val="nil"/>
              <w:bottom w:val="single" w:sz="4" w:space="0" w:color="auto"/>
              <w:right w:val="nil"/>
            </w:tcBorders>
          </w:tcPr>
          <w:p w:rsidR="00000000" w:rsidRDefault="00000000">
            <w:pPr>
              <w:pStyle w:val="a6"/>
              <w:spacing w:before="10" w:after="10"/>
              <w:rPr>
                <w:sz w:val="18"/>
                <w:lang w:val="en-US"/>
              </w:rPr>
            </w:pPr>
            <w:r>
              <w:rPr>
                <w:sz w:val="18"/>
                <w:lang w:val="en-US"/>
              </w:rPr>
              <w:t>230</w:t>
            </w:r>
          </w:p>
        </w:tc>
        <w:tc>
          <w:tcPr>
            <w:tcW w:w="992" w:type="dxa"/>
            <w:tcBorders>
              <w:top w:val="single" w:sz="4" w:space="0" w:color="auto"/>
              <w:left w:val="nil"/>
              <w:bottom w:val="single" w:sz="4" w:space="0" w:color="auto"/>
              <w:right w:val="nil"/>
            </w:tcBorders>
          </w:tcPr>
          <w:p w:rsidR="00000000" w:rsidRDefault="00000000">
            <w:pPr>
              <w:pStyle w:val="a6"/>
              <w:spacing w:before="10" w:after="10"/>
              <w:rPr>
                <w:sz w:val="18"/>
                <w:lang w:val="en-US"/>
              </w:rPr>
            </w:pPr>
            <w:r>
              <w:rPr>
                <w:sz w:val="18"/>
                <w:lang w:val="en-US"/>
              </w:rPr>
              <w:t>81</w:t>
            </w:r>
          </w:p>
        </w:tc>
        <w:tc>
          <w:tcPr>
            <w:tcW w:w="985" w:type="dxa"/>
            <w:tcBorders>
              <w:top w:val="single" w:sz="4" w:space="0" w:color="auto"/>
              <w:left w:val="nil"/>
              <w:bottom w:val="single" w:sz="4" w:space="0" w:color="auto"/>
              <w:right w:val="nil"/>
            </w:tcBorders>
          </w:tcPr>
          <w:p w:rsidR="00000000" w:rsidRDefault="00000000">
            <w:pPr>
              <w:pStyle w:val="a6"/>
              <w:spacing w:before="10" w:after="10"/>
              <w:rPr>
                <w:sz w:val="18"/>
                <w:lang w:val="en-US"/>
              </w:rPr>
            </w:pPr>
            <w:r>
              <w:rPr>
                <w:sz w:val="18"/>
                <w:lang w:val="en-US"/>
              </w:rPr>
              <w:t>285</w:t>
            </w:r>
          </w:p>
        </w:tc>
        <w:tc>
          <w:tcPr>
            <w:tcW w:w="993" w:type="dxa"/>
            <w:tcBorders>
              <w:top w:val="single" w:sz="4" w:space="0" w:color="auto"/>
              <w:left w:val="nil"/>
              <w:bottom w:val="single" w:sz="4" w:space="0" w:color="auto"/>
              <w:right w:val="nil"/>
            </w:tcBorders>
          </w:tcPr>
          <w:p w:rsidR="00000000" w:rsidRDefault="00000000">
            <w:pPr>
              <w:pStyle w:val="a6"/>
              <w:spacing w:before="10" w:after="10"/>
              <w:rPr>
                <w:sz w:val="18"/>
                <w:lang w:val="en-US"/>
              </w:rPr>
            </w:pPr>
            <w:r>
              <w:rPr>
                <w:sz w:val="18"/>
                <w:lang w:val="en-US"/>
              </w:rPr>
              <w:t>91</w:t>
            </w:r>
          </w:p>
        </w:tc>
      </w:tr>
      <w:tr w:rsidR="00000000">
        <w:tblPrEx>
          <w:tblCellMar>
            <w:top w:w="0" w:type="dxa"/>
            <w:bottom w:w="0" w:type="dxa"/>
          </w:tblCellMar>
        </w:tblPrEx>
        <w:trPr>
          <w:cantSplit/>
          <w:jc w:val="center"/>
        </w:trPr>
        <w:tc>
          <w:tcPr>
            <w:tcW w:w="1577" w:type="dxa"/>
            <w:tcBorders>
              <w:top w:val="single" w:sz="4" w:space="0" w:color="auto"/>
              <w:left w:val="nil"/>
              <w:bottom w:val="single" w:sz="4" w:space="0" w:color="auto"/>
              <w:right w:val="nil"/>
            </w:tcBorders>
            <w:vAlign w:val="center"/>
          </w:tcPr>
          <w:p w:rsidR="00000000" w:rsidRDefault="00000000">
            <w:pPr>
              <w:pStyle w:val="a6"/>
              <w:spacing w:before="10" w:after="10"/>
              <w:rPr>
                <w:b/>
                <w:sz w:val="18"/>
                <w:lang w:val="en-US"/>
              </w:rPr>
            </w:pPr>
            <w:r>
              <w:rPr>
                <w:b/>
                <w:sz w:val="18"/>
                <w:lang w:val="en-US"/>
              </w:rPr>
              <w:t>CHALKIDA</w:t>
            </w:r>
          </w:p>
        </w:tc>
        <w:tc>
          <w:tcPr>
            <w:tcW w:w="1732" w:type="dxa"/>
            <w:tcBorders>
              <w:top w:val="single" w:sz="4" w:space="0" w:color="auto"/>
              <w:left w:val="nil"/>
              <w:bottom w:val="single" w:sz="4" w:space="0" w:color="auto"/>
              <w:right w:val="nil"/>
            </w:tcBorders>
            <w:vAlign w:val="center"/>
          </w:tcPr>
          <w:p w:rsidR="00000000" w:rsidRDefault="00000000">
            <w:pPr>
              <w:pStyle w:val="a6"/>
              <w:spacing w:before="10" w:after="10"/>
              <w:rPr>
                <w:sz w:val="18"/>
                <w:lang w:val="en-US"/>
              </w:rPr>
            </w:pPr>
            <w:r>
              <w:rPr>
                <w:sz w:val="18"/>
                <w:lang w:val="en-US"/>
              </w:rPr>
              <w:t>CHALKIDA</w:t>
            </w:r>
          </w:p>
        </w:tc>
        <w:tc>
          <w:tcPr>
            <w:tcW w:w="1093" w:type="dxa"/>
            <w:tcBorders>
              <w:top w:val="single" w:sz="4" w:space="0" w:color="auto"/>
              <w:left w:val="nil"/>
              <w:bottom w:val="single" w:sz="4" w:space="0" w:color="auto"/>
              <w:right w:val="nil"/>
            </w:tcBorders>
          </w:tcPr>
          <w:p w:rsidR="00000000" w:rsidRDefault="00000000">
            <w:pPr>
              <w:pStyle w:val="a6"/>
              <w:spacing w:before="10" w:after="10"/>
              <w:rPr>
                <w:sz w:val="18"/>
                <w:lang w:val="en-GB"/>
              </w:rPr>
            </w:pPr>
            <w:r>
              <w:rPr>
                <w:sz w:val="18"/>
                <w:lang w:val="en-GB"/>
              </w:rPr>
              <w:t>70</w:t>
            </w:r>
          </w:p>
        </w:tc>
        <w:tc>
          <w:tcPr>
            <w:tcW w:w="983" w:type="dxa"/>
            <w:tcBorders>
              <w:top w:val="single" w:sz="4" w:space="0" w:color="auto"/>
              <w:left w:val="nil"/>
              <w:bottom w:val="single" w:sz="4" w:space="0" w:color="auto"/>
              <w:right w:val="nil"/>
            </w:tcBorders>
          </w:tcPr>
          <w:p w:rsidR="00000000" w:rsidRDefault="00000000">
            <w:pPr>
              <w:pStyle w:val="a6"/>
              <w:spacing w:before="10" w:after="10"/>
              <w:rPr>
                <w:sz w:val="18"/>
                <w:lang w:val="en-GB"/>
              </w:rPr>
            </w:pPr>
            <w:r>
              <w:rPr>
                <w:sz w:val="18"/>
                <w:lang w:val="en-GB"/>
              </w:rPr>
              <w:t>16</w:t>
            </w:r>
          </w:p>
        </w:tc>
        <w:tc>
          <w:tcPr>
            <w:tcW w:w="1134" w:type="dxa"/>
            <w:tcBorders>
              <w:top w:val="single" w:sz="4" w:space="0" w:color="auto"/>
              <w:left w:val="nil"/>
              <w:bottom w:val="single" w:sz="4" w:space="0" w:color="auto"/>
              <w:right w:val="nil"/>
            </w:tcBorders>
          </w:tcPr>
          <w:p w:rsidR="00000000" w:rsidRDefault="00000000">
            <w:pPr>
              <w:pStyle w:val="a6"/>
              <w:spacing w:before="10" w:after="10"/>
              <w:rPr>
                <w:sz w:val="18"/>
                <w:lang w:val="en-GB"/>
              </w:rPr>
            </w:pPr>
            <w:r>
              <w:rPr>
                <w:sz w:val="18"/>
                <w:lang w:val="en-GB"/>
              </w:rPr>
              <w:t>295</w:t>
            </w:r>
          </w:p>
        </w:tc>
        <w:tc>
          <w:tcPr>
            <w:tcW w:w="992" w:type="dxa"/>
            <w:tcBorders>
              <w:top w:val="single" w:sz="4" w:space="0" w:color="auto"/>
              <w:left w:val="nil"/>
              <w:bottom w:val="single" w:sz="4" w:space="0" w:color="auto"/>
              <w:right w:val="nil"/>
            </w:tcBorders>
          </w:tcPr>
          <w:p w:rsidR="00000000" w:rsidRDefault="00000000">
            <w:pPr>
              <w:pStyle w:val="a6"/>
              <w:spacing w:before="10" w:after="10"/>
              <w:rPr>
                <w:sz w:val="18"/>
                <w:lang w:val="en-GB"/>
              </w:rPr>
            </w:pPr>
            <w:r>
              <w:rPr>
                <w:sz w:val="18"/>
                <w:lang w:val="en-GB"/>
              </w:rPr>
              <w:t>92</w:t>
            </w:r>
          </w:p>
        </w:tc>
        <w:tc>
          <w:tcPr>
            <w:tcW w:w="985" w:type="dxa"/>
            <w:tcBorders>
              <w:top w:val="single" w:sz="4" w:space="0" w:color="auto"/>
              <w:left w:val="nil"/>
              <w:bottom w:val="single" w:sz="4" w:space="0" w:color="auto"/>
              <w:right w:val="nil"/>
            </w:tcBorders>
          </w:tcPr>
          <w:p w:rsidR="00000000" w:rsidRDefault="00000000">
            <w:pPr>
              <w:pStyle w:val="a6"/>
              <w:spacing w:before="10" w:after="10"/>
              <w:rPr>
                <w:sz w:val="18"/>
                <w:lang w:val="en-GB"/>
              </w:rPr>
            </w:pPr>
            <w:r>
              <w:rPr>
                <w:sz w:val="18"/>
                <w:lang w:val="en-GB"/>
              </w:rPr>
              <w:t>365</w:t>
            </w:r>
          </w:p>
        </w:tc>
        <w:tc>
          <w:tcPr>
            <w:tcW w:w="993" w:type="dxa"/>
            <w:tcBorders>
              <w:top w:val="single" w:sz="4" w:space="0" w:color="auto"/>
              <w:left w:val="nil"/>
              <w:bottom w:val="single" w:sz="4" w:space="0" w:color="auto"/>
              <w:right w:val="nil"/>
            </w:tcBorders>
          </w:tcPr>
          <w:p w:rsidR="00000000" w:rsidRDefault="00000000">
            <w:pPr>
              <w:pStyle w:val="a6"/>
              <w:spacing w:before="10" w:after="10"/>
              <w:rPr>
                <w:sz w:val="18"/>
                <w:lang w:val="en-GB"/>
              </w:rPr>
            </w:pPr>
            <w:r>
              <w:rPr>
                <w:sz w:val="18"/>
                <w:lang w:val="en-GB"/>
              </w:rPr>
              <w:t>108</w:t>
            </w:r>
          </w:p>
        </w:tc>
      </w:tr>
      <w:tr w:rsidR="00000000">
        <w:tblPrEx>
          <w:tblCellMar>
            <w:top w:w="0" w:type="dxa"/>
            <w:bottom w:w="0" w:type="dxa"/>
          </w:tblCellMar>
        </w:tblPrEx>
        <w:trPr>
          <w:cantSplit/>
          <w:jc w:val="center"/>
        </w:trPr>
        <w:tc>
          <w:tcPr>
            <w:tcW w:w="3309" w:type="dxa"/>
            <w:gridSpan w:val="2"/>
            <w:tcBorders>
              <w:top w:val="single" w:sz="4" w:space="0" w:color="auto"/>
              <w:left w:val="nil"/>
              <w:bottom w:val="nil"/>
              <w:right w:val="nil"/>
            </w:tcBorders>
          </w:tcPr>
          <w:p w:rsidR="00000000" w:rsidRDefault="00000000">
            <w:pPr>
              <w:pStyle w:val="a6"/>
              <w:spacing w:before="10" w:after="10"/>
              <w:rPr>
                <w:b/>
                <w:sz w:val="18"/>
                <w:lang w:val="en-US"/>
              </w:rPr>
            </w:pPr>
            <w:r>
              <w:rPr>
                <w:b/>
                <w:sz w:val="18"/>
                <w:lang w:val="en-US"/>
              </w:rPr>
              <w:t>TOTAL</w:t>
            </w:r>
          </w:p>
        </w:tc>
        <w:tc>
          <w:tcPr>
            <w:tcW w:w="1093" w:type="dxa"/>
            <w:tcBorders>
              <w:top w:val="single" w:sz="4" w:space="0" w:color="auto"/>
              <w:left w:val="nil"/>
              <w:bottom w:val="nil"/>
              <w:right w:val="nil"/>
            </w:tcBorders>
          </w:tcPr>
          <w:p w:rsidR="00000000" w:rsidRDefault="00000000">
            <w:pPr>
              <w:pStyle w:val="a6"/>
              <w:spacing w:before="10" w:after="10"/>
              <w:rPr>
                <w:b/>
                <w:sz w:val="18"/>
                <w:lang w:val="en-GB"/>
              </w:rPr>
            </w:pPr>
            <w:r>
              <w:rPr>
                <w:b/>
                <w:sz w:val="18"/>
                <w:lang w:val="en-GB"/>
              </w:rPr>
              <w:t>2566</w:t>
            </w:r>
          </w:p>
        </w:tc>
        <w:tc>
          <w:tcPr>
            <w:tcW w:w="983" w:type="dxa"/>
            <w:tcBorders>
              <w:top w:val="single" w:sz="4" w:space="0" w:color="auto"/>
              <w:left w:val="nil"/>
              <w:bottom w:val="nil"/>
              <w:right w:val="nil"/>
            </w:tcBorders>
          </w:tcPr>
          <w:p w:rsidR="00000000" w:rsidRDefault="00000000">
            <w:pPr>
              <w:pStyle w:val="a6"/>
              <w:spacing w:before="10" w:after="10"/>
              <w:rPr>
                <w:b/>
                <w:sz w:val="18"/>
                <w:lang w:val="en-GB"/>
              </w:rPr>
            </w:pPr>
            <w:r>
              <w:rPr>
                <w:b/>
                <w:sz w:val="18"/>
                <w:lang w:val="en-GB"/>
              </w:rPr>
              <w:t>838</w:t>
            </w:r>
          </w:p>
        </w:tc>
        <w:tc>
          <w:tcPr>
            <w:tcW w:w="1134" w:type="dxa"/>
            <w:tcBorders>
              <w:top w:val="single" w:sz="4" w:space="0" w:color="auto"/>
              <w:left w:val="nil"/>
              <w:bottom w:val="nil"/>
              <w:right w:val="nil"/>
            </w:tcBorders>
          </w:tcPr>
          <w:p w:rsidR="00000000" w:rsidRDefault="00000000">
            <w:pPr>
              <w:pStyle w:val="a6"/>
              <w:spacing w:before="10" w:after="10"/>
              <w:rPr>
                <w:b/>
                <w:sz w:val="18"/>
                <w:lang w:val="en-GB"/>
              </w:rPr>
            </w:pPr>
            <w:r>
              <w:rPr>
                <w:b/>
                <w:sz w:val="18"/>
                <w:lang w:val="en-GB"/>
              </w:rPr>
              <w:t>6507</w:t>
            </w:r>
          </w:p>
        </w:tc>
        <w:tc>
          <w:tcPr>
            <w:tcW w:w="992" w:type="dxa"/>
            <w:tcBorders>
              <w:top w:val="single" w:sz="4" w:space="0" w:color="auto"/>
              <w:left w:val="nil"/>
              <w:bottom w:val="nil"/>
              <w:right w:val="nil"/>
            </w:tcBorders>
          </w:tcPr>
          <w:p w:rsidR="00000000" w:rsidRDefault="00000000">
            <w:pPr>
              <w:pStyle w:val="a6"/>
              <w:spacing w:before="10" w:after="10"/>
              <w:rPr>
                <w:b/>
                <w:sz w:val="18"/>
                <w:lang w:val="en-GB"/>
              </w:rPr>
            </w:pPr>
            <w:r>
              <w:rPr>
                <w:b/>
                <w:sz w:val="18"/>
                <w:lang w:val="en-GB"/>
              </w:rPr>
              <w:t>2863</w:t>
            </w:r>
          </w:p>
        </w:tc>
        <w:tc>
          <w:tcPr>
            <w:tcW w:w="985" w:type="dxa"/>
            <w:tcBorders>
              <w:top w:val="single" w:sz="4" w:space="0" w:color="auto"/>
              <w:left w:val="nil"/>
              <w:bottom w:val="nil"/>
              <w:right w:val="nil"/>
            </w:tcBorders>
          </w:tcPr>
          <w:p w:rsidR="00000000" w:rsidRDefault="00000000">
            <w:pPr>
              <w:pStyle w:val="a6"/>
              <w:spacing w:before="10" w:after="10"/>
              <w:rPr>
                <w:b/>
                <w:sz w:val="18"/>
                <w:lang w:val="en-GB"/>
              </w:rPr>
            </w:pPr>
            <w:r>
              <w:rPr>
                <w:b/>
                <w:sz w:val="18"/>
                <w:lang w:val="en-GB"/>
              </w:rPr>
              <w:t>9073</w:t>
            </w:r>
          </w:p>
        </w:tc>
        <w:tc>
          <w:tcPr>
            <w:tcW w:w="993" w:type="dxa"/>
            <w:tcBorders>
              <w:top w:val="single" w:sz="4" w:space="0" w:color="auto"/>
              <w:left w:val="nil"/>
              <w:bottom w:val="nil"/>
              <w:right w:val="nil"/>
            </w:tcBorders>
          </w:tcPr>
          <w:p w:rsidR="00000000" w:rsidRDefault="00000000">
            <w:pPr>
              <w:pStyle w:val="a6"/>
              <w:spacing w:before="10" w:after="10"/>
              <w:rPr>
                <w:b/>
                <w:sz w:val="18"/>
                <w:lang w:val="en-GB"/>
              </w:rPr>
            </w:pPr>
            <w:r>
              <w:rPr>
                <w:b/>
                <w:sz w:val="18"/>
                <w:lang w:val="en-GB"/>
              </w:rPr>
              <w:t>3701</w:t>
            </w:r>
          </w:p>
        </w:tc>
      </w:tr>
      <w:tr w:rsidR="00000000">
        <w:tblPrEx>
          <w:tblCellMar>
            <w:top w:w="0" w:type="dxa"/>
            <w:bottom w:w="0" w:type="dxa"/>
          </w:tblCellMar>
        </w:tblPrEx>
        <w:trPr>
          <w:cantSplit/>
          <w:jc w:val="center"/>
        </w:trPr>
        <w:tc>
          <w:tcPr>
            <w:tcW w:w="3309" w:type="dxa"/>
            <w:gridSpan w:val="2"/>
            <w:tcBorders>
              <w:top w:val="nil"/>
              <w:left w:val="nil"/>
              <w:bottom w:val="single" w:sz="4" w:space="0" w:color="auto"/>
              <w:right w:val="nil"/>
            </w:tcBorders>
          </w:tcPr>
          <w:p w:rsidR="00000000" w:rsidRDefault="00000000">
            <w:pPr>
              <w:pStyle w:val="a6"/>
              <w:spacing w:before="10" w:after="10"/>
              <w:rPr>
                <w:color w:val="000000"/>
                <w:sz w:val="18"/>
                <w:lang w:val="en-GB"/>
              </w:rPr>
            </w:pPr>
            <w:r>
              <w:rPr>
                <w:color w:val="000000"/>
                <w:sz w:val="18"/>
              </w:rPr>
              <w:t>Α</w:t>
            </w:r>
            <w:r>
              <w:rPr>
                <w:color w:val="000000"/>
                <w:sz w:val="18"/>
                <w:lang w:val="en-GB"/>
              </w:rPr>
              <w:t>S</w:t>
            </w:r>
            <w:r>
              <w:rPr>
                <w:color w:val="000000"/>
                <w:sz w:val="18"/>
              </w:rPr>
              <w:t>ΕΤΕΜ</w:t>
            </w:r>
            <w:r>
              <w:rPr>
                <w:color w:val="000000"/>
                <w:sz w:val="18"/>
                <w:lang w:val="en-GB"/>
              </w:rPr>
              <w:t>-</w:t>
            </w:r>
            <w:r>
              <w:rPr>
                <w:color w:val="000000"/>
                <w:sz w:val="18"/>
                <w:lang w:val="en-US"/>
              </w:rPr>
              <w:t>SELETE (School  of Educators of Vocational  &amp; Technical  Education)</w:t>
            </w:r>
          </w:p>
        </w:tc>
        <w:tc>
          <w:tcPr>
            <w:tcW w:w="1093" w:type="dxa"/>
            <w:tcBorders>
              <w:top w:val="nil"/>
              <w:left w:val="nil"/>
              <w:bottom w:val="single" w:sz="4" w:space="0" w:color="auto"/>
              <w:right w:val="nil"/>
            </w:tcBorders>
          </w:tcPr>
          <w:p w:rsidR="00000000" w:rsidRDefault="00000000">
            <w:pPr>
              <w:pStyle w:val="a6"/>
              <w:spacing w:before="10" w:after="10"/>
              <w:rPr>
                <w:sz w:val="18"/>
                <w:lang w:val="en-US"/>
              </w:rPr>
            </w:pPr>
            <w:r>
              <w:rPr>
                <w:sz w:val="18"/>
                <w:lang w:val="en-US"/>
              </w:rPr>
              <w:t>25</w:t>
            </w:r>
          </w:p>
        </w:tc>
        <w:tc>
          <w:tcPr>
            <w:tcW w:w="983" w:type="dxa"/>
            <w:tcBorders>
              <w:top w:val="nil"/>
              <w:left w:val="nil"/>
              <w:bottom w:val="single" w:sz="4" w:space="0" w:color="auto"/>
              <w:right w:val="nil"/>
            </w:tcBorders>
          </w:tcPr>
          <w:p w:rsidR="00000000" w:rsidRDefault="00000000">
            <w:pPr>
              <w:pStyle w:val="a6"/>
              <w:spacing w:before="10" w:after="10"/>
              <w:rPr>
                <w:sz w:val="18"/>
                <w:lang w:val="en-US"/>
              </w:rPr>
            </w:pPr>
            <w:r>
              <w:rPr>
                <w:sz w:val="18"/>
                <w:lang w:val="en-US"/>
              </w:rPr>
              <w:t>1</w:t>
            </w:r>
          </w:p>
        </w:tc>
        <w:tc>
          <w:tcPr>
            <w:tcW w:w="1134" w:type="dxa"/>
            <w:tcBorders>
              <w:top w:val="nil"/>
              <w:left w:val="nil"/>
              <w:bottom w:val="single" w:sz="4" w:space="0" w:color="auto"/>
              <w:right w:val="nil"/>
            </w:tcBorders>
          </w:tcPr>
          <w:p w:rsidR="00000000" w:rsidRDefault="00000000">
            <w:pPr>
              <w:pStyle w:val="a6"/>
              <w:spacing w:before="10" w:after="10"/>
              <w:rPr>
                <w:sz w:val="18"/>
                <w:lang w:val="en-US"/>
              </w:rPr>
            </w:pPr>
            <w:r>
              <w:rPr>
                <w:sz w:val="18"/>
                <w:lang w:val="en-US"/>
              </w:rPr>
              <w:t>111</w:t>
            </w:r>
          </w:p>
        </w:tc>
        <w:tc>
          <w:tcPr>
            <w:tcW w:w="992" w:type="dxa"/>
            <w:tcBorders>
              <w:top w:val="nil"/>
              <w:left w:val="nil"/>
              <w:bottom w:val="single" w:sz="4" w:space="0" w:color="auto"/>
              <w:right w:val="nil"/>
            </w:tcBorders>
          </w:tcPr>
          <w:p w:rsidR="00000000" w:rsidRDefault="00000000">
            <w:pPr>
              <w:pStyle w:val="a6"/>
              <w:spacing w:before="10" w:after="10"/>
              <w:rPr>
                <w:sz w:val="18"/>
                <w:lang w:val="en-US"/>
              </w:rPr>
            </w:pPr>
            <w:r>
              <w:rPr>
                <w:sz w:val="18"/>
                <w:lang w:val="en-US"/>
              </w:rPr>
              <w:t>27</w:t>
            </w:r>
          </w:p>
        </w:tc>
        <w:tc>
          <w:tcPr>
            <w:tcW w:w="985" w:type="dxa"/>
            <w:tcBorders>
              <w:top w:val="nil"/>
              <w:left w:val="nil"/>
              <w:bottom w:val="single" w:sz="4" w:space="0" w:color="auto"/>
              <w:right w:val="nil"/>
            </w:tcBorders>
          </w:tcPr>
          <w:p w:rsidR="00000000" w:rsidRDefault="00000000">
            <w:pPr>
              <w:pStyle w:val="a6"/>
              <w:spacing w:before="10" w:after="10"/>
              <w:rPr>
                <w:sz w:val="18"/>
                <w:lang w:val="en-US"/>
              </w:rPr>
            </w:pPr>
            <w:r>
              <w:rPr>
                <w:sz w:val="18"/>
                <w:lang w:val="en-US"/>
              </w:rPr>
              <w:t>136</w:t>
            </w:r>
          </w:p>
        </w:tc>
        <w:tc>
          <w:tcPr>
            <w:tcW w:w="993" w:type="dxa"/>
            <w:tcBorders>
              <w:top w:val="nil"/>
              <w:left w:val="nil"/>
              <w:bottom w:val="single" w:sz="4" w:space="0" w:color="auto"/>
              <w:right w:val="nil"/>
            </w:tcBorders>
          </w:tcPr>
          <w:p w:rsidR="00000000" w:rsidRDefault="00000000">
            <w:pPr>
              <w:pStyle w:val="a6"/>
              <w:spacing w:before="10" w:after="10"/>
              <w:rPr>
                <w:sz w:val="18"/>
                <w:lang w:val="en-US"/>
              </w:rPr>
            </w:pPr>
            <w:r>
              <w:rPr>
                <w:sz w:val="18"/>
                <w:lang w:val="en-US"/>
              </w:rPr>
              <w:t>28</w:t>
            </w:r>
          </w:p>
        </w:tc>
      </w:tr>
      <w:tr w:rsidR="00000000">
        <w:tblPrEx>
          <w:tblCellMar>
            <w:top w:w="0" w:type="dxa"/>
            <w:bottom w:w="0" w:type="dxa"/>
          </w:tblCellMar>
        </w:tblPrEx>
        <w:trPr>
          <w:cantSplit/>
          <w:jc w:val="center"/>
        </w:trPr>
        <w:tc>
          <w:tcPr>
            <w:tcW w:w="3309" w:type="dxa"/>
            <w:gridSpan w:val="2"/>
            <w:tcBorders>
              <w:top w:val="single" w:sz="4" w:space="0" w:color="auto"/>
              <w:left w:val="nil"/>
              <w:right w:val="nil"/>
            </w:tcBorders>
          </w:tcPr>
          <w:p w:rsidR="00000000" w:rsidRDefault="00000000">
            <w:pPr>
              <w:pStyle w:val="a6"/>
              <w:spacing w:before="10" w:after="10"/>
              <w:rPr>
                <w:b/>
                <w:w w:val="150"/>
                <w:sz w:val="18"/>
                <w:lang w:val="en-US"/>
              </w:rPr>
            </w:pPr>
            <w:r>
              <w:rPr>
                <w:b/>
                <w:w w:val="150"/>
                <w:sz w:val="18"/>
                <w:lang w:val="en-US"/>
              </w:rPr>
              <w:t>GENERAL TOTAL</w:t>
            </w:r>
          </w:p>
        </w:tc>
        <w:tc>
          <w:tcPr>
            <w:tcW w:w="1093" w:type="dxa"/>
            <w:tcBorders>
              <w:top w:val="single" w:sz="4" w:space="0" w:color="auto"/>
              <w:left w:val="nil"/>
              <w:right w:val="nil"/>
            </w:tcBorders>
          </w:tcPr>
          <w:p w:rsidR="00000000" w:rsidRDefault="00000000">
            <w:pPr>
              <w:pStyle w:val="a6"/>
              <w:spacing w:before="10" w:after="10"/>
              <w:rPr>
                <w:b/>
                <w:w w:val="150"/>
                <w:sz w:val="18"/>
                <w:lang w:val="en-US"/>
              </w:rPr>
            </w:pPr>
            <w:r>
              <w:rPr>
                <w:b/>
                <w:w w:val="150"/>
                <w:sz w:val="18"/>
                <w:lang w:val="en-US"/>
              </w:rPr>
              <w:t>2591</w:t>
            </w:r>
          </w:p>
        </w:tc>
        <w:tc>
          <w:tcPr>
            <w:tcW w:w="983" w:type="dxa"/>
            <w:tcBorders>
              <w:top w:val="single" w:sz="4" w:space="0" w:color="auto"/>
              <w:left w:val="nil"/>
              <w:right w:val="nil"/>
            </w:tcBorders>
          </w:tcPr>
          <w:p w:rsidR="00000000" w:rsidRDefault="00000000">
            <w:pPr>
              <w:pStyle w:val="a6"/>
              <w:spacing w:before="10" w:after="10"/>
              <w:rPr>
                <w:b/>
                <w:w w:val="150"/>
                <w:sz w:val="18"/>
                <w:lang w:val="en-US"/>
              </w:rPr>
            </w:pPr>
            <w:r>
              <w:rPr>
                <w:b/>
                <w:w w:val="150"/>
                <w:sz w:val="18"/>
                <w:lang w:val="en-US"/>
              </w:rPr>
              <w:t>839</w:t>
            </w:r>
          </w:p>
        </w:tc>
        <w:tc>
          <w:tcPr>
            <w:tcW w:w="1134" w:type="dxa"/>
            <w:tcBorders>
              <w:top w:val="single" w:sz="4" w:space="0" w:color="auto"/>
              <w:left w:val="nil"/>
              <w:right w:val="nil"/>
            </w:tcBorders>
          </w:tcPr>
          <w:p w:rsidR="00000000" w:rsidRDefault="00000000">
            <w:pPr>
              <w:pStyle w:val="a6"/>
              <w:spacing w:before="10" w:after="10"/>
              <w:rPr>
                <w:b/>
                <w:w w:val="150"/>
                <w:sz w:val="18"/>
                <w:lang w:val="en-US"/>
              </w:rPr>
            </w:pPr>
            <w:r>
              <w:rPr>
                <w:b/>
                <w:w w:val="150"/>
                <w:sz w:val="18"/>
                <w:lang w:val="en-US"/>
              </w:rPr>
              <w:t>6618</w:t>
            </w:r>
          </w:p>
        </w:tc>
        <w:tc>
          <w:tcPr>
            <w:tcW w:w="992" w:type="dxa"/>
            <w:tcBorders>
              <w:top w:val="single" w:sz="4" w:space="0" w:color="auto"/>
              <w:left w:val="nil"/>
              <w:right w:val="nil"/>
            </w:tcBorders>
          </w:tcPr>
          <w:p w:rsidR="00000000" w:rsidRDefault="00000000">
            <w:pPr>
              <w:pStyle w:val="a6"/>
              <w:spacing w:before="10" w:after="10"/>
              <w:rPr>
                <w:b/>
                <w:w w:val="150"/>
                <w:sz w:val="18"/>
                <w:lang w:val="en-US"/>
              </w:rPr>
            </w:pPr>
            <w:r>
              <w:rPr>
                <w:b/>
                <w:w w:val="150"/>
                <w:sz w:val="18"/>
                <w:lang w:val="en-US"/>
              </w:rPr>
              <w:t>2890</w:t>
            </w:r>
          </w:p>
        </w:tc>
        <w:tc>
          <w:tcPr>
            <w:tcW w:w="985" w:type="dxa"/>
            <w:tcBorders>
              <w:top w:val="single" w:sz="4" w:space="0" w:color="auto"/>
              <w:left w:val="nil"/>
              <w:right w:val="nil"/>
            </w:tcBorders>
          </w:tcPr>
          <w:p w:rsidR="00000000" w:rsidRDefault="00000000">
            <w:pPr>
              <w:pStyle w:val="a6"/>
              <w:spacing w:before="10" w:after="10"/>
              <w:rPr>
                <w:b/>
                <w:w w:val="150"/>
                <w:sz w:val="18"/>
                <w:lang w:val="en-US"/>
              </w:rPr>
            </w:pPr>
            <w:r>
              <w:rPr>
                <w:b/>
                <w:w w:val="150"/>
                <w:sz w:val="18"/>
                <w:lang w:val="en-US"/>
              </w:rPr>
              <w:t>9209</w:t>
            </w:r>
          </w:p>
        </w:tc>
        <w:tc>
          <w:tcPr>
            <w:tcW w:w="993" w:type="dxa"/>
            <w:tcBorders>
              <w:top w:val="single" w:sz="4" w:space="0" w:color="auto"/>
              <w:left w:val="nil"/>
              <w:right w:val="nil"/>
            </w:tcBorders>
          </w:tcPr>
          <w:p w:rsidR="00000000" w:rsidRDefault="00000000">
            <w:pPr>
              <w:pStyle w:val="a6"/>
              <w:spacing w:before="10" w:after="10"/>
              <w:rPr>
                <w:b/>
                <w:w w:val="150"/>
                <w:sz w:val="18"/>
                <w:lang w:val="en-US"/>
              </w:rPr>
            </w:pPr>
            <w:r>
              <w:rPr>
                <w:b/>
                <w:w w:val="150"/>
                <w:sz w:val="18"/>
                <w:lang w:val="en-US"/>
              </w:rPr>
              <w:t>3729</w:t>
            </w:r>
          </w:p>
        </w:tc>
      </w:tr>
    </w:tbl>
    <w:p w:rsidR="00000000" w:rsidRDefault="00000000">
      <w:pPr>
        <w:tabs>
          <w:tab w:val="left" w:pos="567"/>
          <w:tab w:val="left" w:pos="1021"/>
          <w:tab w:val="left" w:pos="1474"/>
          <w:tab w:val="left" w:pos="1928"/>
        </w:tabs>
        <w:spacing w:after="120"/>
        <w:jc w:val="center"/>
        <w:rPr>
          <w:b/>
          <w:color w:val="000000"/>
          <w:lang w:val="en-GB"/>
        </w:rPr>
      </w:pPr>
      <w:r>
        <w:rPr>
          <w:b/>
          <w:color w:val="000000"/>
          <w:lang w:val="en-US"/>
        </w:rPr>
        <w:br/>
        <w:t xml:space="preserve">TABLE </w:t>
      </w:r>
      <w:r>
        <w:rPr>
          <w:b/>
          <w:color w:val="000000"/>
          <w:lang w:val="en-GB"/>
        </w:rPr>
        <w:t xml:space="preserve"> 12</w:t>
      </w:r>
    </w:p>
    <w:p w:rsidR="00000000" w:rsidRDefault="00000000">
      <w:pPr>
        <w:pStyle w:val="-0"/>
        <w:spacing w:before="0"/>
        <w:rPr>
          <w:color w:val="000000"/>
          <w:lang w:val="en-GB"/>
        </w:rPr>
      </w:pPr>
      <w:r>
        <w:rPr>
          <w:color w:val="000000"/>
          <w:lang w:val="en-GB"/>
        </w:rPr>
        <w:t>(</w:t>
      </w:r>
      <w:r>
        <w:rPr>
          <w:color w:val="000000"/>
          <w:lang w:val="en-US"/>
        </w:rPr>
        <w:t>Source</w:t>
      </w:r>
      <w:r>
        <w:rPr>
          <w:color w:val="000000"/>
          <w:lang w:val="en-GB"/>
        </w:rPr>
        <w:t xml:space="preserve"> </w:t>
      </w:r>
      <w:r>
        <w:rPr>
          <w:lang w:val="en-US"/>
        </w:rPr>
        <w:t>Ministry of National Education and Religious Affairs</w:t>
      </w:r>
      <w:r>
        <w:rPr>
          <w:color w:val="000000"/>
          <w:lang w:val="en-GB"/>
        </w:rPr>
        <w:t xml:space="preserve">, </w:t>
      </w:r>
      <w:r>
        <w:rPr>
          <w:lang w:val="en-GB"/>
        </w:rPr>
        <w:t>Directorate for Planning and Operational Research</w:t>
      </w:r>
      <w:r>
        <w:rPr>
          <w:color w:val="000000"/>
          <w:lang w:val="en-GB"/>
        </w:rPr>
        <w:t xml:space="preserve">, Dept. of Op. Research  &amp; </w:t>
      </w:r>
      <w:r>
        <w:rPr>
          <w:color w:val="000000"/>
          <w:lang w:val="en-US"/>
        </w:rPr>
        <w:t>Statistics</w:t>
      </w:r>
      <w:r>
        <w:rPr>
          <w:color w:val="000000"/>
          <w:lang w:val="en-GB"/>
        </w:rPr>
        <w:t>)</w:t>
      </w:r>
    </w:p>
    <w:p w:rsidR="00000000" w:rsidRDefault="00000000">
      <w:pPr>
        <w:tabs>
          <w:tab w:val="left" w:pos="567"/>
          <w:tab w:val="left" w:pos="1021"/>
          <w:tab w:val="left" w:pos="1474"/>
          <w:tab w:val="left" w:pos="1928"/>
        </w:tabs>
        <w:jc w:val="center"/>
        <w:rPr>
          <w:b/>
          <w:lang w:val="en-GB"/>
        </w:rPr>
      </w:pPr>
      <w:r>
        <w:rPr>
          <w:color w:val="000000"/>
          <w:lang w:val="en-GB"/>
        </w:rPr>
        <w:br w:type="page"/>
      </w:r>
      <w:r>
        <w:rPr>
          <w:b/>
          <w:lang w:val="en-US"/>
        </w:rPr>
        <w:t>GENERAL TOTAL</w:t>
      </w:r>
      <w:r>
        <w:rPr>
          <w:b/>
          <w:lang w:val="en-GB"/>
        </w:rPr>
        <w:t xml:space="preserve"> </w:t>
      </w:r>
      <w:r>
        <w:rPr>
          <w:b/>
          <w:lang w:val="en-US"/>
        </w:rPr>
        <w:t>TEACHING PERSONNEL</w:t>
      </w:r>
      <w:r>
        <w:rPr>
          <w:b/>
          <w:lang w:val="en-GB"/>
        </w:rPr>
        <w:t xml:space="preserve"> </w:t>
      </w:r>
      <w:r>
        <w:rPr>
          <w:b/>
          <w:lang w:val="en-US"/>
        </w:rPr>
        <w:t>IN TECHNOLOGICAL EDUCATIONAL INSTITUTES (</w:t>
      </w:r>
      <w:r>
        <w:rPr>
          <w:b/>
        </w:rPr>
        <w:t>Τ</w:t>
      </w:r>
      <w:r>
        <w:rPr>
          <w:b/>
          <w:lang w:val="en-US"/>
        </w:rPr>
        <w:t>.</w:t>
      </w:r>
      <w:r>
        <w:rPr>
          <w:b/>
        </w:rPr>
        <w:t>Ε</w:t>
      </w:r>
      <w:r>
        <w:rPr>
          <w:b/>
          <w:lang w:val="en-US"/>
        </w:rPr>
        <w:t>.</w:t>
      </w:r>
      <w:r>
        <w:rPr>
          <w:b/>
        </w:rPr>
        <w:t>Ι</w:t>
      </w:r>
      <w:r>
        <w:rPr>
          <w:b/>
          <w:lang w:val="en-US"/>
        </w:rPr>
        <w:t>.)</w:t>
      </w:r>
      <w:r>
        <w:rPr>
          <w:b/>
          <w:lang w:val="en-GB"/>
        </w:rPr>
        <w:t xml:space="preserve"> 2001 - 2002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843"/>
        <w:gridCol w:w="1745"/>
        <w:gridCol w:w="939"/>
        <w:gridCol w:w="992"/>
        <w:gridCol w:w="992"/>
        <w:gridCol w:w="992"/>
        <w:gridCol w:w="993"/>
        <w:gridCol w:w="901"/>
      </w:tblGrid>
      <w:tr w:rsidR="00000000">
        <w:tblPrEx>
          <w:tblCellMar>
            <w:top w:w="0" w:type="dxa"/>
            <w:bottom w:w="0" w:type="dxa"/>
          </w:tblCellMar>
        </w:tblPrEx>
        <w:trPr>
          <w:cantSplit/>
          <w:jc w:val="center"/>
        </w:trPr>
        <w:tc>
          <w:tcPr>
            <w:tcW w:w="1843" w:type="dxa"/>
            <w:vMerge w:val="restart"/>
            <w:tcBorders>
              <w:left w:val="nil"/>
              <w:right w:val="nil"/>
            </w:tcBorders>
            <w:vAlign w:val="center"/>
          </w:tcPr>
          <w:p w:rsidR="00000000" w:rsidRDefault="00000000">
            <w:pPr>
              <w:pStyle w:val="a6"/>
              <w:spacing w:before="20" w:after="20"/>
              <w:rPr>
                <w:b/>
                <w:sz w:val="18"/>
                <w:lang w:val="en-US"/>
              </w:rPr>
            </w:pPr>
            <w:r>
              <w:rPr>
                <w:b/>
                <w:sz w:val="18"/>
                <w:lang w:val="en-US"/>
              </w:rPr>
              <w:t>DISTRICT</w:t>
            </w:r>
          </w:p>
        </w:tc>
        <w:tc>
          <w:tcPr>
            <w:tcW w:w="1745" w:type="dxa"/>
            <w:vMerge w:val="restart"/>
            <w:tcBorders>
              <w:left w:val="nil"/>
              <w:right w:val="nil"/>
            </w:tcBorders>
            <w:vAlign w:val="center"/>
          </w:tcPr>
          <w:p w:rsidR="00000000" w:rsidRDefault="00000000">
            <w:pPr>
              <w:pStyle w:val="a6"/>
              <w:spacing w:before="20" w:after="20"/>
              <w:rPr>
                <w:b/>
                <w:sz w:val="18"/>
                <w:lang w:val="en-US"/>
              </w:rPr>
            </w:pPr>
            <w:r>
              <w:rPr>
                <w:b/>
                <w:sz w:val="18"/>
                <w:lang w:val="en-US"/>
              </w:rPr>
              <w:t>BRANCH</w:t>
            </w:r>
          </w:p>
        </w:tc>
        <w:tc>
          <w:tcPr>
            <w:tcW w:w="1931" w:type="dxa"/>
            <w:gridSpan w:val="2"/>
            <w:tcBorders>
              <w:left w:val="nil"/>
              <w:bottom w:val="single" w:sz="4" w:space="0" w:color="auto"/>
              <w:right w:val="nil"/>
            </w:tcBorders>
            <w:vAlign w:val="center"/>
          </w:tcPr>
          <w:p w:rsidR="00000000" w:rsidRDefault="00000000">
            <w:pPr>
              <w:pStyle w:val="a6"/>
              <w:spacing w:before="20" w:after="20"/>
              <w:rPr>
                <w:b/>
                <w:sz w:val="18"/>
                <w:lang w:val="en-US"/>
              </w:rPr>
            </w:pPr>
            <w:r>
              <w:rPr>
                <w:b/>
                <w:sz w:val="18"/>
                <w:lang w:val="en-US"/>
              </w:rPr>
              <w:t>PERMANENT TEACHING PERSONNEL</w:t>
            </w:r>
          </w:p>
        </w:tc>
        <w:tc>
          <w:tcPr>
            <w:tcW w:w="1984" w:type="dxa"/>
            <w:gridSpan w:val="2"/>
            <w:tcBorders>
              <w:left w:val="nil"/>
              <w:bottom w:val="single" w:sz="4" w:space="0" w:color="auto"/>
              <w:right w:val="nil"/>
            </w:tcBorders>
            <w:vAlign w:val="center"/>
          </w:tcPr>
          <w:p w:rsidR="00000000" w:rsidRDefault="00000000">
            <w:pPr>
              <w:pStyle w:val="a6"/>
              <w:spacing w:before="20" w:after="20"/>
              <w:rPr>
                <w:b/>
                <w:sz w:val="18"/>
                <w:lang w:val="en-US"/>
              </w:rPr>
            </w:pPr>
            <w:r>
              <w:rPr>
                <w:b/>
                <w:sz w:val="18"/>
                <w:lang w:val="en-US"/>
              </w:rPr>
              <w:t>DISMISSIBLE TEACHING PERSONNEL</w:t>
            </w:r>
          </w:p>
        </w:tc>
        <w:tc>
          <w:tcPr>
            <w:tcW w:w="1894" w:type="dxa"/>
            <w:gridSpan w:val="2"/>
            <w:tcBorders>
              <w:left w:val="nil"/>
              <w:bottom w:val="single" w:sz="4" w:space="0" w:color="auto"/>
              <w:right w:val="nil"/>
            </w:tcBorders>
            <w:vAlign w:val="center"/>
          </w:tcPr>
          <w:p w:rsidR="00000000" w:rsidRDefault="00000000">
            <w:pPr>
              <w:pStyle w:val="a6"/>
              <w:spacing w:before="20" w:after="20"/>
              <w:rPr>
                <w:b/>
                <w:sz w:val="18"/>
                <w:lang w:val="en-US"/>
              </w:rPr>
            </w:pPr>
            <w:r>
              <w:rPr>
                <w:b/>
                <w:sz w:val="18"/>
                <w:lang w:val="en-US"/>
              </w:rPr>
              <w:t>GENERAL TOTAL  PERMANENT-DISMISSIBLE PERSONNEL</w:t>
            </w:r>
          </w:p>
        </w:tc>
      </w:tr>
      <w:tr w:rsidR="00000000">
        <w:tblPrEx>
          <w:tblCellMar>
            <w:top w:w="0" w:type="dxa"/>
            <w:bottom w:w="0" w:type="dxa"/>
          </w:tblCellMar>
        </w:tblPrEx>
        <w:trPr>
          <w:cantSplit/>
          <w:jc w:val="center"/>
        </w:trPr>
        <w:tc>
          <w:tcPr>
            <w:tcW w:w="1843" w:type="dxa"/>
            <w:vMerge/>
            <w:tcBorders>
              <w:left w:val="nil"/>
              <w:bottom w:val="single" w:sz="4" w:space="0" w:color="auto"/>
              <w:right w:val="nil"/>
            </w:tcBorders>
            <w:vAlign w:val="center"/>
          </w:tcPr>
          <w:p w:rsidR="00000000" w:rsidRDefault="00000000">
            <w:pPr>
              <w:pStyle w:val="a6"/>
              <w:spacing w:before="20" w:after="20"/>
              <w:rPr>
                <w:b/>
                <w:sz w:val="18"/>
                <w:lang w:val="en-US"/>
              </w:rPr>
            </w:pPr>
          </w:p>
        </w:tc>
        <w:tc>
          <w:tcPr>
            <w:tcW w:w="1745" w:type="dxa"/>
            <w:vMerge/>
            <w:tcBorders>
              <w:left w:val="nil"/>
              <w:bottom w:val="single" w:sz="4" w:space="0" w:color="auto"/>
              <w:right w:val="nil"/>
            </w:tcBorders>
            <w:vAlign w:val="center"/>
          </w:tcPr>
          <w:p w:rsidR="00000000" w:rsidRDefault="00000000">
            <w:pPr>
              <w:pStyle w:val="a6"/>
              <w:spacing w:before="20" w:after="20"/>
              <w:rPr>
                <w:b/>
                <w:sz w:val="18"/>
                <w:lang w:val="en-US"/>
              </w:rPr>
            </w:pPr>
          </w:p>
        </w:tc>
        <w:tc>
          <w:tcPr>
            <w:tcW w:w="939" w:type="dxa"/>
            <w:tcBorders>
              <w:top w:val="single" w:sz="4" w:space="0" w:color="auto"/>
              <w:left w:val="nil"/>
              <w:bottom w:val="single" w:sz="4" w:space="0" w:color="auto"/>
              <w:right w:val="nil"/>
            </w:tcBorders>
          </w:tcPr>
          <w:p w:rsidR="00000000" w:rsidRDefault="00000000">
            <w:pPr>
              <w:pStyle w:val="a6"/>
              <w:spacing w:before="20" w:after="20"/>
              <w:rPr>
                <w:b/>
                <w:sz w:val="18"/>
                <w:lang w:val="en-US"/>
              </w:rPr>
            </w:pPr>
            <w:r>
              <w:rPr>
                <w:b/>
                <w:sz w:val="18"/>
                <w:lang w:val="en-US"/>
              </w:rPr>
              <w:t>TOTAL</w:t>
            </w:r>
          </w:p>
        </w:tc>
        <w:tc>
          <w:tcPr>
            <w:tcW w:w="992" w:type="dxa"/>
            <w:tcBorders>
              <w:top w:val="single" w:sz="4" w:space="0" w:color="auto"/>
              <w:left w:val="nil"/>
              <w:bottom w:val="single" w:sz="4" w:space="0" w:color="auto"/>
              <w:right w:val="nil"/>
            </w:tcBorders>
          </w:tcPr>
          <w:p w:rsidR="00000000" w:rsidRDefault="00000000">
            <w:pPr>
              <w:pStyle w:val="a6"/>
              <w:spacing w:before="20" w:after="20"/>
              <w:rPr>
                <w:b/>
                <w:sz w:val="18"/>
                <w:lang w:val="en-US"/>
              </w:rPr>
            </w:pPr>
            <w:r>
              <w:rPr>
                <w:b/>
                <w:sz w:val="18"/>
                <w:lang w:val="en-US"/>
              </w:rPr>
              <w:t>WOMEN</w:t>
            </w:r>
          </w:p>
        </w:tc>
        <w:tc>
          <w:tcPr>
            <w:tcW w:w="992" w:type="dxa"/>
            <w:tcBorders>
              <w:top w:val="single" w:sz="4" w:space="0" w:color="auto"/>
              <w:left w:val="nil"/>
              <w:bottom w:val="single" w:sz="4" w:space="0" w:color="auto"/>
              <w:right w:val="nil"/>
            </w:tcBorders>
          </w:tcPr>
          <w:p w:rsidR="00000000" w:rsidRDefault="00000000">
            <w:pPr>
              <w:pStyle w:val="a6"/>
              <w:spacing w:before="20" w:after="20"/>
              <w:rPr>
                <w:b/>
                <w:sz w:val="18"/>
                <w:lang w:val="en-US"/>
              </w:rPr>
            </w:pPr>
            <w:r>
              <w:rPr>
                <w:b/>
                <w:sz w:val="18"/>
                <w:lang w:val="en-US"/>
              </w:rPr>
              <w:t>TOTAL</w:t>
            </w:r>
          </w:p>
        </w:tc>
        <w:tc>
          <w:tcPr>
            <w:tcW w:w="992" w:type="dxa"/>
            <w:tcBorders>
              <w:top w:val="single" w:sz="4" w:space="0" w:color="auto"/>
              <w:left w:val="nil"/>
              <w:bottom w:val="single" w:sz="4" w:space="0" w:color="auto"/>
              <w:right w:val="nil"/>
            </w:tcBorders>
          </w:tcPr>
          <w:p w:rsidR="00000000" w:rsidRDefault="00000000">
            <w:pPr>
              <w:pStyle w:val="a6"/>
              <w:spacing w:before="20" w:after="20"/>
              <w:rPr>
                <w:b/>
                <w:sz w:val="18"/>
                <w:lang w:val="en-US"/>
              </w:rPr>
            </w:pPr>
            <w:r>
              <w:rPr>
                <w:b/>
                <w:sz w:val="18"/>
                <w:lang w:val="en-US"/>
              </w:rPr>
              <w:t>WOMEN</w:t>
            </w:r>
          </w:p>
        </w:tc>
        <w:tc>
          <w:tcPr>
            <w:tcW w:w="993" w:type="dxa"/>
            <w:tcBorders>
              <w:top w:val="single" w:sz="4" w:space="0" w:color="auto"/>
              <w:left w:val="nil"/>
              <w:bottom w:val="single" w:sz="4" w:space="0" w:color="auto"/>
              <w:right w:val="nil"/>
            </w:tcBorders>
          </w:tcPr>
          <w:p w:rsidR="00000000" w:rsidRDefault="00000000">
            <w:pPr>
              <w:pStyle w:val="a6"/>
              <w:spacing w:before="20" w:after="20"/>
              <w:rPr>
                <w:b/>
                <w:sz w:val="18"/>
                <w:lang w:val="en-US"/>
              </w:rPr>
            </w:pPr>
            <w:r>
              <w:rPr>
                <w:b/>
                <w:sz w:val="18"/>
                <w:lang w:val="en-US"/>
              </w:rPr>
              <w:t>TOTAL</w:t>
            </w:r>
          </w:p>
        </w:tc>
        <w:tc>
          <w:tcPr>
            <w:tcW w:w="901" w:type="dxa"/>
            <w:tcBorders>
              <w:top w:val="single" w:sz="4" w:space="0" w:color="auto"/>
              <w:left w:val="nil"/>
              <w:bottom w:val="single" w:sz="4" w:space="0" w:color="auto"/>
              <w:right w:val="nil"/>
            </w:tcBorders>
          </w:tcPr>
          <w:p w:rsidR="00000000" w:rsidRDefault="00000000">
            <w:pPr>
              <w:pStyle w:val="a6"/>
              <w:spacing w:before="20" w:after="20"/>
              <w:rPr>
                <w:b/>
                <w:sz w:val="18"/>
                <w:lang w:val="en-US"/>
              </w:rPr>
            </w:pPr>
            <w:r>
              <w:rPr>
                <w:b/>
                <w:sz w:val="18"/>
                <w:lang w:val="en-US"/>
              </w:rPr>
              <w:t>WOMEN</w:t>
            </w:r>
          </w:p>
        </w:tc>
      </w:tr>
      <w:tr w:rsidR="00000000">
        <w:tblPrEx>
          <w:tblCellMar>
            <w:top w:w="0" w:type="dxa"/>
            <w:bottom w:w="0" w:type="dxa"/>
          </w:tblCellMar>
        </w:tblPrEx>
        <w:trPr>
          <w:cantSplit/>
          <w:jc w:val="center"/>
        </w:trPr>
        <w:tc>
          <w:tcPr>
            <w:tcW w:w="1843" w:type="dxa"/>
            <w:tcBorders>
              <w:top w:val="single" w:sz="4" w:space="0" w:color="auto"/>
              <w:left w:val="nil"/>
              <w:bottom w:val="single" w:sz="4" w:space="0" w:color="auto"/>
              <w:right w:val="nil"/>
            </w:tcBorders>
            <w:vAlign w:val="center"/>
          </w:tcPr>
          <w:p w:rsidR="00000000" w:rsidRDefault="00000000">
            <w:pPr>
              <w:pStyle w:val="a6"/>
              <w:spacing w:before="20" w:after="20"/>
              <w:rPr>
                <w:b/>
                <w:sz w:val="18"/>
                <w:lang w:val="en-US"/>
              </w:rPr>
            </w:pPr>
            <w:r>
              <w:rPr>
                <w:b/>
                <w:sz w:val="18"/>
                <w:lang w:val="en-US"/>
              </w:rPr>
              <w:t>ATHENS</w:t>
            </w:r>
          </w:p>
        </w:tc>
        <w:tc>
          <w:tcPr>
            <w:tcW w:w="1745" w:type="dxa"/>
            <w:tcBorders>
              <w:top w:val="single" w:sz="4" w:space="0" w:color="auto"/>
              <w:left w:val="nil"/>
              <w:bottom w:val="single" w:sz="4" w:space="0" w:color="auto"/>
              <w:right w:val="nil"/>
            </w:tcBorders>
            <w:vAlign w:val="center"/>
          </w:tcPr>
          <w:p w:rsidR="00000000" w:rsidRDefault="00000000">
            <w:pPr>
              <w:pStyle w:val="a6"/>
              <w:spacing w:before="20" w:after="20"/>
              <w:rPr>
                <w:sz w:val="18"/>
                <w:lang w:val="en-US"/>
              </w:rPr>
            </w:pPr>
            <w:r>
              <w:rPr>
                <w:sz w:val="18"/>
                <w:lang w:val="en-US"/>
              </w:rPr>
              <w:t>ATHENS</w:t>
            </w:r>
          </w:p>
        </w:tc>
        <w:tc>
          <w:tcPr>
            <w:tcW w:w="939" w:type="dxa"/>
            <w:tcBorders>
              <w:top w:val="single" w:sz="4" w:space="0" w:color="auto"/>
              <w:left w:val="nil"/>
              <w:bottom w:val="single" w:sz="4" w:space="0" w:color="auto"/>
              <w:right w:val="nil"/>
            </w:tcBorders>
          </w:tcPr>
          <w:p w:rsidR="00000000" w:rsidRDefault="00000000">
            <w:pPr>
              <w:pStyle w:val="a6"/>
              <w:spacing w:before="20" w:after="20"/>
              <w:rPr>
                <w:sz w:val="18"/>
                <w:lang w:val="en-US"/>
              </w:rPr>
            </w:pPr>
            <w:r>
              <w:rPr>
                <w:sz w:val="18"/>
                <w:lang w:val="en-US"/>
              </w:rPr>
              <w:t>667</w:t>
            </w:r>
          </w:p>
        </w:tc>
        <w:tc>
          <w:tcPr>
            <w:tcW w:w="992" w:type="dxa"/>
            <w:tcBorders>
              <w:top w:val="single" w:sz="4" w:space="0" w:color="auto"/>
              <w:left w:val="nil"/>
              <w:bottom w:val="single" w:sz="4" w:space="0" w:color="auto"/>
              <w:right w:val="nil"/>
            </w:tcBorders>
          </w:tcPr>
          <w:p w:rsidR="00000000" w:rsidRDefault="00000000">
            <w:pPr>
              <w:pStyle w:val="a6"/>
              <w:spacing w:before="20" w:after="20"/>
              <w:rPr>
                <w:sz w:val="18"/>
                <w:lang w:val="en-US"/>
              </w:rPr>
            </w:pPr>
            <w:r>
              <w:rPr>
                <w:sz w:val="18"/>
                <w:lang w:val="en-US"/>
              </w:rPr>
              <w:t>316</w:t>
            </w:r>
          </w:p>
        </w:tc>
        <w:tc>
          <w:tcPr>
            <w:tcW w:w="992" w:type="dxa"/>
            <w:tcBorders>
              <w:top w:val="single" w:sz="4" w:space="0" w:color="auto"/>
              <w:left w:val="nil"/>
              <w:bottom w:val="single" w:sz="4" w:space="0" w:color="auto"/>
              <w:right w:val="nil"/>
            </w:tcBorders>
          </w:tcPr>
          <w:p w:rsidR="00000000" w:rsidRDefault="00000000">
            <w:pPr>
              <w:pStyle w:val="a6"/>
              <w:spacing w:before="20" w:after="20"/>
              <w:rPr>
                <w:sz w:val="18"/>
                <w:lang w:val="en-US"/>
              </w:rPr>
            </w:pPr>
            <w:r>
              <w:rPr>
                <w:sz w:val="18"/>
                <w:lang w:val="en-US"/>
              </w:rPr>
              <w:t>1217</w:t>
            </w:r>
          </w:p>
        </w:tc>
        <w:tc>
          <w:tcPr>
            <w:tcW w:w="992" w:type="dxa"/>
            <w:tcBorders>
              <w:top w:val="single" w:sz="4" w:space="0" w:color="auto"/>
              <w:left w:val="nil"/>
              <w:bottom w:val="single" w:sz="4" w:space="0" w:color="auto"/>
              <w:right w:val="nil"/>
            </w:tcBorders>
          </w:tcPr>
          <w:p w:rsidR="00000000" w:rsidRDefault="00000000">
            <w:pPr>
              <w:pStyle w:val="a6"/>
              <w:spacing w:before="20" w:after="20"/>
              <w:rPr>
                <w:sz w:val="18"/>
                <w:lang w:val="en-US"/>
              </w:rPr>
            </w:pPr>
            <w:r>
              <w:rPr>
                <w:sz w:val="18"/>
                <w:lang w:val="en-US"/>
              </w:rPr>
              <w:t>653</w:t>
            </w:r>
          </w:p>
        </w:tc>
        <w:tc>
          <w:tcPr>
            <w:tcW w:w="993" w:type="dxa"/>
            <w:tcBorders>
              <w:top w:val="single" w:sz="4" w:space="0" w:color="auto"/>
              <w:left w:val="nil"/>
              <w:bottom w:val="single" w:sz="4" w:space="0" w:color="auto"/>
              <w:right w:val="nil"/>
            </w:tcBorders>
          </w:tcPr>
          <w:p w:rsidR="00000000" w:rsidRDefault="00000000">
            <w:pPr>
              <w:pStyle w:val="a6"/>
              <w:spacing w:before="20" w:after="20"/>
              <w:rPr>
                <w:sz w:val="18"/>
                <w:lang w:val="en-US"/>
              </w:rPr>
            </w:pPr>
            <w:r>
              <w:rPr>
                <w:sz w:val="18"/>
                <w:lang w:val="en-US"/>
              </w:rPr>
              <w:t>1884</w:t>
            </w:r>
          </w:p>
        </w:tc>
        <w:tc>
          <w:tcPr>
            <w:tcW w:w="901" w:type="dxa"/>
            <w:tcBorders>
              <w:top w:val="single" w:sz="4" w:space="0" w:color="auto"/>
              <w:left w:val="nil"/>
              <w:bottom w:val="single" w:sz="4" w:space="0" w:color="auto"/>
              <w:right w:val="nil"/>
            </w:tcBorders>
          </w:tcPr>
          <w:p w:rsidR="00000000" w:rsidRDefault="00000000">
            <w:pPr>
              <w:pStyle w:val="a6"/>
              <w:spacing w:before="20" w:after="20"/>
              <w:rPr>
                <w:sz w:val="18"/>
                <w:lang w:val="en-US"/>
              </w:rPr>
            </w:pPr>
            <w:r>
              <w:rPr>
                <w:sz w:val="18"/>
                <w:lang w:val="en-US"/>
              </w:rPr>
              <w:t>969</w:t>
            </w:r>
          </w:p>
        </w:tc>
      </w:tr>
      <w:tr w:rsidR="00000000">
        <w:tblPrEx>
          <w:tblCellMar>
            <w:top w:w="0" w:type="dxa"/>
            <w:bottom w:w="0" w:type="dxa"/>
          </w:tblCellMar>
        </w:tblPrEx>
        <w:trPr>
          <w:cantSplit/>
          <w:jc w:val="center"/>
        </w:trPr>
        <w:tc>
          <w:tcPr>
            <w:tcW w:w="1843" w:type="dxa"/>
            <w:vMerge w:val="restart"/>
            <w:tcBorders>
              <w:top w:val="single" w:sz="4" w:space="0" w:color="auto"/>
              <w:left w:val="nil"/>
              <w:bottom w:val="nil"/>
              <w:right w:val="nil"/>
            </w:tcBorders>
            <w:vAlign w:val="center"/>
          </w:tcPr>
          <w:p w:rsidR="00000000" w:rsidRDefault="00000000">
            <w:pPr>
              <w:pStyle w:val="a6"/>
              <w:spacing w:before="20" w:after="20"/>
              <w:rPr>
                <w:b/>
                <w:sz w:val="18"/>
                <w:lang w:val="en-US"/>
              </w:rPr>
            </w:pPr>
            <w:r>
              <w:rPr>
                <w:b/>
                <w:sz w:val="18"/>
                <w:lang w:val="en-US"/>
              </w:rPr>
              <w:t>EPIRUS</w:t>
            </w:r>
          </w:p>
        </w:tc>
        <w:tc>
          <w:tcPr>
            <w:tcW w:w="1745" w:type="dxa"/>
            <w:tcBorders>
              <w:top w:val="single" w:sz="4" w:space="0" w:color="auto"/>
              <w:left w:val="nil"/>
              <w:bottom w:val="nil"/>
              <w:right w:val="nil"/>
            </w:tcBorders>
            <w:vAlign w:val="center"/>
          </w:tcPr>
          <w:p w:rsidR="00000000" w:rsidRDefault="00000000">
            <w:pPr>
              <w:pStyle w:val="a6"/>
              <w:spacing w:before="20" w:after="20"/>
              <w:rPr>
                <w:sz w:val="18"/>
                <w:lang w:val="en-US"/>
              </w:rPr>
            </w:pPr>
            <w:r>
              <w:rPr>
                <w:sz w:val="18"/>
                <w:lang w:val="en-US"/>
              </w:rPr>
              <w:t>ARTA</w:t>
            </w:r>
          </w:p>
        </w:tc>
        <w:tc>
          <w:tcPr>
            <w:tcW w:w="939" w:type="dxa"/>
            <w:tcBorders>
              <w:top w:val="single" w:sz="4" w:space="0" w:color="auto"/>
              <w:left w:val="nil"/>
              <w:bottom w:val="nil"/>
              <w:right w:val="nil"/>
            </w:tcBorders>
          </w:tcPr>
          <w:p w:rsidR="00000000" w:rsidRDefault="00000000">
            <w:pPr>
              <w:pStyle w:val="a6"/>
              <w:spacing w:before="20" w:after="20"/>
              <w:rPr>
                <w:sz w:val="18"/>
                <w:lang w:val="en-US"/>
              </w:rPr>
            </w:pPr>
            <w:r>
              <w:rPr>
                <w:sz w:val="18"/>
                <w:lang w:val="en-US"/>
              </w:rPr>
              <w:t>43</w:t>
            </w:r>
          </w:p>
        </w:tc>
        <w:tc>
          <w:tcPr>
            <w:tcW w:w="992" w:type="dxa"/>
            <w:tcBorders>
              <w:top w:val="single" w:sz="4" w:space="0" w:color="auto"/>
              <w:left w:val="nil"/>
              <w:bottom w:val="nil"/>
              <w:right w:val="nil"/>
            </w:tcBorders>
          </w:tcPr>
          <w:p w:rsidR="00000000" w:rsidRDefault="00000000">
            <w:pPr>
              <w:pStyle w:val="a6"/>
              <w:spacing w:before="20" w:after="20"/>
              <w:rPr>
                <w:sz w:val="18"/>
                <w:lang w:val="en-US"/>
              </w:rPr>
            </w:pPr>
            <w:r>
              <w:rPr>
                <w:sz w:val="18"/>
                <w:lang w:val="en-US"/>
              </w:rPr>
              <w:t>15</w:t>
            </w:r>
          </w:p>
        </w:tc>
        <w:tc>
          <w:tcPr>
            <w:tcW w:w="992" w:type="dxa"/>
            <w:tcBorders>
              <w:top w:val="single" w:sz="4" w:space="0" w:color="auto"/>
              <w:left w:val="nil"/>
              <w:bottom w:val="nil"/>
              <w:right w:val="nil"/>
            </w:tcBorders>
          </w:tcPr>
          <w:p w:rsidR="00000000" w:rsidRDefault="00000000">
            <w:pPr>
              <w:pStyle w:val="a6"/>
              <w:spacing w:before="20" w:after="20"/>
              <w:rPr>
                <w:sz w:val="18"/>
                <w:lang w:val="en-US"/>
              </w:rPr>
            </w:pPr>
            <w:r>
              <w:rPr>
                <w:sz w:val="18"/>
                <w:lang w:val="en-US"/>
              </w:rPr>
              <w:t>310</w:t>
            </w:r>
          </w:p>
        </w:tc>
        <w:tc>
          <w:tcPr>
            <w:tcW w:w="992" w:type="dxa"/>
            <w:tcBorders>
              <w:top w:val="single" w:sz="4" w:space="0" w:color="auto"/>
              <w:left w:val="nil"/>
              <w:bottom w:val="nil"/>
              <w:right w:val="nil"/>
            </w:tcBorders>
          </w:tcPr>
          <w:p w:rsidR="00000000" w:rsidRDefault="00000000">
            <w:pPr>
              <w:pStyle w:val="a6"/>
              <w:spacing w:before="20" w:after="20"/>
              <w:rPr>
                <w:sz w:val="18"/>
                <w:lang w:val="en-US"/>
              </w:rPr>
            </w:pPr>
            <w:r>
              <w:rPr>
                <w:sz w:val="18"/>
                <w:lang w:val="en-US"/>
              </w:rPr>
              <w:t>122</w:t>
            </w:r>
          </w:p>
        </w:tc>
        <w:tc>
          <w:tcPr>
            <w:tcW w:w="993" w:type="dxa"/>
            <w:tcBorders>
              <w:top w:val="single" w:sz="4" w:space="0" w:color="auto"/>
              <w:left w:val="nil"/>
              <w:bottom w:val="nil"/>
              <w:right w:val="nil"/>
            </w:tcBorders>
          </w:tcPr>
          <w:p w:rsidR="00000000" w:rsidRDefault="00000000">
            <w:pPr>
              <w:pStyle w:val="a6"/>
              <w:spacing w:before="20" w:after="20"/>
              <w:rPr>
                <w:sz w:val="18"/>
                <w:lang w:val="en-US"/>
              </w:rPr>
            </w:pPr>
            <w:r>
              <w:rPr>
                <w:sz w:val="18"/>
                <w:lang w:val="en-US"/>
              </w:rPr>
              <w:t>353</w:t>
            </w:r>
          </w:p>
        </w:tc>
        <w:tc>
          <w:tcPr>
            <w:tcW w:w="901" w:type="dxa"/>
            <w:tcBorders>
              <w:top w:val="single" w:sz="4" w:space="0" w:color="auto"/>
              <w:left w:val="nil"/>
              <w:bottom w:val="nil"/>
              <w:right w:val="nil"/>
            </w:tcBorders>
          </w:tcPr>
          <w:p w:rsidR="00000000" w:rsidRDefault="00000000">
            <w:pPr>
              <w:pStyle w:val="a6"/>
              <w:spacing w:before="20" w:after="20"/>
              <w:rPr>
                <w:sz w:val="18"/>
                <w:lang w:val="en-US"/>
              </w:rPr>
            </w:pPr>
            <w:r>
              <w:rPr>
                <w:sz w:val="18"/>
                <w:lang w:val="en-US"/>
              </w:rPr>
              <w:t>137</w:t>
            </w:r>
          </w:p>
        </w:tc>
      </w:tr>
      <w:tr w:rsidR="00000000">
        <w:tblPrEx>
          <w:tblCellMar>
            <w:top w:w="0" w:type="dxa"/>
            <w:bottom w:w="0" w:type="dxa"/>
          </w:tblCellMar>
        </w:tblPrEx>
        <w:trPr>
          <w:cantSplit/>
          <w:jc w:val="center"/>
        </w:trPr>
        <w:tc>
          <w:tcPr>
            <w:tcW w:w="1843" w:type="dxa"/>
            <w:vMerge/>
            <w:tcBorders>
              <w:top w:val="nil"/>
              <w:left w:val="nil"/>
              <w:bottom w:val="nil"/>
              <w:right w:val="nil"/>
            </w:tcBorders>
            <w:vAlign w:val="center"/>
          </w:tcPr>
          <w:p w:rsidR="00000000" w:rsidRDefault="00000000">
            <w:pPr>
              <w:pStyle w:val="a6"/>
              <w:spacing w:before="20" w:after="20"/>
              <w:rPr>
                <w:b/>
                <w:sz w:val="18"/>
                <w:lang w:val="en-US"/>
              </w:rPr>
            </w:pPr>
          </w:p>
        </w:tc>
        <w:tc>
          <w:tcPr>
            <w:tcW w:w="1745" w:type="dxa"/>
            <w:tcBorders>
              <w:top w:val="nil"/>
              <w:left w:val="nil"/>
              <w:bottom w:val="nil"/>
              <w:right w:val="nil"/>
            </w:tcBorders>
            <w:vAlign w:val="center"/>
          </w:tcPr>
          <w:p w:rsidR="00000000" w:rsidRDefault="00000000">
            <w:pPr>
              <w:pStyle w:val="a6"/>
              <w:spacing w:before="20" w:after="20"/>
              <w:rPr>
                <w:sz w:val="18"/>
                <w:lang w:val="en-US"/>
              </w:rPr>
            </w:pPr>
            <w:r>
              <w:rPr>
                <w:sz w:val="18"/>
                <w:lang w:val="en-US"/>
              </w:rPr>
              <w:t>IOANNINA</w:t>
            </w:r>
          </w:p>
        </w:tc>
        <w:tc>
          <w:tcPr>
            <w:tcW w:w="939" w:type="dxa"/>
            <w:tcBorders>
              <w:top w:val="nil"/>
              <w:left w:val="nil"/>
              <w:bottom w:val="nil"/>
              <w:right w:val="nil"/>
            </w:tcBorders>
          </w:tcPr>
          <w:p w:rsidR="00000000" w:rsidRDefault="00000000">
            <w:pPr>
              <w:pStyle w:val="a6"/>
              <w:spacing w:before="20" w:after="20"/>
              <w:rPr>
                <w:sz w:val="18"/>
                <w:lang w:val="en-US"/>
              </w:rPr>
            </w:pPr>
            <w:r>
              <w:rPr>
                <w:sz w:val="18"/>
                <w:lang w:val="en-US"/>
              </w:rPr>
              <w:t>15</w:t>
            </w:r>
          </w:p>
        </w:tc>
        <w:tc>
          <w:tcPr>
            <w:tcW w:w="992" w:type="dxa"/>
            <w:tcBorders>
              <w:top w:val="nil"/>
              <w:left w:val="nil"/>
              <w:bottom w:val="nil"/>
              <w:right w:val="nil"/>
            </w:tcBorders>
          </w:tcPr>
          <w:p w:rsidR="00000000" w:rsidRDefault="00000000">
            <w:pPr>
              <w:pStyle w:val="a6"/>
              <w:spacing w:before="20" w:after="20"/>
              <w:rPr>
                <w:sz w:val="18"/>
                <w:lang w:val="en-US"/>
              </w:rPr>
            </w:pPr>
            <w:r>
              <w:rPr>
                <w:sz w:val="18"/>
                <w:lang w:val="en-US"/>
              </w:rPr>
              <w:t>4</w:t>
            </w:r>
          </w:p>
        </w:tc>
        <w:tc>
          <w:tcPr>
            <w:tcW w:w="992" w:type="dxa"/>
            <w:tcBorders>
              <w:top w:val="nil"/>
              <w:left w:val="nil"/>
              <w:bottom w:val="nil"/>
              <w:right w:val="nil"/>
            </w:tcBorders>
          </w:tcPr>
          <w:p w:rsidR="00000000" w:rsidRDefault="00000000">
            <w:pPr>
              <w:pStyle w:val="a6"/>
              <w:spacing w:before="20" w:after="20"/>
              <w:rPr>
                <w:sz w:val="18"/>
                <w:lang w:val="en-US"/>
              </w:rPr>
            </w:pPr>
            <w:r>
              <w:rPr>
                <w:sz w:val="18"/>
                <w:lang w:val="en-US"/>
              </w:rPr>
              <w:t>217</w:t>
            </w:r>
          </w:p>
        </w:tc>
        <w:tc>
          <w:tcPr>
            <w:tcW w:w="992" w:type="dxa"/>
            <w:tcBorders>
              <w:top w:val="nil"/>
              <w:left w:val="nil"/>
              <w:bottom w:val="nil"/>
              <w:right w:val="nil"/>
            </w:tcBorders>
          </w:tcPr>
          <w:p w:rsidR="00000000" w:rsidRDefault="00000000">
            <w:pPr>
              <w:pStyle w:val="a6"/>
              <w:spacing w:before="20" w:after="20"/>
              <w:rPr>
                <w:sz w:val="18"/>
                <w:lang w:val="en-US"/>
              </w:rPr>
            </w:pPr>
            <w:r>
              <w:rPr>
                <w:sz w:val="18"/>
                <w:lang w:val="en-US"/>
              </w:rPr>
              <w:t>181</w:t>
            </w:r>
          </w:p>
        </w:tc>
        <w:tc>
          <w:tcPr>
            <w:tcW w:w="993" w:type="dxa"/>
            <w:tcBorders>
              <w:top w:val="nil"/>
              <w:left w:val="nil"/>
              <w:bottom w:val="nil"/>
              <w:right w:val="nil"/>
            </w:tcBorders>
          </w:tcPr>
          <w:p w:rsidR="00000000" w:rsidRDefault="00000000">
            <w:pPr>
              <w:pStyle w:val="a6"/>
              <w:spacing w:before="20" w:after="20"/>
              <w:rPr>
                <w:sz w:val="18"/>
                <w:lang w:val="en-US"/>
              </w:rPr>
            </w:pPr>
            <w:r>
              <w:rPr>
                <w:sz w:val="18"/>
                <w:lang w:val="en-US"/>
              </w:rPr>
              <w:t>232</w:t>
            </w:r>
          </w:p>
        </w:tc>
        <w:tc>
          <w:tcPr>
            <w:tcW w:w="901" w:type="dxa"/>
            <w:tcBorders>
              <w:top w:val="nil"/>
              <w:left w:val="nil"/>
              <w:bottom w:val="nil"/>
              <w:right w:val="nil"/>
            </w:tcBorders>
          </w:tcPr>
          <w:p w:rsidR="00000000" w:rsidRDefault="00000000">
            <w:pPr>
              <w:pStyle w:val="a6"/>
              <w:spacing w:before="20" w:after="20"/>
              <w:rPr>
                <w:sz w:val="18"/>
                <w:lang w:val="en-US"/>
              </w:rPr>
            </w:pPr>
            <w:r>
              <w:rPr>
                <w:sz w:val="18"/>
                <w:lang w:val="en-US"/>
              </w:rPr>
              <w:t>185</w:t>
            </w:r>
          </w:p>
        </w:tc>
      </w:tr>
      <w:tr w:rsidR="00000000">
        <w:tblPrEx>
          <w:tblCellMar>
            <w:top w:w="0" w:type="dxa"/>
            <w:bottom w:w="0" w:type="dxa"/>
          </w:tblCellMar>
        </w:tblPrEx>
        <w:trPr>
          <w:cantSplit/>
          <w:jc w:val="center"/>
        </w:trPr>
        <w:tc>
          <w:tcPr>
            <w:tcW w:w="1843" w:type="dxa"/>
            <w:vMerge/>
            <w:tcBorders>
              <w:top w:val="nil"/>
              <w:left w:val="nil"/>
              <w:bottom w:val="nil"/>
              <w:right w:val="nil"/>
            </w:tcBorders>
            <w:vAlign w:val="center"/>
          </w:tcPr>
          <w:p w:rsidR="00000000" w:rsidRDefault="00000000">
            <w:pPr>
              <w:pStyle w:val="a6"/>
              <w:spacing w:before="20" w:after="20"/>
              <w:rPr>
                <w:b/>
                <w:sz w:val="18"/>
                <w:lang w:val="en-US"/>
              </w:rPr>
            </w:pPr>
          </w:p>
        </w:tc>
        <w:tc>
          <w:tcPr>
            <w:tcW w:w="1745" w:type="dxa"/>
            <w:tcBorders>
              <w:top w:val="nil"/>
              <w:left w:val="nil"/>
              <w:bottom w:val="nil"/>
              <w:right w:val="nil"/>
            </w:tcBorders>
            <w:vAlign w:val="center"/>
          </w:tcPr>
          <w:p w:rsidR="00000000" w:rsidRDefault="00000000">
            <w:pPr>
              <w:pStyle w:val="a6"/>
              <w:spacing w:before="20" w:after="20"/>
              <w:rPr>
                <w:sz w:val="18"/>
                <w:lang w:val="en-US"/>
              </w:rPr>
            </w:pPr>
            <w:r>
              <w:rPr>
                <w:sz w:val="18"/>
                <w:lang w:val="en-US"/>
              </w:rPr>
              <w:t>IGOUMENITSA</w:t>
            </w:r>
          </w:p>
        </w:tc>
        <w:tc>
          <w:tcPr>
            <w:tcW w:w="939" w:type="dxa"/>
            <w:tcBorders>
              <w:top w:val="nil"/>
              <w:left w:val="nil"/>
              <w:bottom w:val="nil"/>
              <w:right w:val="nil"/>
            </w:tcBorders>
          </w:tcPr>
          <w:p w:rsidR="00000000" w:rsidRDefault="00000000">
            <w:pPr>
              <w:pStyle w:val="a6"/>
              <w:spacing w:before="20" w:after="20"/>
              <w:rPr>
                <w:sz w:val="18"/>
                <w:lang w:val="en-US"/>
              </w:rPr>
            </w:pPr>
            <w:r>
              <w:rPr>
                <w:sz w:val="18"/>
                <w:lang w:val="en-US"/>
              </w:rPr>
              <w:t>20</w:t>
            </w:r>
          </w:p>
        </w:tc>
        <w:tc>
          <w:tcPr>
            <w:tcW w:w="992" w:type="dxa"/>
            <w:tcBorders>
              <w:top w:val="nil"/>
              <w:left w:val="nil"/>
              <w:bottom w:val="nil"/>
              <w:right w:val="nil"/>
            </w:tcBorders>
          </w:tcPr>
          <w:p w:rsidR="00000000" w:rsidRDefault="00000000">
            <w:pPr>
              <w:pStyle w:val="a6"/>
              <w:spacing w:before="20" w:after="20"/>
              <w:rPr>
                <w:sz w:val="18"/>
                <w:lang w:val="en-US"/>
              </w:rPr>
            </w:pPr>
            <w:r>
              <w:rPr>
                <w:sz w:val="18"/>
                <w:lang w:val="en-US"/>
              </w:rPr>
              <w:t>5</w:t>
            </w:r>
          </w:p>
        </w:tc>
        <w:tc>
          <w:tcPr>
            <w:tcW w:w="992" w:type="dxa"/>
            <w:tcBorders>
              <w:top w:val="nil"/>
              <w:left w:val="nil"/>
              <w:bottom w:val="nil"/>
              <w:right w:val="nil"/>
            </w:tcBorders>
          </w:tcPr>
          <w:p w:rsidR="00000000" w:rsidRDefault="00000000">
            <w:pPr>
              <w:pStyle w:val="a6"/>
              <w:spacing w:before="20" w:after="20"/>
              <w:rPr>
                <w:sz w:val="18"/>
                <w:lang w:val="en-US"/>
              </w:rPr>
            </w:pPr>
            <w:r>
              <w:rPr>
                <w:sz w:val="18"/>
                <w:lang w:val="en-US"/>
              </w:rPr>
              <w:t>101</w:t>
            </w:r>
          </w:p>
        </w:tc>
        <w:tc>
          <w:tcPr>
            <w:tcW w:w="992" w:type="dxa"/>
            <w:tcBorders>
              <w:top w:val="nil"/>
              <w:left w:val="nil"/>
              <w:bottom w:val="nil"/>
              <w:right w:val="nil"/>
            </w:tcBorders>
          </w:tcPr>
          <w:p w:rsidR="00000000" w:rsidRDefault="00000000">
            <w:pPr>
              <w:pStyle w:val="a6"/>
              <w:spacing w:before="20" w:after="20"/>
              <w:rPr>
                <w:sz w:val="18"/>
                <w:lang w:val="en-US"/>
              </w:rPr>
            </w:pPr>
            <w:r>
              <w:rPr>
                <w:sz w:val="18"/>
                <w:lang w:val="en-US"/>
              </w:rPr>
              <w:t>59</w:t>
            </w:r>
          </w:p>
        </w:tc>
        <w:tc>
          <w:tcPr>
            <w:tcW w:w="993" w:type="dxa"/>
            <w:tcBorders>
              <w:top w:val="nil"/>
              <w:left w:val="nil"/>
              <w:bottom w:val="nil"/>
              <w:right w:val="nil"/>
            </w:tcBorders>
          </w:tcPr>
          <w:p w:rsidR="00000000" w:rsidRDefault="00000000">
            <w:pPr>
              <w:pStyle w:val="a6"/>
              <w:spacing w:before="20" w:after="20"/>
              <w:rPr>
                <w:sz w:val="18"/>
                <w:lang w:val="en-US"/>
              </w:rPr>
            </w:pPr>
            <w:r>
              <w:rPr>
                <w:sz w:val="18"/>
                <w:lang w:val="en-US"/>
              </w:rPr>
              <w:t>121</w:t>
            </w:r>
          </w:p>
        </w:tc>
        <w:tc>
          <w:tcPr>
            <w:tcW w:w="901" w:type="dxa"/>
            <w:tcBorders>
              <w:top w:val="nil"/>
              <w:left w:val="nil"/>
              <w:bottom w:val="nil"/>
              <w:right w:val="nil"/>
            </w:tcBorders>
          </w:tcPr>
          <w:p w:rsidR="00000000" w:rsidRDefault="00000000">
            <w:pPr>
              <w:pStyle w:val="a6"/>
              <w:spacing w:before="20" w:after="20"/>
              <w:rPr>
                <w:sz w:val="18"/>
                <w:lang w:val="en-US"/>
              </w:rPr>
            </w:pPr>
            <w:r>
              <w:rPr>
                <w:sz w:val="18"/>
                <w:lang w:val="en-US"/>
              </w:rPr>
              <w:t>64</w:t>
            </w:r>
          </w:p>
        </w:tc>
      </w:tr>
      <w:tr w:rsidR="00000000">
        <w:tblPrEx>
          <w:tblCellMar>
            <w:top w:w="0" w:type="dxa"/>
            <w:bottom w:w="0" w:type="dxa"/>
          </w:tblCellMar>
        </w:tblPrEx>
        <w:trPr>
          <w:cantSplit/>
          <w:jc w:val="center"/>
        </w:trPr>
        <w:tc>
          <w:tcPr>
            <w:tcW w:w="1843" w:type="dxa"/>
            <w:vMerge/>
            <w:tcBorders>
              <w:top w:val="nil"/>
              <w:left w:val="nil"/>
              <w:bottom w:val="nil"/>
              <w:right w:val="nil"/>
            </w:tcBorders>
            <w:vAlign w:val="center"/>
          </w:tcPr>
          <w:p w:rsidR="00000000" w:rsidRDefault="00000000">
            <w:pPr>
              <w:pStyle w:val="a6"/>
              <w:spacing w:before="20" w:after="20"/>
              <w:rPr>
                <w:b/>
                <w:sz w:val="18"/>
                <w:lang w:val="en-US"/>
              </w:rPr>
            </w:pPr>
          </w:p>
        </w:tc>
        <w:tc>
          <w:tcPr>
            <w:tcW w:w="1745" w:type="dxa"/>
            <w:tcBorders>
              <w:top w:val="nil"/>
              <w:left w:val="nil"/>
              <w:bottom w:val="nil"/>
              <w:right w:val="nil"/>
            </w:tcBorders>
            <w:vAlign w:val="center"/>
          </w:tcPr>
          <w:p w:rsidR="00000000" w:rsidRDefault="00000000">
            <w:pPr>
              <w:pStyle w:val="a6"/>
              <w:spacing w:before="20" w:after="20"/>
              <w:rPr>
                <w:sz w:val="18"/>
                <w:lang w:val="en-US"/>
              </w:rPr>
            </w:pPr>
            <w:r>
              <w:rPr>
                <w:sz w:val="18"/>
                <w:lang w:val="en-US"/>
              </w:rPr>
              <w:t>PREVEZA</w:t>
            </w:r>
          </w:p>
        </w:tc>
        <w:tc>
          <w:tcPr>
            <w:tcW w:w="939" w:type="dxa"/>
            <w:tcBorders>
              <w:top w:val="nil"/>
              <w:left w:val="nil"/>
              <w:bottom w:val="nil"/>
              <w:right w:val="nil"/>
            </w:tcBorders>
          </w:tcPr>
          <w:p w:rsidR="00000000" w:rsidRDefault="00000000">
            <w:pPr>
              <w:pStyle w:val="a6"/>
              <w:spacing w:before="20" w:after="20"/>
              <w:rPr>
                <w:sz w:val="18"/>
                <w:lang w:val="en-US"/>
              </w:rPr>
            </w:pPr>
            <w:r>
              <w:rPr>
                <w:sz w:val="18"/>
                <w:lang w:val="en-US"/>
              </w:rPr>
              <w:t>8</w:t>
            </w:r>
          </w:p>
        </w:tc>
        <w:tc>
          <w:tcPr>
            <w:tcW w:w="992" w:type="dxa"/>
            <w:tcBorders>
              <w:top w:val="nil"/>
              <w:left w:val="nil"/>
              <w:bottom w:val="nil"/>
              <w:right w:val="nil"/>
            </w:tcBorders>
          </w:tcPr>
          <w:p w:rsidR="00000000" w:rsidRDefault="00000000">
            <w:pPr>
              <w:pStyle w:val="a6"/>
              <w:spacing w:before="20" w:after="20"/>
              <w:rPr>
                <w:sz w:val="18"/>
                <w:lang w:val="en-US"/>
              </w:rPr>
            </w:pPr>
            <w:r>
              <w:rPr>
                <w:sz w:val="18"/>
                <w:lang w:val="en-US"/>
              </w:rPr>
              <w:t>1</w:t>
            </w:r>
          </w:p>
        </w:tc>
        <w:tc>
          <w:tcPr>
            <w:tcW w:w="992" w:type="dxa"/>
            <w:tcBorders>
              <w:top w:val="nil"/>
              <w:left w:val="nil"/>
              <w:bottom w:val="nil"/>
              <w:right w:val="nil"/>
            </w:tcBorders>
          </w:tcPr>
          <w:p w:rsidR="00000000" w:rsidRDefault="00000000">
            <w:pPr>
              <w:pStyle w:val="a6"/>
              <w:spacing w:before="20" w:after="20"/>
              <w:rPr>
                <w:sz w:val="18"/>
                <w:lang w:val="en-US"/>
              </w:rPr>
            </w:pPr>
            <w:r>
              <w:rPr>
                <w:sz w:val="18"/>
                <w:lang w:val="en-US"/>
              </w:rPr>
              <w:t>89</w:t>
            </w:r>
          </w:p>
        </w:tc>
        <w:tc>
          <w:tcPr>
            <w:tcW w:w="992" w:type="dxa"/>
            <w:tcBorders>
              <w:top w:val="nil"/>
              <w:left w:val="nil"/>
              <w:bottom w:val="nil"/>
              <w:right w:val="nil"/>
            </w:tcBorders>
          </w:tcPr>
          <w:p w:rsidR="00000000" w:rsidRDefault="00000000">
            <w:pPr>
              <w:pStyle w:val="a6"/>
              <w:spacing w:before="20" w:after="20"/>
              <w:rPr>
                <w:sz w:val="18"/>
                <w:lang w:val="en-US"/>
              </w:rPr>
            </w:pPr>
            <w:r>
              <w:rPr>
                <w:sz w:val="18"/>
                <w:lang w:val="en-US"/>
              </w:rPr>
              <w:t>42</w:t>
            </w:r>
          </w:p>
        </w:tc>
        <w:tc>
          <w:tcPr>
            <w:tcW w:w="993" w:type="dxa"/>
            <w:tcBorders>
              <w:top w:val="nil"/>
              <w:left w:val="nil"/>
              <w:bottom w:val="nil"/>
              <w:right w:val="nil"/>
            </w:tcBorders>
          </w:tcPr>
          <w:p w:rsidR="00000000" w:rsidRDefault="00000000">
            <w:pPr>
              <w:pStyle w:val="a6"/>
              <w:spacing w:before="20" w:after="20"/>
              <w:rPr>
                <w:sz w:val="18"/>
                <w:lang w:val="en-US"/>
              </w:rPr>
            </w:pPr>
            <w:r>
              <w:rPr>
                <w:sz w:val="18"/>
                <w:lang w:val="en-US"/>
              </w:rPr>
              <w:t>97</w:t>
            </w:r>
          </w:p>
        </w:tc>
        <w:tc>
          <w:tcPr>
            <w:tcW w:w="901" w:type="dxa"/>
            <w:tcBorders>
              <w:top w:val="nil"/>
              <w:left w:val="nil"/>
              <w:bottom w:val="nil"/>
              <w:right w:val="nil"/>
            </w:tcBorders>
          </w:tcPr>
          <w:p w:rsidR="00000000" w:rsidRDefault="00000000">
            <w:pPr>
              <w:pStyle w:val="a6"/>
              <w:spacing w:before="20" w:after="20"/>
              <w:rPr>
                <w:sz w:val="18"/>
                <w:lang w:val="en-US"/>
              </w:rPr>
            </w:pPr>
            <w:r>
              <w:rPr>
                <w:sz w:val="18"/>
                <w:lang w:val="en-US"/>
              </w:rPr>
              <w:t>43</w:t>
            </w:r>
          </w:p>
        </w:tc>
      </w:tr>
      <w:tr w:rsidR="00000000">
        <w:tblPrEx>
          <w:tblCellMar>
            <w:top w:w="0" w:type="dxa"/>
            <w:bottom w:w="0" w:type="dxa"/>
          </w:tblCellMar>
        </w:tblPrEx>
        <w:trPr>
          <w:cantSplit/>
          <w:jc w:val="center"/>
        </w:trPr>
        <w:tc>
          <w:tcPr>
            <w:tcW w:w="1843" w:type="dxa"/>
            <w:vMerge/>
            <w:tcBorders>
              <w:top w:val="nil"/>
              <w:left w:val="nil"/>
              <w:bottom w:val="nil"/>
              <w:right w:val="nil"/>
            </w:tcBorders>
            <w:vAlign w:val="center"/>
          </w:tcPr>
          <w:p w:rsidR="00000000" w:rsidRDefault="00000000">
            <w:pPr>
              <w:pStyle w:val="a6"/>
              <w:spacing w:before="20" w:after="20"/>
              <w:rPr>
                <w:b/>
                <w:sz w:val="18"/>
                <w:lang w:val="en-US"/>
              </w:rPr>
            </w:pPr>
          </w:p>
        </w:tc>
        <w:tc>
          <w:tcPr>
            <w:tcW w:w="1745" w:type="dxa"/>
            <w:tcBorders>
              <w:top w:val="nil"/>
              <w:left w:val="nil"/>
              <w:bottom w:val="nil"/>
              <w:right w:val="nil"/>
            </w:tcBorders>
            <w:vAlign w:val="center"/>
          </w:tcPr>
          <w:p w:rsidR="00000000" w:rsidRDefault="00000000">
            <w:pPr>
              <w:pStyle w:val="a6"/>
              <w:spacing w:before="20" w:after="20"/>
              <w:rPr>
                <w:sz w:val="18"/>
                <w:lang w:val="en-US"/>
              </w:rPr>
            </w:pPr>
            <w:r>
              <w:rPr>
                <w:sz w:val="18"/>
                <w:lang w:val="en-US"/>
              </w:rPr>
              <w:t>ARGOSTOLI</w:t>
            </w:r>
          </w:p>
        </w:tc>
        <w:tc>
          <w:tcPr>
            <w:tcW w:w="939" w:type="dxa"/>
            <w:tcBorders>
              <w:top w:val="nil"/>
              <w:left w:val="nil"/>
              <w:bottom w:val="nil"/>
              <w:right w:val="nil"/>
            </w:tcBorders>
          </w:tcPr>
          <w:p w:rsidR="00000000" w:rsidRDefault="00000000">
            <w:pPr>
              <w:pStyle w:val="a6"/>
              <w:spacing w:before="20" w:after="20"/>
              <w:rPr>
                <w:sz w:val="18"/>
                <w:lang w:val="en-US"/>
              </w:rPr>
            </w:pPr>
            <w:r>
              <w:rPr>
                <w:sz w:val="18"/>
                <w:lang w:val="en-US"/>
              </w:rPr>
              <w:t>2</w:t>
            </w:r>
          </w:p>
        </w:tc>
        <w:tc>
          <w:tcPr>
            <w:tcW w:w="992" w:type="dxa"/>
            <w:tcBorders>
              <w:top w:val="nil"/>
              <w:left w:val="nil"/>
              <w:bottom w:val="nil"/>
              <w:right w:val="nil"/>
            </w:tcBorders>
          </w:tcPr>
          <w:p w:rsidR="00000000" w:rsidRDefault="00000000">
            <w:pPr>
              <w:pStyle w:val="a6"/>
              <w:spacing w:before="20" w:after="20"/>
              <w:rPr>
                <w:sz w:val="18"/>
                <w:lang w:val="en-US"/>
              </w:rPr>
            </w:pPr>
            <w:r>
              <w:rPr>
                <w:sz w:val="18"/>
                <w:lang w:val="en-US"/>
              </w:rPr>
              <w:t>1</w:t>
            </w:r>
          </w:p>
        </w:tc>
        <w:tc>
          <w:tcPr>
            <w:tcW w:w="992" w:type="dxa"/>
            <w:tcBorders>
              <w:top w:val="nil"/>
              <w:left w:val="nil"/>
              <w:bottom w:val="nil"/>
              <w:right w:val="nil"/>
            </w:tcBorders>
          </w:tcPr>
          <w:p w:rsidR="00000000" w:rsidRDefault="00000000">
            <w:pPr>
              <w:pStyle w:val="a6"/>
              <w:spacing w:before="20" w:after="20"/>
              <w:rPr>
                <w:sz w:val="18"/>
                <w:lang w:val="en-US"/>
              </w:rPr>
            </w:pPr>
            <w:r>
              <w:rPr>
                <w:sz w:val="18"/>
                <w:lang w:val="en-US"/>
              </w:rPr>
              <w:t>40</w:t>
            </w:r>
          </w:p>
        </w:tc>
        <w:tc>
          <w:tcPr>
            <w:tcW w:w="992" w:type="dxa"/>
            <w:tcBorders>
              <w:top w:val="nil"/>
              <w:left w:val="nil"/>
              <w:bottom w:val="nil"/>
              <w:right w:val="nil"/>
            </w:tcBorders>
          </w:tcPr>
          <w:p w:rsidR="00000000" w:rsidRDefault="00000000">
            <w:pPr>
              <w:pStyle w:val="a6"/>
              <w:spacing w:before="20" w:after="20"/>
              <w:rPr>
                <w:sz w:val="18"/>
                <w:lang w:val="en-US"/>
              </w:rPr>
            </w:pPr>
            <w:r>
              <w:rPr>
                <w:sz w:val="18"/>
                <w:lang w:val="en-US"/>
              </w:rPr>
              <w:t>20</w:t>
            </w:r>
          </w:p>
        </w:tc>
        <w:tc>
          <w:tcPr>
            <w:tcW w:w="993" w:type="dxa"/>
            <w:tcBorders>
              <w:top w:val="nil"/>
              <w:left w:val="nil"/>
              <w:bottom w:val="nil"/>
              <w:right w:val="nil"/>
            </w:tcBorders>
          </w:tcPr>
          <w:p w:rsidR="00000000" w:rsidRDefault="00000000">
            <w:pPr>
              <w:pStyle w:val="a6"/>
              <w:spacing w:before="20" w:after="20"/>
              <w:rPr>
                <w:sz w:val="18"/>
                <w:lang w:val="en-US"/>
              </w:rPr>
            </w:pPr>
            <w:r>
              <w:rPr>
                <w:sz w:val="18"/>
                <w:lang w:val="en-US"/>
              </w:rPr>
              <w:t>42</w:t>
            </w:r>
          </w:p>
        </w:tc>
        <w:tc>
          <w:tcPr>
            <w:tcW w:w="901" w:type="dxa"/>
            <w:tcBorders>
              <w:top w:val="nil"/>
              <w:left w:val="nil"/>
              <w:bottom w:val="nil"/>
              <w:right w:val="nil"/>
            </w:tcBorders>
          </w:tcPr>
          <w:p w:rsidR="00000000" w:rsidRDefault="00000000">
            <w:pPr>
              <w:pStyle w:val="a6"/>
              <w:spacing w:before="20" w:after="20"/>
              <w:rPr>
                <w:sz w:val="18"/>
                <w:lang w:val="en-US"/>
              </w:rPr>
            </w:pPr>
            <w:r>
              <w:rPr>
                <w:sz w:val="18"/>
                <w:lang w:val="en-US"/>
              </w:rPr>
              <w:t>21</w:t>
            </w:r>
          </w:p>
        </w:tc>
      </w:tr>
      <w:tr w:rsidR="00000000">
        <w:tblPrEx>
          <w:tblCellMar>
            <w:top w:w="0" w:type="dxa"/>
            <w:bottom w:w="0" w:type="dxa"/>
          </w:tblCellMar>
        </w:tblPrEx>
        <w:trPr>
          <w:cantSplit/>
          <w:jc w:val="center"/>
        </w:trPr>
        <w:tc>
          <w:tcPr>
            <w:tcW w:w="1843" w:type="dxa"/>
            <w:vMerge/>
            <w:tcBorders>
              <w:top w:val="nil"/>
              <w:left w:val="nil"/>
              <w:bottom w:val="single" w:sz="4" w:space="0" w:color="auto"/>
              <w:right w:val="nil"/>
            </w:tcBorders>
            <w:vAlign w:val="center"/>
          </w:tcPr>
          <w:p w:rsidR="00000000" w:rsidRDefault="00000000">
            <w:pPr>
              <w:pStyle w:val="a6"/>
              <w:spacing w:before="20" w:after="20"/>
              <w:rPr>
                <w:b/>
                <w:sz w:val="18"/>
                <w:lang w:val="en-US"/>
              </w:rPr>
            </w:pPr>
          </w:p>
        </w:tc>
        <w:tc>
          <w:tcPr>
            <w:tcW w:w="1745" w:type="dxa"/>
            <w:tcBorders>
              <w:top w:val="nil"/>
              <w:left w:val="nil"/>
              <w:bottom w:val="single" w:sz="4" w:space="0" w:color="auto"/>
              <w:right w:val="nil"/>
            </w:tcBorders>
            <w:vAlign w:val="center"/>
          </w:tcPr>
          <w:p w:rsidR="00000000" w:rsidRDefault="00000000">
            <w:pPr>
              <w:pStyle w:val="a6"/>
              <w:spacing w:before="20" w:after="20"/>
              <w:rPr>
                <w:sz w:val="18"/>
                <w:lang w:val="en-US"/>
              </w:rPr>
            </w:pPr>
            <w:r>
              <w:rPr>
                <w:sz w:val="18"/>
                <w:lang w:val="en-US"/>
              </w:rPr>
              <w:t>LIXOURI</w:t>
            </w:r>
          </w:p>
        </w:tc>
        <w:tc>
          <w:tcPr>
            <w:tcW w:w="939" w:type="dxa"/>
            <w:tcBorders>
              <w:top w:val="nil"/>
              <w:left w:val="nil"/>
              <w:bottom w:val="single" w:sz="4" w:space="0" w:color="auto"/>
              <w:right w:val="nil"/>
            </w:tcBorders>
          </w:tcPr>
          <w:p w:rsidR="00000000" w:rsidRDefault="00000000">
            <w:pPr>
              <w:pStyle w:val="a6"/>
              <w:spacing w:before="20" w:after="20"/>
              <w:rPr>
                <w:sz w:val="18"/>
                <w:lang w:val="en-US"/>
              </w:rPr>
            </w:pPr>
            <w:r>
              <w:rPr>
                <w:sz w:val="18"/>
                <w:lang w:val="en-US"/>
              </w:rPr>
              <w:t>2</w:t>
            </w:r>
          </w:p>
        </w:tc>
        <w:tc>
          <w:tcPr>
            <w:tcW w:w="992" w:type="dxa"/>
            <w:tcBorders>
              <w:top w:val="nil"/>
              <w:left w:val="nil"/>
              <w:bottom w:val="single" w:sz="4" w:space="0" w:color="auto"/>
              <w:right w:val="nil"/>
            </w:tcBorders>
          </w:tcPr>
          <w:p w:rsidR="00000000" w:rsidRDefault="00000000">
            <w:pPr>
              <w:pStyle w:val="a6"/>
              <w:spacing w:before="20" w:after="20"/>
              <w:rPr>
                <w:sz w:val="18"/>
                <w:lang w:val="en-US"/>
              </w:rPr>
            </w:pPr>
            <w:r>
              <w:rPr>
                <w:sz w:val="18"/>
                <w:lang w:val="en-US"/>
              </w:rPr>
              <w:t>0</w:t>
            </w:r>
          </w:p>
        </w:tc>
        <w:tc>
          <w:tcPr>
            <w:tcW w:w="992" w:type="dxa"/>
            <w:tcBorders>
              <w:top w:val="nil"/>
              <w:left w:val="nil"/>
              <w:bottom w:val="single" w:sz="4" w:space="0" w:color="auto"/>
              <w:right w:val="nil"/>
            </w:tcBorders>
          </w:tcPr>
          <w:p w:rsidR="00000000" w:rsidRDefault="00000000">
            <w:pPr>
              <w:pStyle w:val="a6"/>
              <w:spacing w:before="20" w:after="20"/>
              <w:rPr>
                <w:sz w:val="18"/>
                <w:lang w:val="en-US"/>
              </w:rPr>
            </w:pPr>
            <w:r>
              <w:rPr>
                <w:sz w:val="18"/>
                <w:lang w:val="en-US"/>
              </w:rPr>
              <w:t>28</w:t>
            </w:r>
          </w:p>
        </w:tc>
        <w:tc>
          <w:tcPr>
            <w:tcW w:w="992" w:type="dxa"/>
            <w:tcBorders>
              <w:top w:val="nil"/>
              <w:left w:val="nil"/>
              <w:bottom w:val="single" w:sz="4" w:space="0" w:color="auto"/>
              <w:right w:val="nil"/>
            </w:tcBorders>
          </w:tcPr>
          <w:p w:rsidR="00000000" w:rsidRDefault="00000000">
            <w:pPr>
              <w:pStyle w:val="a6"/>
              <w:spacing w:before="20" w:after="20"/>
              <w:rPr>
                <w:sz w:val="18"/>
                <w:lang w:val="en-US"/>
              </w:rPr>
            </w:pPr>
            <w:r>
              <w:rPr>
                <w:sz w:val="18"/>
                <w:lang w:val="en-US"/>
              </w:rPr>
              <w:t>3</w:t>
            </w:r>
          </w:p>
        </w:tc>
        <w:tc>
          <w:tcPr>
            <w:tcW w:w="993" w:type="dxa"/>
            <w:tcBorders>
              <w:top w:val="nil"/>
              <w:left w:val="nil"/>
              <w:bottom w:val="single" w:sz="4" w:space="0" w:color="auto"/>
              <w:right w:val="nil"/>
            </w:tcBorders>
          </w:tcPr>
          <w:p w:rsidR="00000000" w:rsidRDefault="00000000">
            <w:pPr>
              <w:pStyle w:val="a6"/>
              <w:spacing w:before="20" w:after="20"/>
              <w:rPr>
                <w:sz w:val="18"/>
                <w:lang w:val="en-US"/>
              </w:rPr>
            </w:pPr>
            <w:r>
              <w:rPr>
                <w:sz w:val="18"/>
                <w:lang w:val="en-US"/>
              </w:rPr>
              <w:t>30</w:t>
            </w:r>
          </w:p>
        </w:tc>
        <w:tc>
          <w:tcPr>
            <w:tcW w:w="901" w:type="dxa"/>
            <w:tcBorders>
              <w:top w:val="nil"/>
              <w:left w:val="nil"/>
              <w:bottom w:val="single" w:sz="4" w:space="0" w:color="auto"/>
              <w:right w:val="nil"/>
            </w:tcBorders>
          </w:tcPr>
          <w:p w:rsidR="00000000" w:rsidRDefault="00000000">
            <w:pPr>
              <w:pStyle w:val="a6"/>
              <w:spacing w:before="20" w:after="20"/>
              <w:rPr>
                <w:sz w:val="18"/>
                <w:lang w:val="en-US"/>
              </w:rPr>
            </w:pPr>
            <w:r>
              <w:rPr>
                <w:sz w:val="18"/>
                <w:lang w:val="en-US"/>
              </w:rPr>
              <w:t>3</w:t>
            </w:r>
          </w:p>
        </w:tc>
      </w:tr>
      <w:tr w:rsidR="00000000">
        <w:tblPrEx>
          <w:tblCellMar>
            <w:top w:w="0" w:type="dxa"/>
            <w:bottom w:w="0" w:type="dxa"/>
          </w:tblCellMar>
        </w:tblPrEx>
        <w:trPr>
          <w:cantSplit/>
          <w:jc w:val="center"/>
        </w:trPr>
        <w:tc>
          <w:tcPr>
            <w:tcW w:w="1843" w:type="dxa"/>
            <w:vMerge w:val="restart"/>
            <w:tcBorders>
              <w:top w:val="single" w:sz="4" w:space="0" w:color="auto"/>
              <w:left w:val="nil"/>
              <w:bottom w:val="nil"/>
              <w:right w:val="nil"/>
            </w:tcBorders>
            <w:vAlign w:val="center"/>
          </w:tcPr>
          <w:p w:rsidR="00000000" w:rsidRDefault="00000000">
            <w:pPr>
              <w:pStyle w:val="a6"/>
              <w:spacing w:before="20" w:after="20"/>
              <w:rPr>
                <w:b/>
                <w:sz w:val="18"/>
                <w:lang w:val="en-US"/>
              </w:rPr>
            </w:pPr>
            <w:r>
              <w:rPr>
                <w:b/>
                <w:sz w:val="18"/>
                <w:lang w:val="en-US"/>
              </w:rPr>
              <w:t>CRETE</w:t>
            </w:r>
          </w:p>
        </w:tc>
        <w:tc>
          <w:tcPr>
            <w:tcW w:w="1745" w:type="dxa"/>
            <w:tcBorders>
              <w:top w:val="single" w:sz="4" w:space="0" w:color="auto"/>
              <w:left w:val="nil"/>
              <w:bottom w:val="nil"/>
              <w:right w:val="nil"/>
            </w:tcBorders>
            <w:vAlign w:val="center"/>
          </w:tcPr>
          <w:p w:rsidR="00000000" w:rsidRDefault="00000000">
            <w:pPr>
              <w:pStyle w:val="a6"/>
              <w:spacing w:before="20" w:after="20"/>
              <w:rPr>
                <w:sz w:val="18"/>
                <w:lang w:val="en-US"/>
              </w:rPr>
            </w:pPr>
            <w:r>
              <w:rPr>
                <w:sz w:val="18"/>
                <w:lang w:val="en-US"/>
              </w:rPr>
              <w:t>HERACLEION</w:t>
            </w:r>
          </w:p>
        </w:tc>
        <w:tc>
          <w:tcPr>
            <w:tcW w:w="939" w:type="dxa"/>
            <w:tcBorders>
              <w:top w:val="single" w:sz="4" w:space="0" w:color="auto"/>
              <w:left w:val="nil"/>
              <w:bottom w:val="nil"/>
              <w:right w:val="nil"/>
            </w:tcBorders>
          </w:tcPr>
          <w:p w:rsidR="00000000" w:rsidRDefault="00000000">
            <w:pPr>
              <w:pStyle w:val="a6"/>
              <w:spacing w:before="20" w:after="20"/>
              <w:rPr>
                <w:sz w:val="18"/>
                <w:lang w:val="en-US"/>
              </w:rPr>
            </w:pPr>
            <w:r>
              <w:rPr>
                <w:sz w:val="18"/>
                <w:lang w:val="en-US"/>
              </w:rPr>
              <w:t>171</w:t>
            </w:r>
          </w:p>
        </w:tc>
        <w:tc>
          <w:tcPr>
            <w:tcW w:w="992" w:type="dxa"/>
            <w:tcBorders>
              <w:top w:val="single" w:sz="4" w:space="0" w:color="auto"/>
              <w:left w:val="nil"/>
              <w:bottom w:val="nil"/>
              <w:right w:val="nil"/>
            </w:tcBorders>
          </w:tcPr>
          <w:p w:rsidR="00000000" w:rsidRDefault="00000000">
            <w:pPr>
              <w:pStyle w:val="a6"/>
              <w:spacing w:before="20" w:after="20"/>
              <w:rPr>
                <w:sz w:val="18"/>
                <w:lang w:val="en-US"/>
              </w:rPr>
            </w:pPr>
            <w:r>
              <w:rPr>
                <w:sz w:val="18"/>
                <w:lang w:val="en-US"/>
              </w:rPr>
              <w:t>51</w:t>
            </w:r>
          </w:p>
        </w:tc>
        <w:tc>
          <w:tcPr>
            <w:tcW w:w="992" w:type="dxa"/>
            <w:tcBorders>
              <w:top w:val="single" w:sz="4" w:space="0" w:color="auto"/>
              <w:left w:val="nil"/>
              <w:bottom w:val="nil"/>
              <w:right w:val="nil"/>
            </w:tcBorders>
          </w:tcPr>
          <w:p w:rsidR="00000000" w:rsidRDefault="00000000">
            <w:pPr>
              <w:pStyle w:val="a6"/>
              <w:spacing w:before="20" w:after="20"/>
              <w:rPr>
                <w:sz w:val="18"/>
                <w:lang w:val="en-US"/>
              </w:rPr>
            </w:pPr>
            <w:r>
              <w:rPr>
                <w:sz w:val="18"/>
                <w:lang w:val="en-US"/>
              </w:rPr>
              <w:t>718</w:t>
            </w:r>
          </w:p>
        </w:tc>
        <w:tc>
          <w:tcPr>
            <w:tcW w:w="992" w:type="dxa"/>
            <w:tcBorders>
              <w:top w:val="single" w:sz="4" w:space="0" w:color="auto"/>
              <w:left w:val="nil"/>
              <w:bottom w:val="nil"/>
              <w:right w:val="nil"/>
            </w:tcBorders>
          </w:tcPr>
          <w:p w:rsidR="00000000" w:rsidRDefault="00000000">
            <w:pPr>
              <w:pStyle w:val="a6"/>
              <w:spacing w:before="20" w:after="20"/>
              <w:rPr>
                <w:sz w:val="18"/>
                <w:lang w:val="en-US"/>
              </w:rPr>
            </w:pPr>
            <w:r>
              <w:rPr>
                <w:sz w:val="18"/>
                <w:lang w:val="en-US"/>
              </w:rPr>
              <w:t>349</w:t>
            </w:r>
          </w:p>
        </w:tc>
        <w:tc>
          <w:tcPr>
            <w:tcW w:w="993" w:type="dxa"/>
            <w:tcBorders>
              <w:top w:val="single" w:sz="4" w:space="0" w:color="auto"/>
              <w:left w:val="nil"/>
              <w:bottom w:val="nil"/>
              <w:right w:val="nil"/>
            </w:tcBorders>
          </w:tcPr>
          <w:p w:rsidR="00000000" w:rsidRDefault="00000000">
            <w:pPr>
              <w:pStyle w:val="a6"/>
              <w:spacing w:before="20" w:after="20"/>
              <w:rPr>
                <w:sz w:val="18"/>
                <w:lang w:val="en-US"/>
              </w:rPr>
            </w:pPr>
            <w:r>
              <w:rPr>
                <w:sz w:val="18"/>
                <w:lang w:val="en-US"/>
              </w:rPr>
              <w:t>889</w:t>
            </w:r>
          </w:p>
        </w:tc>
        <w:tc>
          <w:tcPr>
            <w:tcW w:w="901" w:type="dxa"/>
            <w:tcBorders>
              <w:top w:val="single" w:sz="4" w:space="0" w:color="auto"/>
              <w:left w:val="nil"/>
              <w:bottom w:val="nil"/>
              <w:right w:val="nil"/>
            </w:tcBorders>
          </w:tcPr>
          <w:p w:rsidR="00000000" w:rsidRDefault="00000000">
            <w:pPr>
              <w:pStyle w:val="a6"/>
              <w:spacing w:before="20" w:after="20"/>
              <w:rPr>
                <w:sz w:val="18"/>
                <w:lang w:val="en-US"/>
              </w:rPr>
            </w:pPr>
            <w:r>
              <w:rPr>
                <w:sz w:val="18"/>
                <w:lang w:val="en-US"/>
              </w:rPr>
              <w:t>400</w:t>
            </w:r>
          </w:p>
        </w:tc>
      </w:tr>
      <w:tr w:rsidR="00000000">
        <w:tblPrEx>
          <w:tblCellMar>
            <w:top w:w="0" w:type="dxa"/>
            <w:bottom w:w="0" w:type="dxa"/>
          </w:tblCellMar>
        </w:tblPrEx>
        <w:trPr>
          <w:cantSplit/>
          <w:jc w:val="center"/>
        </w:trPr>
        <w:tc>
          <w:tcPr>
            <w:tcW w:w="1843" w:type="dxa"/>
            <w:vMerge/>
            <w:tcBorders>
              <w:top w:val="nil"/>
              <w:left w:val="nil"/>
              <w:bottom w:val="nil"/>
              <w:right w:val="nil"/>
            </w:tcBorders>
            <w:vAlign w:val="center"/>
          </w:tcPr>
          <w:p w:rsidR="00000000" w:rsidRDefault="00000000">
            <w:pPr>
              <w:pStyle w:val="a6"/>
              <w:spacing w:before="20" w:after="20"/>
              <w:rPr>
                <w:b/>
                <w:sz w:val="18"/>
                <w:lang w:val="en-US"/>
              </w:rPr>
            </w:pPr>
          </w:p>
        </w:tc>
        <w:tc>
          <w:tcPr>
            <w:tcW w:w="1745" w:type="dxa"/>
            <w:tcBorders>
              <w:top w:val="nil"/>
              <w:left w:val="nil"/>
              <w:bottom w:val="nil"/>
              <w:right w:val="nil"/>
            </w:tcBorders>
            <w:vAlign w:val="center"/>
          </w:tcPr>
          <w:p w:rsidR="00000000" w:rsidRDefault="00000000">
            <w:pPr>
              <w:pStyle w:val="a6"/>
              <w:spacing w:before="20" w:after="20"/>
              <w:rPr>
                <w:sz w:val="18"/>
                <w:lang w:val="en-US"/>
              </w:rPr>
            </w:pPr>
            <w:r>
              <w:rPr>
                <w:sz w:val="18"/>
                <w:lang w:val="en-US"/>
              </w:rPr>
              <w:t>CHANIA</w:t>
            </w:r>
          </w:p>
        </w:tc>
        <w:tc>
          <w:tcPr>
            <w:tcW w:w="939" w:type="dxa"/>
            <w:tcBorders>
              <w:top w:val="nil"/>
              <w:left w:val="nil"/>
              <w:bottom w:val="nil"/>
              <w:right w:val="nil"/>
            </w:tcBorders>
          </w:tcPr>
          <w:p w:rsidR="00000000" w:rsidRDefault="00000000">
            <w:pPr>
              <w:pStyle w:val="a6"/>
              <w:spacing w:before="20" w:after="20"/>
              <w:rPr>
                <w:sz w:val="18"/>
                <w:lang w:val="en-US"/>
              </w:rPr>
            </w:pPr>
            <w:r>
              <w:rPr>
                <w:sz w:val="18"/>
                <w:lang w:val="en-US"/>
              </w:rPr>
              <w:t>18</w:t>
            </w:r>
          </w:p>
        </w:tc>
        <w:tc>
          <w:tcPr>
            <w:tcW w:w="992" w:type="dxa"/>
            <w:tcBorders>
              <w:top w:val="nil"/>
              <w:left w:val="nil"/>
              <w:bottom w:val="nil"/>
              <w:right w:val="nil"/>
            </w:tcBorders>
          </w:tcPr>
          <w:p w:rsidR="00000000" w:rsidRDefault="00000000">
            <w:pPr>
              <w:pStyle w:val="a6"/>
              <w:spacing w:before="20" w:after="20"/>
              <w:rPr>
                <w:sz w:val="18"/>
                <w:lang w:val="en-US"/>
              </w:rPr>
            </w:pPr>
            <w:r>
              <w:rPr>
                <w:sz w:val="18"/>
                <w:lang w:val="en-US"/>
              </w:rPr>
              <w:t>2</w:t>
            </w:r>
          </w:p>
        </w:tc>
        <w:tc>
          <w:tcPr>
            <w:tcW w:w="992" w:type="dxa"/>
            <w:tcBorders>
              <w:top w:val="nil"/>
              <w:left w:val="nil"/>
              <w:bottom w:val="nil"/>
              <w:right w:val="nil"/>
            </w:tcBorders>
          </w:tcPr>
          <w:p w:rsidR="00000000" w:rsidRDefault="00000000">
            <w:pPr>
              <w:pStyle w:val="a6"/>
              <w:spacing w:before="20" w:after="20"/>
              <w:rPr>
                <w:sz w:val="18"/>
                <w:lang w:val="en-US"/>
              </w:rPr>
            </w:pPr>
            <w:r>
              <w:rPr>
                <w:sz w:val="18"/>
                <w:lang w:val="en-US"/>
              </w:rPr>
              <w:t>111</w:t>
            </w:r>
          </w:p>
        </w:tc>
        <w:tc>
          <w:tcPr>
            <w:tcW w:w="992" w:type="dxa"/>
            <w:tcBorders>
              <w:top w:val="nil"/>
              <w:left w:val="nil"/>
              <w:bottom w:val="nil"/>
              <w:right w:val="nil"/>
            </w:tcBorders>
          </w:tcPr>
          <w:p w:rsidR="00000000" w:rsidRDefault="00000000">
            <w:pPr>
              <w:pStyle w:val="a6"/>
              <w:spacing w:before="20" w:after="20"/>
              <w:rPr>
                <w:sz w:val="18"/>
                <w:lang w:val="en-US"/>
              </w:rPr>
            </w:pPr>
            <w:r>
              <w:rPr>
                <w:sz w:val="18"/>
                <w:lang w:val="en-US"/>
              </w:rPr>
              <w:t>26</w:t>
            </w:r>
          </w:p>
        </w:tc>
        <w:tc>
          <w:tcPr>
            <w:tcW w:w="993" w:type="dxa"/>
            <w:tcBorders>
              <w:top w:val="nil"/>
              <w:left w:val="nil"/>
              <w:bottom w:val="nil"/>
              <w:right w:val="nil"/>
            </w:tcBorders>
          </w:tcPr>
          <w:p w:rsidR="00000000" w:rsidRDefault="00000000">
            <w:pPr>
              <w:pStyle w:val="a6"/>
              <w:spacing w:before="20" w:after="20"/>
              <w:rPr>
                <w:sz w:val="18"/>
                <w:lang w:val="en-US"/>
              </w:rPr>
            </w:pPr>
            <w:r>
              <w:rPr>
                <w:sz w:val="18"/>
                <w:lang w:val="en-US"/>
              </w:rPr>
              <w:t>129</w:t>
            </w:r>
          </w:p>
        </w:tc>
        <w:tc>
          <w:tcPr>
            <w:tcW w:w="901" w:type="dxa"/>
            <w:tcBorders>
              <w:top w:val="nil"/>
              <w:left w:val="nil"/>
              <w:bottom w:val="nil"/>
              <w:right w:val="nil"/>
            </w:tcBorders>
          </w:tcPr>
          <w:p w:rsidR="00000000" w:rsidRDefault="00000000">
            <w:pPr>
              <w:pStyle w:val="a6"/>
              <w:spacing w:before="20" w:after="20"/>
              <w:rPr>
                <w:sz w:val="18"/>
                <w:lang w:val="en-US"/>
              </w:rPr>
            </w:pPr>
            <w:r>
              <w:rPr>
                <w:sz w:val="18"/>
                <w:lang w:val="en-US"/>
              </w:rPr>
              <w:t>28</w:t>
            </w:r>
          </w:p>
        </w:tc>
      </w:tr>
      <w:tr w:rsidR="00000000">
        <w:tblPrEx>
          <w:tblCellMar>
            <w:top w:w="0" w:type="dxa"/>
            <w:bottom w:w="0" w:type="dxa"/>
          </w:tblCellMar>
        </w:tblPrEx>
        <w:trPr>
          <w:cantSplit/>
          <w:jc w:val="center"/>
        </w:trPr>
        <w:tc>
          <w:tcPr>
            <w:tcW w:w="1843" w:type="dxa"/>
            <w:vMerge/>
            <w:tcBorders>
              <w:top w:val="nil"/>
              <w:left w:val="nil"/>
              <w:bottom w:val="nil"/>
              <w:right w:val="nil"/>
            </w:tcBorders>
            <w:vAlign w:val="center"/>
          </w:tcPr>
          <w:p w:rsidR="00000000" w:rsidRDefault="00000000">
            <w:pPr>
              <w:pStyle w:val="a6"/>
              <w:spacing w:before="20" w:after="20"/>
              <w:rPr>
                <w:b/>
                <w:sz w:val="18"/>
                <w:lang w:val="en-US"/>
              </w:rPr>
            </w:pPr>
          </w:p>
        </w:tc>
        <w:tc>
          <w:tcPr>
            <w:tcW w:w="1745" w:type="dxa"/>
            <w:tcBorders>
              <w:top w:val="nil"/>
              <w:left w:val="nil"/>
              <w:bottom w:val="nil"/>
              <w:right w:val="nil"/>
            </w:tcBorders>
            <w:vAlign w:val="center"/>
          </w:tcPr>
          <w:p w:rsidR="00000000" w:rsidRDefault="00000000">
            <w:pPr>
              <w:pStyle w:val="a6"/>
              <w:spacing w:before="20" w:after="20"/>
              <w:rPr>
                <w:sz w:val="18"/>
                <w:lang w:val="en-US"/>
              </w:rPr>
            </w:pPr>
            <w:r>
              <w:rPr>
                <w:sz w:val="18"/>
                <w:lang w:val="en-US"/>
              </w:rPr>
              <w:t>RETHYMNON</w:t>
            </w:r>
          </w:p>
        </w:tc>
        <w:tc>
          <w:tcPr>
            <w:tcW w:w="939" w:type="dxa"/>
            <w:tcBorders>
              <w:top w:val="nil"/>
              <w:left w:val="nil"/>
              <w:bottom w:val="nil"/>
              <w:right w:val="nil"/>
            </w:tcBorders>
          </w:tcPr>
          <w:p w:rsidR="00000000" w:rsidRDefault="00000000">
            <w:pPr>
              <w:pStyle w:val="a6"/>
              <w:spacing w:before="20" w:after="20"/>
              <w:rPr>
                <w:sz w:val="18"/>
                <w:lang w:val="en-US"/>
              </w:rPr>
            </w:pPr>
            <w:r>
              <w:rPr>
                <w:sz w:val="18"/>
                <w:lang w:val="en-US"/>
              </w:rPr>
              <w:t>2</w:t>
            </w:r>
          </w:p>
        </w:tc>
        <w:tc>
          <w:tcPr>
            <w:tcW w:w="992" w:type="dxa"/>
            <w:tcBorders>
              <w:top w:val="nil"/>
              <w:left w:val="nil"/>
              <w:bottom w:val="nil"/>
              <w:right w:val="nil"/>
            </w:tcBorders>
          </w:tcPr>
          <w:p w:rsidR="00000000" w:rsidRDefault="00000000">
            <w:pPr>
              <w:pStyle w:val="a6"/>
              <w:spacing w:before="20" w:after="20"/>
              <w:rPr>
                <w:sz w:val="18"/>
                <w:lang w:val="en-US"/>
              </w:rPr>
            </w:pPr>
            <w:r>
              <w:rPr>
                <w:sz w:val="18"/>
                <w:lang w:val="en-US"/>
              </w:rPr>
              <w:t>0</w:t>
            </w:r>
          </w:p>
        </w:tc>
        <w:tc>
          <w:tcPr>
            <w:tcW w:w="992" w:type="dxa"/>
            <w:tcBorders>
              <w:top w:val="nil"/>
              <w:left w:val="nil"/>
              <w:bottom w:val="nil"/>
              <w:right w:val="nil"/>
            </w:tcBorders>
          </w:tcPr>
          <w:p w:rsidR="00000000" w:rsidRDefault="00000000">
            <w:pPr>
              <w:pStyle w:val="a6"/>
              <w:spacing w:before="20" w:after="20"/>
              <w:rPr>
                <w:sz w:val="18"/>
                <w:lang w:val="en-US"/>
              </w:rPr>
            </w:pPr>
            <w:r>
              <w:rPr>
                <w:sz w:val="18"/>
                <w:lang w:val="en-US"/>
              </w:rPr>
              <w:t>28</w:t>
            </w:r>
          </w:p>
        </w:tc>
        <w:tc>
          <w:tcPr>
            <w:tcW w:w="992" w:type="dxa"/>
            <w:tcBorders>
              <w:top w:val="nil"/>
              <w:left w:val="nil"/>
              <w:bottom w:val="nil"/>
              <w:right w:val="nil"/>
            </w:tcBorders>
          </w:tcPr>
          <w:p w:rsidR="00000000" w:rsidRDefault="00000000">
            <w:pPr>
              <w:pStyle w:val="a6"/>
              <w:spacing w:before="20" w:after="20"/>
              <w:rPr>
                <w:sz w:val="18"/>
                <w:lang w:val="en-US"/>
              </w:rPr>
            </w:pPr>
            <w:r>
              <w:rPr>
                <w:sz w:val="18"/>
                <w:lang w:val="en-US"/>
              </w:rPr>
              <w:t>10</w:t>
            </w:r>
          </w:p>
        </w:tc>
        <w:tc>
          <w:tcPr>
            <w:tcW w:w="993" w:type="dxa"/>
            <w:tcBorders>
              <w:top w:val="nil"/>
              <w:left w:val="nil"/>
              <w:bottom w:val="nil"/>
              <w:right w:val="nil"/>
            </w:tcBorders>
          </w:tcPr>
          <w:p w:rsidR="00000000" w:rsidRDefault="00000000">
            <w:pPr>
              <w:pStyle w:val="a6"/>
              <w:spacing w:before="20" w:after="20"/>
              <w:rPr>
                <w:sz w:val="18"/>
                <w:lang w:val="en-US"/>
              </w:rPr>
            </w:pPr>
            <w:r>
              <w:rPr>
                <w:sz w:val="18"/>
                <w:lang w:val="en-US"/>
              </w:rPr>
              <w:t>30</w:t>
            </w:r>
          </w:p>
        </w:tc>
        <w:tc>
          <w:tcPr>
            <w:tcW w:w="901" w:type="dxa"/>
            <w:tcBorders>
              <w:top w:val="nil"/>
              <w:left w:val="nil"/>
              <w:bottom w:val="nil"/>
              <w:right w:val="nil"/>
            </w:tcBorders>
          </w:tcPr>
          <w:p w:rsidR="00000000" w:rsidRDefault="00000000">
            <w:pPr>
              <w:pStyle w:val="a6"/>
              <w:spacing w:before="20" w:after="20"/>
              <w:rPr>
                <w:sz w:val="18"/>
                <w:lang w:val="en-US"/>
              </w:rPr>
            </w:pPr>
            <w:r>
              <w:rPr>
                <w:sz w:val="18"/>
                <w:lang w:val="en-US"/>
              </w:rPr>
              <w:t>10</w:t>
            </w:r>
          </w:p>
        </w:tc>
      </w:tr>
      <w:tr w:rsidR="00000000">
        <w:tblPrEx>
          <w:tblCellMar>
            <w:top w:w="0" w:type="dxa"/>
            <w:bottom w:w="0" w:type="dxa"/>
          </w:tblCellMar>
        </w:tblPrEx>
        <w:trPr>
          <w:cantSplit/>
          <w:jc w:val="center"/>
        </w:trPr>
        <w:tc>
          <w:tcPr>
            <w:tcW w:w="1843" w:type="dxa"/>
            <w:vMerge/>
            <w:tcBorders>
              <w:top w:val="nil"/>
              <w:left w:val="nil"/>
              <w:bottom w:val="single" w:sz="4" w:space="0" w:color="auto"/>
              <w:right w:val="nil"/>
            </w:tcBorders>
            <w:vAlign w:val="center"/>
          </w:tcPr>
          <w:p w:rsidR="00000000" w:rsidRDefault="00000000">
            <w:pPr>
              <w:pStyle w:val="a6"/>
              <w:spacing w:before="20" w:after="20"/>
              <w:rPr>
                <w:b/>
                <w:sz w:val="18"/>
                <w:lang w:val="en-US"/>
              </w:rPr>
            </w:pPr>
          </w:p>
        </w:tc>
        <w:tc>
          <w:tcPr>
            <w:tcW w:w="1745" w:type="dxa"/>
            <w:tcBorders>
              <w:top w:val="nil"/>
              <w:left w:val="nil"/>
              <w:bottom w:val="single" w:sz="4" w:space="0" w:color="auto"/>
              <w:right w:val="nil"/>
            </w:tcBorders>
            <w:vAlign w:val="center"/>
          </w:tcPr>
          <w:p w:rsidR="00000000" w:rsidRDefault="00000000">
            <w:pPr>
              <w:pStyle w:val="a6"/>
              <w:spacing w:before="20" w:after="20"/>
              <w:rPr>
                <w:sz w:val="18"/>
                <w:lang w:val="en-US"/>
              </w:rPr>
            </w:pPr>
            <w:r>
              <w:rPr>
                <w:sz w:val="18"/>
                <w:lang w:val="en-US"/>
              </w:rPr>
              <w:t>SITEIA</w:t>
            </w:r>
          </w:p>
        </w:tc>
        <w:tc>
          <w:tcPr>
            <w:tcW w:w="939" w:type="dxa"/>
            <w:tcBorders>
              <w:top w:val="nil"/>
              <w:left w:val="nil"/>
              <w:bottom w:val="single" w:sz="4" w:space="0" w:color="auto"/>
              <w:right w:val="nil"/>
            </w:tcBorders>
          </w:tcPr>
          <w:p w:rsidR="00000000" w:rsidRDefault="00000000">
            <w:pPr>
              <w:pStyle w:val="a6"/>
              <w:spacing w:before="20" w:after="20"/>
              <w:rPr>
                <w:sz w:val="18"/>
                <w:lang w:val="en-US"/>
              </w:rPr>
            </w:pPr>
            <w:r>
              <w:rPr>
                <w:sz w:val="18"/>
                <w:lang w:val="en-US"/>
              </w:rPr>
              <w:t>0</w:t>
            </w:r>
          </w:p>
        </w:tc>
        <w:tc>
          <w:tcPr>
            <w:tcW w:w="992" w:type="dxa"/>
            <w:tcBorders>
              <w:top w:val="nil"/>
              <w:left w:val="nil"/>
              <w:bottom w:val="single" w:sz="4" w:space="0" w:color="auto"/>
              <w:right w:val="nil"/>
            </w:tcBorders>
          </w:tcPr>
          <w:p w:rsidR="00000000" w:rsidRDefault="00000000">
            <w:pPr>
              <w:pStyle w:val="a6"/>
              <w:spacing w:before="20" w:after="20"/>
              <w:rPr>
                <w:sz w:val="18"/>
                <w:lang w:val="en-US"/>
              </w:rPr>
            </w:pPr>
            <w:r>
              <w:rPr>
                <w:sz w:val="18"/>
                <w:lang w:val="en-US"/>
              </w:rPr>
              <w:t>0</w:t>
            </w:r>
          </w:p>
        </w:tc>
        <w:tc>
          <w:tcPr>
            <w:tcW w:w="992" w:type="dxa"/>
            <w:tcBorders>
              <w:top w:val="nil"/>
              <w:left w:val="nil"/>
              <w:bottom w:val="single" w:sz="4" w:space="0" w:color="auto"/>
              <w:right w:val="nil"/>
            </w:tcBorders>
          </w:tcPr>
          <w:p w:rsidR="00000000" w:rsidRDefault="00000000">
            <w:pPr>
              <w:pStyle w:val="a6"/>
              <w:spacing w:before="20" w:after="20"/>
              <w:rPr>
                <w:sz w:val="18"/>
                <w:lang w:val="en-US"/>
              </w:rPr>
            </w:pPr>
            <w:r>
              <w:rPr>
                <w:sz w:val="18"/>
                <w:lang w:val="en-US"/>
              </w:rPr>
              <w:t>24</w:t>
            </w:r>
          </w:p>
        </w:tc>
        <w:tc>
          <w:tcPr>
            <w:tcW w:w="992" w:type="dxa"/>
            <w:tcBorders>
              <w:top w:val="nil"/>
              <w:left w:val="nil"/>
              <w:bottom w:val="single" w:sz="4" w:space="0" w:color="auto"/>
              <w:right w:val="nil"/>
            </w:tcBorders>
          </w:tcPr>
          <w:p w:rsidR="00000000" w:rsidRDefault="00000000">
            <w:pPr>
              <w:pStyle w:val="a6"/>
              <w:spacing w:before="20" w:after="20"/>
              <w:rPr>
                <w:sz w:val="18"/>
                <w:lang w:val="en-US"/>
              </w:rPr>
            </w:pPr>
            <w:r>
              <w:rPr>
                <w:sz w:val="18"/>
                <w:lang w:val="en-US"/>
              </w:rPr>
              <w:t>12</w:t>
            </w:r>
          </w:p>
        </w:tc>
        <w:tc>
          <w:tcPr>
            <w:tcW w:w="993" w:type="dxa"/>
            <w:tcBorders>
              <w:top w:val="nil"/>
              <w:left w:val="nil"/>
              <w:bottom w:val="single" w:sz="4" w:space="0" w:color="auto"/>
              <w:right w:val="nil"/>
            </w:tcBorders>
          </w:tcPr>
          <w:p w:rsidR="00000000" w:rsidRDefault="00000000">
            <w:pPr>
              <w:pStyle w:val="a6"/>
              <w:spacing w:before="20" w:after="20"/>
              <w:rPr>
                <w:sz w:val="18"/>
                <w:lang w:val="en-US"/>
              </w:rPr>
            </w:pPr>
            <w:r>
              <w:rPr>
                <w:sz w:val="18"/>
                <w:lang w:val="en-US"/>
              </w:rPr>
              <w:t>24</w:t>
            </w:r>
          </w:p>
        </w:tc>
        <w:tc>
          <w:tcPr>
            <w:tcW w:w="901" w:type="dxa"/>
            <w:tcBorders>
              <w:top w:val="nil"/>
              <w:left w:val="nil"/>
              <w:bottom w:val="single" w:sz="4" w:space="0" w:color="auto"/>
              <w:right w:val="nil"/>
            </w:tcBorders>
          </w:tcPr>
          <w:p w:rsidR="00000000" w:rsidRDefault="00000000">
            <w:pPr>
              <w:pStyle w:val="a6"/>
              <w:spacing w:before="20" w:after="20"/>
              <w:rPr>
                <w:sz w:val="18"/>
                <w:lang w:val="en-US"/>
              </w:rPr>
            </w:pPr>
            <w:r>
              <w:rPr>
                <w:sz w:val="18"/>
                <w:lang w:val="en-US"/>
              </w:rPr>
              <w:t>12</w:t>
            </w:r>
          </w:p>
        </w:tc>
      </w:tr>
      <w:tr w:rsidR="00000000">
        <w:tblPrEx>
          <w:tblCellMar>
            <w:top w:w="0" w:type="dxa"/>
            <w:bottom w:w="0" w:type="dxa"/>
          </w:tblCellMar>
        </w:tblPrEx>
        <w:trPr>
          <w:cantSplit/>
          <w:jc w:val="center"/>
        </w:trPr>
        <w:tc>
          <w:tcPr>
            <w:tcW w:w="1843" w:type="dxa"/>
            <w:tcBorders>
              <w:top w:val="single" w:sz="4" w:space="0" w:color="auto"/>
              <w:left w:val="nil"/>
              <w:bottom w:val="single" w:sz="4" w:space="0" w:color="auto"/>
              <w:right w:val="nil"/>
            </w:tcBorders>
            <w:vAlign w:val="center"/>
          </w:tcPr>
          <w:p w:rsidR="00000000" w:rsidRDefault="00000000">
            <w:pPr>
              <w:pStyle w:val="a6"/>
              <w:spacing w:before="20" w:after="20"/>
              <w:rPr>
                <w:b/>
                <w:sz w:val="18"/>
                <w:lang w:val="en-US"/>
              </w:rPr>
            </w:pPr>
            <w:r>
              <w:rPr>
                <w:b/>
                <w:sz w:val="18"/>
                <w:lang w:val="en-US"/>
              </w:rPr>
              <w:t>THESSALONIKI</w:t>
            </w:r>
          </w:p>
        </w:tc>
        <w:tc>
          <w:tcPr>
            <w:tcW w:w="1745" w:type="dxa"/>
            <w:tcBorders>
              <w:top w:val="single" w:sz="4" w:space="0" w:color="auto"/>
              <w:left w:val="nil"/>
              <w:bottom w:val="single" w:sz="4" w:space="0" w:color="auto"/>
              <w:right w:val="nil"/>
            </w:tcBorders>
            <w:vAlign w:val="center"/>
          </w:tcPr>
          <w:p w:rsidR="00000000" w:rsidRDefault="00000000">
            <w:pPr>
              <w:pStyle w:val="a6"/>
              <w:spacing w:before="20" w:after="20"/>
              <w:rPr>
                <w:sz w:val="18"/>
                <w:lang w:val="en-US"/>
              </w:rPr>
            </w:pPr>
            <w:r>
              <w:rPr>
                <w:sz w:val="18"/>
                <w:lang w:val="en-US"/>
              </w:rPr>
              <w:t>THESSALONIKI</w:t>
            </w:r>
          </w:p>
        </w:tc>
        <w:tc>
          <w:tcPr>
            <w:tcW w:w="939" w:type="dxa"/>
            <w:tcBorders>
              <w:top w:val="single" w:sz="4" w:space="0" w:color="auto"/>
              <w:left w:val="nil"/>
              <w:bottom w:val="single" w:sz="4" w:space="0" w:color="auto"/>
              <w:right w:val="nil"/>
            </w:tcBorders>
          </w:tcPr>
          <w:p w:rsidR="00000000" w:rsidRDefault="00000000">
            <w:pPr>
              <w:pStyle w:val="a6"/>
              <w:spacing w:before="20" w:after="20"/>
              <w:rPr>
                <w:sz w:val="18"/>
                <w:lang w:val="en-US"/>
              </w:rPr>
            </w:pPr>
            <w:r>
              <w:rPr>
                <w:sz w:val="18"/>
                <w:lang w:val="en-US"/>
              </w:rPr>
              <w:t>425</w:t>
            </w:r>
          </w:p>
        </w:tc>
        <w:tc>
          <w:tcPr>
            <w:tcW w:w="992" w:type="dxa"/>
            <w:tcBorders>
              <w:top w:val="single" w:sz="4" w:space="0" w:color="auto"/>
              <w:left w:val="nil"/>
              <w:bottom w:val="single" w:sz="4" w:space="0" w:color="auto"/>
              <w:right w:val="nil"/>
            </w:tcBorders>
          </w:tcPr>
          <w:p w:rsidR="00000000" w:rsidRDefault="00000000">
            <w:pPr>
              <w:pStyle w:val="a6"/>
              <w:spacing w:before="20" w:after="20"/>
              <w:rPr>
                <w:sz w:val="18"/>
                <w:lang w:val="en-US"/>
              </w:rPr>
            </w:pPr>
            <w:r>
              <w:rPr>
                <w:sz w:val="18"/>
                <w:lang w:val="en-US"/>
              </w:rPr>
              <w:t>138</w:t>
            </w:r>
          </w:p>
        </w:tc>
        <w:tc>
          <w:tcPr>
            <w:tcW w:w="992" w:type="dxa"/>
            <w:tcBorders>
              <w:top w:val="single" w:sz="4" w:space="0" w:color="auto"/>
              <w:left w:val="nil"/>
              <w:bottom w:val="single" w:sz="4" w:space="0" w:color="auto"/>
              <w:right w:val="nil"/>
            </w:tcBorders>
          </w:tcPr>
          <w:p w:rsidR="00000000" w:rsidRDefault="00000000">
            <w:pPr>
              <w:pStyle w:val="a6"/>
              <w:spacing w:before="20" w:after="20"/>
              <w:rPr>
                <w:sz w:val="18"/>
                <w:lang w:val="en-US"/>
              </w:rPr>
            </w:pPr>
            <w:r>
              <w:rPr>
                <w:sz w:val="18"/>
                <w:lang w:val="en-US"/>
              </w:rPr>
              <w:t>723</w:t>
            </w:r>
          </w:p>
        </w:tc>
        <w:tc>
          <w:tcPr>
            <w:tcW w:w="992" w:type="dxa"/>
            <w:tcBorders>
              <w:top w:val="single" w:sz="4" w:space="0" w:color="auto"/>
              <w:left w:val="nil"/>
              <w:bottom w:val="single" w:sz="4" w:space="0" w:color="auto"/>
              <w:right w:val="nil"/>
            </w:tcBorders>
          </w:tcPr>
          <w:p w:rsidR="00000000" w:rsidRDefault="00000000">
            <w:pPr>
              <w:pStyle w:val="a6"/>
              <w:spacing w:before="20" w:after="20"/>
              <w:rPr>
                <w:sz w:val="18"/>
                <w:lang w:val="en-US"/>
              </w:rPr>
            </w:pPr>
            <w:r>
              <w:rPr>
                <w:sz w:val="18"/>
                <w:lang w:val="en-US"/>
              </w:rPr>
              <w:t>374</w:t>
            </w:r>
          </w:p>
        </w:tc>
        <w:tc>
          <w:tcPr>
            <w:tcW w:w="993" w:type="dxa"/>
            <w:tcBorders>
              <w:top w:val="single" w:sz="4" w:space="0" w:color="auto"/>
              <w:left w:val="nil"/>
              <w:bottom w:val="single" w:sz="4" w:space="0" w:color="auto"/>
              <w:right w:val="nil"/>
            </w:tcBorders>
          </w:tcPr>
          <w:p w:rsidR="00000000" w:rsidRDefault="00000000">
            <w:pPr>
              <w:pStyle w:val="a6"/>
              <w:spacing w:before="20" w:after="20"/>
              <w:rPr>
                <w:sz w:val="18"/>
                <w:lang w:val="en-US"/>
              </w:rPr>
            </w:pPr>
            <w:r>
              <w:rPr>
                <w:sz w:val="18"/>
                <w:lang w:val="en-US"/>
              </w:rPr>
              <w:t>1148</w:t>
            </w:r>
          </w:p>
        </w:tc>
        <w:tc>
          <w:tcPr>
            <w:tcW w:w="901" w:type="dxa"/>
            <w:tcBorders>
              <w:top w:val="single" w:sz="4" w:space="0" w:color="auto"/>
              <w:left w:val="nil"/>
              <w:bottom w:val="single" w:sz="4" w:space="0" w:color="auto"/>
              <w:right w:val="nil"/>
            </w:tcBorders>
          </w:tcPr>
          <w:p w:rsidR="00000000" w:rsidRDefault="00000000">
            <w:pPr>
              <w:pStyle w:val="a6"/>
              <w:spacing w:before="20" w:after="20"/>
              <w:rPr>
                <w:sz w:val="18"/>
                <w:lang w:val="en-US"/>
              </w:rPr>
            </w:pPr>
            <w:r>
              <w:rPr>
                <w:sz w:val="18"/>
                <w:lang w:val="en-US"/>
              </w:rPr>
              <w:t>512</w:t>
            </w:r>
          </w:p>
        </w:tc>
      </w:tr>
      <w:tr w:rsidR="00000000">
        <w:tblPrEx>
          <w:tblCellMar>
            <w:top w:w="0" w:type="dxa"/>
            <w:bottom w:w="0" w:type="dxa"/>
          </w:tblCellMar>
        </w:tblPrEx>
        <w:trPr>
          <w:cantSplit/>
          <w:jc w:val="center"/>
        </w:trPr>
        <w:tc>
          <w:tcPr>
            <w:tcW w:w="1843" w:type="dxa"/>
            <w:vMerge w:val="restart"/>
            <w:tcBorders>
              <w:top w:val="single" w:sz="4" w:space="0" w:color="auto"/>
              <w:left w:val="nil"/>
              <w:bottom w:val="nil"/>
              <w:right w:val="nil"/>
            </w:tcBorders>
            <w:vAlign w:val="center"/>
          </w:tcPr>
          <w:p w:rsidR="00000000" w:rsidRDefault="00000000">
            <w:pPr>
              <w:pStyle w:val="a6"/>
              <w:spacing w:before="20" w:after="20"/>
              <w:rPr>
                <w:b/>
                <w:sz w:val="18"/>
                <w:lang w:val="en-US"/>
              </w:rPr>
            </w:pPr>
            <w:r>
              <w:rPr>
                <w:b/>
                <w:sz w:val="18"/>
                <w:lang w:val="en-US"/>
              </w:rPr>
              <w:t>KILKIS</w:t>
            </w:r>
          </w:p>
        </w:tc>
        <w:tc>
          <w:tcPr>
            <w:tcW w:w="1745" w:type="dxa"/>
            <w:tcBorders>
              <w:top w:val="single" w:sz="4" w:space="0" w:color="auto"/>
              <w:left w:val="nil"/>
              <w:bottom w:val="nil"/>
              <w:right w:val="nil"/>
            </w:tcBorders>
            <w:vAlign w:val="center"/>
          </w:tcPr>
          <w:p w:rsidR="00000000" w:rsidRDefault="00000000">
            <w:pPr>
              <w:pStyle w:val="a6"/>
              <w:spacing w:before="20" w:after="20"/>
              <w:rPr>
                <w:sz w:val="18"/>
                <w:lang w:val="en-US"/>
              </w:rPr>
            </w:pPr>
            <w:r>
              <w:rPr>
                <w:sz w:val="18"/>
                <w:lang w:val="en-US"/>
              </w:rPr>
              <w:t>KILKIS</w:t>
            </w:r>
          </w:p>
        </w:tc>
        <w:tc>
          <w:tcPr>
            <w:tcW w:w="939" w:type="dxa"/>
            <w:tcBorders>
              <w:top w:val="single" w:sz="4" w:space="0" w:color="auto"/>
              <w:left w:val="nil"/>
              <w:bottom w:val="nil"/>
              <w:right w:val="nil"/>
            </w:tcBorders>
          </w:tcPr>
          <w:p w:rsidR="00000000" w:rsidRDefault="00000000">
            <w:pPr>
              <w:pStyle w:val="a6"/>
              <w:spacing w:before="20" w:after="20"/>
              <w:rPr>
                <w:sz w:val="18"/>
                <w:lang w:val="en-US"/>
              </w:rPr>
            </w:pPr>
            <w:r>
              <w:rPr>
                <w:sz w:val="18"/>
                <w:lang w:val="en-US"/>
              </w:rPr>
              <w:t>3</w:t>
            </w:r>
          </w:p>
        </w:tc>
        <w:tc>
          <w:tcPr>
            <w:tcW w:w="992" w:type="dxa"/>
            <w:tcBorders>
              <w:top w:val="single" w:sz="4" w:space="0" w:color="auto"/>
              <w:left w:val="nil"/>
              <w:bottom w:val="nil"/>
              <w:right w:val="nil"/>
            </w:tcBorders>
          </w:tcPr>
          <w:p w:rsidR="00000000" w:rsidRDefault="00000000">
            <w:pPr>
              <w:pStyle w:val="a6"/>
              <w:spacing w:before="20" w:after="20"/>
              <w:rPr>
                <w:sz w:val="18"/>
                <w:lang w:val="en-US"/>
              </w:rPr>
            </w:pPr>
            <w:r>
              <w:rPr>
                <w:sz w:val="18"/>
                <w:lang w:val="en-US"/>
              </w:rPr>
              <w:t>2</w:t>
            </w:r>
          </w:p>
        </w:tc>
        <w:tc>
          <w:tcPr>
            <w:tcW w:w="992" w:type="dxa"/>
            <w:tcBorders>
              <w:top w:val="single" w:sz="4" w:space="0" w:color="auto"/>
              <w:left w:val="nil"/>
              <w:bottom w:val="nil"/>
              <w:right w:val="nil"/>
            </w:tcBorders>
          </w:tcPr>
          <w:p w:rsidR="00000000" w:rsidRDefault="00000000">
            <w:pPr>
              <w:pStyle w:val="a6"/>
              <w:spacing w:before="20" w:after="20"/>
              <w:rPr>
                <w:sz w:val="18"/>
                <w:lang w:val="en-US"/>
              </w:rPr>
            </w:pPr>
            <w:r>
              <w:rPr>
                <w:sz w:val="18"/>
                <w:lang w:val="en-US"/>
              </w:rPr>
              <w:t>30</w:t>
            </w:r>
          </w:p>
        </w:tc>
        <w:tc>
          <w:tcPr>
            <w:tcW w:w="992" w:type="dxa"/>
            <w:tcBorders>
              <w:top w:val="single" w:sz="4" w:space="0" w:color="auto"/>
              <w:left w:val="nil"/>
              <w:bottom w:val="nil"/>
              <w:right w:val="nil"/>
            </w:tcBorders>
          </w:tcPr>
          <w:p w:rsidR="00000000" w:rsidRDefault="00000000">
            <w:pPr>
              <w:pStyle w:val="a6"/>
              <w:spacing w:before="20" w:after="20"/>
              <w:rPr>
                <w:sz w:val="18"/>
                <w:lang w:val="en-US"/>
              </w:rPr>
            </w:pPr>
            <w:r>
              <w:rPr>
                <w:sz w:val="18"/>
                <w:lang w:val="en-US"/>
              </w:rPr>
              <w:t>12</w:t>
            </w:r>
          </w:p>
        </w:tc>
        <w:tc>
          <w:tcPr>
            <w:tcW w:w="993" w:type="dxa"/>
            <w:tcBorders>
              <w:top w:val="single" w:sz="4" w:space="0" w:color="auto"/>
              <w:left w:val="nil"/>
              <w:bottom w:val="nil"/>
              <w:right w:val="nil"/>
            </w:tcBorders>
          </w:tcPr>
          <w:p w:rsidR="00000000" w:rsidRDefault="00000000">
            <w:pPr>
              <w:pStyle w:val="a6"/>
              <w:spacing w:before="20" w:after="20"/>
              <w:rPr>
                <w:sz w:val="18"/>
                <w:lang w:val="en-US"/>
              </w:rPr>
            </w:pPr>
            <w:r>
              <w:rPr>
                <w:sz w:val="18"/>
                <w:lang w:val="en-US"/>
              </w:rPr>
              <w:t>33</w:t>
            </w:r>
          </w:p>
        </w:tc>
        <w:tc>
          <w:tcPr>
            <w:tcW w:w="901" w:type="dxa"/>
            <w:tcBorders>
              <w:top w:val="single" w:sz="4" w:space="0" w:color="auto"/>
              <w:left w:val="nil"/>
              <w:bottom w:val="nil"/>
              <w:right w:val="nil"/>
            </w:tcBorders>
          </w:tcPr>
          <w:p w:rsidR="00000000" w:rsidRDefault="00000000">
            <w:pPr>
              <w:pStyle w:val="a6"/>
              <w:spacing w:before="20" w:after="20"/>
              <w:rPr>
                <w:sz w:val="18"/>
                <w:lang w:val="en-US"/>
              </w:rPr>
            </w:pPr>
            <w:r>
              <w:rPr>
                <w:sz w:val="18"/>
                <w:lang w:val="en-US"/>
              </w:rPr>
              <w:t>14</w:t>
            </w:r>
          </w:p>
        </w:tc>
      </w:tr>
      <w:tr w:rsidR="00000000">
        <w:tblPrEx>
          <w:tblCellMar>
            <w:top w:w="0" w:type="dxa"/>
            <w:bottom w:w="0" w:type="dxa"/>
          </w:tblCellMar>
        </w:tblPrEx>
        <w:trPr>
          <w:cantSplit/>
          <w:jc w:val="center"/>
        </w:trPr>
        <w:tc>
          <w:tcPr>
            <w:tcW w:w="1843" w:type="dxa"/>
            <w:vMerge/>
            <w:tcBorders>
              <w:top w:val="nil"/>
              <w:left w:val="nil"/>
              <w:bottom w:val="single" w:sz="4" w:space="0" w:color="auto"/>
              <w:right w:val="nil"/>
            </w:tcBorders>
            <w:vAlign w:val="center"/>
          </w:tcPr>
          <w:p w:rsidR="00000000" w:rsidRDefault="00000000">
            <w:pPr>
              <w:pStyle w:val="a6"/>
              <w:spacing w:before="20" w:after="20"/>
              <w:rPr>
                <w:b/>
                <w:sz w:val="18"/>
                <w:lang w:val="en-US"/>
              </w:rPr>
            </w:pPr>
          </w:p>
        </w:tc>
        <w:tc>
          <w:tcPr>
            <w:tcW w:w="1745" w:type="dxa"/>
            <w:tcBorders>
              <w:top w:val="nil"/>
              <w:left w:val="nil"/>
              <w:bottom w:val="single" w:sz="4" w:space="0" w:color="auto"/>
              <w:right w:val="nil"/>
            </w:tcBorders>
            <w:vAlign w:val="center"/>
          </w:tcPr>
          <w:p w:rsidR="00000000" w:rsidRDefault="00000000">
            <w:pPr>
              <w:pStyle w:val="a6"/>
              <w:spacing w:before="20" w:after="20"/>
              <w:rPr>
                <w:sz w:val="18"/>
                <w:lang w:val="en-US"/>
              </w:rPr>
            </w:pPr>
            <w:r>
              <w:rPr>
                <w:sz w:val="18"/>
                <w:lang w:val="en-US"/>
              </w:rPr>
              <w:t>MOUDANIA</w:t>
            </w:r>
          </w:p>
        </w:tc>
        <w:tc>
          <w:tcPr>
            <w:tcW w:w="939" w:type="dxa"/>
            <w:tcBorders>
              <w:top w:val="nil"/>
              <w:left w:val="nil"/>
              <w:bottom w:val="single" w:sz="4" w:space="0" w:color="auto"/>
              <w:right w:val="nil"/>
            </w:tcBorders>
          </w:tcPr>
          <w:p w:rsidR="00000000" w:rsidRDefault="00000000">
            <w:pPr>
              <w:pStyle w:val="a6"/>
              <w:spacing w:before="20" w:after="20"/>
              <w:rPr>
                <w:sz w:val="18"/>
                <w:lang w:val="en-US"/>
              </w:rPr>
            </w:pPr>
            <w:r>
              <w:rPr>
                <w:sz w:val="18"/>
                <w:lang w:val="en-US"/>
              </w:rPr>
              <w:t>0</w:t>
            </w:r>
          </w:p>
        </w:tc>
        <w:tc>
          <w:tcPr>
            <w:tcW w:w="992" w:type="dxa"/>
            <w:tcBorders>
              <w:top w:val="nil"/>
              <w:left w:val="nil"/>
              <w:bottom w:val="single" w:sz="4" w:space="0" w:color="auto"/>
              <w:right w:val="nil"/>
            </w:tcBorders>
          </w:tcPr>
          <w:p w:rsidR="00000000" w:rsidRDefault="00000000">
            <w:pPr>
              <w:pStyle w:val="a6"/>
              <w:spacing w:before="20" w:after="20"/>
              <w:rPr>
                <w:sz w:val="18"/>
                <w:lang w:val="en-US"/>
              </w:rPr>
            </w:pPr>
            <w:r>
              <w:rPr>
                <w:sz w:val="18"/>
                <w:lang w:val="en-US"/>
              </w:rPr>
              <w:t>0</w:t>
            </w:r>
          </w:p>
        </w:tc>
        <w:tc>
          <w:tcPr>
            <w:tcW w:w="992" w:type="dxa"/>
            <w:tcBorders>
              <w:top w:val="nil"/>
              <w:left w:val="nil"/>
              <w:bottom w:val="single" w:sz="4" w:space="0" w:color="auto"/>
              <w:right w:val="nil"/>
            </w:tcBorders>
          </w:tcPr>
          <w:p w:rsidR="00000000" w:rsidRDefault="00000000">
            <w:pPr>
              <w:pStyle w:val="a6"/>
              <w:spacing w:before="20" w:after="20"/>
              <w:rPr>
                <w:sz w:val="18"/>
                <w:lang w:val="en-US"/>
              </w:rPr>
            </w:pPr>
            <w:r>
              <w:rPr>
                <w:sz w:val="18"/>
                <w:lang w:val="en-US"/>
              </w:rPr>
              <w:t>23</w:t>
            </w:r>
          </w:p>
        </w:tc>
        <w:tc>
          <w:tcPr>
            <w:tcW w:w="992" w:type="dxa"/>
            <w:tcBorders>
              <w:top w:val="nil"/>
              <w:left w:val="nil"/>
              <w:bottom w:val="single" w:sz="4" w:space="0" w:color="auto"/>
              <w:right w:val="nil"/>
            </w:tcBorders>
          </w:tcPr>
          <w:p w:rsidR="00000000" w:rsidRDefault="00000000">
            <w:pPr>
              <w:pStyle w:val="a6"/>
              <w:spacing w:before="20" w:after="20"/>
              <w:rPr>
                <w:sz w:val="18"/>
                <w:lang w:val="en-US"/>
              </w:rPr>
            </w:pPr>
            <w:r>
              <w:rPr>
                <w:sz w:val="18"/>
                <w:lang w:val="en-US"/>
              </w:rPr>
              <w:t>8</w:t>
            </w:r>
          </w:p>
        </w:tc>
        <w:tc>
          <w:tcPr>
            <w:tcW w:w="993" w:type="dxa"/>
            <w:tcBorders>
              <w:top w:val="nil"/>
              <w:left w:val="nil"/>
              <w:bottom w:val="single" w:sz="4" w:space="0" w:color="auto"/>
              <w:right w:val="nil"/>
            </w:tcBorders>
          </w:tcPr>
          <w:p w:rsidR="00000000" w:rsidRDefault="00000000">
            <w:pPr>
              <w:pStyle w:val="a6"/>
              <w:spacing w:before="20" w:after="20"/>
              <w:rPr>
                <w:sz w:val="18"/>
                <w:lang w:val="en-US"/>
              </w:rPr>
            </w:pPr>
            <w:r>
              <w:rPr>
                <w:sz w:val="18"/>
                <w:lang w:val="en-US"/>
              </w:rPr>
              <w:t>23</w:t>
            </w:r>
          </w:p>
        </w:tc>
        <w:tc>
          <w:tcPr>
            <w:tcW w:w="901" w:type="dxa"/>
            <w:tcBorders>
              <w:top w:val="nil"/>
              <w:left w:val="nil"/>
              <w:bottom w:val="single" w:sz="4" w:space="0" w:color="auto"/>
              <w:right w:val="nil"/>
            </w:tcBorders>
          </w:tcPr>
          <w:p w:rsidR="00000000" w:rsidRDefault="00000000">
            <w:pPr>
              <w:pStyle w:val="a6"/>
              <w:spacing w:before="20" w:after="20"/>
              <w:rPr>
                <w:sz w:val="18"/>
                <w:lang w:val="en-US"/>
              </w:rPr>
            </w:pPr>
            <w:r>
              <w:rPr>
                <w:sz w:val="18"/>
                <w:lang w:val="en-US"/>
              </w:rPr>
              <w:t>8</w:t>
            </w:r>
          </w:p>
        </w:tc>
      </w:tr>
      <w:tr w:rsidR="00000000">
        <w:tblPrEx>
          <w:tblCellMar>
            <w:top w:w="0" w:type="dxa"/>
            <w:bottom w:w="0" w:type="dxa"/>
          </w:tblCellMar>
        </w:tblPrEx>
        <w:trPr>
          <w:cantSplit/>
          <w:jc w:val="center"/>
        </w:trPr>
        <w:tc>
          <w:tcPr>
            <w:tcW w:w="1843" w:type="dxa"/>
            <w:vMerge w:val="restart"/>
            <w:tcBorders>
              <w:top w:val="single" w:sz="4" w:space="0" w:color="auto"/>
              <w:left w:val="nil"/>
              <w:bottom w:val="nil"/>
              <w:right w:val="nil"/>
            </w:tcBorders>
            <w:vAlign w:val="center"/>
          </w:tcPr>
          <w:p w:rsidR="00000000" w:rsidRDefault="00000000">
            <w:pPr>
              <w:pStyle w:val="a6"/>
              <w:spacing w:before="20" w:after="20"/>
              <w:rPr>
                <w:b/>
                <w:sz w:val="18"/>
                <w:lang w:val="en-US"/>
              </w:rPr>
            </w:pPr>
            <w:r>
              <w:rPr>
                <w:b/>
                <w:sz w:val="18"/>
                <w:lang w:val="en-US"/>
              </w:rPr>
              <w:t>KAVALA</w:t>
            </w:r>
          </w:p>
        </w:tc>
        <w:tc>
          <w:tcPr>
            <w:tcW w:w="1745" w:type="dxa"/>
            <w:tcBorders>
              <w:top w:val="single" w:sz="4" w:space="0" w:color="auto"/>
              <w:left w:val="nil"/>
              <w:bottom w:val="nil"/>
              <w:right w:val="nil"/>
            </w:tcBorders>
            <w:vAlign w:val="center"/>
          </w:tcPr>
          <w:p w:rsidR="00000000" w:rsidRDefault="00000000">
            <w:pPr>
              <w:pStyle w:val="a6"/>
              <w:spacing w:before="20" w:after="20"/>
              <w:rPr>
                <w:sz w:val="18"/>
                <w:lang w:val="en-US"/>
              </w:rPr>
            </w:pPr>
            <w:r>
              <w:rPr>
                <w:sz w:val="18"/>
                <w:lang w:val="en-US"/>
              </w:rPr>
              <w:t>KAVALA</w:t>
            </w:r>
          </w:p>
        </w:tc>
        <w:tc>
          <w:tcPr>
            <w:tcW w:w="939" w:type="dxa"/>
            <w:tcBorders>
              <w:top w:val="single" w:sz="4" w:space="0" w:color="auto"/>
              <w:left w:val="nil"/>
              <w:bottom w:val="nil"/>
              <w:right w:val="nil"/>
            </w:tcBorders>
          </w:tcPr>
          <w:p w:rsidR="00000000" w:rsidRDefault="00000000">
            <w:pPr>
              <w:pStyle w:val="a6"/>
              <w:spacing w:before="20" w:after="20"/>
              <w:rPr>
                <w:sz w:val="18"/>
                <w:lang w:val="en-US"/>
              </w:rPr>
            </w:pPr>
            <w:r>
              <w:rPr>
                <w:sz w:val="18"/>
                <w:lang w:val="en-US"/>
              </w:rPr>
              <w:t>68</w:t>
            </w:r>
          </w:p>
        </w:tc>
        <w:tc>
          <w:tcPr>
            <w:tcW w:w="992" w:type="dxa"/>
            <w:tcBorders>
              <w:top w:val="single" w:sz="4" w:space="0" w:color="auto"/>
              <w:left w:val="nil"/>
              <w:bottom w:val="nil"/>
              <w:right w:val="nil"/>
            </w:tcBorders>
          </w:tcPr>
          <w:p w:rsidR="00000000" w:rsidRDefault="00000000">
            <w:pPr>
              <w:pStyle w:val="a6"/>
              <w:spacing w:before="20" w:after="20"/>
              <w:rPr>
                <w:sz w:val="18"/>
                <w:lang w:val="en-US"/>
              </w:rPr>
            </w:pPr>
            <w:r>
              <w:rPr>
                <w:sz w:val="18"/>
                <w:lang w:val="en-US"/>
              </w:rPr>
              <w:t>11</w:t>
            </w:r>
          </w:p>
        </w:tc>
        <w:tc>
          <w:tcPr>
            <w:tcW w:w="992" w:type="dxa"/>
            <w:tcBorders>
              <w:top w:val="single" w:sz="4" w:space="0" w:color="auto"/>
              <w:left w:val="nil"/>
              <w:bottom w:val="nil"/>
              <w:right w:val="nil"/>
            </w:tcBorders>
          </w:tcPr>
          <w:p w:rsidR="00000000" w:rsidRDefault="00000000">
            <w:pPr>
              <w:pStyle w:val="a6"/>
              <w:spacing w:before="20" w:after="20"/>
              <w:rPr>
                <w:sz w:val="18"/>
                <w:lang w:val="en-US"/>
              </w:rPr>
            </w:pPr>
            <w:r>
              <w:rPr>
                <w:sz w:val="18"/>
                <w:lang w:val="en-US"/>
              </w:rPr>
              <w:t>277</w:t>
            </w:r>
          </w:p>
        </w:tc>
        <w:tc>
          <w:tcPr>
            <w:tcW w:w="992" w:type="dxa"/>
            <w:tcBorders>
              <w:top w:val="single" w:sz="4" w:space="0" w:color="auto"/>
              <w:left w:val="nil"/>
              <w:bottom w:val="nil"/>
              <w:right w:val="nil"/>
            </w:tcBorders>
          </w:tcPr>
          <w:p w:rsidR="00000000" w:rsidRDefault="00000000">
            <w:pPr>
              <w:pStyle w:val="a6"/>
              <w:spacing w:before="20" w:after="20"/>
              <w:rPr>
                <w:sz w:val="18"/>
                <w:lang w:val="en-US"/>
              </w:rPr>
            </w:pPr>
            <w:r>
              <w:rPr>
                <w:sz w:val="18"/>
                <w:lang w:val="en-US"/>
              </w:rPr>
              <w:t>44</w:t>
            </w:r>
          </w:p>
        </w:tc>
        <w:tc>
          <w:tcPr>
            <w:tcW w:w="993" w:type="dxa"/>
            <w:tcBorders>
              <w:top w:val="single" w:sz="4" w:space="0" w:color="auto"/>
              <w:left w:val="nil"/>
              <w:bottom w:val="nil"/>
              <w:right w:val="nil"/>
            </w:tcBorders>
          </w:tcPr>
          <w:p w:rsidR="00000000" w:rsidRDefault="00000000">
            <w:pPr>
              <w:pStyle w:val="a6"/>
              <w:spacing w:before="20" w:after="20"/>
              <w:rPr>
                <w:sz w:val="18"/>
                <w:lang w:val="en-US"/>
              </w:rPr>
            </w:pPr>
            <w:r>
              <w:rPr>
                <w:sz w:val="18"/>
                <w:lang w:val="en-US"/>
              </w:rPr>
              <w:t>345</w:t>
            </w:r>
          </w:p>
        </w:tc>
        <w:tc>
          <w:tcPr>
            <w:tcW w:w="901" w:type="dxa"/>
            <w:tcBorders>
              <w:top w:val="single" w:sz="4" w:space="0" w:color="auto"/>
              <w:left w:val="nil"/>
              <w:bottom w:val="nil"/>
              <w:right w:val="nil"/>
            </w:tcBorders>
          </w:tcPr>
          <w:p w:rsidR="00000000" w:rsidRDefault="00000000">
            <w:pPr>
              <w:pStyle w:val="a6"/>
              <w:spacing w:before="20" w:after="20"/>
              <w:rPr>
                <w:sz w:val="18"/>
                <w:lang w:val="en-US"/>
              </w:rPr>
            </w:pPr>
            <w:r>
              <w:rPr>
                <w:sz w:val="18"/>
                <w:lang w:val="en-US"/>
              </w:rPr>
              <w:t>55</w:t>
            </w:r>
          </w:p>
        </w:tc>
      </w:tr>
      <w:tr w:rsidR="00000000">
        <w:tblPrEx>
          <w:tblCellMar>
            <w:top w:w="0" w:type="dxa"/>
            <w:bottom w:w="0" w:type="dxa"/>
          </w:tblCellMar>
        </w:tblPrEx>
        <w:trPr>
          <w:cantSplit/>
          <w:jc w:val="center"/>
        </w:trPr>
        <w:tc>
          <w:tcPr>
            <w:tcW w:w="1843" w:type="dxa"/>
            <w:vMerge/>
            <w:tcBorders>
              <w:top w:val="nil"/>
              <w:left w:val="nil"/>
              <w:bottom w:val="single" w:sz="4" w:space="0" w:color="auto"/>
              <w:right w:val="nil"/>
            </w:tcBorders>
            <w:vAlign w:val="center"/>
          </w:tcPr>
          <w:p w:rsidR="00000000" w:rsidRDefault="00000000">
            <w:pPr>
              <w:pStyle w:val="a6"/>
              <w:spacing w:before="20" w:after="20"/>
              <w:rPr>
                <w:b/>
                <w:sz w:val="18"/>
                <w:lang w:val="en-US"/>
              </w:rPr>
            </w:pPr>
          </w:p>
        </w:tc>
        <w:tc>
          <w:tcPr>
            <w:tcW w:w="1745" w:type="dxa"/>
            <w:tcBorders>
              <w:top w:val="nil"/>
              <w:left w:val="nil"/>
              <w:bottom w:val="single" w:sz="4" w:space="0" w:color="auto"/>
              <w:right w:val="nil"/>
            </w:tcBorders>
            <w:vAlign w:val="center"/>
          </w:tcPr>
          <w:p w:rsidR="00000000" w:rsidRDefault="00000000">
            <w:pPr>
              <w:pStyle w:val="a6"/>
              <w:spacing w:before="20" w:after="20"/>
              <w:rPr>
                <w:sz w:val="18"/>
                <w:lang w:val="en-US"/>
              </w:rPr>
            </w:pPr>
            <w:r>
              <w:rPr>
                <w:sz w:val="18"/>
                <w:lang w:val="en-US"/>
              </w:rPr>
              <w:t>DRAMA</w:t>
            </w:r>
          </w:p>
        </w:tc>
        <w:tc>
          <w:tcPr>
            <w:tcW w:w="939" w:type="dxa"/>
            <w:tcBorders>
              <w:top w:val="nil"/>
              <w:left w:val="nil"/>
              <w:bottom w:val="single" w:sz="4" w:space="0" w:color="auto"/>
              <w:right w:val="nil"/>
            </w:tcBorders>
          </w:tcPr>
          <w:p w:rsidR="00000000" w:rsidRDefault="00000000">
            <w:pPr>
              <w:pStyle w:val="a6"/>
              <w:spacing w:before="20" w:after="20"/>
              <w:rPr>
                <w:sz w:val="18"/>
                <w:lang w:val="en-US"/>
              </w:rPr>
            </w:pPr>
            <w:r>
              <w:rPr>
                <w:sz w:val="18"/>
                <w:lang w:val="en-US"/>
              </w:rPr>
              <w:t>13</w:t>
            </w:r>
          </w:p>
        </w:tc>
        <w:tc>
          <w:tcPr>
            <w:tcW w:w="992" w:type="dxa"/>
            <w:tcBorders>
              <w:top w:val="nil"/>
              <w:left w:val="nil"/>
              <w:bottom w:val="single" w:sz="4" w:space="0" w:color="auto"/>
              <w:right w:val="nil"/>
            </w:tcBorders>
          </w:tcPr>
          <w:p w:rsidR="00000000" w:rsidRDefault="00000000">
            <w:pPr>
              <w:pStyle w:val="a6"/>
              <w:spacing w:before="20" w:after="20"/>
              <w:rPr>
                <w:sz w:val="18"/>
                <w:lang w:val="en-US"/>
              </w:rPr>
            </w:pPr>
            <w:r>
              <w:rPr>
                <w:sz w:val="18"/>
                <w:lang w:val="en-US"/>
              </w:rPr>
              <w:t>4</w:t>
            </w:r>
          </w:p>
        </w:tc>
        <w:tc>
          <w:tcPr>
            <w:tcW w:w="992" w:type="dxa"/>
            <w:tcBorders>
              <w:top w:val="nil"/>
              <w:left w:val="nil"/>
              <w:bottom w:val="single" w:sz="4" w:space="0" w:color="auto"/>
              <w:right w:val="nil"/>
            </w:tcBorders>
          </w:tcPr>
          <w:p w:rsidR="00000000" w:rsidRDefault="00000000">
            <w:pPr>
              <w:pStyle w:val="a6"/>
              <w:spacing w:before="20" w:after="20"/>
              <w:rPr>
                <w:sz w:val="18"/>
                <w:lang w:val="en-US"/>
              </w:rPr>
            </w:pPr>
            <w:r>
              <w:rPr>
                <w:sz w:val="18"/>
                <w:lang w:val="en-US"/>
              </w:rPr>
              <w:t>38</w:t>
            </w:r>
          </w:p>
        </w:tc>
        <w:tc>
          <w:tcPr>
            <w:tcW w:w="992" w:type="dxa"/>
            <w:tcBorders>
              <w:top w:val="nil"/>
              <w:left w:val="nil"/>
              <w:bottom w:val="single" w:sz="4" w:space="0" w:color="auto"/>
              <w:right w:val="nil"/>
            </w:tcBorders>
          </w:tcPr>
          <w:p w:rsidR="00000000" w:rsidRDefault="00000000">
            <w:pPr>
              <w:pStyle w:val="a6"/>
              <w:spacing w:before="20" w:after="20"/>
              <w:rPr>
                <w:sz w:val="18"/>
                <w:lang w:val="en-US"/>
              </w:rPr>
            </w:pPr>
            <w:r>
              <w:rPr>
                <w:sz w:val="18"/>
                <w:lang w:val="en-US"/>
              </w:rPr>
              <w:t>11</w:t>
            </w:r>
          </w:p>
        </w:tc>
        <w:tc>
          <w:tcPr>
            <w:tcW w:w="993" w:type="dxa"/>
            <w:tcBorders>
              <w:top w:val="nil"/>
              <w:left w:val="nil"/>
              <w:bottom w:val="single" w:sz="4" w:space="0" w:color="auto"/>
              <w:right w:val="nil"/>
            </w:tcBorders>
          </w:tcPr>
          <w:p w:rsidR="00000000" w:rsidRDefault="00000000">
            <w:pPr>
              <w:pStyle w:val="a6"/>
              <w:spacing w:before="20" w:after="20"/>
              <w:rPr>
                <w:sz w:val="18"/>
                <w:lang w:val="en-US"/>
              </w:rPr>
            </w:pPr>
            <w:r>
              <w:rPr>
                <w:sz w:val="18"/>
                <w:lang w:val="en-US"/>
              </w:rPr>
              <w:t>51</w:t>
            </w:r>
          </w:p>
        </w:tc>
        <w:tc>
          <w:tcPr>
            <w:tcW w:w="901" w:type="dxa"/>
            <w:tcBorders>
              <w:top w:val="nil"/>
              <w:left w:val="nil"/>
              <w:bottom w:val="single" w:sz="4" w:space="0" w:color="auto"/>
              <w:right w:val="nil"/>
            </w:tcBorders>
          </w:tcPr>
          <w:p w:rsidR="00000000" w:rsidRDefault="00000000">
            <w:pPr>
              <w:pStyle w:val="a6"/>
              <w:spacing w:before="20" w:after="20"/>
              <w:rPr>
                <w:sz w:val="18"/>
                <w:lang w:val="en-US"/>
              </w:rPr>
            </w:pPr>
            <w:r>
              <w:rPr>
                <w:sz w:val="18"/>
                <w:lang w:val="en-US"/>
              </w:rPr>
              <w:t>15</w:t>
            </w:r>
          </w:p>
        </w:tc>
      </w:tr>
      <w:tr w:rsidR="00000000">
        <w:tblPrEx>
          <w:tblCellMar>
            <w:top w:w="0" w:type="dxa"/>
            <w:bottom w:w="0" w:type="dxa"/>
          </w:tblCellMar>
        </w:tblPrEx>
        <w:trPr>
          <w:cantSplit/>
          <w:jc w:val="center"/>
        </w:trPr>
        <w:tc>
          <w:tcPr>
            <w:tcW w:w="1843" w:type="dxa"/>
            <w:tcBorders>
              <w:top w:val="single" w:sz="4" w:space="0" w:color="auto"/>
              <w:left w:val="nil"/>
              <w:bottom w:val="single" w:sz="4" w:space="0" w:color="auto"/>
              <w:right w:val="nil"/>
            </w:tcBorders>
            <w:vAlign w:val="center"/>
          </w:tcPr>
          <w:p w:rsidR="00000000" w:rsidRDefault="00000000">
            <w:pPr>
              <w:pStyle w:val="a6"/>
              <w:spacing w:before="20" w:after="20"/>
              <w:rPr>
                <w:b/>
                <w:sz w:val="18"/>
                <w:lang w:val="en-US"/>
              </w:rPr>
            </w:pPr>
            <w:r>
              <w:rPr>
                <w:b/>
                <w:sz w:val="18"/>
                <w:lang w:val="en-US"/>
              </w:rPr>
              <w:t>KALAMATA</w:t>
            </w:r>
          </w:p>
        </w:tc>
        <w:tc>
          <w:tcPr>
            <w:tcW w:w="1745" w:type="dxa"/>
            <w:tcBorders>
              <w:top w:val="single" w:sz="4" w:space="0" w:color="auto"/>
              <w:left w:val="nil"/>
              <w:bottom w:val="single" w:sz="4" w:space="0" w:color="auto"/>
              <w:right w:val="nil"/>
            </w:tcBorders>
            <w:vAlign w:val="center"/>
          </w:tcPr>
          <w:p w:rsidR="00000000" w:rsidRDefault="00000000">
            <w:pPr>
              <w:pStyle w:val="a6"/>
              <w:spacing w:before="20" w:after="20"/>
              <w:rPr>
                <w:sz w:val="18"/>
                <w:lang w:val="en-US"/>
              </w:rPr>
            </w:pPr>
            <w:r>
              <w:rPr>
                <w:sz w:val="18"/>
                <w:lang w:val="en-US"/>
              </w:rPr>
              <w:t>KALAMATA</w:t>
            </w:r>
          </w:p>
        </w:tc>
        <w:tc>
          <w:tcPr>
            <w:tcW w:w="939" w:type="dxa"/>
            <w:tcBorders>
              <w:top w:val="single" w:sz="4" w:space="0" w:color="auto"/>
              <w:left w:val="nil"/>
              <w:bottom w:val="single" w:sz="4" w:space="0" w:color="auto"/>
              <w:right w:val="nil"/>
            </w:tcBorders>
          </w:tcPr>
          <w:p w:rsidR="00000000" w:rsidRDefault="00000000">
            <w:pPr>
              <w:pStyle w:val="a6"/>
              <w:spacing w:before="20" w:after="20"/>
              <w:rPr>
                <w:sz w:val="18"/>
                <w:lang w:val="en-US"/>
              </w:rPr>
            </w:pPr>
            <w:r>
              <w:rPr>
                <w:sz w:val="18"/>
                <w:lang w:val="en-US"/>
              </w:rPr>
              <w:t>33</w:t>
            </w:r>
          </w:p>
        </w:tc>
        <w:tc>
          <w:tcPr>
            <w:tcW w:w="992" w:type="dxa"/>
            <w:tcBorders>
              <w:top w:val="single" w:sz="4" w:space="0" w:color="auto"/>
              <w:left w:val="nil"/>
              <w:bottom w:val="single" w:sz="4" w:space="0" w:color="auto"/>
              <w:right w:val="nil"/>
            </w:tcBorders>
          </w:tcPr>
          <w:p w:rsidR="00000000" w:rsidRDefault="00000000">
            <w:pPr>
              <w:pStyle w:val="a6"/>
              <w:spacing w:before="20" w:after="20"/>
              <w:rPr>
                <w:sz w:val="18"/>
                <w:lang w:val="en-US"/>
              </w:rPr>
            </w:pPr>
            <w:r>
              <w:rPr>
                <w:sz w:val="18"/>
                <w:lang w:val="en-US"/>
              </w:rPr>
              <w:t>10</w:t>
            </w:r>
          </w:p>
        </w:tc>
        <w:tc>
          <w:tcPr>
            <w:tcW w:w="992" w:type="dxa"/>
            <w:tcBorders>
              <w:top w:val="single" w:sz="4" w:space="0" w:color="auto"/>
              <w:left w:val="nil"/>
              <w:bottom w:val="single" w:sz="4" w:space="0" w:color="auto"/>
              <w:right w:val="nil"/>
            </w:tcBorders>
          </w:tcPr>
          <w:p w:rsidR="00000000" w:rsidRDefault="00000000">
            <w:pPr>
              <w:pStyle w:val="a6"/>
              <w:spacing w:before="20" w:after="20"/>
              <w:rPr>
                <w:sz w:val="18"/>
                <w:lang w:val="en-US"/>
              </w:rPr>
            </w:pPr>
            <w:r>
              <w:rPr>
                <w:sz w:val="18"/>
                <w:lang w:val="en-US"/>
              </w:rPr>
              <w:t>257</w:t>
            </w:r>
          </w:p>
        </w:tc>
        <w:tc>
          <w:tcPr>
            <w:tcW w:w="992" w:type="dxa"/>
            <w:tcBorders>
              <w:top w:val="single" w:sz="4" w:space="0" w:color="auto"/>
              <w:left w:val="nil"/>
              <w:bottom w:val="single" w:sz="4" w:space="0" w:color="auto"/>
              <w:right w:val="nil"/>
            </w:tcBorders>
          </w:tcPr>
          <w:p w:rsidR="00000000" w:rsidRDefault="00000000">
            <w:pPr>
              <w:pStyle w:val="a6"/>
              <w:spacing w:before="20" w:after="20"/>
              <w:rPr>
                <w:sz w:val="18"/>
                <w:lang w:val="en-US"/>
              </w:rPr>
            </w:pPr>
            <w:r>
              <w:rPr>
                <w:sz w:val="18"/>
                <w:lang w:val="en-US"/>
              </w:rPr>
              <w:t>64</w:t>
            </w:r>
          </w:p>
        </w:tc>
        <w:tc>
          <w:tcPr>
            <w:tcW w:w="993" w:type="dxa"/>
            <w:tcBorders>
              <w:top w:val="single" w:sz="4" w:space="0" w:color="auto"/>
              <w:left w:val="nil"/>
              <w:bottom w:val="single" w:sz="4" w:space="0" w:color="auto"/>
              <w:right w:val="nil"/>
            </w:tcBorders>
          </w:tcPr>
          <w:p w:rsidR="00000000" w:rsidRDefault="00000000">
            <w:pPr>
              <w:pStyle w:val="a6"/>
              <w:spacing w:before="20" w:after="20"/>
              <w:rPr>
                <w:sz w:val="18"/>
                <w:lang w:val="en-US"/>
              </w:rPr>
            </w:pPr>
            <w:r>
              <w:rPr>
                <w:sz w:val="18"/>
                <w:lang w:val="en-US"/>
              </w:rPr>
              <w:t>290</w:t>
            </w:r>
          </w:p>
        </w:tc>
        <w:tc>
          <w:tcPr>
            <w:tcW w:w="901" w:type="dxa"/>
            <w:tcBorders>
              <w:top w:val="single" w:sz="4" w:space="0" w:color="auto"/>
              <w:left w:val="nil"/>
              <w:bottom w:val="single" w:sz="4" w:space="0" w:color="auto"/>
              <w:right w:val="nil"/>
            </w:tcBorders>
          </w:tcPr>
          <w:p w:rsidR="00000000" w:rsidRDefault="00000000">
            <w:pPr>
              <w:pStyle w:val="a6"/>
              <w:spacing w:before="20" w:after="20"/>
              <w:rPr>
                <w:sz w:val="18"/>
                <w:lang w:val="en-US"/>
              </w:rPr>
            </w:pPr>
            <w:r>
              <w:rPr>
                <w:sz w:val="18"/>
                <w:lang w:val="en-US"/>
              </w:rPr>
              <w:t>74</w:t>
            </w:r>
          </w:p>
        </w:tc>
      </w:tr>
      <w:tr w:rsidR="00000000">
        <w:tblPrEx>
          <w:tblCellMar>
            <w:top w:w="0" w:type="dxa"/>
            <w:bottom w:w="0" w:type="dxa"/>
          </w:tblCellMar>
        </w:tblPrEx>
        <w:trPr>
          <w:cantSplit/>
          <w:jc w:val="center"/>
        </w:trPr>
        <w:tc>
          <w:tcPr>
            <w:tcW w:w="1843" w:type="dxa"/>
            <w:vMerge w:val="restart"/>
            <w:tcBorders>
              <w:top w:val="single" w:sz="4" w:space="0" w:color="auto"/>
              <w:left w:val="nil"/>
              <w:bottom w:val="nil"/>
              <w:right w:val="nil"/>
            </w:tcBorders>
            <w:vAlign w:val="center"/>
          </w:tcPr>
          <w:p w:rsidR="00000000" w:rsidRDefault="00000000">
            <w:pPr>
              <w:pStyle w:val="a6"/>
              <w:spacing w:before="20" w:after="20"/>
              <w:rPr>
                <w:b/>
                <w:sz w:val="18"/>
                <w:lang w:val="en-US"/>
              </w:rPr>
            </w:pPr>
            <w:r>
              <w:rPr>
                <w:b/>
                <w:sz w:val="18"/>
                <w:lang w:val="en-US"/>
              </w:rPr>
              <w:t>KOZANI</w:t>
            </w:r>
          </w:p>
        </w:tc>
        <w:tc>
          <w:tcPr>
            <w:tcW w:w="1745" w:type="dxa"/>
            <w:tcBorders>
              <w:top w:val="single" w:sz="4" w:space="0" w:color="auto"/>
              <w:left w:val="nil"/>
              <w:bottom w:val="nil"/>
              <w:right w:val="nil"/>
            </w:tcBorders>
            <w:vAlign w:val="center"/>
          </w:tcPr>
          <w:p w:rsidR="00000000" w:rsidRDefault="00000000">
            <w:pPr>
              <w:pStyle w:val="a6"/>
              <w:spacing w:before="20" w:after="20"/>
              <w:rPr>
                <w:sz w:val="18"/>
                <w:lang w:val="en-US"/>
              </w:rPr>
            </w:pPr>
            <w:r>
              <w:rPr>
                <w:sz w:val="18"/>
                <w:lang w:val="en-US"/>
              </w:rPr>
              <w:t>KOZANI</w:t>
            </w:r>
          </w:p>
        </w:tc>
        <w:tc>
          <w:tcPr>
            <w:tcW w:w="939" w:type="dxa"/>
            <w:tcBorders>
              <w:top w:val="single" w:sz="4" w:space="0" w:color="auto"/>
              <w:left w:val="nil"/>
              <w:bottom w:val="nil"/>
              <w:right w:val="nil"/>
            </w:tcBorders>
          </w:tcPr>
          <w:p w:rsidR="00000000" w:rsidRDefault="00000000">
            <w:pPr>
              <w:pStyle w:val="a6"/>
              <w:spacing w:before="20" w:after="20"/>
              <w:rPr>
                <w:sz w:val="18"/>
                <w:lang w:val="en-US"/>
              </w:rPr>
            </w:pPr>
            <w:r>
              <w:rPr>
                <w:sz w:val="18"/>
                <w:lang w:val="en-US"/>
              </w:rPr>
              <w:t>74</w:t>
            </w:r>
          </w:p>
        </w:tc>
        <w:tc>
          <w:tcPr>
            <w:tcW w:w="992" w:type="dxa"/>
            <w:tcBorders>
              <w:top w:val="single" w:sz="4" w:space="0" w:color="auto"/>
              <w:left w:val="nil"/>
              <w:bottom w:val="nil"/>
              <w:right w:val="nil"/>
            </w:tcBorders>
          </w:tcPr>
          <w:p w:rsidR="00000000" w:rsidRDefault="00000000">
            <w:pPr>
              <w:pStyle w:val="a6"/>
              <w:spacing w:before="20" w:after="20"/>
              <w:rPr>
                <w:sz w:val="18"/>
                <w:lang w:val="en-US"/>
              </w:rPr>
            </w:pPr>
            <w:r>
              <w:rPr>
                <w:sz w:val="18"/>
                <w:lang w:val="en-US"/>
              </w:rPr>
              <w:t>17</w:t>
            </w:r>
          </w:p>
        </w:tc>
        <w:tc>
          <w:tcPr>
            <w:tcW w:w="992" w:type="dxa"/>
            <w:tcBorders>
              <w:top w:val="single" w:sz="4" w:space="0" w:color="auto"/>
              <w:left w:val="nil"/>
              <w:bottom w:val="nil"/>
              <w:right w:val="nil"/>
            </w:tcBorders>
          </w:tcPr>
          <w:p w:rsidR="00000000" w:rsidRDefault="00000000">
            <w:pPr>
              <w:pStyle w:val="a6"/>
              <w:spacing w:before="20" w:after="20"/>
              <w:rPr>
                <w:sz w:val="18"/>
                <w:lang w:val="en-US"/>
              </w:rPr>
            </w:pPr>
            <w:r>
              <w:rPr>
                <w:sz w:val="18"/>
                <w:lang w:val="en-US"/>
              </w:rPr>
              <w:t>361</w:t>
            </w:r>
          </w:p>
        </w:tc>
        <w:tc>
          <w:tcPr>
            <w:tcW w:w="992" w:type="dxa"/>
            <w:tcBorders>
              <w:top w:val="single" w:sz="4" w:space="0" w:color="auto"/>
              <w:left w:val="nil"/>
              <w:bottom w:val="nil"/>
              <w:right w:val="nil"/>
            </w:tcBorders>
          </w:tcPr>
          <w:p w:rsidR="00000000" w:rsidRDefault="00000000">
            <w:pPr>
              <w:pStyle w:val="a6"/>
              <w:spacing w:before="20" w:after="20"/>
              <w:rPr>
                <w:sz w:val="18"/>
                <w:lang w:val="en-US"/>
              </w:rPr>
            </w:pPr>
            <w:r>
              <w:rPr>
                <w:sz w:val="18"/>
                <w:lang w:val="en-US"/>
              </w:rPr>
              <w:t>120</w:t>
            </w:r>
          </w:p>
        </w:tc>
        <w:tc>
          <w:tcPr>
            <w:tcW w:w="993" w:type="dxa"/>
            <w:tcBorders>
              <w:top w:val="single" w:sz="4" w:space="0" w:color="auto"/>
              <w:left w:val="nil"/>
              <w:bottom w:val="nil"/>
              <w:right w:val="nil"/>
            </w:tcBorders>
          </w:tcPr>
          <w:p w:rsidR="00000000" w:rsidRDefault="00000000">
            <w:pPr>
              <w:pStyle w:val="a6"/>
              <w:spacing w:before="20" w:after="20"/>
              <w:rPr>
                <w:sz w:val="18"/>
                <w:lang w:val="en-US"/>
              </w:rPr>
            </w:pPr>
            <w:r>
              <w:rPr>
                <w:sz w:val="18"/>
                <w:lang w:val="en-US"/>
              </w:rPr>
              <w:t>435</w:t>
            </w:r>
          </w:p>
        </w:tc>
        <w:tc>
          <w:tcPr>
            <w:tcW w:w="901" w:type="dxa"/>
            <w:tcBorders>
              <w:top w:val="single" w:sz="4" w:space="0" w:color="auto"/>
              <w:left w:val="nil"/>
              <w:bottom w:val="nil"/>
              <w:right w:val="nil"/>
            </w:tcBorders>
          </w:tcPr>
          <w:p w:rsidR="00000000" w:rsidRDefault="00000000">
            <w:pPr>
              <w:pStyle w:val="a6"/>
              <w:spacing w:before="20" w:after="20"/>
              <w:rPr>
                <w:sz w:val="18"/>
                <w:lang w:val="en-US"/>
              </w:rPr>
            </w:pPr>
            <w:r>
              <w:rPr>
                <w:sz w:val="18"/>
                <w:lang w:val="en-US"/>
              </w:rPr>
              <w:t>137</w:t>
            </w:r>
          </w:p>
        </w:tc>
      </w:tr>
      <w:tr w:rsidR="00000000">
        <w:tblPrEx>
          <w:tblCellMar>
            <w:top w:w="0" w:type="dxa"/>
            <w:bottom w:w="0" w:type="dxa"/>
          </w:tblCellMar>
        </w:tblPrEx>
        <w:trPr>
          <w:cantSplit/>
          <w:jc w:val="center"/>
        </w:trPr>
        <w:tc>
          <w:tcPr>
            <w:tcW w:w="1843" w:type="dxa"/>
            <w:vMerge/>
            <w:tcBorders>
              <w:top w:val="nil"/>
              <w:left w:val="nil"/>
              <w:bottom w:val="nil"/>
              <w:right w:val="nil"/>
            </w:tcBorders>
            <w:vAlign w:val="center"/>
          </w:tcPr>
          <w:p w:rsidR="00000000" w:rsidRDefault="00000000">
            <w:pPr>
              <w:pStyle w:val="a6"/>
              <w:spacing w:before="20" w:after="20"/>
              <w:rPr>
                <w:b/>
                <w:sz w:val="18"/>
                <w:lang w:val="en-US"/>
              </w:rPr>
            </w:pPr>
          </w:p>
        </w:tc>
        <w:tc>
          <w:tcPr>
            <w:tcW w:w="1745" w:type="dxa"/>
            <w:tcBorders>
              <w:top w:val="nil"/>
              <w:left w:val="nil"/>
              <w:bottom w:val="nil"/>
              <w:right w:val="nil"/>
            </w:tcBorders>
            <w:vAlign w:val="center"/>
          </w:tcPr>
          <w:p w:rsidR="00000000" w:rsidRDefault="00000000">
            <w:pPr>
              <w:pStyle w:val="a6"/>
              <w:spacing w:before="20" w:after="20"/>
              <w:rPr>
                <w:sz w:val="18"/>
                <w:lang w:val="en-US"/>
              </w:rPr>
            </w:pPr>
            <w:r>
              <w:rPr>
                <w:sz w:val="18"/>
                <w:lang w:val="en-US"/>
              </w:rPr>
              <w:t>FLORINA</w:t>
            </w:r>
          </w:p>
        </w:tc>
        <w:tc>
          <w:tcPr>
            <w:tcW w:w="939" w:type="dxa"/>
            <w:tcBorders>
              <w:top w:val="nil"/>
              <w:left w:val="nil"/>
              <w:bottom w:val="nil"/>
              <w:right w:val="nil"/>
            </w:tcBorders>
          </w:tcPr>
          <w:p w:rsidR="00000000" w:rsidRDefault="00000000">
            <w:pPr>
              <w:pStyle w:val="a6"/>
              <w:spacing w:before="20" w:after="20"/>
              <w:rPr>
                <w:sz w:val="18"/>
                <w:lang w:val="en-US"/>
              </w:rPr>
            </w:pPr>
            <w:r>
              <w:rPr>
                <w:sz w:val="18"/>
                <w:lang w:val="en-US"/>
              </w:rPr>
              <w:t>19</w:t>
            </w:r>
          </w:p>
        </w:tc>
        <w:tc>
          <w:tcPr>
            <w:tcW w:w="992" w:type="dxa"/>
            <w:tcBorders>
              <w:top w:val="nil"/>
              <w:left w:val="nil"/>
              <w:bottom w:val="nil"/>
              <w:right w:val="nil"/>
            </w:tcBorders>
          </w:tcPr>
          <w:p w:rsidR="00000000" w:rsidRDefault="00000000">
            <w:pPr>
              <w:pStyle w:val="a6"/>
              <w:spacing w:before="20" w:after="20"/>
              <w:rPr>
                <w:sz w:val="18"/>
                <w:lang w:val="en-US"/>
              </w:rPr>
            </w:pPr>
            <w:r>
              <w:rPr>
                <w:sz w:val="18"/>
                <w:lang w:val="en-US"/>
              </w:rPr>
              <w:t>6</w:t>
            </w:r>
          </w:p>
        </w:tc>
        <w:tc>
          <w:tcPr>
            <w:tcW w:w="992" w:type="dxa"/>
            <w:tcBorders>
              <w:top w:val="nil"/>
              <w:left w:val="nil"/>
              <w:bottom w:val="nil"/>
              <w:right w:val="nil"/>
            </w:tcBorders>
          </w:tcPr>
          <w:p w:rsidR="00000000" w:rsidRDefault="00000000">
            <w:pPr>
              <w:pStyle w:val="a6"/>
              <w:spacing w:before="20" w:after="20"/>
              <w:rPr>
                <w:sz w:val="18"/>
                <w:lang w:val="en-US"/>
              </w:rPr>
            </w:pPr>
            <w:r>
              <w:rPr>
                <w:sz w:val="18"/>
                <w:lang w:val="en-US"/>
              </w:rPr>
              <w:t>83</w:t>
            </w:r>
          </w:p>
        </w:tc>
        <w:tc>
          <w:tcPr>
            <w:tcW w:w="992" w:type="dxa"/>
            <w:tcBorders>
              <w:top w:val="nil"/>
              <w:left w:val="nil"/>
              <w:bottom w:val="nil"/>
              <w:right w:val="nil"/>
            </w:tcBorders>
          </w:tcPr>
          <w:p w:rsidR="00000000" w:rsidRDefault="00000000">
            <w:pPr>
              <w:pStyle w:val="a6"/>
              <w:spacing w:before="20" w:after="20"/>
              <w:rPr>
                <w:sz w:val="18"/>
                <w:lang w:val="en-US"/>
              </w:rPr>
            </w:pPr>
            <w:r>
              <w:rPr>
                <w:sz w:val="18"/>
                <w:lang w:val="en-US"/>
              </w:rPr>
              <w:t>27</w:t>
            </w:r>
          </w:p>
        </w:tc>
        <w:tc>
          <w:tcPr>
            <w:tcW w:w="993" w:type="dxa"/>
            <w:tcBorders>
              <w:top w:val="nil"/>
              <w:left w:val="nil"/>
              <w:bottom w:val="nil"/>
              <w:right w:val="nil"/>
            </w:tcBorders>
          </w:tcPr>
          <w:p w:rsidR="00000000" w:rsidRDefault="00000000">
            <w:pPr>
              <w:pStyle w:val="a6"/>
              <w:spacing w:before="20" w:after="20"/>
              <w:rPr>
                <w:sz w:val="18"/>
                <w:lang w:val="en-US"/>
              </w:rPr>
            </w:pPr>
            <w:r>
              <w:rPr>
                <w:sz w:val="18"/>
                <w:lang w:val="en-US"/>
              </w:rPr>
              <w:t>102</w:t>
            </w:r>
          </w:p>
        </w:tc>
        <w:tc>
          <w:tcPr>
            <w:tcW w:w="901" w:type="dxa"/>
            <w:tcBorders>
              <w:top w:val="nil"/>
              <w:left w:val="nil"/>
              <w:bottom w:val="nil"/>
              <w:right w:val="nil"/>
            </w:tcBorders>
          </w:tcPr>
          <w:p w:rsidR="00000000" w:rsidRDefault="00000000">
            <w:pPr>
              <w:pStyle w:val="a6"/>
              <w:spacing w:before="20" w:after="20"/>
              <w:rPr>
                <w:sz w:val="18"/>
                <w:lang w:val="en-US"/>
              </w:rPr>
            </w:pPr>
            <w:r>
              <w:rPr>
                <w:sz w:val="18"/>
                <w:lang w:val="en-US"/>
              </w:rPr>
              <w:t>33</w:t>
            </w:r>
          </w:p>
        </w:tc>
      </w:tr>
      <w:tr w:rsidR="00000000">
        <w:tblPrEx>
          <w:tblCellMar>
            <w:top w:w="0" w:type="dxa"/>
            <w:bottom w:w="0" w:type="dxa"/>
          </w:tblCellMar>
        </w:tblPrEx>
        <w:trPr>
          <w:cantSplit/>
          <w:jc w:val="center"/>
        </w:trPr>
        <w:tc>
          <w:tcPr>
            <w:tcW w:w="1843" w:type="dxa"/>
            <w:vMerge/>
            <w:tcBorders>
              <w:top w:val="nil"/>
              <w:left w:val="nil"/>
              <w:bottom w:val="single" w:sz="4" w:space="0" w:color="auto"/>
              <w:right w:val="nil"/>
            </w:tcBorders>
            <w:vAlign w:val="center"/>
          </w:tcPr>
          <w:p w:rsidR="00000000" w:rsidRDefault="00000000">
            <w:pPr>
              <w:pStyle w:val="a6"/>
              <w:spacing w:before="20" w:after="20"/>
              <w:rPr>
                <w:b/>
                <w:sz w:val="18"/>
                <w:lang w:val="en-US"/>
              </w:rPr>
            </w:pPr>
          </w:p>
        </w:tc>
        <w:tc>
          <w:tcPr>
            <w:tcW w:w="1745" w:type="dxa"/>
            <w:tcBorders>
              <w:top w:val="nil"/>
              <w:left w:val="nil"/>
              <w:bottom w:val="single" w:sz="4" w:space="0" w:color="auto"/>
              <w:right w:val="nil"/>
            </w:tcBorders>
            <w:vAlign w:val="center"/>
          </w:tcPr>
          <w:p w:rsidR="00000000" w:rsidRDefault="00000000">
            <w:pPr>
              <w:pStyle w:val="a6"/>
              <w:spacing w:before="20" w:after="20"/>
              <w:rPr>
                <w:sz w:val="18"/>
                <w:lang w:val="en-US"/>
              </w:rPr>
            </w:pPr>
            <w:r>
              <w:rPr>
                <w:sz w:val="18"/>
                <w:lang w:val="en-US"/>
              </w:rPr>
              <w:t>KASTORIA</w:t>
            </w:r>
          </w:p>
        </w:tc>
        <w:tc>
          <w:tcPr>
            <w:tcW w:w="939" w:type="dxa"/>
            <w:tcBorders>
              <w:top w:val="nil"/>
              <w:left w:val="nil"/>
              <w:bottom w:val="single" w:sz="4" w:space="0" w:color="auto"/>
              <w:right w:val="nil"/>
            </w:tcBorders>
          </w:tcPr>
          <w:p w:rsidR="00000000" w:rsidRDefault="00000000">
            <w:pPr>
              <w:pStyle w:val="a6"/>
              <w:spacing w:before="20" w:after="20"/>
              <w:rPr>
                <w:sz w:val="18"/>
                <w:lang w:val="en-US"/>
              </w:rPr>
            </w:pPr>
            <w:r>
              <w:rPr>
                <w:sz w:val="18"/>
                <w:lang w:val="en-US"/>
              </w:rPr>
              <w:t>6</w:t>
            </w:r>
          </w:p>
        </w:tc>
        <w:tc>
          <w:tcPr>
            <w:tcW w:w="992" w:type="dxa"/>
            <w:tcBorders>
              <w:top w:val="nil"/>
              <w:left w:val="nil"/>
              <w:bottom w:val="single" w:sz="4" w:space="0" w:color="auto"/>
              <w:right w:val="nil"/>
            </w:tcBorders>
          </w:tcPr>
          <w:p w:rsidR="00000000" w:rsidRDefault="00000000">
            <w:pPr>
              <w:pStyle w:val="a6"/>
              <w:spacing w:before="20" w:after="20"/>
              <w:rPr>
                <w:sz w:val="18"/>
                <w:lang w:val="en-US"/>
              </w:rPr>
            </w:pPr>
            <w:r>
              <w:rPr>
                <w:sz w:val="18"/>
                <w:lang w:val="en-US"/>
              </w:rPr>
              <w:t>2</w:t>
            </w:r>
          </w:p>
        </w:tc>
        <w:tc>
          <w:tcPr>
            <w:tcW w:w="992" w:type="dxa"/>
            <w:tcBorders>
              <w:top w:val="nil"/>
              <w:left w:val="nil"/>
              <w:bottom w:val="single" w:sz="4" w:space="0" w:color="auto"/>
              <w:right w:val="nil"/>
            </w:tcBorders>
          </w:tcPr>
          <w:p w:rsidR="00000000" w:rsidRDefault="00000000">
            <w:pPr>
              <w:pStyle w:val="a6"/>
              <w:spacing w:before="20" w:after="20"/>
              <w:rPr>
                <w:sz w:val="18"/>
                <w:lang w:val="en-US"/>
              </w:rPr>
            </w:pPr>
            <w:r>
              <w:rPr>
                <w:sz w:val="18"/>
                <w:lang w:val="en-US"/>
              </w:rPr>
              <w:t>72</w:t>
            </w:r>
          </w:p>
        </w:tc>
        <w:tc>
          <w:tcPr>
            <w:tcW w:w="992" w:type="dxa"/>
            <w:tcBorders>
              <w:top w:val="nil"/>
              <w:left w:val="nil"/>
              <w:bottom w:val="single" w:sz="4" w:space="0" w:color="auto"/>
              <w:right w:val="nil"/>
            </w:tcBorders>
          </w:tcPr>
          <w:p w:rsidR="00000000" w:rsidRDefault="00000000">
            <w:pPr>
              <w:pStyle w:val="a6"/>
              <w:spacing w:before="20" w:after="20"/>
              <w:rPr>
                <w:sz w:val="18"/>
                <w:lang w:val="en-US"/>
              </w:rPr>
            </w:pPr>
            <w:r>
              <w:rPr>
                <w:sz w:val="18"/>
                <w:lang w:val="en-US"/>
              </w:rPr>
              <w:t>37</w:t>
            </w:r>
          </w:p>
        </w:tc>
        <w:tc>
          <w:tcPr>
            <w:tcW w:w="993" w:type="dxa"/>
            <w:tcBorders>
              <w:top w:val="nil"/>
              <w:left w:val="nil"/>
              <w:bottom w:val="single" w:sz="4" w:space="0" w:color="auto"/>
              <w:right w:val="nil"/>
            </w:tcBorders>
          </w:tcPr>
          <w:p w:rsidR="00000000" w:rsidRDefault="00000000">
            <w:pPr>
              <w:pStyle w:val="a6"/>
              <w:spacing w:before="20" w:after="20"/>
              <w:rPr>
                <w:sz w:val="18"/>
                <w:lang w:val="en-US"/>
              </w:rPr>
            </w:pPr>
            <w:r>
              <w:rPr>
                <w:sz w:val="18"/>
                <w:lang w:val="en-US"/>
              </w:rPr>
              <w:t>78</w:t>
            </w:r>
          </w:p>
        </w:tc>
        <w:tc>
          <w:tcPr>
            <w:tcW w:w="901" w:type="dxa"/>
            <w:tcBorders>
              <w:top w:val="nil"/>
              <w:left w:val="nil"/>
              <w:bottom w:val="single" w:sz="4" w:space="0" w:color="auto"/>
              <w:right w:val="nil"/>
            </w:tcBorders>
          </w:tcPr>
          <w:p w:rsidR="00000000" w:rsidRDefault="00000000">
            <w:pPr>
              <w:pStyle w:val="a6"/>
              <w:spacing w:before="20" w:after="20"/>
              <w:rPr>
                <w:sz w:val="18"/>
                <w:lang w:val="en-US"/>
              </w:rPr>
            </w:pPr>
            <w:r>
              <w:rPr>
                <w:sz w:val="18"/>
                <w:lang w:val="en-US"/>
              </w:rPr>
              <w:t>39</w:t>
            </w:r>
          </w:p>
        </w:tc>
      </w:tr>
      <w:tr w:rsidR="00000000">
        <w:tblPrEx>
          <w:tblCellMar>
            <w:top w:w="0" w:type="dxa"/>
            <w:bottom w:w="0" w:type="dxa"/>
          </w:tblCellMar>
        </w:tblPrEx>
        <w:trPr>
          <w:cantSplit/>
          <w:jc w:val="center"/>
        </w:trPr>
        <w:tc>
          <w:tcPr>
            <w:tcW w:w="1843" w:type="dxa"/>
            <w:vMerge w:val="restart"/>
            <w:tcBorders>
              <w:top w:val="single" w:sz="4" w:space="0" w:color="auto"/>
              <w:left w:val="nil"/>
              <w:bottom w:val="nil"/>
              <w:right w:val="nil"/>
            </w:tcBorders>
            <w:vAlign w:val="center"/>
          </w:tcPr>
          <w:p w:rsidR="00000000" w:rsidRDefault="00000000">
            <w:pPr>
              <w:pStyle w:val="a6"/>
              <w:spacing w:before="20" w:after="20"/>
              <w:rPr>
                <w:b/>
                <w:sz w:val="18"/>
                <w:lang w:val="en-US"/>
              </w:rPr>
            </w:pPr>
            <w:r>
              <w:rPr>
                <w:b/>
                <w:sz w:val="18"/>
                <w:lang w:val="en-US"/>
              </w:rPr>
              <w:t>LARISSA</w:t>
            </w:r>
          </w:p>
        </w:tc>
        <w:tc>
          <w:tcPr>
            <w:tcW w:w="1745" w:type="dxa"/>
            <w:tcBorders>
              <w:top w:val="single" w:sz="4" w:space="0" w:color="auto"/>
              <w:left w:val="nil"/>
              <w:bottom w:val="nil"/>
              <w:right w:val="nil"/>
            </w:tcBorders>
            <w:vAlign w:val="center"/>
          </w:tcPr>
          <w:p w:rsidR="00000000" w:rsidRDefault="00000000">
            <w:pPr>
              <w:pStyle w:val="a6"/>
              <w:spacing w:before="20" w:after="20"/>
              <w:rPr>
                <w:sz w:val="18"/>
                <w:lang w:val="en-US"/>
              </w:rPr>
            </w:pPr>
            <w:r>
              <w:rPr>
                <w:sz w:val="18"/>
                <w:lang w:val="en-US"/>
              </w:rPr>
              <w:t>LARISSA</w:t>
            </w:r>
          </w:p>
        </w:tc>
        <w:tc>
          <w:tcPr>
            <w:tcW w:w="939" w:type="dxa"/>
            <w:tcBorders>
              <w:top w:val="single" w:sz="4" w:space="0" w:color="auto"/>
              <w:left w:val="nil"/>
              <w:bottom w:val="nil"/>
              <w:right w:val="nil"/>
            </w:tcBorders>
          </w:tcPr>
          <w:p w:rsidR="00000000" w:rsidRDefault="00000000">
            <w:pPr>
              <w:pStyle w:val="a6"/>
              <w:spacing w:before="20" w:after="20"/>
              <w:rPr>
                <w:sz w:val="18"/>
                <w:lang w:val="en-US"/>
              </w:rPr>
            </w:pPr>
            <w:r>
              <w:rPr>
                <w:sz w:val="18"/>
                <w:lang w:val="en-US"/>
              </w:rPr>
              <w:t>222</w:t>
            </w:r>
          </w:p>
        </w:tc>
        <w:tc>
          <w:tcPr>
            <w:tcW w:w="992" w:type="dxa"/>
            <w:tcBorders>
              <w:top w:val="single" w:sz="4" w:space="0" w:color="auto"/>
              <w:left w:val="nil"/>
              <w:bottom w:val="nil"/>
              <w:right w:val="nil"/>
            </w:tcBorders>
          </w:tcPr>
          <w:p w:rsidR="00000000" w:rsidRDefault="00000000">
            <w:pPr>
              <w:pStyle w:val="a6"/>
              <w:spacing w:before="20" w:after="20"/>
              <w:rPr>
                <w:sz w:val="18"/>
                <w:lang w:val="en-US"/>
              </w:rPr>
            </w:pPr>
            <w:r>
              <w:rPr>
                <w:sz w:val="18"/>
                <w:lang w:val="en-US"/>
              </w:rPr>
              <w:t>43</w:t>
            </w:r>
          </w:p>
        </w:tc>
        <w:tc>
          <w:tcPr>
            <w:tcW w:w="992" w:type="dxa"/>
            <w:tcBorders>
              <w:top w:val="single" w:sz="4" w:space="0" w:color="auto"/>
              <w:left w:val="nil"/>
              <w:bottom w:val="nil"/>
              <w:right w:val="nil"/>
            </w:tcBorders>
          </w:tcPr>
          <w:p w:rsidR="00000000" w:rsidRDefault="00000000">
            <w:pPr>
              <w:pStyle w:val="a6"/>
              <w:spacing w:before="20" w:after="20"/>
              <w:rPr>
                <w:sz w:val="18"/>
                <w:lang w:val="en-US"/>
              </w:rPr>
            </w:pPr>
            <w:r>
              <w:rPr>
                <w:sz w:val="18"/>
                <w:lang w:val="en-US"/>
              </w:rPr>
              <w:t>613</w:t>
            </w:r>
          </w:p>
        </w:tc>
        <w:tc>
          <w:tcPr>
            <w:tcW w:w="992" w:type="dxa"/>
            <w:tcBorders>
              <w:top w:val="single" w:sz="4" w:space="0" w:color="auto"/>
              <w:left w:val="nil"/>
              <w:bottom w:val="nil"/>
              <w:right w:val="nil"/>
            </w:tcBorders>
          </w:tcPr>
          <w:p w:rsidR="00000000" w:rsidRDefault="00000000">
            <w:pPr>
              <w:pStyle w:val="a6"/>
              <w:spacing w:before="20" w:after="20"/>
              <w:rPr>
                <w:sz w:val="18"/>
                <w:lang w:val="en-US"/>
              </w:rPr>
            </w:pPr>
            <w:r>
              <w:rPr>
                <w:sz w:val="18"/>
                <w:lang w:val="en-US"/>
              </w:rPr>
              <w:t>269</w:t>
            </w:r>
          </w:p>
        </w:tc>
        <w:tc>
          <w:tcPr>
            <w:tcW w:w="993" w:type="dxa"/>
            <w:tcBorders>
              <w:top w:val="single" w:sz="4" w:space="0" w:color="auto"/>
              <w:left w:val="nil"/>
              <w:bottom w:val="nil"/>
              <w:right w:val="nil"/>
            </w:tcBorders>
          </w:tcPr>
          <w:p w:rsidR="00000000" w:rsidRDefault="00000000">
            <w:pPr>
              <w:pStyle w:val="a6"/>
              <w:spacing w:before="20" w:after="20"/>
              <w:rPr>
                <w:sz w:val="18"/>
                <w:lang w:val="en-US"/>
              </w:rPr>
            </w:pPr>
            <w:r>
              <w:rPr>
                <w:sz w:val="18"/>
                <w:lang w:val="en-US"/>
              </w:rPr>
              <w:t>835</w:t>
            </w:r>
          </w:p>
        </w:tc>
        <w:tc>
          <w:tcPr>
            <w:tcW w:w="901" w:type="dxa"/>
            <w:tcBorders>
              <w:top w:val="single" w:sz="4" w:space="0" w:color="auto"/>
              <w:left w:val="nil"/>
              <w:bottom w:val="nil"/>
              <w:right w:val="nil"/>
            </w:tcBorders>
          </w:tcPr>
          <w:p w:rsidR="00000000" w:rsidRDefault="00000000">
            <w:pPr>
              <w:pStyle w:val="a6"/>
              <w:spacing w:before="20" w:after="20"/>
              <w:rPr>
                <w:sz w:val="18"/>
                <w:lang w:val="en-US"/>
              </w:rPr>
            </w:pPr>
            <w:r>
              <w:rPr>
                <w:sz w:val="18"/>
                <w:lang w:val="en-US"/>
              </w:rPr>
              <w:t>312</w:t>
            </w:r>
          </w:p>
        </w:tc>
      </w:tr>
      <w:tr w:rsidR="00000000">
        <w:tblPrEx>
          <w:tblCellMar>
            <w:top w:w="0" w:type="dxa"/>
            <w:bottom w:w="0" w:type="dxa"/>
          </w:tblCellMar>
        </w:tblPrEx>
        <w:trPr>
          <w:cantSplit/>
          <w:jc w:val="center"/>
        </w:trPr>
        <w:tc>
          <w:tcPr>
            <w:tcW w:w="1843" w:type="dxa"/>
            <w:vMerge/>
            <w:tcBorders>
              <w:top w:val="nil"/>
              <w:left w:val="nil"/>
              <w:bottom w:val="single" w:sz="4" w:space="0" w:color="auto"/>
              <w:right w:val="nil"/>
            </w:tcBorders>
            <w:vAlign w:val="center"/>
          </w:tcPr>
          <w:p w:rsidR="00000000" w:rsidRDefault="00000000">
            <w:pPr>
              <w:pStyle w:val="a6"/>
              <w:spacing w:before="20" w:after="20"/>
              <w:rPr>
                <w:b/>
                <w:sz w:val="18"/>
                <w:lang w:val="en-US"/>
              </w:rPr>
            </w:pPr>
          </w:p>
        </w:tc>
        <w:tc>
          <w:tcPr>
            <w:tcW w:w="1745" w:type="dxa"/>
            <w:tcBorders>
              <w:top w:val="nil"/>
              <w:left w:val="nil"/>
              <w:bottom w:val="single" w:sz="4" w:space="0" w:color="auto"/>
              <w:right w:val="nil"/>
            </w:tcBorders>
            <w:vAlign w:val="center"/>
          </w:tcPr>
          <w:p w:rsidR="00000000" w:rsidRDefault="00000000">
            <w:pPr>
              <w:pStyle w:val="a6"/>
              <w:spacing w:before="20" w:after="20"/>
              <w:rPr>
                <w:sz w:val="18"/>
                <w:lang w:val="en-US"/>
              </w:rPr>
            </w:pPr>
            <w:r>
              <w:rPr>
                <w:sz w:val="18"/>
                <w:lang w:val="en-US"/>
              </w:rPr>
              <w:t>KARDITSA</w:t>
            </w:r>
          </w:p>
        </w:tc>
        <w:tc>
          <w:tcPr>
            <w:tcW w:w="939" w:type="dxa"/>
            <w:tcBorders>
              <w:top w:val="nil"/>
              <w:left w:val="nil"/>
              <w:bottom w:val="single" w:sz="4" w:space="0" w:color="auto"/>
              <w:right w:val="nil"/>
            </w:tcBorders>
          </w:tcPr>
          <w:p w:rsidR="00000000" w:rsidRDefault="00000000">
            <w:pPr>
              <w:pStyle w:val="a6"/>
              <w:spacing w:before="20" w:after="20"/>
              <w:rPr>
                <w:sz w:val="18"/>
                <w:lang w:val="en-US"/>
              </w:rPr>
            </w:pPr>
            <w:r>
              <w:rPr>
                <w:sz w:val="18"/>
                <w:lang w:val="en-US"/>
              </w:rPr>
              <w:t>19</w:t>
            </w:r>
          </w:p>
        </w:tc>
        <w:tc>
          <w:tcPr>
            <w:tcW w:w="992" w:type="dxa"/>
            <w:tcBorders>
              <w:top w:val="nil"/>
              <w:left w:val="nil"/>
              <w:bottom w:val="single" w:sz="4" w:space="0" w:color="auto"/>
              <w:right w:val="nil"/>
            </w:tcBorders>
          </w:tcPr>
          <w:p w:rsidR="00000000" w:rsidRDefault="00000000">
            <w:pPr>
              <w:pStyle w:val="a6"/>
              <w:spacing w:before="20" w:after="20"/>
              <w:rPr>
                <w:sz w:val="18"/>
                <w:lang w:val="en-US"/>
              </w:rPr>
            </w:pPr>
            <w:r>
              <w:rPr>
                <w:sz w:val="18"/>
                <w:lang w:val="en-US"/>
              </w:rPr>
              <w:t>4</w:t>
            </w:r>
          </w:p>
        </w:tc>
        <w:tc>
          <w:tcPr>
            <w:tcW w:w="992" w:type="dxa"/>
            <w:tcBorders>
              <w:top w:val="nil"/>
              <w:left w:val="nil"/>
              <w:bottom w:val="single" w:sz="4" w:space="0" w:color="auto"/>
              <w:right w:val="nil"/>
            </w:tcBorders>
          </w:tcPr>
          <w:p w:rsidR="00000000" w:rsidRDefault="00000000">
            <w:pPr>
              <w:pStyle w:val="a6"/>
              <w:spacing w:before="20" w:after="20"/>
              <w:rPr>
                <w:sz w:val="18"/>
                <w:lang w:val="en-US"/>
              </w:rPr>
            </w:pPr>
            <w:r>
              <w:rPr>
                <w:sz w:val="18"/>
                <w:lang w:val="en-US"/>
              </w:rPr>
              <w:t>92</w:t>
            </w:r>
          </w:p>
        </w:tc>
        <w:tc>
          <w:tcPr>
            <w:tcW w:w="992" w:type="dxa"/>
            <w:tcBorders>
              <w:top w:val="nil"/>
              <w:left w:val="nil"/>
              <w:bottom w:val="single" w:sz="4" w:space="0" w:color="auto"/>
              <w:right w:val="nil"/>
            </w:tcBorders>
          </w:tcPr>
          <w:p w:rsidR="00000000" w:rsidRDefault="00000000">
            <w:pPr>
              <w:pStyle w:val="a6"/>
              <w:spacing w:before="20" w:after="20"/>
              <w:rPr>
                <w:sz w:val="18"/>
                <w:lang w:val="en-US"/>
              </w:rPr>
            </w:pPr>
            <w:r>
              <w:rPr>
                <w:sz w:val="18"/>
                <w:lang w:val="en-US"/>
              </w:rPr>
              <w:t>37</w:t>
            </w:r>
          </w:p>
        </w:tc>
        <w:tc>
          <w:tcPr>
            <w:tcW w:w="993" w:type="dxa"/>
            <w:tcBorders>
              <w:top w:val="nil"/>
              <w:left w:val="nil"/>
              <w:bottom w:val="single" w:sz="4" w:space="0" w:color="auto"/>
              <w:right w:val="nil"/>
            </w:tcBorders>
          </w:tcPr>
          <w:p w:rsidR="00000000" w:rsidRDefault="00000000">
            <w:pPr>
              <w:pStyle w:val="a6"/>
              <w:spacing w:before="20" w:after="20"/>
              <w:rPr>
                <w:sz w:val="18"/>
                <w:lang w:val="en-US"/>
              </w:rPr>
            </w:pPr>
            <w:r>
              <w:rPr>
                <w:sz w:val="18"/>
                <w:lang w:val="en-US"/>
              </w:rPr>
              <w:t>111</w:t>
            </w:r>
          </w:p>
        </w:tc>
        <w:tc>
          <w:tcPr>
            <w:tcW w:w="901" w:type="dxa"/>
            <w:tcBorders>
              <w:top w:val="nil"/>
              <w:left w:val="nil"/>
              <w:bottom w:val="single" w:sz="4" w:space="0" w:color="auto"/>
              <w:right w:val="nil"/>
            </w:tcBorders>
          </w:tcPr>
          <w:p w:rsidR="00000000" w:rsidRDefault="00000000">
            <w:pPr>
              <w:pStyle w:val="a6"/>
              <w:spacing w:before="20" w:after="20"/>
              <w:rPr>
                <w:sz w:val="18"/>
                <w:lang w:val="en-US"/>
              </w:rPr>
            </w:pPr>
            <w:r>
              <w:rPr>
                <w:sz w:val="18"/>
                <w:lang w:val="en-US"/>
              </w:rPr>
              <w:t>41</w:t>
            </w:r>
          </w:p>
        </w:tc>
      </w:tr>
      <w:tr w:rsidR="00000000">
        <w:tblPrEx>
          <w:tblCellMar>
            <w:top w:w="0" w:type="dxa"/>
            <w:bottom w:w="0" w:type="dxa"/>
          </w:tblCellMar>
        </w:tblPrEx>
        <w:trPr>
          <w:cantSplit/>
          <w:jc w:val="center"/>
        </w:trPr>
        <w:tc>
          <w:tcPr>
            <w:tcW w:w="1843" w:type="dxa"/>
            <w:vMerge w:val="restart"/>
            <w:tcBorders>
              <w:top w:val="single" w:sz="4" w:space="0" w:color="auto"/>
              <w:left w:val="nil"/>
              <w:bottom w:val="nil"/>
              <w:right w:val="nil"/>
            </w:tcBorders>
            <w:vAlign w:val="center"/>
          </w:tcPr>
          <w:p w:rsidR="00000000" w:rsidRDefault="00000000">
            <w:pPr>
              <w:pStyle w:val="a6"/>
              <w:spacing w:before="20" w:after="20"/>
              <w:rPr>
                <w:b/>
                <w:sz w:val="18"/>
                <w:lang w:val="en-US"/>
              </w:rPr>
            </w:pPr>
            <w:r>
              <w:rPr>
                <w:b/>
                <w:sz w:val="18"/>
                <w:lang w:val="en-US"/>
              </w:rPr>
              <w:t>LAMIA</w:t>
            </w:r>
          </w:p>
        </w:tc>
        <w:tc>
          <w:tcPr>
            <w:tcW w:w="1745" w:type="dxa"/>
            <w:tcBorders>
              <w:top w:val="single" w:sz="4" w:space="0" w:color="auto"/>
              <w:left w:val="nil"/>
              <w:bottom w:val="nil"/>
              <w:right w:val="nil"/>
            </w:tcBorders>
            <w:vAlign w:val="center"/>
          </w:tcPr>
          <w:p w:rsidR="00000000" w:rsidRDefault="00000000">
            <w:pPr>
              <w:pStyle w:val="a6"/>
              <w:spacing w:before="20" w:after="20"/>
              <w:rPr>
                <w:sz w:val="18"/>
                <w:lang w:val="en-US"/>
              </w:rPr>
            </w:pPr>
            <w:r>
              <w:rPr>
                <w:sz w:val="18"/>
                <w:lang w:val="en-US"/>
              </w:rPr>
              <w:t>LAMIA</w:t>
            </w:r>
          </w:p>
        </w:tc>
        <w:tc>
          <w:tcPr>
            <w:tcW w:w="939" w:type="dxa"/>
            <w:tcBorders>
              <w:top w:val="single" w:sz="4" w:space="0" w:color="auto"/>
              <w:left w:val="nil"/>
              <w:bottom w:val="nil"/>
              <w:right w:val="nil"/>
            </w:tcBorders>
          </w:tcPr>
          <w:p w:rsidR="00000000" w:rsidRDefault="00000000">
            <w:pPr>
              <w:pStyle w:val="a6"/>
              <w:spacing w:before="20" w:after="20"/>
              <w:rPr>
                <w:sz w:val="18"/>
                <w:lang w:val="en-US"/>
              </w:rPr>
            </w:pPr>
            <w:r>
              <w:rPr>
                <w:sz w:val="18"/>
                <w:lang w:val="en-US"/>
              </w:rPr>
              <w:t>42</w:t>
            </w:r>
          </w:p>
        </w:tc>
        <w:tc>
          <w:tcPr>
            <w:tcW w:w="992" w:type="dxa"/>
            <w:tcBorders>
              <w:top w:val="single" w:sz="4" w:space="0" w:color="auto"/>
              <w:left w:val="nil"/>
              <w:bottom w:val="nil"/>
              <w:right w:val="nil"/>
            </w:tcBorders>
          </w:tcPr>
          <w:p w:rsidR="00000000" w:rsidRDefault="00000000">
            <w:pPr>
              <w:pStyle w:val="a6"/>
              <w:spacing w:before="20" w:after="20"/>
              <w:rPr>
                <w:sz w:val="18"/>
                <w:lang w:val="en-US"/>
              </w:rPr>
            </w:pPr>
            <w:r>
              <w:rPr>
                <w:sz w:val="18"/>
                <w:lang w:val="en-US"/>
              </w:rPr>
              <w:t>5</w:t>
            </w:r>
          </w:p>
        </w:tc>
        <w:tc>
          <w:tcPr>
            <w:tcW w:w="992" w:type="dxa"/>
            <w:tcBorders>
              <w:top w:val="single" w:sz="4" w:space="0" w:color="auto"/>
              <w:left w:val="nil"/>
              <w:bottom w:val="nil"/>
              <w:right w:val="nil"/>
            </w:tcBorders>
          </w:tcPr>
          <w:p w:rsidR="00000000" w:rsidRDefault="00000000">
            <w:pPr>
              <w:pStyle w:val="a6"/>
              <w:spacing w:before="20" w:after="20"/>
              <w:rPr>
                <w:sz w:val="18"/>
                <w:lang w:val="en-US"/>
              </w:rPr>
            </w:pPr>
            <w:r>
              <w:rPr>
                <w:sz w:val="18"/>
                <w:lang w:val="en-US"/>
              </w:rPr>
              <w:t>358</w:t>
            </w:r>
          </w:p>
        </w:tc>
        <w:tc>
          <w:tcPr>
            <w:tcW w:w="992" w:type="dxa"/>
            <w:tcBorders>
              <w:top w:val="single" w:sz="4" w:space="0" w:color="auto"/>
              <w:left w:val="nil"/>
              <w:bottom w:val="nil"/>
              <w:right w:val="nil"/>
            </w:tcBorders>
          </w:tcPr>
          <w:p w:rsidR="00000000" w:rsidRDefault="00000000">
            <w:pPr>
              <w:pStyle w:val="a6"/>
              <w:spacing w:before="20" w:after="20"/>
              <w:rPr>
                <w:sz w:val="18"/>
                <w:lang w:val="en-US"/>
              </w:rPr>
            </w:pPr>
            <w:r>
              <w:rPr>
                <w:sz w:val="18"/>
                <w:lang w:val="en-US"/>
              </w:rPr>
              <w:t>182</w:t>
            </w:r>
          </w:p>
        </w:tc>
        <w:tc>
          <w:tcPr>
            <w:tcW w:w="993" w:type="dxa"/>
            <w:tcBorders>
              <w:top w:val="single" w:sz="4" w:space="0" w:color="auto"/>
              <w:left w:val="nil"/>
              <w:bottom w:val="nil"/>
              <w:right w:val="nil"/>
            </w:tcBorders>
          </w:tcPr>
          <w:p w:rsidR="00000000" w:rsidRDefault="00000000">
            <w:pPr>
              <w:pStyle w:val="a6"/>
              <w:spacing w:before="20" w:after="20"/>
              <w:rPr>
                <w:sz w:val="18"/>
                <w:lang w:val="en-US"/>
              </w:rPr>
            </w:pPr>
            <w:r>
              <w:rPr>
                <w:sz w:val="18"/>
                <w:lang w:val="en-US"/>
              </w:rPr>
              <w:t>400</w:t>
            </w:r>
          </w:p>
        </w:tc>
        <w:tc>
          <w:tcPr>
            <w:tcW w:w="901" w:type="dxa"/>
            <w:tcBorders>
              <w:top w:val="single" w:sz="4" w:space="0" w:color="auto"/>
              <w:left w:val="nil"/>
              <w:bottom w:val="nil"/>
              <w:right w:val="nil"/>
            </w:tcBorders>
          </w:tcPr>
          <w:p w:rsidR="00000000" w:rsidRDefault="00000000">
            <w:pPr>
              <w:pStyle w:val="a6"/>
              <w:spacing w:before="20" w:after="20"/>
              <w:rPr>
                <w:sz w:val="18"/>
                <w:lang w:val="en-US"/>
              </w:rPr>
            </w:pPr>
            <w:r>
              <w:rPr>
                <w:sz w:val="18"/>
                <w:lang w:val="en-US"/>
              </w:rPr>
              <w:t>187</w:t>
            </w:r>
          </w:p>
        </w:tc>
      </w:tr>
      <w:tr w:rsidR="00000000">
        <w:tblPrEx>
          <w:tblCellMar>
            <w:top w:w="0" w:type="dxa"/>
            <w:bottom w:w="0" w:type="dxa"/>
          </w:tblCellMar>
        </w:tblPrEx>
        <w:trPr>
          <w:cantSplit/>
          <w:jc w:val="center"/>
        </w:trPr>
        <w:tc>
          <w:tcPr>
            <w:tcW w:w="1843" w:type="dxa"/>
            <w:vMerge/>
            <w:tcBorders>
              <w:top w:val="nil"/>
              <w:left w:val="nil"/>
              <w:bottom w:val="nil"/>
              <w:right w:val="nil"/>
            </w:tcBorders>
            <w:vAlign w:val="center"/>
          </w:tcPr>
          <w:p w:rsidR="00000000" w:rsidRDefault="00000000">
            <w:pPr>
              <w:pStyle w:val="a6"/>
              <w:spacing w:before="20" w:after="20"/>
              <w:rPr>
                <w:b/>
                <w:sz w:val="18"/>
                <w:lang w:val="en-US"/>
              </w:rPr>
            </w:pPr>
          </w:p>
        </w:tc>
        <w:tc>
          <w:tcPr>
            <w:tcW w:w="1745" w:type="dxa"/>
            <w:tcBorders>
              <w:top w:val="nil"/>
              <w:left w:val="nil"/>
              <w:bottom w:val="nil"/>
              <w:right w:val="nil"/>
            </w:tcBorders>
            <w:vAlign w:val="center"/>
          </w:tcPr>
          <w:p w:rsidR="00000000" w:rsidRDefault="00000000">
            <w:pPr>
              <w:pStyle w:val="a6"/>
              <w:spacing w:before="20" w:after="20"/>
              <w:rPr>
                <w:sz w:val="18"/>
                <w:lang w:val="en-US"/>
              </w:rPr>
            </w:pPr>
            <w:r>
              <w:rPr>
                <w:sz w:val="18"/>
                <w:lang w:val="en-US"/>
              </w:rPr>
              <w:t>KARPENISSI</w:t>
            </w:r>
          </w:p>
        </w:tc>
        <w:tc>
          <w:tcPr>
            <w:tcW w:w="939" w:type="dxa"/>
            <w:tcBorders>
              <w:top w:val="nil"/>
              <w:left w:val="nil"/>
              <w:bottom w:val="nil"/>
              <w:right w:val="nil"/>
            </w:tcBorders>
          </w:tcPr>
          <w:p w:rsidR="00000000" w:rsidRDefault="00000000">
            <w:pPr>
              <w:pStyle w:val="a6"/>
              <w:spacing w:before="20" w:after="20"/>
              <w:rPr>
                <w:sz w:val="18"/>
                <w:lang w:val="en-US"/>
              </w:rPr>
            </w:pPr>
            <w:r>
              <w:rPr>
                <w:sz w:val="18"/>
                <w:lang w:val="en-US"/>
              </w:rPr>
              <w:t>9</w:t>
            </w:r>
          </w:p>
        </w:tc>
        <w:tc>
          <w:tcPr>
            <w:tcW w:w="992" w:type="dxa"/>
            <w:tcBorders>
              <w:top w:val="nil"/>
              <w:left w:val="nil"/>
              <w:bottom w:val="nil"/>
              <w:right w:val="nil"/>
            </w:tcBorders>
          </w:tcPr>
          <w:p w:rsidR="00000000" w:rsidRDefault="00000000">
            <w:pPr>
              <w:pStyle w:val="a6"/>
              <w:spacing w:before="20" w:after="20"/>
              <w:rPr>
                <w:sz w:val="18"/>
                <w:lang w:val="en-US"/>
              </w:rPr>
            </w:pPr>
            <w:r>
              <w:rPr>
                <w:sz w:val="18"/>
                <w:lang w:val="en-US"/>
              </w:rPr>
              <w:t>3</w:t>
            </w:r>
          </w:p>
        </w:tc>
        <w:tc>
          <w:tcPr>
            <w:tcW w:w="992" w:type="dxa"/>
            <w:tcBorders>
              <w:top w:val="nil"/>
              <w:left w:val="nil"/>
              <w:bottom w:val="nil"/>
              <w:right w:val="nil"/>
            </w:tcBorders>
          </w:tcPr>
          <w:p w:rsidR="00000000" w:rsidRDefault="00000000">
            <w:pPr>
              <w:pStyle w:val="a6"/>
              <w:spacing w:before="20" w:after="20"/>
              <w:rPr>
                <w:sz w:val="18"/>
                <w:lang w:val="en-US"/>
              </w:rPr>
            </w:pPr>
            <w:r>
              <w:rPr>
                <w:sz w:val="18"/>
                <w:lang w:val="en-US"/>
              </w:rPr>
              <w:t>47</w:t>
            </w:r>
          </w:p>
        </w:tc>
        <w:tc>
          <w:tcPr>
            <w:tcW w:w="992" w:type="dxa"/>
            <w:tcBorders>
              <w:top w:val="nil"/>
              <w:left w:val="nil"/>
              <w:bottom w:val="nil"/>
              <w:right w:val="nil"/>
            </w:tcBorders>
          </w:tcPr>
          <w:p w:rsidR="00000000" w:rsidRDefault="00000000">
            <w:pPr>
              <w:pStyle w:val="a6"/>
              <w:spacing w:before="20" w:after="20"/>
              <w:rPr>
                <w:sz w:val="18"/>
                <w:lang w:val="en-US"/>
              </w:rPr>
            </w:pPr>
            <w:r>
              <w:rPr>
                <w:sz w:val="18"/>
                <w:lang w:val="en-US"/>
              </w:rPr>
              <w:t>16</w:t>
            </w:r>
          </w:p>
        </w:tc>
        <w:tc>
          <w:tcPr>
            <w:tcW w:w="993" w:type="dxa"/>
            <w:tcBorders>
              <w:top w:val="nil"/>
              <w:left w:val="nil"/>
              <w:bottom w:val="nil"/>
              <w:right w:val="nil"/>
            </w:tcBorders>
          </w:tcPr>
          <w:p w:rsidR="00000000" w:rsidRDefault="00000000">
            <w:pPr>
              <w:pStyle w:val="a6"/>
              <w:spacing w:before="20" w:after="20"/>
              <w:rPr>
                <w:sz w:val="18"/>
                <w:lang w:val="en-US"/>
              </w:rPr>
            </w:pPr>
            <w:r>
              <w:rPr>
                <w:sz w:val="18"/>
                <w:lang w:val="en-US"/>
              </w:rPr>
              <w:t>56</w:t>
            </w:r>
          </w:p>
        </w:tc>
        <w:tc>
          <w:tcPr>
            <w:tcW w:w="901" w:type="dxa"/>
            <w:tcBorders>
              <w:top w:val="nil"/>
              <w:left w:val="nil"/>
              <w:bottom w:val="nil"/>
              <w:right w:val="nil"/>
            </w:tcBorders>
          </w:tcPr>
          <w:p w:rsidR="00000000" w:rsidRDefault="00000000">
            <w:pPr>
              <w:pStyle w:val="a6"/>
              <w:spacing w:before="20" w:after="20"/>
              <w:rPr>
                <w:sz w:val="18"/>
                <w:lang w:val="en-US"/>
              </w:rPr>
            </w:pPr>
            <w:r>
              <w:rPr>
                <w:sz w:val="18"/>
                <w:lang w:val="en-US"/>
              </w:rPr>
              <w:t>19</w:t>
            </w:r>
          </w:p>
        </w:tc>
      </w:tr>
      <w:tr w:rsidR="00000000">
        <w:tblPrEx>
          <w:tblCellMar>
            <w:top w:w="0" w:type="dxa"/>
            <w:bottom w:w="0" w:type="dxa"/>
          </w:tblCellMar>
        </w:tblPrEx>
        <w:trPr>
          <w:cantSplit/>
          <w:jc w:val="center"/>
        </w:trPr>
        <w:tc>
          <w:tcPr>
            <w:tcW w:w="1843" w:type="dxa"/>
            <w:vMerge/>
            <w:tcBorders>
              <w:top w:val="nil"/>
              <w:left w:val="nil"/>
              <w:bottom w:val="single" w:sz="4" w:space="0" w:color="auto"/>
              <w:right w:val="nil"/>
            </w:tcBorders>
            <w:vAlign w:val="center"/>
          </w:tcPr>
          <w:p w:rsidR="00000000" w:rsidRDefault="00000000">
            <w:pPr>
              <w:pStyle w:val="a6"/>
              <w:spacing w:before="20" w:after="20"/>
              <w:rPr>
                <w:b/>
                <w:sz w:val="18"/>
                <w:lang w:val="en-US"/>
              </w:rPr>
            </w:pPr>
          </w:p>
        </w:tc>
        <w:tc>
          <w:tcPr>
            <w:tcW w:w="1745" w:type="dxa"/>
            <w:tcBorders>
              <w:top w:val="nil"/>
              <w:left w:val="nil"/>
              <w:bottom w:val="single" w:sz="4" w:space="0" w:color="auto"/>
              <w:right w:val="nil"/>
            </w:tcBorders>
            <w:vAlign w:val="center"/>
          </w:tcPr>
          <w:p w:rsidR="00000000" w:rsidRDefault="00000000">
            <w:pPr>
              <w:pStyle w:val="a6"/>
              <w:spacing w:before="20" w:after="20"/>
              <w:rPr>
                <w:sz w:val="18"/>
                <w:lang w:val="en-US"/>
              </w:rPr>
            </w:pPr>
            <w:r>
              <w:rPr>
                <w:sz w:val="18"/>
                <w:lang w:val="en-US"/>
              </w:rPr>
              <w:t>AMFISSA</w:t>
            </w:r>
          </w:p>
        </w:tc>
        <w:tc>
          <w:tcPr>
            <w:tcW w:w="939" w:type="dxa"/>
            <w:tcBorders>
              <w:top w:val="nil"/>
              <w:left w:val="nil"/>
              <w:bottom w:val="single" w:sz="4" w:space="0" w:color="auto"/>
              <w:right w:val="nil"/>
            </w:tcBorders>
          </w:tcPr>
          <w:p w:rsidR="00000000" w:rsidRDefault="00000000">
            <w:pPr>
              <w:pStyle w:val="a6"/>
              <w:spacing w:before="20" w:after="20"/>
              <w:rPr>
                <w:sz w:val="18"/>
                <w:lang w:val="en-US"/>
              </w:rPr>
            </w:pPr>
            <w:r>
              <w:rPr>
                <w:sz w:val="18"/>
                <w:lang w:val="en-US"/>
              </w:rPr>
              <w:t>2</w:t>
            </w:r>
          </w:p>
        </w:tc>
        <w:tc>
          <w:tcPr>
            <w:tcW w:w="992" w:type="dxa"/>
            <w:tcBorders>
              <w:top w:val="nil"/>
              <w:left w:val="nil"/>
              <w:bottom w:val="single" w:sz="4" w:space="0" w:color="auto"/>
              <w:right w:val="nil"/>
            </w:tcBorders>
          </w:tcPr>
          <w:p w:rsidR="00000000" w:rsidRDefault="00000000">
            <w:pPr>
              <w:pStyle w:val="a6"/>
              <w:spacing w:before="20" w:after="20"/>
              <w:rPr>
                <w:sz w:val="18"/>
                <w:lang w:val="en-US"/>
              </w:rPr>
            </w:pPr>
            <w:r>
              <w:rPr>
                <w:sz w:val="18"/>
                <w:lang w:val="en-US"/>
              </w:rPr>
              <w:t>1</w:t>
            </w:r>
          </w:p>
        </w:tc>
        <w:tc>
          <w:tcPr>
            <w:tcW w:w="992" w:type="dxa"/>
            <w:tcBorders>
              <w:top w:val="nil"/>
              <w:left w:val="nil"/>
              <w:bottom w:val="single" w:sz="4" w:space="0" w:color="auto"/>
              <w:right w:val="nil"/>
            </w:tcBorders>
          </w:tcPr>
          <w:p w:rsidR="00000000" w:rsidRDefault="00000000">
            <w:pPr>
              <w:pStyle w:val="a6"/>
              <w:spacing w:before="20" w:after="20"/>
              <w:rPr>
                <w:sz w:val="18"/>
                <w:lang w:val="en-US"/>
              </w:rPr>
            </w:pPr>
            <w:r>
              <w:rPr>
                <w:sz w:val="18"/>
                <w:lang w:val="en-US"/>
              </w:rPr>
              <w:t>62</w:t>
            </w:r>
          </w:p>
        </w:tc>
        <w:tc>
          <w:tcPr>
            <w:tcW w:w="992" w:type="dxa"/>
            <w:tcBorders>
              <w:top w:val="nil"/>
              <w:left w:val="nil"/>
              <w:bottom w:val="single" w:sz="4" w:space="0" w:color="auto"/>
              <w:right w:val="nil"/>
            </w:tcBorders>
          </w:tcPr>
          <w:p w:rsidR="00000000" w:rsidRDefault="00000000">
            <w:pPr>
              <w:pStyle w:val="a6"/>
              <w:spacing w:before="20" w:after="20"/>
              <w:rPr>
                <w:sz w:val="18"/>
                <w:lang w:val="en-US"/>
              </w:rPr>
            </w:pPr>
            <w:r>
              <w:rPr>
                <w:sz w:val="18"/>
                <w:lang w:val="en-US"/>
              </w:rPr>
              <w:t>21</w:t>
            </w:r>
          </w:p>
        </w:tc>
        <w:tc>
          <w:tcPr>
            <w:tcW w:w="993" w:type="dxa"/>
            <w:tcBorders>
              <w:top w:val="nil"/>
              <w:left w:val="nil"/>
              <w:bottom w:val="single" w:sz="4" w:space="0" w:color="auto"/>
              <w:right w:val="nil"/>
            </w:tcBorders>
          </w:tcPr>
          <w:p w:rsidR="00000000" w:rsidRDefault="00000000">
            <w:pPr>
              <w:pStyle w:val="a6"/>
              <w:spacing w:before="20" w:after="20"/>
              <w:rPr>
                <w:sz w:val="18"/>
                <w:lang w:val="en-US"/>
              </w:rPr>
            </w:pPr>
            <w:r>
              <w:rPr>
                <w:sz w:val="18"/>
                <w:lang w:val="en-US"/>
              </w:rPr>
              <w:t>64</w:t>
            </w:r>
          </w:p>
        </w:tc>
        <w:tc>
          <w:tcPr>
            <w:tcW w:w="901" w:type="dxa"/>
            <w:tcBorders>
              <w:top w:val="nil"/>
              <w:left w:val="nil"/>
              <w:bottom w:val="single" w:sz="4" w:space="0" w:color="auto"/>
              <w:right w:val="nil"/>
            </w:tcBorders>
          </w:tcPr>
          <w:p w:rsidR="00000000" w:rsidRDefault="00000000">
            <w:pPr>
              <w:pStyle w:val="a6"/>
              <w:spacing w:before="20" w:after="20"/>
              <w:rPr>
                <w:sz w:val="18"/>
                <w:lang w:val="en-US"/>
              </w:rPr>
            </w:pPr>
            <w:r>
              <w:rPr>
                <w:sz w:val="18"/>
                <w:lang w:val="en-US"/>
              </w:rPr>
              <w:t>22</w:t>
            </w:r>
          </w:p>
        </w:tc>
      </w:tr>
      <w:tr w:rsidR="00000000">
        <w:tblPrEx>
          <w:tblCellMar>
            <w:top w:w="0" w:type="dxa"/>
            <w:bottom w:w="0" w:type="dxa"/>
          </w:tblCellMar>
        </w:tblPrEx>
        <w:trPr>
          <w:cantSplit/>
          <w:jc w:val="center"/>
        </w:trPr>
        <w:tc>
          <w:tcPr>
            <w:tcW w:w="1843" w:type="dxa"/>
            <w:tcBorders>
              <w:top w:val="single" w:sz="4" w:space="0" w:color="auto"/>
              <w:left w:val="nil"/>
              <w:bottom w:val="single" w:sz="4" w:space="0" w:color="auto"/>
              <w:right w:val="nil"/>
            </w:tcBorders>
            <w:vAlign w:val="center"/>
          </w:tcPr>
          <w:p w:rsidR="00000000" w:rsidRDefault="00000000">
            <w:pPr>
              <w:pStyle w:val="a6"/>
              <w:spacing w:before="20" w:after="20"/>
              <w:rPr>
                <w:b/>
                <w:sz w:val="18"/>
                <w:lang w:val="en-US"/>
              </w:rPr>
            </w:pPr>
            <w:r>
              <w:rPr>
                <w:b/>
                <w:sz w:val="18"/>
                <w:lang w:val="en-US"/>
              </w:rPr>
              <w:t>MESSOLONGHI</w:t>
            </w:r>
          </w:p>
        </w:tc>
        <w:tc>
          <w:tcPr>
            <w:tcW w:w="1745" w:type="dxa"/>
            <w:tcBorders>
              <w:top w:val="single" w:sz="4" w:space="0" w:color="auto"/>
              <w:left w:val="nil"/>
              <w:bottom w:val="single" w:sz="4" w:space="0" w:color="auto"/>
              <w:right w:val="nil"/>
            </w:tcBorders>
            <w:vAlign w:val="center"/>
          </w:tcPr>
          <w:p w:rsidR="00000000" w:rsidRDefault="00000000">
            <w:pPr>
              <w:pStyle w:val="a6"/>
              <w:spacing w:before="20" w:after="20"/>
              <w:rPr>
                <w:sz w:val="18"/>
                <w:lang w:val="en-US"/>
              </w:rPr>
            </w:pPr>
            <w:r>
              <w:rPr>
                <w:sz w:val="18"/>
                <w:lang w:val="en-US"/>
              </w:rPr>
              <w:t>MESSOLONGHI</w:t>
            </w:r>
          </w:p>
        </w:tc>
        <w:tc>
          <w:tcPr>
            <w:tcW w:w="939" w:type="dxa"/>
            <w:tcBorders>
              <w:top w:val="single" w:sz="4" w:space="0" w:color="auto"/>
              <w:left w:val="nil"/>
              <w:bottom w:val="single" w:sz="4" w:space="0" w:color="auto"/>
              <w:right w:val="nil"/>
            </w:tcBorders>
          </w:tcPr>
          <w:p w:rsidR="00000000" w:rsidRDefault="00000000">
            <w:pPr>
              <w:pStyle w:val="a6"/>
              <w:spacing w:before="20" w:after="20"/>
              <w:rPr>
                <w:sz w:val="18"/>
                <w:lang w:val="en-US"/>
              </w:rPr>
            </w:pPr>
            <w:r>
              <w:rPr>
                <w:sz w:val="18"/>
                <w:lang w:val="en-US"/>
              </w:rPr>
              <w:t>45</w:t>
            </w:r>
          </w:p>
        </w:tc>
        <w:tc>
          <w:tcPr>
            <w:tcW w:w="992" w:type="dxa"/>
            <w:tcBorders>
              <w:top w:val="single" w:sz="4" w:space="0" w:color="auto"/>
              <w:left w:val="nil"/>
              <w:bottom w:val="single" w:sz="4" w:space="0" w:color="auto"/>
              <w:right w:val="nil"/>
            </w:tcBorders>
          </w:tcPr>
          <w:p w:rsidR="00000000" w:rsidRDefault="00000000">
            <w:pPr>
              <w:pStyle w:val="a6"/>
              <w:spacing w:before="20" w:after="20"/>
              <w:rPr>
                <w:sz w:val="18"/>
                <w:lang w:val="en-US"/>
              </w:rPr>
            </w:pPr>
            <w:r>
              <w:rPr>
                <w:sz w:val="18"/>
                <w:lang w:val="en-US"/>
              </w:rPr>
              <w:t>11</w:t>
            </w:r>
          </w:p>
        </w:tc>
        <w:tc>
          <w:tcPr>
            <w:tcW w:w="992" w:type="dxa"/>
            <w:tcBorders>
              <w:top w:val="single" w:sz="4" w:space="0" w:color="auto"/>
              <w:left w:val="nil"/>
              <w:bottom w:val="single" w:sz="4" w:space="0" w:color="auto"/>
              <w:right w:val="nil"/>
            </w:tcBorders>
          </w:tcPr>
          <w:p w:rsidR="00000000" w:rsidRDefault="00000000">
            <w:pPr>
              <w:pStyle w:val="a6"/>
              <w:spacing w:before="20" w:after="20"/>
              <w:rPr>
                <w:sz w:val="18"/>
                <w:lang w:val="en-US"/>
              </w:rPr>
            </w:pPr>
            <w:r>
              <w:rPr>
                <w:sz w:val="18"/>
                <w:lang w:val="en-US"/>
              </w:rPr>
              <w:t>249</w:t>
            </w:r>
          </w:p>
        </w:tc>
        <w:tc>
          <w:tcPr>
            <w:tcW w:w="992" w:type="dxa"/>
            <w:tcBorders>
              <w:top w:val="single" w:sz="4" w:space="0" w:color="auto"/>
              <w:left w:val="nil"/>
              <w:bottom w:val="single" w:sz="4" w:space="0" w:color="auto"/>
              <w:right w:val="nil"/>
            </w:tcBorders>
          </w:tcPr>
          <w:p w:rsidR="00000000" w:rsidRDefault="00000000">
            <w:pPr>
              <w:pStyle w:val="a6"/>
              <w:spacing w:before="20" w:after="20"/>
              <w:rPr>
                <w:sz w:val="18"/>
                <w:lang w:val="en-US"/>
              </w:rPr>
            </w:pPr>
            <w:r>
              <w:rPr>
                <w:sz w:val="18"/>
                <w:lang w:val="en-US"/>
              </w:rPr>
              <w:t>50</w:t>
            </w:r>
          </w:p>
        </w:tc>
        <w:tc>
          <w:tcPr>
            <w:tcW w:w="993" w:type="dxa"/>
            <w:tcBorders>
              <w:top w:val="single" w:sz="4" w:space="0" w:color="auto"/>
              <w:left w:val="nil"/>
              <w:bottom w:val="single" w:sz="4" w:space="0" w:color="auto"/>
              <w:right w:val="nil"/>
            </w:tcBorders>
          </w:tcPr>
          <w:p w:rsidR="00000000" w:rsidRDefault="00000000">
            <w:pPr>
              <w:pStyle w:val="a6"/>
              <w:spacing w:before="20" w:after="20"/>
              <w:rPr>
                <w:sz w:val="18"/>
                <w:lang w:val="en-US"/>
              </w:rPr>
            </w:pPr>
            <w:r>
              <w:rPr>
                <w:sz w:val="18"/>
                <w:lang w:val="en-US"/>
              </w:rPr>
              <w:t>294</w:t>
            </w:r>
          </w:p>
        </w:tc>
        <w:tc>
          <w:tcPr>
            <w:tcW w:w="901" w:type="dxa"/>
            <w:tcBorders>
              <w:top w:val="single" w:sz="4" w:space="0" w:color="auto"/>
              <w:left w:val="nil"/>
              <w:bottom w:val="single" w:sz="4" w:space="0" w:color="auto"/>
              <w:right w:val="nil"/>
            </w:tcBorders>
          </w:tcPr>
          <w:p w:rsidR="00000000" w:rsidRDefault="00000000">
            <w:pPr>
              <w:pStyle w:val="a6"/>
              <w:spacing w:before="20" w:after="20"/>
              <w:rPr>
                <w:sz w:val="18"/>
                <w:lang w:val="en-US"/>
              </w:rPr>
            </w:pPr>
            <w:r>
              <w:rPr>
                <w:sz w:val="18"/>
                <w:lang w:val="en-US"/>
              </w:rPr>
              <w:t>61</w:t>
            </w:r>
          </w:p>
        </w:tc>
      </w:tr>
      <w:tr w:rsidR="00000000">
        <w:tblPrEx>
          <w:tblCellMar>
            <w:top w:w="0" w:type="dxa"/>
            <w:bottom w:w="0" w:type="dxa"/>
          </w:tblCellMar>
        </w:tblPrEx>
        <w:trPr>
          <w:cantSplit/>
          <w:jc w:val="center"/>
        </w:trPr>
        <w:tc>
          <w:tcPr>
            <w:tcW w:w="1843" w:type="dxa"/>
            <w:tcBorders>
              <w:top w:val="single" w:sz="4" w:space="0" w:color="auto"/>
              <w:left w:val="nil"/>
              <w:bottom w:val="single" w:sz="4" w:space="0" w:color="auto"/>
              <w:right w:val="nil"/>
            </w:tcBorders>
            <w:vAlign w:val="center"/>
          </w:tcPr>
          <w:p w:rsidR="00000000" w:rsidRDefault="00000000">
            <w:pPr>
              <w:pStyle w:val="a6"/>
              <w:spacing w:before="20" w:after="20"/>
              <w:rPr>
                <w:b/>
                <w:sz w:val="18"/>
                <w:lang w:val="en-US"/>
              </w:rPr>
            </w:pPr>
            <w:r>
              <w:rPr>
                <w:b/>
                <w:sz w:val="18"/>
                <w:lang w:val="en-US"/>
              </w:rPr>
              <w:t>PATRA</w:t>
            </w:r>
          </w:p>
        </w:tc>
        <w:tc>
          <w:tcPr>
            <w:tcW w:w="1745" w:type="dxa"/>
            <w:tcBorders>
              <w:top w:val="single" w:sz="4" w:space="0" w:color="auto"/>
              <w:left w:val="nil"/>
              <w:bottom w:val="single" w:sz="4" w:space="0" w:color="auto"/>
              <w:right w:val="nil"/>
            </w:tcBorders>
            <w:vAlign w:val="center"/>
          </w:tcPr>
          <w:p w:rsidR="00000000" w:rsidRDefault="00000000">
            <w:pPr>
              <w:pStyle w:val="a6"/>
              <w:spacing w:before="20" w:after="20"/>
              <w:rPr>
                <w:sz w:val="18"/>
                <w:lang w:val="en-US"/>
              </w:rPr>
            </w:pPr>
            <w:r>
              <w:rPr>
                <w:sz w:val="18"/>
                <w:lang w:val="en-US"/>
              </w:rPr>
              <w:t>PATRA</w:t>
            </w:r>
          </w:p>
        </w:tc>
        <w:tc>
          <w:tcPr>
            <w:tcW w:w="939" w:type="dxa"/>
            <w:tcBorders>
              <w:top w:val="single" w:sz="4" w:space="0" w:color="auto"/>
              <w:left w:val="nil"/>
              <w:bottom w:val="single" w:sz="4" w:space="0" w:color="auto"/>
              <w:right w:val="nil"/>
            </w:tcBorders>
          </w:tcPr>
          <w:p w:rsidR="00000000" w:rsidRDefault="00000000">
            <w:pPr>
              <w:pStyle w:val="a6"/>
              <w:spacing w:before="20" w:after="20"/>
              <w:rPr>
                <w:sz w:val="18"/>
                <w:lang w:val="en-US"/>
              </w:rPr>
            </w:pPr>
            <w:r>
              <w:rPr>
                <w:sz w:val="18"/>
                <w:lang w:val="en-US"/>
              </w:rPr>
              <w:t>181</w:t>
            </w:r>
          </w:p>
        </w:tc>
        <w:tc>
          <w:tcPr>
            <w:tcW w:w="992" w:type="dxa"/>
            <w:tcBorders>
              <w:top w:val="single" w:sz="4" w:space="0" w:color="auto"/>
              <w:left w:val="nil"/>
              <w:bottom w:val="single" w:sz="4" w:space="0" w:color="auto"/>
              <w:right w:val="nil"/>
            </w:tcBorders>
          </w:tcPr>
          <w:p w:rsidR="00000000" w:rsidRDefault="00000000">
            <w:pPr>
              <w:pStyle w:val="a6"/>
              <w:spacing w:before="20" w:after="20"/>
              <w:rPr>
                <w:sz w:val="18"/>
                <w:lang w:val="en-US"/>
              </w:rPr>
            </w:pPr>
            <w:r>
              <w:rPr>
                <w:sz w:val="18"/>
                <w:lang w:val="en-US"/>
              </w:rPr>
              <w:t>60</w:t>
            </w:r>
          </w:p>
        </w:tc>
        <w:tc>
          <w:tcPr>
            <w:tcW w:w="992" w:type="dxa"/>
            <w:tcBorders>
              <w:top w:val="single" w:sz="4" w:space="0" w:color="auto"/>
              <w:left w:val="nil"/>
              <w:bottom w:val="single" w:sz="4" w:space="0" w:color="auto"/>
              <w:right w:val="nil"/>
            </w:tcBorders>
          </w:tcPr>
          <w:p w:rsidR="00000000" w:rsidRDefault="00000000">
            <w:pPr>
              <w:pStyle w:val="a6"/>
              <w:spacing w:before="20" w:after="20"/>
              <w:rPr>
                <w:sz w:val="18"/>
                <w:lang w:val="en-US"/>
              </w:rPr>
            </w:pPr>
            <w:r>
              <w:rPr>
                <w:sz w:val="18"/>
                <w:lang w:val="en-US"/>
              </w:rPr>
              <w:t>570</w:t>
            </w:r>
          </w:p>
        </w:tc>
        <w:tc>
          <w:tcPr>
            <w:tcW w:w="992" w:type="dxa"/>
            <w:tcBorders>
              <w:top w:val="single" w:sz="4" w:space="0" w:color="auto"/>
              <w:left w:val="nil"/>
              <w:bottom w:val="single" w:sz="4" w:space="0" w:color="auto"/>
              <w:right w:val="nil"/>
            </w:tcBorders>
          </w:tcPr>
          <w:p w:rsidR="00000000" w:rsidRDefault="00000000">
            <w:pPr>
              <w:pStyle w:val="a6"/>
              <w:spacing w:before="20" w:after="20"/>
              <w:rPr>
                <w:sz w:val="18"/>
                <w:lang w:val="en-US"/>
              </w:rPr>
            </w:pPr>
            <w:r>
              <w:rPr>
                <w:sz w:val="18"/>
                <w:lang w:val="en-US"/>
              </w:rPr>
              <w:t>268</w:t>
            </w:r>
          </w:p>
        </w:tc>
        <w:tc>
          <w:tcPr>
            <w:tcW w:w="993" w:type="dxa"/>
            <w:tcBorders>
              <w:top w:val="single" w:sz="4" w:space="0" w:color="auto"/>
              <w:left w:val="nil"/>
              <w:bottom w:val="single" w:sz="4" w:space="0" w:color="auto"/>
              <w:right w:val="nil"/>
            </w:tcBorders>
          </w:tcPr>
          <w:p w:rsidR="00000000" w:rsidRDefault="00000000">
            <w:pPr>
              <w:pStyle w:val="a6"/>
              <w:spacing w:before="20" w:after="20"/>
              <w:rPr>
                <w:sz w:val="18"/>
                <w:lang w:val="en-US"/>
              </w:rPr>
            </w:pPr>
            <w:r>
              <w:rPr>
                <w:sz w:val="18"/>
                <w:lang w:val="en-US"/>
              </w:rPr>
              <w:t>751</w:t>
            </w:r>
          </w:p>
        </w:tc>
        <w:tc>
          <w:tcPr>
            <w:tcW w:w="901" w:type="dxa"/>
            <w:tcBorders>
              <w:top w:val="single" w:sz="4" w:space="0" w:color="auto"/>
              <w:left w:val="nil"/>
              <w:bottom w:val="single" w:sz="4" w:space="0" w:color="auto"/>
              <w:right w:val="nil"/>
            </w:tcBorders>
          </w:tcPr>
          <w:p w:rsidR="00000000" w:rsidRDefault="00000000">
            <w:pPr>
              <w:pStyle w:val="a6"/>
              <w:spacing w:before="20" w:after="20"/>
              <w:rPr>
                <w:sz w:val="18"/>
                <w:lang w:val="en-US"/>
              </w:rPr>
            </w:pPr>
            <w:r>
              <w:rPr>
                <w:sz w:val="18"/>
                <w:lang w:val="en-US"/>
              </w:rPr>
              <w:t>328</w:t>
            </w:r>
          </w:p>
        </w:tc>
      </w:tr>
      <w:tr w:rsidR="00000000">
        <w:tblPrEx>
          <w:tblCellMar>
            <w:top w:w="0" w:type="dxa"/>
            <w:bottom w:w="0" w:type="dxa"/>
          </w:tblCellMar>
        </w:tblPrEx>
        <w:trPr>
          <w:cantSplit/>
          <w:jc w:val="center"/>
        </w:trPr>
        <w:tc>
          <w:tcPr>
            <w:tcW w:w="1843" w:type="dxa"/>
            <w:tcBorders>
              <w:top w:val="single" w:sz="4" w:space="0" w:color="auto"/>
              <w:left w:val="nil"/>
              <w:bottom w:val="single" w:sz="4" w:space="0" w:color="auto"/>
              <w:right w:val="nil"/>
            </w:tcBorders>
            <w:vAlign w:val="center"/>
          </w:tcPr>
          <w:p w:rsidR="00000000" w:rsidRDefault="00000000">
            <w:pPr>
              <w:pStyle w:val="a6"/>
              <w:spacing w:before="20" w:after="20"/>
              <w:rPr>
                <w:b/>
                <w:sz w:val="18"/>
                <w:lang w:val="en-US"/>
              </w:rPr>
            </w:pPr>
            <w:r>
              <w:rPr>
                <w:b/>
                <w:sz w:val="18"/>
                <w:lang w:val="en-US"/>
              </w:rPr>
              <w:t>PIRAEUS</w:t>
            </w:r>
          </w:p>
        </w:tc>
        <w:tc>
          <w:tcPr>
            <w:tcW w:w="1745" w:type="dxa"/>
            <w:tcBorders>
              <w:top w:val="single" w:sz="4" w:space="0" w:color="auto"/>
              <w:left w:val="nil"/>
              <w:bottom w:val="single" w:sz="4" w:space="0" w:color="auto"/>
              <w:right w:val="nil"/>
            </w:tcBorders>
            <w:vAlign w:val="center"/>
          </w:tcPr>
          <w:p w:rsidR="00000000" w:rsidRDefault="00000000">
            <w:pPr>
              <w:pStyle w:val="a6"/>
              <w:spacing w:before="20" w:after="20"/>
              <w:rPr>
                <w:sz w:val="18"/>
                <w:lang w:val="en-US"/>
              </w:rPr>
            </w:pPr>
            <w:r>
              <w:rPr>
                <w:sz w:val="18"/>
                <w:lang w:val="en-US"/>
              </w:rPr>
              <w:t>PIRAEUS</w:t>
            </w:r>
          </w:p>
        </w:tc>
        <w:tc>
          <w:tcPr>
            <w:tcW w:w="939" w:type="dxa"/>
            <w:tcBorders>
              <w:top w:val="single" w:sz="4" w:space="0" w:color="auto"/>
              <w:left w:val="nil"/>
              <w:bottom w:val="single" w:sz="4" w:space="0" w:color="auto"/>
              <w:right w:val="nil"/>
            </w:tcBorders>
          </w:tcPr>
          <w:p w:rsidR="00000000" w:rsidRDefault="00000000">
            <w:pPr>
              <w:pStyle w:val="a6"/>
              <w:spacing w:before="20" w:after="20"/>
              <w:rPr>
                <w:sz w:val="18"/>
                <w:lang w:val="en-US"/>
              </w:rPr>
            </w:pPr>
            <w:r>
              <w:rPr>
                <w:sz w:val="18"/>
                <w:lang w:val="en-US"/>
              </w:rPr>
              <w:t>242</w:t>
            </w:r>
          </w:p>
        </w:tc>
        <w:tc>
          <w:tcPr>
            <w:tcW w:w="992" w:type="dxa"/>
            <w:tcBorders>
              <w:top w:val="single" w:sz="4" w:space="0" w:color="auto"/>
              <w:left w:val="nil"/>
              <w:bottom w:val="single" w:sz="4" w:space="0" w:color="auto"/>
              <w:right w:val="nil"/>
            </w:tcBorders>
          </w:tcPr>
          <w:p w:rsidR="00000000" w:rsidRDefault="00000000">
            <w:pPr>
              <w:pStyle w:val="a6"/>
              <w:spacing w:before="20" w:after="20"/>
              <w:rPr>
                <w:sz w:val="18"/>
                <w:lang w:val="en-US"/>
              </w:rPr>
            </w:pPr>
            <w:r>
              <w:rPr>
                <w:sz w:val="18"/>
                <w:lang w:val="en-US"/>
              </w:rPr>
              <w:t>39</w:t>
            </w:r>
          </w:p>
        </w:tc>
        <w:tc>
          <w:tcPr>
            <w:tcW w:w="992" w:type="dxa"/>
            <w:tcBorders>
              <w:top w:val="single" w:sz="4" w:space="0" w:color="auto"/>
              <w:left w:val="nil"/>
              <w:bottom w:val="single" w:sz="4" w:space="0" w:color="auto"/>
              <w:right w:val="nil"/>
            </w:tcBorders>
          </w:tcPr>
          <w:p w:rsidR="00000000" w:rsidRDefault="00000000">
            <w:pPr>
              <w:pStyle w:val="a6"/>
              <w:spacing w:before="20" w:after="20"/>
              <w:rPr>
                <w:sz w:val="18"/>
                <w:lang w:val="en-US"/>
              </w:rPr>
            </w:pPr>
            <w:r>
              <w:rPr>
                <w:sz w:val="18"/>
                <w:lang w:val="en-US"/>
              </w:rPr>
              <w:t>585</w:t>
            </w:r>
          </w:p>
        </w:tc>
        <w:tc>
          <w:tcPr>
            <w:tcW w:w="992" w:type="dxa"/>
            <w:tcBorders>
              <w:top w:val="single" w:sz="4" w:space="0" w:color="auto"/>
              <w:left w:val="nil"/>
              <w:bottom w:val="single" w:sz="4" w:space="0" w:color="auto"/>
              <w:right w:val="nil"/>
            </w:tcBorders>
          </w:tcPr>
          <w:p w:rsidR="00000000" w:rsidRDefault="00000000">
            <w:pPr>
              <w:pStyle w:val="a6"/>
              <w:spacing w:before="20" w:after="20"/>
              <w:rPr>
                <w:sz w:val="18"/>
                <w:lang w:val="en-US"/>
              </w:rPr>
            </w:pPr>
            <w:r>
              <w:rPr>
                <w:sz w:val="18"/>
                <w:lang w:val="en-US"/>
              </w:rPr>
              <w:t>129</w:t>
            </w:r>
          </w:p>
        </w:tc>
        <w:tc>
          <w:tcPr>
            <w:tcW w:w="993" w:type="dxa"/>
            <w:tcBorders>
              <w:top w:val="single" w:sz="4" w:space="0" w:color="auto"/>
              <w:left w:val="nil"/>
              <w:bottom w:val="single" w:sz="4" w:space="0" w:color="auto"/>
              <w:right w:val="nil"/>
            </w:tcBorders>
          </w:tcPr>
          <w:p w:rsidR="00000000" w:rsidRDefault="00000000">
            <w:pPr>
              <w:pStyle w:val="a6"/>
              <w:spacing w:before="20" w:after="20"/>
              <w:rPr>
                <w:sz w:val="18"/>
                <w:lang w:val="en-US"/>
              </w:rPr>
            </w:pPr>
            <w:r>
              <w:rPr>
                <w:sz w:val="18"/>
                <w:lang w:val="en-US"/>
              </w:rPr>
              <w:t>827</w:t>
            </w:r>
          </w:p>
        </w:tc>
        <w:tc>
          <w:tcPr>
            <w:tcW w:w="901" w:type="dxa"/>
            <w:tcBorders>
              <w:top w:val="single" w:sz="4" w:space="0" w:color="auto"/>
              <w:left w:val="nil"/>
              <w:bottom w:val="single" w:sz="4" w:space="0" w:color="auto"/>
              <w:right w:val="nil"/>
            </w:tcBorders>
          </w:tcPr>
          <w:p w:rsidR="00000000" w:rsidRDefault="00000000">
            <w:pPr>
              <w:pStyle w:val="a6"/>
              <w:spacing w:before="20" w:after="20"/>
              <w:rPr>
                <w:sz w:val="18"/>
                <w:lang w:val="en-US"/>
              </w:rPr>
            </w:pPr>
            <w:r>
              <w:rPr>
                <w:sz w:val="18"/>
                <w:lang w:val="en-US"/>
              </w:rPr>
              <w:t>168</w:t>
            </w:r>
          </w:p>
        </w:tc>
      </w:tr>
      <w:tr w:rsidR="00000000">
        <w:tblPrEx>
          <w:tblCellMar>
            <w:top w:w="0" w:type="dxa"/>
            <w:bottom w:w="0" w:type="dxa"/>
          </w:tblCellMar>
        </w:tblPrEx>
        <w:trPr>
          <w:cantSplit/>
          <w:jc w:val="center"/>
        </w:trPr>
        <w:tc>
          <w:tcPr>
            <w:tcW w:w="1843" w:type="dxa"/>
            <w:tcBorders>
              <w:top w:val="single" w:sz="4" w:space="0" w:color="auto"/>
              <w:left w:val="nil"/>
              <w:bottom w:val="nil"/>
              <w:right w:val="nil"/>
            </w:tcBorders>
            <w:vAlign w:val="center"/>
          </w:tcPr>
          <w:p w:rsidR="00000000" w:rsidRDefault="00000000">
            <w:pPr>
              <w:pStyle w:val="a6"/>
              <w:spacing w:before="20" w:after="20"/>
              <w:rPr>
                <w:b/>
                <w:sz w:val="18"/>
                <w:lang w:val="en-US"/>
              </w:rPr>
            </w:pPr>
            <w:r>
              <w:rPr>
                <w:b/>
                <w:sz w:val="18"/>
                <w:lang w:val="en-US"/>
              </w:rPr>
              <w:t>SERRES</w:t>
            </w:r>
          </w:p>
        </w:tc>
        <w:tc>
          <w:tcPr>
            <w:tcW w:w="1745" w:type="dxa"/>
            <w:tcBorders>
              <w:top w:val="single" w:sz="4" w:space="0" w:color="auto"/>
              <w:left w:val="nil"/>
              <w:bottom w:val="nil"/>
              <w:right w:val="nil"/>
            </w:tcBorders>
            <w:vAlign w:val="center"/>
          </w:tcPr>
          <w:p w:rsidR="00000000" w:rsidRDefault="00000000">
            <w:pPr>
              <w:pStyle w:val="a6"/>
              <w:spacing w:before="20" w:after="20"/>
              <w:rPr>
                <w:sz w:val="18"/>
                <w:lang w:val="en-US"/>
              </w:rPr>
            </w:pPr>
            <w:r>
              <w:rPr>
                <w:sz w:val="18"/>
                <w:lang w:val="en-US"/>
              </w:rPr>
              <w:t>SERRES</w:t>
            </w:r>
          </w:p>
        </w:tc>
        <w:tc>
          <w:tcPr>
            <w:tcW w:w="939" w:type="dxa"/>
            <w:tcBorders>
              <w:top w:val="single" w:sz="4" w:space="0" w:color="auto"/>
              <w:left w:val="nil"/>
              <w:bottom w:val="nil"/>
              <w:right w:val="nil"/>
            </w:tcBorders>
          </w:tcPr>
          <w:p w:rsidR="00000000" w:rsidRDefault="00000000">
            <w:pPr>
              <w:pStyle w:val="a6"/>
              <w:spacing w:before="20" w:after="20"/>
              <w:rPr>
                <w:sz w:val="18"/>
                <w:lang w:val="en-US"/>
              </w:rPr>
            </w:pPr>
            <w:r>
              <w:rPr>
                <w:sz w:val="18"/>
                <w:lang w:val="en-US"/>
              </w:rPr>
              <w:t>45</w:t>
            </w:r>
          </w:p>
        </w:tc>
        <w:tc>
          <w:tcPr>
            <w:tcW w:w="992" w:type="dxa"/>
            <w:tcBorders>
              <w:top w:val="single" w:sz="4" w:space="0" w:color="auto"/>
              <w:left w:val="nil"/>
              <w:bottom w:val="nil"/>
              <w:right w:val="nil"/>
            </w:tcBorders>
          </w:tcPr>
          <w:p w:rsidR="00000000" w:rsidRDefault="00000000">
            <w:pPr>
              <w:pStyle w:val="a6"/>
              <w:spacing w:before="20" w:after="20"/>
              <w:rPr>
                <w:sz w:val="18"/>
                <w:lang w:val="en-US"/>
              </w:rPr>
            </w:pPr>
            <w:r>
              <w:rPr>
                <w:sz w:val="18"/>
                <w:lang w:val="en-US"/>
              </w:rPr>
              <w:t>24</w:t>
            </w:r>
          </w:p>
        </w:tc>
        <w:tc>
          <w:tcPr>
            <w:tcW w:w="992" w:type="dxa"/>
            <w:tcBorders>
              <w:top w:val="single" w:sz="4" w:space="0" w:color="auto"/>
              <w:left w:val="nil"/>
              <w:bottom w:val="nil"/>
              <w:right w:val="nil"/>
            </w:tcBorders>
          </w:tcPr>
          <w:p w:rsidR="00000000" w:rsidRDefault="00000000">
            <w:pPr>
              <w:pStyle w:val="a6"/>
              <w:spacing w:before="20" w:after="20"/>
              <w:rPr>
                <w:sz w:val="18"/>
                <w:lang w:val="en-US"/>
              </w:rPr>
            </w:pPr>
            <w:r>
              <w:rPr>
                <w:sz w:val="18"/>
                <w:lang w:val="en-US"/>
              </w:rPr>
              <w:t>259</w:t>
            </w:r>
          </w:p>
        </w:tc>
        <w:tc>
          <w:tcPr>
            <w:tcW w:w="992" w:type="dxa"/>
            <w:tcBorders>
              <w:top w:val="single" w:sz="4" w:space="0" w:color="auto"/>
              <w:left w:val="nil"/>
              <w:bottom w:val="nil"/>
              <w:right w:val="nil"/>
            </w:tcBorders>
          </w:tcPr>
          <w:p w:rsidR="00000000" w:rsidRDefault="00000000">
            <w:pPr>
              <w:pStyle w:val="a6"/>
              <w:spacing w:before="20" w:after="20"/>
              <w:rPr>
                <w:sz w:val="18"/>
                <w:lang w:val="en-US"/>
              </w:rPr>
            </w:pPr>
            <w:r>
              <w:rPr>
                <w:sz w:val="18"/>
                <w:lang w:val="en-US"/>
              </w:rPr>
              <w:t>45</w:t>
            </w:r>
          </w:p>
        </w:tc>
        <w:tc>
          <w:tcPr>
            <w:tcW w:w="993" w:type="dxa"/>
            <w:tcBorders>
              <w:top w:val="single" w:sz="4" w:space="0" w:color="auto"/>
              <w:left w:val="nil"/>
              <w:bottom w:val="nil"/>
              <w:right w:val="nil"/>
            </w:tcBorders>
          </w:tcPr>
          <w:p w:rsidR="00000000" w:rsidRDefault="00000000">
            <w:pPr>
              <w:pStyle w:val="a6"/>
              <w:spacing w:before="20" w:after="20"/>
              <w:rPr>
                <w:sz w:val="18"/>
                <w:lang w:val="en-US"/>
              </w:rPr>
            </w:pPr>
            <w:r>
              <w:rPr>
                <w:sz w:val="18"/>
                <w:lang w:val="en-US"/>
              </w:rPr>
              <w:t>304</w:t>
            </w:r>
          </w:p>
        </w:tc>
        <w:tc>
          <w:tcPr>
            <w:tcW w:w="901" w:type="dxa"/>
            <w:tcBorders>
              <w:top w:val="single" w:sz="4" w:space="0" w:color="auto"/>
              <w:left w:val="nil"/>
              <w:bottom w:val="nil"/>
              <w:right w:val="nil"/>
            </w:tcBorders>
          </w:tcPr>
          <w:p w:rsidR="00000000" w:rsidRDefault="00000000">
            <w:pPr>
              <w:pStyle w:val="a6"/>
              <w:spacing w:before="20" w:after="20"/>
              <w:rPr>
                <w:sz w:val="18"/>
                <w:lang w:val="en-US"/>
              </w:rPr>
            </w:pPr>
            <w:r>
              <w:rPr>
                <w:sz w:val="18"/>
                <w:lang w:val="en-US"/>
              </w:rPr>
              <w:t>69</w:t>
            </w:r>
          </w:p>
        </w:tc>
      </w:tr>
      <w:tr w:rsidR="00000000">
        <w:tblPrEx>
          <w:tblCellMar>
            <w:top w:w="0" w:type="dxa"/>
            <w:bottom w:w="0" w:type="dxa"/>
          </w:tblCellMar>
        </w:tblPrEx>
        <w:trPr>
          <w:cantSplit/>
          <w:jc w:val="center"/>
        </w:trPr>
        <w:tc>
          <w:tcPr>
            <w:tcW w:w="1843" w:type="dxa"/>
            <w:tcBorders>
              <w:top w:val="nil"/>
              <w:left w:val="nil"/>
              <w:bottom w:val="single" w:sz="4" w:space="0" w:color="auto"/>
              <w:right w:val="nil"/>
            </w:tcBorders>
            <w:vAlign w:val="center"/>
          </w:tcPr>
          <w:p w:rsidR="00000000" w:rsidRDefault="00000000">
            <w:pPr>
              <w:pStyle w:val="a6"/>
              <w:spacing w:before="20" w:after="20"/>
              <w:rPr>
                <w:b/>
                <w:sz w:val="18"/>
                <w:lang w:val="en-US"/>
              </w:rPr>
            </w:pPr>
            <w:r>
              <w:rPr>
                <w:b/>
                <w:sz w:val="18"/>
                <w:lang w:val="en-US"/>
              </w:rPr>
              <w:t>CHALKIDA</w:t>
            </w:r>
          </w:p>
        </w:tc>
        <w:tc>
          <w:tcPr>
            <w:tcW w:w="1745" w:type="dxa"/>
            <w:tcBorders>
              <w:top w:val="nil"/>
              <w:left w:val="nil"/>
              <w:bottom w:val="single" w:sz="4" w:space="0" w:color="auto"/>
              <w:right w:val="nil"/>
            </w:tcBorders>
            <w:vAlign w:val="center"/>
          </w:tcPr>
          <w:p w:rsidR="00000000" w:rsidRDefault="00000000">
            <w:pPr>
              <w:pStyle w:val="a6"/>
              <w:spacing w:before="20" w:after="20"/>
              <w:rPr>
                <w:sz w:val="18"/>
                <w:lang w:val="en-US"/>
              </w:rPr>
            </w:pPr>
            <w:r>
              <w:rPr>
                <w:sz w:val="18"/>
                <w:lang w:val="en-US"/>
              </w:rPr>
              <w:t>CHALKIDA</w:t>
            </w:r>
          </w:p>
        </w:tc>
        <w:tc>
          <w:tcPr>
            <w:tcW w:w="939" w:type="dxa"/>
            <w:tcBorders>
              <w:top w:val="nil"/>
              <w:left w:val="nil"/>
              <w:bottom w:val="single" w:sz="4" w:space="0" w:color="auto"/>
              <w:right w:val="nil"/>
            </w:tcBorders>
          </w:tcPr>
          <w:p w:rsidR="00000000" w:rsidRDefault="00000000">
            <w:pPr>
              <w:pStyle w:val="a6"/>
              <w:spacing w:before="20" w:after="20"/>
              <w:rPr>
                <w:sz w:val="18"/>
                <w:lang w:val="en-GB"/>
              </w:rPr>
            </w:pPr>
            <w:r>
              <w:rPr>
                <w:sz w:val="18"/>
                <w:lang w:val="en-GB"/>
              </w:rPr>
              <w:t>52</w:t>
            </w:r>
          </w:p>
        </w:tc>
        <w:tc>
          <w:tcPr>
            <w:tcW w:w="992" w:type="dxa"/>
            <w:tcBorders>
              <w:top w:val="nil"/>
              <w:left w:val="nil"/>
              <w:bottom w:val="single" w:sz="4" w:space="0" w:color="auto"/>
              <w:right w:val="nil"/>
            </w:tcBorders>
          </w:tcPr>
          <w:p w:rsidR="00000000" w:rsidRDefault="00000000">
            <w:pPr>
              <w:pStyle w:val="a6"/>
              <w:spacing w:before="20" w:after="20"/>
              <w:rPr>
                <w:sz w:val="18"/>
                <w:lang w:val="en-GB"/>
              </w:rPr>
            </w:pPr>
            <w:r>
              <w:rPr>
                <w:sz w:val="18"/>
                <w:lang w:val="en-GB"/>
              </w:rPr>
              <w:t>15</w:t>
            </w:r>
          </w:p>
        </w:tc>
        <w:tc>
          <w:tcPr>
            <w:tcW w:w="992" w:type="dxa"/>
            <w:tcBorders>
              <w:top w:val="nil"/>
              <w:left w:val="nil"/>
              <w:bottom w:val="single" w:sz="4" w:space="0" w:color="auto"/>
              <w:right w:val="nil"/>
            </w:tcBorders>
          </w:tcPr>
          <w:p w:rsidR="00000000" w:rsidRDefault="00000000">
            <w:pPr>
              <w:pStyle w:val="a6"/>
              <w:spacing w:before="20" w:after="20"/>
              <w:rPr>
                <w:sz w:val="18"/>
                <w:lang w:val="en-GB"/>
              </w:rPr>
            </w:pPr>
            <w:r>
              <w:rPr>
                <w:sz w:val="18"/>
                <w:lang w:val="en-GB"/>
              </w:rPr>
              <w:t>226</w:t>
            </w:r>
          </w:p>
        </w:tc>
        <w:tc>
          <w:tcPr>
            <w:tcW w:w="992" w:type="dxa"/>
            <w:tcBorders>
              <w:top w:val="nil"/>
              <w:left w:val="nil"/>
              <w:bottom w:val="single" w:sz="4" w:space="0" w:color="auto"/>
              <w:right w:val="nil"/>
            </w:tcBorders>
          </w:tcPr>
          <w:p w:rsidR="00000000" w:rsidRDefault="00000000">
            <w:pPr>
              <w:pStyle w:val="a6"/>
              <w:spacing w:before="20" w:after="20"/>
              <w:rPr>
                <w:sz w:val="18"/>
                <w:lang w:val="en-GB"/>
              </w:rPr>
            </w:pPr>
            <w:r>
              <w:rPr>
                <w:sz w:val="18"/>
                <w:lang w:val="en-GB"/>
              </w:rPr>
              <w:t>59</w:t>
            </w:r>
          </w:p>
        </w:tc>
        <w:tc>
          <w:tcPr>
            <w:tcW w:w="993" w:type="dxa"/>
            <w:tcBorders>
              <w:top w:val="nil"/>
              <w:left w:val="nil"/>
              <w:bottom w:val="single" w:sz="4" w:space="0" w:color="auto"/>
              <w:right w:val="nil"/>
            </w:tcBorders>
          </w:tcPr>
          <w:p w:rsidR="00000000" w:rsidRDefault="00000000">
            <w:pPr>
              <w:pStyle w:val="a6"/>
              <w:spacing w:before="20" w:after="20"/>
              <w:rPr>
                <w:sz w:val="18"/>
                <w:lang w:val="en-GB"/>
              </w:rPr>
            </w:pPr>
            <w:r>
              <w:rPr>
                <w:sz w:val="18"/>
                <w:lang w:val="en-GB"/>
              </w:rPr>
              <w:t>278</w:t>
            </w:r>
          </w:p>
        </w:tc>
        <w:tc>
          <w:tcPr>
            <w:tcW w:w="901" w:type="dxa"/>
            <w:tcBorders>
              <w:top w:val="nil"/>
              <w:left w:val="nil"/>
              <w:bottom w:val="single" w:sz="4" w:space="0" w:color="auto"/>
              <w:right w:val="nil"/>
            </w:tcBorders>
          </w:tcPr>
          <w:p w:rsidR="00000000" w:rsidRDefault="00000000">
            <w:pPr>
              <w:pStyle w:val="a6"/>
              <w:spacing w:before="20" w:after="20"/>
              <w:rPr>
                <w:sz w:val="18"/>
                <w:lang w:val="en-GB"/>
              </w:rPr>
            </w:pPr>
            <w:r>
              <w:rPr>
                <w:sz w:val="18"/>
                <w:lang w:val="en-GB"/>
              </w:rPr>
              <w:t>74</w:t>
            </w:r>
          </w:p>
        </w:tc>
      </w:tr>
      <w:tr w:rsidR="00000000">
        <w:tblPrEx>
          <w:tblCellMar>
            <w:top w:w="0" w:type="dxa"/>
            <w:bottom w:w="0" w:type="dxa"/>
          </w:tblCellMar>
        </w:tblPrEx>
        <w:trPr>
          <w:cantSplit/>
          <w:jc w:val="center"/>
        </w:trPr>
        <w:tc>
          <w:tcPr>
            <w:tcW w:w="3588" w:type="dxa"/>
            <w:gridSpan w:val="2"/>
            <w:tcBorders>
              <w:top w:val="single" w:sz="4" w:space="0" w:color="auto"/>
              <w:left w:val="nil"/>
              <w:bottom w:val="nil"/>
              <w:right w:val="nil"/>
            </w:tcBorders>
          </w:tcPr>
          <w:p w:rsidR="00000000" w:rsidRDefault="00000000">
            <w:pPr>
              <w:pStyle w:val="a6"/>
              <w:spacing w:before="20" w:after="20"/>
              <w:rPr>
                <w:b/>
                <w:sz w:val="18"/>
                <w:lang w:val="en-GB"/>
              </w:rPr>
            </w:pPr>
            <w:r>
              <w:rPr>
                <w:b/>
                <w:sz w:val="18"/>
                <w:lang w:val="en-US"/>
              </w:rPr>
              <w:t>TOTAL</w:t>
            </w:r>
          </w:p>
        </w:tc>
        <w:tc>
          <w:tcPr>
            <w:tcW w:w="939" w:type="dxa"/>
            <w:tcBorders>
              <w:top w:val="single" w:sz="4" w:space="0" w:color="auto"/>
              <w:left w:val="nil"/>
              <w:bottom w:val="nil"/>
              <w:right w:val="nil"/>
            </w:tcBorders>
          </w:tcPr>
          <w:p w:rsidR="00000000" w:rsidRDefault="00000000">
            <w:pPr>
              <w:pStyle w:val="a6"/>
              <w:spacing w:before="20" w:after="20"/>
              <w:rPr>
                <w:b/>
                <w:sz w:val="18"/>
                <w:lang w:val="en-GB"/>
              </w:rPr>
            </w:pPr>
            <w:r>
              <w:rPr>
                <w:b/>
                <w:sz w:val="18"/>
                <w:lang w:val="en-GB"/>
              </w:rPr>
              <w:t>2448</w:t>
            </w:r>
          </w:p>
        </w:tc>
        <w:tc>
          <w:tcPr>
            <w:tcW w:w="992" w:type="dxa"/>
            <w:tcBorders>
              <w:top w:val="single" w:sz="4" w:space="0" w:color="auto"/>
              <w:left w:val="nil"/>
              <w:bottom w:val="nil"/>
              <w:right w:val="nil"/>
            </w:tcBorders>
          </w:tcPr>
          <w:p w:rsidR="00000000" w:rsidRDefault="00000000">
            <w:pPr>
              <w:pStyle w:val="a6"/>
              <w:spacing w:before="20" w:after="20"/>
              <w:rPr>
                <w:b/>
                <w:sz w:val="18"/>
                <w:lang w:val="en-GB"/>
              </w:rPr>
            </w:pPr>
            <w:r>
              <w:rPr>
                <w:b/>
                <w:sz w:val="18"/>
                <w:lang w:val="en-GB"/>
              </w:rPr>
              <w:t>790</w:t>
            </w:r>
          </w:p>
        </w:tc>
        <w:tc>
          <w:tcPr>
            <w:tcW w:w="992" w:type="dxa"/>
            <w:tcBorders>
              <w:top w:val="single" w:sz="4" w:space="0" w:color="auto"/>
              <w:left w:val="nil"/>
              <w:bottom w:val="nil"/>
              <w:right w:val="nil"/>
            </w:tcBorders>
          </w:tcPr>
          <w:p w:rsidR="00000000" w:rsidRDefault="00000000">
            <w:pPr>
              <w:pStyle w:val="a6"/>
              <w:spacing w:before="20" w:after="20"/>
              <w:rPr>
                <w:b/>
                <w:sz w:val="18"/>
                <w:lang w:val="en-GB"/>
              </w:rPr>
            </w:pPr>
            <w:r>
              <w:rPr>
                <w:b/>
                <w:sz w:val="18"/>
                <w:lang w:val="en-GB"/>
              </w:rPr>
              <w:t>7808</w:t>
            </w:r>
          </w:p>
        </w:tc>
        <w:tc>
          <w:tcPr>
            <w:tcW w:w="992" w:type="dxa"/>
            <w:tcBorders>
              <w:top w:val="single" w:sz="4" w:space="0" w:color="auto"/>
              <w:left w:val="nil"/>
              <w:bottom w:val="nil"/>
              <w:right w:val="nil"/>
            </w:tcBorders>
          </w:tcPr>
          <w:p w:rsidR="00000000" w:rsidRDefault="00000000">
            <w:pPr>
              <w:pStyle w:val="a6"/>
              <w:spacing w:before="20" w:after="20"/>
              <w:rPr>
                <w:b/>
                <w:sz w:val="18"/>
                <w:lang w:val="en-GB"/>
              </w:rPr>
            </w:pPr>
            <w:r>
              <w:rPr>
                <w:b/>
                <w:sz w:val="18"/>
                <w:lang w:val="en-GB"/>
              </w:rPr>
              <w:t>3250</w:t>
            </w:r>
          </w:p>
        </w:tc>
        <w:tc>
          <w:tcPr>
            <w:tcW w:w="993" w:type="dxa"/>
            <w:tcBorders>
              <w:top w:val="single" w:sz="4" w:space="0" w:color="auto"/>
              <w:left w:val="nil"/>
              <w:bottom w:val="nil"/>
              <w:right w:val="nil"/>
            </w:tcBorders>
          </w:tcPr>
          <w:p w:rsidR="00000000" w:rsidRDefault="00000000">
            <w:pPr>
              <w:pStyle w:val="a6"/>
              <w:spacing w:before="20" w:after="20"/>
              <w:rPr>
                <w:b/>
                <w:sz w:val="18"/>
                <w:lang w:val="en-GB"/>
              </w:rPr>
            </w:pPr>
            <w:r>
              <w:rPr>
                <w:b/>
                <w:sz w:val="18"/>
                <w:lang w:val="en-GB"/>
              </w:rPr>
              <w:t>10256</w:t>
            </w:r>
          </w:p>
        </w:tc>
        <w:tc>
          <w:tcPr>
            <w:tcW w:w="901" w:type="dxa"/>
            <w:tcBorders>
              <w:top w:val="single" w:sz="4" w:space="0" w:color="auto"/>
              <w:left w:val="nil"/>
              <w:bottom w:val="nil"/>
              <w:right w:val="nil"/>
            </w:tcBorders>
          </w:tcPr>
          <w:p w:rsidR="00000000" w:rsidRDefault="00000000">
            <w:pPr>
              <w:pStyle w:val="a6"/>
              <w:spacing w:before="20" w:after="20"/>
              <w:rPr>
                <w:b/>
                <w:sz w:val="18"/>
                <w:lang w:val="en-GB"/>
              </w:rPr>
            </w:pPr>
            <w:r>
              <w:rPr>
                <w:b/>
                <w:sz w:val="18"/>
                <w:lang w:val="en-GB"/>
              </w:rPr>
              <w:t>4040</w:t>
            </w:r>
          </w:p>
        </w:tc>
      </w:tr>
      <w:tr w:rsidR="00000000">
        <w:tblPrEx>
          <w:tblCellMar>
            <w:top w:w="0" w:type="dxa"/>
            <w:bottom w:w="0" w:type="dxa"/>
          </w:tblCellMar>
        </w:tblPrEx>
        <w:trPr>
          <w:cantSplit/>
          <w:jc w:val="center"/>
        </w:trPr>
        <w:tc>
          <w:tcPr>
            <w:tcW w:w="3588" w:type="dxa"/>
            <w:gridSpan w:val="2"/>
            <w:tcBorders>
              <w:top w:val="nil"/>
              <w:left w:val="nil"/>
              <w:bottom w:val="single" w:sz="4" w:space="0" w:color="auto"/>
              <w:right w:val="nil"/>
            </w:tcBorders>
          </w:tcPr>
          <w:p w:rsidR="00000000" w:rsidRDefault="00000000">
            <w:pPr>
              <w:pStyle w:val="a6"/>
              <w:spacing w:before="20" w:after="20"/>
              <w:rPr>
                <w:sz w:val="18"/>
                <w:lang w:val="en-GB"/>
              </w:rPr>
            </w:pPr>
            <w:r>
              <w:rPr>
                <w:color w:val="000000"/>
                <w:sz w:val="18"/>
              </w:rPr>
              <w:t>Α</w:t>
            </w:r>
            <w:r>
              <w:rPr>
                <w:color w:val="000000"/>
                <w:sz w:val="18"/>
                <w:lang w:val="en-GB"/>
              </w:rPr>
              <w:t>S</w:t>
            </w:r>
            <w:r>
              <w:rPr>
                <w:color w:val="000000"/>
                <w:sz w:val="18"/>
              </w:rPr>
              <w:t>ΕΤΕΜ</w:t>
            </w:r>
            <w:r>
              <w:rPr>
                <w:color w:val="000000"/>
                <w:sz w:val="18"/>
                <w:lang w:val="en-GB"/>
              </w:rPr>
              <w:t>-</w:t>
            </w:r>
            <w:r>
              <w:rPr>
                <w:color w:val="000000"/>
                <w:sz w:val="18"/>
                <w:lang w:val="en-US"/>
              </w:rPr>
              <w:t>SELETE</w:t>
            </w:r>
            <w:r>
              <w:rPr>
                <w:sz w:val="18"/>
                <w:lang w:val="en-US"/>
              </w:rPr>
              <w:t xml:space="preserve"> (School  of Educators of Vocational  &amp; Technical  Education)</w:t>
            </w:r>
          </w:p>
        </w:tc>
        <w:tc>
          <w:tcPr>
            <w:tcW w:w="939" w:type="dxa"/>
            <w:tcBorders>
              <w:top w:val="nil"/>
              <w:left w:val="nil"/>
              <w:bottom w:val="single" w:sz="4" w:space="0" w:color="auto"/>
              <w:right w:val="nil"/>
            </w:tcBorders>
          </w:tcPr>
          <w:p w:rsidR="00000000" w:rsidRDefault="00000000">
            <w:pPr>
              <w:pStyle w:val="a6"/>
              <w:spacing w:before="20" w:after="20"/>
              <w:rPr>
                <w:sz w:val="18"/>
                <w:lang w:val="en-US"/>
              </w:rPr>
            </w:pPr>
            <w:r>
              <w:rPr>
                <w:sz w:val="18"/>
                <w:lang w:val="en-US"/>
              </w:rPr>
              <w:t>39</w:t>
            </w:r>
          </w:p>
        </w:tc>
        <w:tc>
          <w:tcPr>
            <w:tcW w:w="992" w:type="dxa"/>
            <w:tcBorders>
              <w:top w:val="nil"/>
              <w:left w:val="nil"/>
              <w:bottom w:val="single" w:sz="4" w:space="0" w:color="auto"/>
              <w:right w:val="nil"/>
            </w:tcBorders>
          </w:tcPr>
          <w:p w:rsidR="00000000" w:rsidRDefault="00000000">
            <w:pPr>
              <w:pStyle w:val="a6"/>
              <w:spacing w:before="20" w:after="20"/>
              <w:rPr>
                <w:sz w:val="18"/>
                <w:lang w:val="en-US"/>
              </w:rPr>
            </w:pPr>
            <w:r>
              <w:rPr>
                <w:sz w:val="18"/>
                <w:lang w:val="en-US"/>
              </w:rPr>
              <w:t>9</w:t>
            </w:r>
          </w:p>
        </w:tc>
        <w:tc>
          <w:tcPr>
            <w:tcW w:w="992" w:type="dxa"/>
            <w:tcBorders>
              <w:top w:val="nil"/>
              <w:left w:val="nil"/>
              <w:bottom w:val="single" w:sz="4" w:space="0" w:color="auto"/>
              <w:right w:val="nil"/>
            </w:tcBorders>
          </w:tcPr>
          <w:p w:rsidR="00000000" w:rsidRDefault="00000000">
            <w:pPr>
              <w:pStyle w:val="a6"/>
              <w:spacing w:before="20" w:after="20"/>
              <w:rPr>
                <w:sz w:val="18"/>
                <w:lang w:val="en-US"/>
              </w:rPr>
            </w:pPr>
            <w:r>
              <w:rPr>
                <w:sz w:val="18"/>
                <w:lang w:val="en-US"/>
              </w:rPr>
              <w:t>111</w:t>
            </w:r>
          </w:p>
        </w:tc>
        <w:tc>
          <w:tcPr>
            <w:tcW w:w="992" w:type="dxa"/>
            <w:tcBorders>
              <w:top w:val="nil"/>
              <w:left w:val="nil"/>
              <w:bottom w:val="single" w:sz="4" w:space="0" w:color="auto"/>
              <w:right w:val="nil"/>
            </w:tcBorders>
          </w:tcPr>
          <w:p w:rsidR="00000000" w:rsidRDefault="00000000">
            <w:pPr>
              <w:pStyle w:val="a6"/>
              <w:spacing w:before="20" w:after="20"/>
              <w:rPr>
                <w:sz w:val="18"/>
                <w:lang w:val="en-US"/>
              </w:rPr>
            </w:pPr>
            <w:r>
              <w:rPr>
                <w:sz w:val="18"/>
                <w:lang w:val="en-US"/>
              </w:rPr>
              <w:t>27</w:t>
            </w:r>
          </w:p>
        </w:tc>
        <w:tc>
          <w:tcPr>
            <w:tcW w:w="993" w:type="dxa"/>
            <w:tcBorders>
              <w:top w:val="nil"/>
              <w:left w:val="nil"/>
              <w:bottom w:val="single" w:sz="4" w:space="0" w:color="auto"/>
              <w:right w:val="nil"/>
            </w:tcBorders>
          </w:tcPr>
          <w:p w:rsidR="00000000" w:rsidRDefault="00000000">
            <w:pPr>
              <w:pStyle w:val="a6"/>
              <w:spacing w:before="20" w:after="20"/>
              <w:rPr>
                <w:sz w:val="18"/>
                <w:lang w:val="en-US"/>
              </w:rPr>
            </w:pPr>
            <w:r>
              <w:rPr>
                <w:sz w:val="18"/>
                <w:lang w:val="en-US"/>
              </w:rPr>
              <w:t>150</w:t>
            </w:r>
          </w:p>
        </w:tc>
        <w:tc>
          <w:tcPr>
            <w:tcW w:w="901" w:type="dxa"/>
            <w:tcBorders>
              <w:top w:val="nil"/>
              <w:left w:val="nil"/>
              <w:bottom w:val="single" w:sz="4" w:space="0" w:color="auto"/>
              <w:right w:val="nil"/>
            </w:tcBorders>
          </w:tcPr>
          <w:p w:rsidR="00000000" w:rsidRDefault="00000000">
            <w:pPr>
              <w:pStyle w:val="a6"/>
              <w:spacing w:before="20" w:after="20"/>
              <w:rPr>
                <w:sz w:val="18"/>
                <w:lang w:val="en-US"/>
              </w:rPr>
            </w:pPr>
            <w:r>
              <w:rPr>
                <w:sz w:val="18"/>
                <w:lang w:val="en-US"/>
              </w:rPr>
              <w:t>36</w:t>
            </w:r>
          </w:p>
        </w:tc>
      </w:tr>
      <w:tr w:rsidR="00000000">
        <w:tblPrEx>
          <w:tblCellMar>
            <w:top w:w="0" w:type="dxa"/>
            <w:bottom w:w="0" w:type="dxa"/>
          </w:tblCellMar>
        </w:tblPrEx>
        <w:trPr>
          <w:cantSplit/>
          <w:jc w:val="center"/>
        </w:trPr>
        <w:tc>
          <w:tcPr>
            <w:tcW w:w="3588" w:type="dxa"/>
            <w:gridSpan w:val="2"/>
            <w:tcBorders>
              <w:top w:val="single" w:sz="4" w:space="0" w:color="auto"/>
              <w:left w:val="nil"/>
              <w:right w:val="nil"/>
            </w:tcBorders>
          </w:tcPr>
          <w:p w:rsidR="00000000" w:rsidRDefault="00000000">
            <w:pPr>
              <w:pStyle w:val="a6"/>
              <w:spacing w:before="20" w:after="20"/>
              <w:rPr>
                <w:b/>
                <w:w w:val="150"/>
                <w:sz w:val="18"/>
                <w:lang w:val="en-US"/>
              </w:rPr>
            </w:pPr>
            <w:r>
              <w:rPr>
                <w:b/>
                <w:w w:val="150"/>
                <w:sz w:val="18"/>
                <w:lang w:val="en-US"/>
              </w:rPr>
              <w:t>GENERAL TOTAL</w:t>
            </w:r>
          </w:p>
        </w:tc>
        <w:tc>
          <w:tcPr>
            <w:tcW w:w="939" w:type="dxa"/>
            <w:tcBorders>
              <w:top w:val="single" w:sz="4" w:space="0" w:color="auto"/>
              <w:left w:val="nil"/>
              <w:right w:val="nil"/>
            </w:tcBorders>
          </w:tcPr>
          <w:p w:rsidR="00000000" w:rsidRDefault="00000000">
            <w:pPr>
              <w:pStyle w:val="a6"/>
              <w:spacing w:before="20" w:after="20"/>
              <w:rPr>
                <w:b/>
                <w:w w:val="150"/>
                <w:sz w:val="18"/>
                <w:lang w:val="en-US"/>
              </w:rPr>
            </w:pPr>
            <w:r>
              <w:rPr>
                <w:b/>
                <w:w w:val="150"/>
                <w:sz w:val="18"/>
                <w:lang w:val="en-US"/>
              </w:rPr>
              <w:t>2487</w:t>
            </w:r>
          </w:p>
        </w:tc>
        <w:tc>
          <w:tcPr>
            <w:tcW w:w="992" w:type="dxa"/>
            <w:tcBorders>
              <w:top w:val="single" w:sz="4" w:space="0" w:color="auto"/>
              <w:left w:val="nil"/>
              <w:right w:val="nil"/>
            </w:tcBorders>
          </w:tcPr>
          <w:p w:rsidR="00000000" w:rsidRDefault="00000000">
            <w:pPr>
              <w:pStyle w:val="a6"/>
              <w:spacing w:before="20" w:after="20"/>
              <w:rPr>
                <w:b/>
                <w:w w:val="150"/>
                <w:sz w:val="18"/>
                <w:lang w:val="en-US"/>
              </w:rPr>
            </w:pPr>
            <w:r>
              <w:rPr>
                <w:b/>
                <w:w w:val="150"/>
                <w:sz w:val="18"/>
                <w:lang w:val="en-US"/>
              </w:rPr>
              <w:t>799</w:t>
            </w:r>
          </w:p>
        </w:tc>
        <w:tc>
          <w:tcPr>
            <w:tcW w:w="992" w:type="dxa"/>
            <w:tcBorders>
              <w:top w:val="single" w:sz="4" w:space="0" w:color="auto"/>
              <w:left w:val="nil"/>
              <w:right w:val="nil"/>
            </w:tcBorders>
          </w:tcPr>
          <w:p w:rsidR="00000000" w:rsidRDefault="00000000">
            <w:pPr>
              <w:pStyle w:val="a6"/>
              <w:spacing w:before="20" w:after="20"/>
              <w:rPr>
                <w:b/>
                <w:w w:val="150"/>
                <w:sz w:val="18"/>
                <w:lang w:val="en-US"/>
              </w:rPr>
            </w:pPr>
            <w:r>
              <w:rPr>
                <w:b/>
                <w:w w:val="150"/>
                <w:sz w:val="18"/>
                <w:lang w:val="en-US"/>
              </w:rPr>
              <w:t>7919</w:t>
            </w:r>
          </w:p>
        </w:tc>
        <w:tc>
          <w:tcPr>
            <w:tcW w:w="992" w:type="dxa"/>
            <w:tcBorders>
              <w:top w:val="single" w:sz="4" w:space="0" w:color="auto"/>
              <w:left w:val="nil"/>
              <w:right w:val="nil"/>
            </w:tcBorders>
          </w:tcPr>
          <w:p w:rsidR="00000000" w:rsidRDefault="00000000">
            <w:pPr>
              <w:pStyle w:val="a6"/>
              <w:spacing w:before="20" w:after="20"/>
              <w:rPr>
                <w:b/>
                <w:w w:val="150"/>
                <w:sz w:val="18"/>
                <w:lang w:val="en-US"/>
              </w:rPr>
            </w:pPr>
            <w:r>
              <w:rPr>
                <w:b/>
                <w:w w:val="150"/>
                <w:sz w:val="18"/>
                <w:lang w:val="en-US"/>
              </w:rPr>
              <w:t>3277</w:t>
            </w:r>
          </w:p>
        </w:tc>
        <w:tc>
          <w:tcPr>
            <w:tcW w:w="993" w:type="dxa"/>
            <w:tcBorders>
              <w:top w:val="single" w:sz="4" w:space="0" w:color="auto"/>
              <w:left w:val="nil"/>
              <w:right w:val="nil"/>
            </w:tcBorders>
          </w:tcPr>
          <w:p w:rsidR="00000000" w:rsidRDefault="00000000">
            <w:pPr>
              <w:pStyle w:val="a6"/>
              <w:spacing w:before="20" w:after="20"/>
              <w:rPr>
                <w:b/>
                <w:w w:val="150"/>
                <w:sz w:val="18"/>
                <w:lang w:val="en-US"/>
              </w:rPr>
            </w:pPr>
            <w:r>
              <w:rPr>
                <w:b/>
                <w:w w:val="150"/>
                <w:sz w:val="18"/>
                <w:lang w:val="en-US"/>
              </w:rPr>
              <w:t>10406</w:t>
            </w:r>
          </w:p>
        </w:tc>
        <w:tc>
          <w:tcPr>
            <w:tcW w:w="901" w:type="dxa"/>
            <w:tcBorders>
              <w:top w:val="single" w:sz="4" w:space="0" w:color="auto"/>
              <w:left w:val="nil"/>
              <w:right w:val="nil"/>
            </w:tcBorders>
          </w:tcPr>
          <w:p w:rsidR="00000000" w:rsidRDefault="00000000">
            <w:pPr>
              <w:pStyle w:val="a6"/>
              <w:spacing w:before="20" w:after="20"/>
              <w:rPr>
                <w:b/>
                <w:w w:val="150"/>
                <w:sz w:val="18"/>
                <w:lang w:val="en-US"/>
              </w:rPr>
            </w:pPr>
            <w:r>
              <w:rPr>
                <w:b/>
                <w:w w:val="150"/>
                <w:sz w:val="18"/>
                <w:lang w:val="en-US"/>
              </w:rPr>
              <w:t>4076</w:t>
            </w:r>
          </w:p>
        </w:tc>
      </w:tr>
    </w:tbl>
    <w:p w:rsidR="00000000" w:rsidRDefault="00000000">
      <w:pPr>
        <w:tabs>
          <w:tab w:val="left" w:pos="567"/>
          <w:tab w:val="left" w:pos="1021"/>
          <w:tab w:val="left" w:pos="1474"/>
          <w:tab w:val="left" w:pos="1928"/>
        </w:tabs>
        <w:jc w:val="center"/>
        <w:rPr>
          <w:b/>
          <w:color w:val="000000"/>
          <w:lang w:val="en-GB"/>
        </w:rPr>
      </w:pPr>
      <w:r>
        <w:rPr>
          <w:b/>
          <w:color w:val="000000"/>
          <w:lang w:val="en-US"/>
        </w:rPr>
        <w:br/>
        <w:t xml:space="preserve">TABLE </w:t>
      </w:r>
      <w:r>
        <w:rPr>
          <w:b/>
          <w:color w:val="000000"/>
          <w:lang w:val="en-GB"/>
        </w:rPr>
        <w:t xml:space="preserve"> 13</w:t>
      </w:r>
    </w:p>
    <w:p w:rsidR="00000000" w:rsidRDefault="00000000">
      <w:pPr>
        <w:pStyle w:val="-0"/>
        <w:rPr>
          <w:b/>
          <w:color w:val="000000"/>
          <w:lang w:val="en-GB"/>
        </w:rPr>
      </w:pPr>
      <w:r>
        <w:rPr>
          <w:color w:val="000000"/>
          <w:lang w:val="en-GB"/>
        </w:rPr>
        <w:t>(</w:t>
      </w:r>
      <w:r>
        <w:rPr>
          <w:color w:val="000000"/>
          <w:lang w:val="en-US"/>
        </w:rPr>
        <w:t>Source</w:t>
      </w:r>
      <w:r>
        <w:rPr>
          <w:color w:val="000000"/>
          <w:lang w:val="en-GB"/>
        </w:rPr>
        <w:t xml:space="preserve"> </w:t>
      </w:r>
      <w:r>
        <w:rPr>
          <w:lang w:val="en-US"/>
        </w:rPr>
        <w:t>Ministry of National Education and Religious Affairs</w:t>
      </w:r>
      <w:r>
        <w:rPr>
          <w:color w:val="000000"/>
          <w:lang w:val="en-GB"/>
        </w:rPr>
        <w:t xml:space="preserve">, </w:t>
      </w:r>
      <w:r>
        <w:rPr>
          <w:lang w:val="en-GB"/>
        </w:rPr>
        <w:t>Directorate for Planning and Operational Research</w:t>
      </w:r>
      <w:r>
        <w:rPr>
          <w:color w:val="000000"/>
          <w:lang w:val="en-GB"/>
        </w:rPr>
        <w:t>, Dept. of Op. Research  &amp; Statistics)</w:t>
      </w:r>
    </w:p>
    <w:p w:rsidR="00000000" w:rsidRDefault="00000000">
      <w:pPr>
        <w:tabs>
          <w:tab w:val="left" w:pos="567"/>
          <w:tab w:val="left" w:pos="1021"/>
          <w:tab w:val="left" w:pos="1474"/>
          <w:tab w:val="left" w:pos="1928"/>
        </w:tabs>
        <w:jc w:val="center"/>
        <w:rPr>
          <w:b/>
          <w:lang w:val="en-US"/>
        </w:rPr>
      </w:pPr>
      <w:r>
        <w:rPr>
          <w:b/>
          <w:lang w:val="en-US"/>
        </w:rPr>
        <w:br w:type="page"/>
        <w:t xml:space="preserve">GENERAL TOTAL  TEACHING PERSONNEL PER UNIVERSITY ( TEACHING  SCIENTIFIC PERSONNEL + PERMANENT + ON SERVICE + ON CONTRACT + DETACHED) </w:t>
      </w:r>
    </w:p>
    <w:p w:rsidR="00000000" w:rsidRDefault="00000000">
      <w:pPr>
        <w:tabs>
          <w:tab w:val="left" w:pos="567"/>
          <w:tab w:val="left" w:pos="1021"/>
          <w:tab w:val="left" w:pos="1474"/>
          <w:tab w:val="left" w:pos="1928"/>
        </w:tabs>
        <w:jc w:val="center"/>
        <w:rPr>
          <w:b/>
          <w:lang w:val="en-US"/>
        </w:rPr>
      </w:pPr>
      <w:r>
        <w:rPr>
          <w:b/>
          <w:lang w:val="en-US"/>
        </w:rPr>
        <w:t>2000 – 2001</w:t>
      </w:r>
    </w:p>
    <w:tbl>
      <w:tblPr>
        <w:tblW w:w="0" w:type="auto"/>
        <w:jc w:val="center"/>
        <w:tblBorders>
          <w:top w:val="single" w:sz="6" w:space="0" w:color="000000"/>
          <w:bottom w:val="single" w:sz="6" w:space="0" w:color="000000"/>
        </w:tblBorders>
        <w:tblLayout w:type="fixed"/>
        <w:tblLook w:val="00AF" w:firstRow="1" w:lastRow="0" w:firstColumn="1" w:lastColumn="0" w:noHBand="0" w:noVBand="0"/>
      </w:tblPr>
      <w:tblGrid>
        <w:gridCol w:w="6537"/>
        <w:gridCol w:w="1462"/>
        <w:gridCol w:w="1417"/>
      </w:tblGrid>
      <w:tr w:rsidR="00000000">
        <w:tblPrEx>
          <w:tblCellMar>
            <w:top w:w="0" w:type="dxa"/>
            <w:bottom w:w="0" w:type="dxa"/>
          </w:tblCellMar>
        </w:tblPrEx>
        <w:trPr>
          <w:cantSplit/>
          <w:jc w:val="center"/>
        </w:trPr>
        <w:tc>
          <w:tcPr>
            <w:tcW w:w="6537" w:type="dxa"/>
            <w:vMerge w:val="restart"/>
          </w:tcPr>
          <w:p w:rsidR="00000000" w:rsidRDefault="00000000">
            <w:pPr>
              <w:pStyle w:val="a6"/>
              <w:rPr>
                <w:b/>
                <w:lang w:val="en-US"/>
              </w:rPr>
            </w:pPr>
            <w:r>
              <w:rPr>
                <w:b/>
                <w:lang w:val="en-US"/>
              </w:rPr>
              <w:t>UNIVERSITIES</w:t>
            </w:r>
          </w:p>
        </w:tc>
        <w:tc>
          <w:tcPr>
            <w:tcW w:w="2879" w:type="dxa"/>
            <w:gridSpan w:val="2"/>
            <w:tcBorders>
              <w:bottom w:val="single" w:sz="4" w:space="0" w:color="auto"/>
            </w:tcBorders>
            <w:vAlign w:val="center"/>
          </w:tcPr>
          <w:p w:rsidR="00000000" w:rsidRDefault="00000000">
            <w:pPr>
              <w:pStyle w:val="a6"/>
              <w:rPr>
                <w:b/>
                <w:lang w:val="en-US"/>
              </w:rPr>
            </w:pPr>
            <w:r>
              <w:rPr>
                <w:b/>
                <w:lang w:val="en-US"/>
              </w:rPr>
              <w:t>GENERAL TOTAL</w:t>
            </w:r>
          </w:p>
        </w:tc>
      </w:tr>
      <w:tr w:rsidR="00000000">
        <w:tblPrEx>
          <w:tblCellMar>
            <w:top w:w="0" w:type="dxa"/>
            <w:bottom w:w="0" w:type="dxa"/>
          </w:tblCellMar>
        </w:tblPrEx>
        <w:trPr>
          <w:cantSplit/>
          <w:jc w:val="center"/>
        </w:trPr>
        <w:tc>
          <w:tcPr>
            <w:tcW w:w="6537" w:type="dxa"/>
            <w:vMerge/>
            <w:tcBorders>
              <w:bottom w:val="single" w:sz="4" w:space="0" w:color="auto"/>
            </w:tcBorders>
          </w:tcPr>
          <w:p w:rsidR="00000000" w:rsidRDefault="00000000">
            <w:pPr>
              <w:pStyle w:val="a6"/>
              <w:rPr>
                <w:b/>
                <w:lang w:val="en-US"/>
              </w:rPr>
            </w:pPr>
          </w:p>
        </w:tc>
        <w:tc>
          <w:tcPr>
            <w:tcW w:w="1462" w:type="dxa"/>
            <w:tcBorders>
              <w:top w:val="single" w:sz="4" w:space="0" w:color="auto"/>
              <w:bottom w:val="single" w:sz="4" w:space="0" w:color="auto"/>
            </w:tcBorders>
            <w:vAlign w:val="center"/>
          </w:tcPr>
          <w:p w:rsidR="00000000" w:rsidRDefault="00000000">
            <w:pPr>
              <w:pStyle w:val="a6"/>
              <w:rPr>
                <w:b/>
                <w:lang w:val="en-US"/>
              </w:rPr>
            </w:pPr>
            <w:r>
              <w:rPr>
                <w:b/>
                <w:lang w:val="en-US"/>
              </w:rPr>
              <w:t>TOTAL</w:t>
            </w:r>
          </w:p>
        </w:tc>
        <w:tc>
          <w:tcPr>
            <w:tcW w:w="1417" w:type="dxa"/>
            <w:tcBorders>
              <w:top w:val="single" w:sz="4" w:space="0" w:color="auto"/>
              <w:bottom w:val="single" w:sz="4" w:space="0" w:color="auto"/>
            </w:tcBorders>
            <w:vAlign w:val="center"/>
          </w:tcPr>
          <w:p w:rsidR="00000000" w:rsidRDefault="00000000">
            <w:pPr>
              <w:pStyle w:val="a6"/>
              <w:rPr>
                <w:b/>
                <w:lang w:val="en-US"/>
              </w:rPr>
            </w:pPr>
            <w:r>
              <w:rPr>
                <w:b/>
                <w:lang w:val="en-US"/>
              </w:rPr>
              <w:t>WOMEN</w:t>
            </w:r>
          </w:p>
        </w:tc>
      </w:tr>
      <w:tr w:rsidR="00000000">
        <w:tblPrEx>
          <w:tblCellMar>
            <w:top w:w="0" w:type="dxa"/>
            <w:bottom w:w="0" w:type="dxa"/>
          </w:tblCellMar>
        </w:tblPrEx>
        <w:trPr>
          <w:cantSplit/>
          <w:jc w:val="center"/>
        </w:trPr>
        <w:tc>
          <w:tcPr>
            <w:tcW w:w="6537" w:type="dxa"/>
            <w:tcBorders>
              <w:top w:val="single" w:sz="4" w:space="0" w:color="auto"/>
              <w:bottom w:val="nil"/>
            </w:tcBorders>
          </w:tcPr>
          <w:p w:rsidR="00000000" w:rsidRDefault="00000000">
            <w:pPr>
              <w:pStyle w:val="a6"/>
              <w:jc w:val="left"/>
              <w:rPr>
                <w:lang w:val="en-US"/>
              </w:rPr>
            </w:pPr>
            <w:r>
              <w:rPr>
                <w:lang w:val="en-US"/>
              </w:rPr>
              <w:t>NATIONAL AND KAPODISTRIAN UNIVERSITY OF ATHENS</w:t>
            </w:r>
          </w:p>
        </w:tc>
        <w:tc>
          <w:tcPr>
            <w:tcW w:w="1462" w:type="dxa"/>
            <w:tcBorders>
              <w:top w:val="single" w:sz="4" w:space="0" w:color="auto"/>
              <w:bottom w:val="nil"/>
            </w:tcBorders>
            <w:vAlign w:val="center"/>
          </w:tcPr>
          <w:p w:rsidR="00000000" w:rsidRDefault="00000000">
            <w:pPr>
              <w:pStyle w:val="a6"/>
              <w:rPr>
                <w:lang w:val="en-US"/>
              </w:rPr>
            </w:pPr>
            <w:r>
              <w:rPr>
                <w:lang w:val="en-US"/>
              </w:rPr>
              <w:t>2389</w:t>
            </w:r>
          </w:p>
        </w:tc>
        <w:tc>
          <w:tcPr>
            <w:tcW w:w="1417" w:type="dxa"/>
            <w:tcBorders>
              <w:top w:val="single" w:sz="4" w:space="0" w:color="auto"/>
              <w:bottom w:val="nil"/>
            </w:tcBorders>
            <w:vAlign w:val="center"/>
          </w:tcPr>
          <w:p w:rsidR="00000000" w:rsidRDefault="00000000">
            <w:pPr>
              <w:pStyle w:val="a6"/>
              <w:rPr>
                <w:lang w:val="en-US"/>
              </w:rPr>
            </w:pPr>
            <w:r>
              <w:rPr>
                <w:lang w:val="en-US"/>
              </w:rPr>
              <w:t>848</w:t>
            </w:r>
          </w:p>
        </w:tc>
      </w:tr>
      <w:tr w:rsidR="00000000">
        <w:tblPrEx>
          <w:tblCellMar>
            <w:top w:w="0" w:type="dxa"/>
            <w:bottom w:w="0" w:type="dxa"/>
          </w:tblCellMar>
        </w:tblPrEx>
        <w:trPr>
          <w:cantSplit/>
          <w:jc w:val="center"/>
        </w:trPr>
        <w:tc>
          <w:tcPr>
            <w:tcW w:w="6537" w:type="dxa"/>
            <w:tcBorders>
              <w:top w:val="nil"/>
            </w:tcBorders>
          </w:tcPr>
          <w:p w:rsidR="00000000" w:rsidRDefault="00000000">
            <w:pPr>
              <w:pStyle w:val="a6"/>
              <w:jc w:val="left"/>
              <w:rPr>
                <w:lang w:val="en-US"/>
              </w:rPr>
            </w:pPr>
            <w:r>
              <w:rPr>
                <w:lang w:val="en-US"/>
              </w:rPr>
              <w:t>NATIONAL TECHNICAL UNIVERSITY OF ATHENS</w:t>
            </w:r>
          </w:p>
        </w:tc>
        <w:tc>
          <w:tcPr>
            <w:tcW w:w="1462" w:type="dxa"/>
            <w:tcBorders>
              <w:top w:val="nil"/>
            </w:tcBorders>
            <w:vAlign w:val="center"/>
          </w:tcPr>
          <w:p w:rsidR="00000000" w:rsidRDefault="00000000">
            <w:pPr>
              <w:pStyle w:val="a6"/>
              <w:rPr>
                <w:lang w:val="en-US"/>
              </w:rPr>
            </w:pPr>
            <w:r>
              <w:rPr>
                <w:lang w:val="en-US"/>
              </w:rPr>
              <w:t>745</w:t>
            </w:r>
          </w:p>
        </w:tc>
        <w:tc>
          <w:tcPr>
            <w:tcW w:w="1417" w:type="dxa"/>
            <w:tcBorders>
              <w:top w:val="nil"/>
            </w:tcBorders>
            <w:vAlign w:val="center"/>
          </w:tcPr>
          <w:p w:rsidR="00000000" w:rsidRDefault="00000000">
            <w:pPr>
              <w:pStyle w:val="a6"/>
              <w:rPr>
                <w:lang w:val="en-US"/>
              </w:rPr>
            </w:pPr>
            <w:r>
              <w:rPr>
                <w:lang w:val="en-US"/>
              </w:rPr>
              <w:t>181</w:t>
            </w:r>
          </w:p>
        </w:tc>
      </w:tr>
      <w:tr w:rsidR="00000000">
        <w:tblPrEx>
          <w:tblCellMar>
            <w:top w:w="0" w:type="dxa"/>
            <w:bottom w:w="0" w:type="dxa"/>
          </w:tblCellMar>
        </w:tblPrEx>
        <w:trPr>
          <w:cantSplit/>
          <w:jc w:val="center"/>
        </w:trPr>
        <w:tc>
          <w:tcPr>
            <w:tcW w:w="6537" w:type="dxa"/>
          </w:tcPr>
          <w:p w:rsidR="00000000" w:rsidRDefault="00000000">
            <w:pPr>
              <w:pStyle w:val="a6"/>
              <w:jc w:val="left"/>
              <w:rPr>
                <w:lang w:val="en-US"/>
              </w:rPr>
            </w:pPr>
            <w:r>
              <w:rPr>
                <w:lang w:val="en-US"/>
              </w:rPr>
              <w:t>ARISTOTLE UNIVERSITY OF THESSALONIKI</w:t>
            </w:r>
          </w:p>
        </w:tc>
        <w:tc>
          <w:tcPr>
            <w:tcW w:w="1462" w:type="dxa"/>
            <w:vAlign w:val="center"/>
          </w:tcPr>
          <w:p w:rsidR="00000000" w:rsidRDefault="00000000">
            <w:pPr>
              <w:pStyle w:val="a6"/>
              <w:rPr>
                <w:lang w:val="en-US"/>
              </w:rPr>
            </w:pPr>
            <w:r>
              <w:rPr>
                <w:lang w:val="en-US"/>
              </w:rPr>
              <w:t>2758</w:t>
            </w:r>
          </w:p>
        </w:tc>
        <w:tc>
          <w:tcPr>
            <w:tcW w:w="1417" w:type="dxa"/>
            <w:vAlign w:val="center"/>
          </w:tcPr>
          <w:p w:rsidR="00000000" w:rsidRDefault="00000000">
            <w:pPr>
              <w:pStyle w:val="a6"/>
              <w:rPr>
                <w:lang w:val="en-US"/>
              </w:rPr>
            </w:pPr>
            <w:r>
              <w:rPr>
                <w:lang w:val="en-US"/>
              </w:rPr>
              <w:t>873</w:t>
            </w:r>
          </w:p>
        </w:tc>
      </w:tr>
      <w:tr w:rsidR="00000000">
        <w:tblPrEx>
          <w:tblCellMar>
            <w:top w:w="0" w:type="dxa"/>
            <w:bottom w:w="0" w:type="dxa"/>
          </w:tblCellMar>
        </w:tblPrEx>
        <w:trPr>
          <w:cantSplit/>
          <w:jc w:val="center"/>
        </w:trPr>
        <w:tc>
          <w:tcPr>
            <w:tcW w:w="6537" w:type="dxa"/>
          </w:tcPr>
          <w:p w:rsidR="00000000" w:rsidRDefault="00000000">
            <w:pPr>
              <w:pStyle w:val="a6"/>
              <w:jc w:val="left"/>
              <w:rPr>
                <w:lang w:val="en-US"/>
              </w:rPr>
            </w:pPr>
            <w:r>
              <w:rPr>
                <w:lang w:val="en-US"/>
              </w:rPr>
              <w:t xml:space="preserve">ATHENS UNIVERSITY OF ECONOMICS </w:t>
            </w:r>
          </w:p>
        </w:tc>
        <w:tc>
          <w:tcPr>
            <w:tcW w:w="1462" w:type="dxa"/>
            <w:vAlign w:val="center"/>
          </w:tcPr>
          <w:p w:rsidR="00000000" w:rsidRDefault="00000000">
            <w:pPr>
              <w:pStyle w:val="a6"/>
              <w:rPr>
                <w:lang w:val="en-US"/>
              </w:rPr>
            </w:pPr>
            <w:r>
              <w:rPr>
                <w:lang w:val="en-US"/>
              </w:rPr>
              <w:t>226</w:t>
            </w:r>
          </w:p>
        </w:tc>
        <w:tc>
          <w:tcPr>
            <w:tcW w:w="1417" w:type="dxa"/>
            <w:vAlign w:val="center"/>
          </w:tcPr>
          <w:p w:rsidR="00000000" w:rsidRDefault="00000000">
            <w:pPr>
              <w:pStyle w:val="a6"/>
              <w:rPr>
                <w:lang w:val="en-US"/>
              </w:rPr>
            </w:pPr>
            <w:r>
              <w:rPr>
                <w:lang w:val="en-US"/>
              </w:rPr>
              <w:t>54</w:t>
            </w:r>
          </w:p>
        </w:tc>
      </w:tr>
      <w:tr w:rsidR="00000000">
        <w:tblPrEx>
          <w:tblCellMar>
            <w:top w:w="0" w:type="dxa"/>
            <w:bottom w:w="0" w:type="dxa"/>
          </w:tblCellMar>
        </w:tblPrEx>
        <w:trPr>
          <w:cantSplit/>
          <w:jc w:val="center"/>
        </w:trPr>
        <w:tc>
          <w:tcPr>
            <w:tcW w:w="6537" w:type="dxa"/>
          </w:tcPr>
          <w:p w:rsidR="00000000" w:rsidRDefault="00000000">
            <w:pPr>
              <w:pStyle w:val="a6"/>
              <w:jc w:val="left"/>
              <w:rPr>
                <w:lang w:val="en-US"/>
              </w:rPr>
            </w:pPr>
            <w:r>
              <w:rPr>
                <w:lang w:val="en-US"/>
              </w:rPr>
              <w:t>AGRICULTURAL UNIVERSITY OF ATHENS</w:t>
            </w:r>
          </w:p>
        </w:tc>
        <w:tc>
          <w:tcPr>
            <w:tcW w:w="1462" w:type="dxa"/>
            <w:vAlign w:val="center"/>
          </w:tcPr>
          <w:p w:rsidR="00000000" w:rsidRDefault="00000000">
            <w:pPr>
              <w:pStyle w:val="a6"/>
              <w:rPr>
                <w:lang w:val="en-GB"/>
              </w:rPr>
            </w:pPr>
            <w:r>
              <w:rPr>
                <w:lang w:val="en-GB"/>
              </w:rPr>
              <w:t>239</w:t>
            </w:r>
          </w:p>
        </w:tc>
        <w:tc>
          <w:tcPr>
            <w:tcW w:w="1417" w:type="dxa"/>
            <w:vAlign w:val="center"/>
          </w:tcPr>
          <w:p w:rsidR="00000000" w:rsidRDefault="00000000">
            <w:pPr>
              <w:pStyle w:val="a6"/>
              <w:rPr>
                <w:lang w:val="en-GB"/>
              </w:rPr>
            </w:pPr>
            <w:r>
              <w:rPr>
                <w:lang w:val="en-GB"/>
              </w:rPr>
              <w:t>61</w:t>
            </w:r>
          </w:p>
        </w:tc>
      </w:tr>
      <w:tr w:rsidR="00000000">
        <w:tblPrEx>
          <w:tblCellMar>
            <w:top w:w="0" w:type="dxa"/>
            <w:bottom w:w="0" w:type="dxa"/>
          </w:tblCellMar>
        </w:tblPrEx>
        <w:trPr>
          <w:cantSplit/>
          <w:jc w:val="center"/>
        </w:trPr>
        <w:tc>
          <w:tcPr>
            <w:tcW w:w="6537" w:type="dxa"/>
          </w:tcPr>
          <w:p w:rsidR="00000000" w:rsidRDefault="00000000">
            <w:pPr>
              <w:pStyle w:val="a6"/>
              <w:jc w:val="left"/>
              <w:rPr>
                <w:lang w:val="en-GB"/>
              </w:rPr>
            </w:pPr>
            <w:r>
              <w:rPr>
                <w:lang w:val="en-US"/>
              </w:rPr>
              <w:t>ATHENS SCHOOL OF FINE ARTS</w:t>
            </w:r>
          </w:p>
        </w:tc>
        <w:tc>
          <w:tcPr>
            <w:tcW w:w="1462" w:type="dxa"/>
            <w:vAlign w:val="center"/>
          </w:tcPr>
          <w:p w:rsidR="00000000" w:rsidRDefault="00000000">
            <w:pPr>
              <w:pStyle w:val="a6"/>
              <w:rPr>
                <w:lang w:val="en-US"/>
              </w:rPr>
            </w:pPr>
            <w:r>
              <w:rPr>
                <w:lang w:val="en-US"/>
              </w:rPr>
              <w:t>68</w:t>
            </w:r>
          </w:p>
        </w:tc>
        <w:tc>
          <w:tcPr>
            <w:tcW w:w="1417" w:type="dxa"/>
            <w:vAlign w:val="center"/>
          </w:tcPr>
          <w:p w:rsidR="00000000" w:rsidRDefault="00000000">
            <w:pPr>
              <w:pStyle w:val="a6"/>
              <w:rPr>
                <w:lang w:val="en-US"/>
              </w:rPr>
            </w:pPr>
            <w:r>
              <w:rPr>
                <w:lang w:val="en-US"/>
              </w:rPr>
              <w:t>20</w:t>
            </w:r>
          </w:p>
        </w:tc>
      </w:tr>
      <w:tr w:rsidR="00000000">
        <w:tblPrEx>
          <w:tblCellMar>
            <w:top w:w="0" w:type="dxa"/>
            <w:bottom w:w="0" w:type="dxa"/>
          </w:tblCellMar>
        </w:tblPrEx>
        <w:trPr>
          <w:cantSplit/>
          <w:jc w:val="center"/>
        </w:trPr>
        <w:tc>
          <w:tcPr>
            <w:tcW w:w="6537" w:type="dxa"/>
          </w:tcPr>
          <w:p w:rsidR="00000000" w:rsidRDefault="00000000">
            <w:pPr>
              <w:pStyle w:val="a6"/>
              <w:jc w:val="left"/>
              <w:rPr>
                <w:lang w:val="en-US"/>
              </w:rPr>
            </w:pPr>
            <w:r>
              <w:rPr>
                <w:lang w:val="en-US"/>
              </w:rPr>
              <w:t>PANTEION UNIVERSITY OF SOCIAL AND POLITICAL SCIENCES</w:t>
            </w:r>
          </w:p>
        </w:tc>
        <w:tc>
          <w:tcPr>
            <w:tcW w:w="1462" w:type="dxa"/>
            <w:vAlign w:val="center"/>
          </w:tcPr>
          <w:p w:rsidR="00000000" w:rsidRDefault="00000000">
            <w:pPr>
              <w:pStyle w:val="a6"/>
              <w:rPr>
                <w:lang w:val="en-US"/>
              </w:rPr>
            </w:pPr>
            <w:r>
              <w:rPr>
                <w:lang w:val="en-US"/>
              </w:rPr>
              <w:t>315</w:t>
            </w:r>
          </w:p>
        </w:tc>
        <w:tc>
          <w:tcPr>
            <w:tcW w:w="1417" w:type="dxa"/>
            <w:vAlign w:val="center"/>
          </w:tcPr>
          <w:p w:rsidR="00000000" w:rsidRDefault="00000000">
            <w:pPr>
              <w:pStyle w:val="a6"/>
              <w:rPr>
                <w:lang w:val="en-US"/>
              </w:rPr>
            </w:pPr>
            <w:r>
              <w:rPr>
                <w:lang w:val="en-US"/>
              </w:rPr>
              <w:t>125</w:t>
            </w:r>
          </w:p>
        </w:tc>
      </w:tr>
      <w:tr w:rsidR="00000000">
        <w:tblPrEx>
          <w:tblCellMar>
            <w:top w:w="0" w:type="dxa"/>
            <w:bottom w:w="0" w:type="dxa"/>
          </w:tblCellMar>
        </w:tblPrEx>
        <w:trPr>
          <w:cantSplit/>
          <w:jc w:val="center"/>
        </w:trPr>
        <w:tc>
          <w:tcPr>
            <w:tcW w:w="6537" w:type="dxa"/>
          </w:tcPr>
          <w:p w:rsidR="00000000" w:rsidRDefault="00000000">
            <w:pPr>
              <w:pStyle w:val="a6"/>
              <w:jc w:val="left"/>
              <w:rPr>
                <w:lang w:val="en-US"/>
              </w:rPr>
            </w:pPr>
            <w:r>
              <w:rPr>
                <w:lang w:val="en-US"/>
              </w:rPr>
              <w:t>UNIVERSITY OF PIRAEUS</w:t>
            </w:r>
          </w:p>
        </w:tc>
        <w:tc>
          <w:tcPr>
            <w:tcW w:w="1462" w:type="dxa"/>
            <w:vAlign w:val="center"/>
          </w:tcPr>
          <w:p w:rsidR="00000000" w:rsidRDefault="00000000">
            <w:pPr>
              <w:pStyle w:val="a6"/>
              <w:rPr>
                <w:lang w:val="en-US"/>
              </w:rPr>
            </w:pPr>
            <w:r>
              <w:rPr>
                <w:lang w:val="en-US"/>
              </w:rPr>
              <w:t>205</w:t>
            </w:r>
          </w:p>
        </w:tc>
        <w:tc>
          <w:tcPr>
            <w:tcW w:w="1417" w:type="dxa"/>
            <w:vAlign w:val="center"/>
          </w:tcPr>
          <w:p w:rsidR="00000000" w:rsidRDefault="00000000">
            <w:pPr>
              <w:pStyle w:val="a6"/>
              <w:rPr>
                <w:lang w:val="en-US"/>
              </w:rPr>
            </w:pPr>
            <w:r>
              <w:rPr>
                <w:lang w:val="en-US"/>
              </w:rPr>
              <w:t>45</w:t>
            </w:r>
          </w:p>
        </w:tc>
      </w:tr>
      <w:tr w:rsidR="00000000">
        <w:tblPrEx>
          <w:tblCellMar>
            <w:top w:w="0" w:type="dxa"/>
            <w:bottom w:w="0" w:type="dxa"/>
          </w:tblCellMar>
        </w:tblPrEx>
        <w:trPr>
          <w:cantSplit/>
          <w:jc w:val="center"/>
        </w:trPr>
        <w:tc>
          <w:tcPr>
            <w:tcW w:w="6537" w:type="dxa"/>
          </w:tcPr>
          <w:p w:rsidR="00000000" w:rsidRDefault="00000000">
            <w:pPr>
              <w:pStyle w:val="a6"/>
              <w:jc w:val="left"/>
              <w:rPr>
                <w:lang w:val="en-US"/>
              </w:rPr>
            </w:pPr>
            <w:r>
              <w:rPr>
                <w:lang w:val="en-US"/>
              </w:rPr>
              <w:t>UNIVERSITY OF MACEDONIA</w:t>
            </w:r>
          </w:p>
        </w:tc>
        <w:tc>
          <w:tcPr>
            <w:tcW w:w="1462" w:type="dxa"/>
            <w:vAlign w:val="center"/>
          </w:tcPr>
          <w:p w:rsidR="00000000" w:rsidRDefault="00000000">
            <w:pPr>
              <w:pStyle w:val="a6"/>
              <w:rPr>
                <w:lang w:val="en-US"/>
              </w:rPr>
            </w:pPr>
            <w:r>
              <w:rPr>
                <w:lang w:val="en-US"/>
              </w:rPr>
              <w:t>242</w:t>
            </w:r>
          </w:p>
        </w:tc>
        <w:tc>
          <w:tcPr>
            <w:tcW w:w="1417" w:type="dxa"/>
            <w:vAlign w:val="center"/>
          </w:tcPr>
          <w:p w:rsidR="00000000" w:rsidRDefault="00000000">
            <w:pPr>
              <w:pStyle w:val="a6"/>
              <w:rPr>
                <w:lang w:val="en-US"/>
              </w:rPr>
            </w:pPr>
            <w:r>
              <w:rPr>
                <w:lang w:val="en-US"/>
              </w:rPr>
              <w:t>76</w:t>
            </w:r>
          </w:p>
        </w:tc>
      </w:tr>
      <w:tr w:rsidR="00000000">
        <w:tblPrEx>
          <w:tblCellMar>
            <w:top w:w="0" w:type="dxa"/>
            <w:bottom w:w="0" w:type="dxa"/>
          </w:tblCellMar>
        </w:tblPrEx>
        <w:trPr>
          <w:cantSplit/>
          <w:jc w:val="center"/>
        </w:trPr>
        <w:tc>
          <w:tcPr>
            <w:tcW w:w="6537" w:type="dxa"/>
          </w:tcPr>
          <w:p w:rsidR="00000000" w:rsidRDefault="00000000">
            <w:pPr>
              <w:pStyle w:val="a6"/>
              <w:jc w:val="left"/>
              <w:rPr>
                <w:lang w:val="en-US"/>
              </w:rPr>
            </w:pPr>
            <w:r>
              <w:rPr>
                <w:lang w:val="en-US"/>
              </w:rPr>
              <w:t>UNIVERSITY OF PATRAS</w:t>
            </w:r>
          </w:p>
        </w:tc>
        <w:tc>
          <w:tcPr>
            <w:tcW w:w="1462" w:type="dxa"/>
            <w:vAlign w:val="center"/>
          </w:tcPr>
          <w:p w:rsidR="00000000" w:rsidRDefault="00000000">
            <w:pPr>
              <w:pStyle w:val="a6"/>
              <w:rPr>
                <w:lang w:val="en-US"/>
              </w:rPr>
            </w:pPr>
            <w:r>
              <w:rPr>
                <w:lang w:val="en-US"/>
              </w:rPr>
              <w:t>814</w:t>
            </w:r>
          </w:p>
        </w:tc>
        <w:tc>
          <w:tcPr>
            <w:tcW w:w="1417" w:type="dxa"/>
            <w:vAlign w:val="center"/>
          </w:tcPr>
          <w:p w:rsidR="00000000" w:rsidRDefault="00000000">
            <w:pPr>
              <w:pStyle w:val="a6"/>
              <w:rPr>
                <w:lang w:val="en-US"/>
              </w:rPr>
            </w:pPr>
            <w:r>
              <w:rPr>
                <w:lang w:val="en-US"/>
              </w:rPr>
              <w:t>185</w:t>
            </w:r>
          </w:p>
        </w:tc>
      </w:tr>
      <w:tr w:rsidR="00000000">
        <w:tblPrEx>
          <w:tblCellMar>
            <w:top w:w="0" w:type="dxa"/>
            <w:bottom w:w="0" w:type="dxa"/>
          </w:tblCellMar>
        </w:tblPrEx>
        <w:trPr>
          <w:cantSplit/>
          <w:jc w:val="center"/>
        </w:trPr>
        <w:tc>
          <w:tcPr>
            <w:tcW w:w="6537" w:type="dxa"/>
          </w:tcPr>
          <w:p w:rsidR="00000000" w:rsidRDefault="00000000">
            <w:pPr>
              <w:pStyle w:val="a6"/>
              <w:jc w:val="left"/>
              <w:rPr>
                <w:lang w:val="en-US"/>
              </w:rPr>
            </w:pPr>
            <w:r>
              <w:rPr>
                <w:lang w:val="en-US"/>
              </w:rPr>
              <w:t>UNIVERSITY OF IOANNINA</w:t>
            </w:r>
          </w:p>
        </w:tc>
        <w:tc>
          <w:tcPr>
            <w:tcW w:w="1462" w:type="dxa"/>
            <w:vAlign w:val="center"/>
          </w:tcPr>
          <w:p w:rsidR="00000000" w:rsidRDefault="00000000">
            <w:pPr>
              <w:pStyle w:val="a6"/>
              <w:rPr>
                <w:lang w:val="en-US"/>
              </w:rPr>
            </w:pPr>
            <w:r>
              <w:rPr>
                <w:lang w:val="en-US"/>
              </w:rPr>
              <w:t>639</w:t>
            </w:r>
          </w:p>
        </w:tc>
        <w:tc>
          <w:tcPr>
            <w:tcW w:w="1417" w:type="dxa"/>
            <w:vAlign w:val="center"/>
          </w:tcPr>
          <w:p w:rsidR="00000000" w:rsidRDefault="00000000">
            <w:pPr>
              <w:pStyle w:val="a6"/>
              <w:rPr>
                <w:lang w:val="en-US"/>
              </w:rPr>
            </w:pPr>
            <w:r>
              <w:rPr>
                <w:lang w:val="en-US"/>
              </w:rPr>
              <w:t>205</w:t>
            </w:r>
          </w:p>
        </w:tc>
      </w:tr>
      <w:tr w:rsidR="00000000">
        <w:tblPrEx>
          <w:tblCellMar>
            <w:top w:w="0" w:type="dxa"/>
            <w:bottom w:w="0" w:type="dxa"/>
          </w:tblCellMar>
        </w:tblPrEx>
        <w:trPr>
          <w:cantSplit/>
          <w:jc w:val="center"/>
        </w:trPr>
        <w:tc>
          <w:tcPr>
            <w:tcW w:w="6537" w:type="dxa"/>
          </w:tcPr>
          <w:p w:rsidR="00000000" w:rsidRDefault="00000000">
            <w:pPr>
              <w:pStyle w:val="a6"/>
              <w:jc w:val="left"/>
              <w:rPr>
                <w:lang w:val="en-US"/>
              </w:rPr>
            </w:pPr>
            <w:r>
              <w:rPr>
                <w:lang w:val="en-US"/>
              </w:rPr>
              <w:t>DEMOCRITUS UNIVERSITY OF THRACE</w:t>
            </w:r>
          </w:p>
        </w:tc>
        <w:tc>
          <w:tcPr>
            <w:tcW w:w="1462" w:type="dxa"/>
            <w:vAlign w:val="center"/>
          </w:tcPr>
          <w:p w:rsidR="00000000" w:rsidRDefault="00000000">
            <w:pPr>
              <w:pStyle w:val="a6"/>
              <w:rPr>
                <w:lang w:val="en-US"/>
              </w:rPr>
            </w:pPr>
            <w:r>
              <w:rPr>
                <w:lang w:val="en-US"/>
              </w:rPr>
              <w:t>702</w:t>
            </w:r>
          </w:p>
        </w:tc>
        <w:tc>
          <w:tcPr>
            <w:tcW w:w="1417" w:type="dxa"/>
            <w:vAlign w:val="center"/>
          </w:tcPr>
          <w:p w:rsidR="00000000" w:rsidRDefault="00000000">
            <w:pPr>
              <w:pStyle w:val="a6"/>
              <w:rPr>
                <w:lang w:val="en-US"/>
              </w:rPr>
            </w:pPr>
            <w:r>
              <w:rPr>
                <w:lang w:val="en-US"/>
              </w:rPr>
              <w:t>205</w:t>
            </w:r>
          </w:p>
        </w:tc>
      </w:tr>
      <w:tr w:rsidR="00000000">
        <w:tblPrEx>
          <w:tblCellMar>
            <w:top w:w="0" w:type="dxa"/>
            <w:bottom w:w="0" w:type="dxa"/>
          </w:tblCellMar>
        </w:tblPrEx>
        <w:trPr>
          <w:cantSplit/>
          <w:jc w:val="center"/>
        </w:trPr>
        <w:tc>
          <w:tcPr>
            <w:tcW w:w="6537" w:type="dxa"/>
          </w:tcPr>
          <w:p w:rsidR="00000000" w:rsidRDefault="00000000">
            <w:pPr>
              <w:pStyle w:val="a6"/>
              <w:jc w:val="left"/>
              <w:rPr>
                <w:lang w:val="en-US"/>
              </w:rPr>
            </w:pPr>
            <w:r>
              <w:rPr>
                <w:lang w:val="en-US"/>
              </w:rPr>
              <w:t>UNIVERSITY OF CRETE</w:t>
            </w:r>
          </w:p>
        </w:tc>
        <w:tc>
          <w:tcPr>
            <w:tcW w:w="1462" w:type="dxa"/>
            <w:vAlign w:val="center"/>
          </w:tcPr>
          <w:p w:rsidR="00000000" w:rsidRDefault="00000000">
            <w:pPr>
              <w:pStyle w:val="a6"/>
              <w:rPr>
                <w:lang w:val="en-US"/>
              </w:rPr>
            </w:pPr>
            <w:r>
              <w:rPr>
                <w:lang w:val="en-US"/>
              </w:rPr>
              <w:t>553</w:t>
            </w:r>
          </w:p>
        </w:tc>
        <w:tc>
          <w:tcPr>
            <w:tcW w:w="1417" w:type="dxa"/>
            <w:vAlign w:val="center"/>
          </w:tcPr>
          <w:p w:rsidR="00000000" w:rsidRDefault="00000000">
            <w:pPr>
              <w:pStyle w:val="a6"/>
              <w:rPr>
                <w:lang w:val="en-US"/>
              </w:rPr>
            </w:pPr>
            <w:r>
              <w:rPr>
                <w:lang w:val="en-US"/>
              </w:rPr>
              <w:t>141</w:t>
            </w:r>
          </w:p>
        </w:tc>
      </w:tr>
      <w:tr w:rsidR="00000000">
        <w:tblPrEx>
          <w:tblCellMar>
            <w:top w:w="0" w:type="dxa"/>
            <w:bottom w:w="0" w:type="dxa"/>
          </w:tblCellMar>
        </w:tblPrEx>
        <w:trPr>
          <w:cantSplit/>
          <w:jc w:val="center"/>
        </w:trPr>
        <w:tc>
          <w:tcPr>
            <w:tcW w:w="6537" w:type="dxa"/>
          </w:tcPr>
          <w:p w:rsidR="00000000" w:rsidRDefault="00000000">
            <w:pPr>
              <w:pStyle w:val="a6"/>
              <w:jc w:val="left"/>
              <w:rPr>
                <w:lang w:val="en-US"/>
              </w:rPr>
            </w:pPr>
            <w:r>
              <w:rPr>
                <w:lang w:val="en-US"/>
              </w:rPr>
              <w:t>TECHNICAL UNIVERSITY OF CRETE</w:t>
            </w:r>
          </w:p>
        </w:tc>
        <w:tc>
          <w:tcPr>
            <w:tcW w:w="1462" w:type="dxa"/>
            <w:vAlign w:val="center"/>
          </w:tcPr>
          <w:p w:rsidR="00000000" w:rsidRDefault="00000000">
            <w:pPr>
              <w:pStyle w:val="a6"/>
              <w:rPr>
                <w:lang w:val="en-US"/>
              </w:rPr>
            </w:pPr>
            <w:r>
              <w:rPr>
                <w:lang w:val="en-US"/>
              </w:rPr>
              <w:t>191</w:t>
            </w:r>
          </w:p>
        </w:tc>
        <w:tc>
          <w:tcPr>
            <w:tcW w:w="1417" w:type="dxa"/>
            <w:vAlign w:val="center"/>
          </w:tcPr>
          <w:p w:rsidR="00000000" w:rsidRDefault="00000000">
            <w:pPr>
              <w:pStyle w:val="a6"/>
              <w:rPr>
                <w:lang w:val="en-US"/>
              </w:rPr>
            </w:pPr>
            <w:r>
              <w:rPr>
                <w:lang w:val="en-US"/>
              </w:rPr>
              <w:t>38</w:t>
            </w:r>
          </w:p>
        </w:tc>
      </w:tr>
      <w:tr w:rsidR="00000000">
        <w:tblPrEx>
          <w:tblCellMar>
            <w:top w:w="0" w:type="dxa"/>
            <w:bottom w:w="0" w:type="dxa"/>
          </w:tblCellMar>
        </w:tblPrEx>
        <w:trPr>
          <w:cantSplit/>
          <w:jc w:val="center"/>
        </w:trPr>
        <w:tc>
          <w:tcPr>
            <w:tcW w:w="6537" w:type="dxa"/>
          </w:tcPr>
          <w:p w:rsidR="00000000" w:rsidRDefault="00000000">
            <w:pPr>
              <w:pStyle w:val="a6"/>
              <w:jc w:val="left"/>
              <w:rPr>
                <w:lang w:val="en-US"/>
              </w:rPr>
            </w:pPr>
            <w:r>
              <w:rPr>
                <w:lang w:val="en-US"/>
              </w:rPr>
              <w:t xml:space="preserve">UNIVERSITY OF THE AEGEAN </w:t>
            </w:r>
          </w:p>
        </w:tc>
        <w:tc>
          <w:tcPr>
            <w:tcW w:w="1462" w:type="dxa"/>
            <w:vAlign w:val="center"/>
          </w:tcPr>
          <w:p w:rsidR="00000000" w:rsidRDefault="00000000">
            <w:pPr>
              <w:pStyle w:val="a6"/>
              <w:rPr>
                <w:lang w:val="en-US"/>
              </w:rPr>
            </w:pPr>
            <w:r>
              <w:rPr>
                <w:lang w:val="en-US"/>
              </w:rPr>
              <w:t>397</w:t>
            </w:r>
          </w:p>
        </w:tc>
        <w:tc>
          <w:tcPr>
            <w:tcW w:w="1417" w:type="dxa"/>
            <w:vAlign w:val="center"/>
          </w:tcPr>
          <w:p w:rsidR="00000000" w:rsidRDefault="00000000">
            <w:pPr>
              <w:pStyle w:val="a6"/>
              <w:rPr>
                <w:lang w:val="en-US"/>
              </w:rPr>
            </w:pPr>
            <w:r>
              <w:rPr>
                <w:lang w:val="en-US"/>
              </w:rPr>
              <w:t>136</w:t>
            </w:r>
          </w:p>
        </w:tc>
      </w:tr>
      <w:tr w:rsidR="00000000">
        <w:tblPrEx>
          <w:tblCellMar>
            <w:top w:w="0" w:type="dxa"/>
            <w:bottom w:w="0" w:type="dxa"/>
          </w:tblCellMar>
        </w:tblPrEx>
        <w:trPr>
          <w:cantSplit/>
          <w:jc w:val="center"/>
        </w:trPr>
        <w:tc>
          <w:tcPr>
            <w:tcW w:w="6537" w:type="dxa"/>
          </w:tcPr>
          <w:p w:rsidR="00000000" w:rsidRDefault="00000000">
            <w:pPr>
              <w:pStyle w:val="a6"/>
              <w:jc w:val="left"/>
              <w:rPr>
                <w:lang w:val="en-US"/>
              </w:rPr>
            </w:pPr>
            <w:r>
              <w:rPr>
                <w:lang w:val="en-US"/>
              </w:rPr>
              <w:t>IONIAN UNIVERSITY</w:t>
            </w:r>
          </w:p>
        </w:tc>
        <w:tc>
          <w:tcPr>
            <w:tcW w:w="1462" w:type="dxa"/>
            <w:vAlign w:val="center"/>
          </w:tcPr>
          <w:p w:rsidR="00000000" w:rsidRDefault="00000000">
            <w:pPr>
              <w:pStyle w:val="a6"/>
              <w:rPr>
                <w:lang w:val="en-US"/>
              </w:rPr>
            </w:pPr>
            <w:r>
              <w:rPr>
                <w:lang w:val="en-US"/>
              </w:rPr>
              <w:t>122</w:t>
            </w:r>
          </w:p>
        </w:tc>
        <w:tc>
          <w:tcPr>
            <w:tcW w:w="1417" w:type="dxa"/>
            <w:vAlign w:val="center"/>
          </w:tcPr>
          <w:p w:rsidR="00000000" w:rsidRDefault="00000000">
            <w:pPr>
              <w:pStyle w:val="a6"/>
              <w:rPr>
                <w:lang w:val="en-US"/>
              </w:rPr>
            </w:pPr>
            <w:r>
              <w:rPr>
                <w:lang w:val="en-US"/>
              </w:rPr>
              <w:t>43</w:t>
            </w:r>
          </w:p>
        </w:tc>
      </w:tr>
      <w:tr w:rsidR="00000000">
        <w:tblPrEx>
          <w:tblCellMar>
            <w:top w:w="0" w:type="dxa"/>
            <w:bottom w:w="0" w:type="dxa"/>
          </w:tblCellMar>
        </w:tblPrEx>
        <w:trPr>
          <w:cantSplit/>
          <w:jc w:val="center"/>
        </w:trPr>
        <w:tc>
          <w:tcPr>
            <w:tcW w:w="6537" w:type="dxa"/>
          </w:tcPr>
          <w:p w:rsidR="00000000" w:rsidRDefault="00000000">
            <w:pPr>
              <w:pStyle w:val="a6"/>
              <w:jc w:val="left"/>
              <w:rPr>
                <w:lang w:val="en-US"/>
              </w:rPr>
            </w:pPr>
            <w:r>
              <w:rPr>
                <w:lang w:val="en-US"/>
              </w:rPr>
              <w:t>UNIVERSITY OF THESSALY</w:t>
            </w:r>
          </w:p>
        </w:tc>
        <w:tc>
          <w:tcPr>
            <w:tcW w:w="1462" w:type="dxa"/>
            <w:vAlign w:val="center"/>
          </w:tcPr>
          <w:p w:rsidR="00000000" w:rsidRDefault="00000000">
            <w:pPr>
              <w:pStyle w:val="a6"/>
              <w:rPr>
                <w:lang w:val="en-US"/>
              </w:rPr>
            </w:pPr>
            <w:r>
              <w:rPr>
                <w:lang w:val="en-US"/>
              </w:rPr>
              <w:t>686</w:t>
            </w:r>
          </w:p>
        </w:tc>
        <w:tc>
          <w:tcPr>
            <w:tcW w:w="1417" w:type="dxa"/>
            <w:vAlign w:val="center"/>
          </w:tcPr>
          <w:p w:rsidR="00000000" w:rsidRDefault="00000000">
            <w:pPr>
              <w:pStyle w:val="a6"/>
              <w:rPr>
                <w:lang w:val="en-US"/>
              </w:rPr>
            </w:pPr>
            <w:r>
              <w:rPr>
                <w:lang w:val="en-US"/>
              </w:rPr>
              <w:t>219</w:t>
            </w:r>
          </w:p>
        </w:tc>
      </w:tr>
      <w:tr w:rsidR="00000000">
        <w:tblPrEx>
          <w:tblCellMar>
            <w:top w:w="0" w:type="dxa"/>
            <w:bottom w:w="0" w:type="dxa"/>
          </w:tblCellMar>
        </w:tblPrEx>
        <w:trPr>
          <w:cantSplit/>
          <w:jc w:val="center"/>
        </w:trPr>
        <w:tc>
          <w:tcPr>
            <w:tcW w:w="6537" w:type="dxa"/>
          </w:tcPr>
          <w:p w:rsidR="00000000" w:rsidRDefault="00000000">
            <w:pPr>
              <w:pStyle w:val="a6"/>
              <w:jc w:val="left"/>
              <w:rPr>
                <w:lang w:val="en-US"/>
              </w:rPr>
            </w:pPr>
            <w:r>
              <w:rPr>
                <w:lang w:val="en-US"/>
              </w:rPr>
              <w:t>HAROKOPIO UNIVERSITY</w:t>
            </w:r>
          </w:p>
        </w:tc>
        <w:tc>
          <w:tcPr>
            <w:tcW w:w="1462" w:type="dxa"/>
            <w:vAlign w:val="center"/>
          </w:tcPr>
          <w:p w:rsidR="00000000" w:rsidRDefault="00000000">
            <w:pPr>
              <w:pStyle w:val="a6"/>
              <w:rPr>
                <w:lang w:val="en-US"/>
              </w:rPr>
            </w:pPr>
            <w:r>
              <w:rPr>
                <w:lang w:val="en-US"/>
              </w:rPr>
              <w:t>75</w:t>
            </w:r>
          </w:p>
        </w:tc>
        <w:tc>
          <w:tcPr>
            <w:tcW w:w="1417" w:type="dxa"/>
            <w:vAlign w:val="center"/>
          </w:tcPr>
          <w:p w:rsidR="00000000" w:rsidRDefault="00000000">
            <w:pPr>
              <w:pStyle w:val="a6"/>
              <w:rPr>
                <w:lang w:val="en-US"/>
              </w:rPr>
            </w:pPr>
            <w:r>
              <w:rPr>
                <w:lang w:val="en-US"/>
              </w:rPr>
              <w:t>47</w:t>
            </w:r>
          </w:p>
        </w:tc>
      </w:tr>
      <w:tr w:rsidR="00000000">
        <w:tblPrEx>
          <w:tblCellMar>
            <w:top w:w="0" w:type="dxa"/>
            <w:bottom w:w="0" w:type="dxa"/>
          </w:tblCellMar>
        </w:tblPrEx>
        <w:trPr>
          <w:cantSplit/>
          <w:jc w:val="center"/>
        </w:trPr>
        <w:tc>
          <w:tcPr>
            <w:tcW w:w="6537" w:type="dxa"/>
          </w:tcPr>
          <w:p w:rsidR="00000000" w:rsidRDefault="00000000">
            <w:pPr>
              <w:pStyle w:val="a6"/>
              <w:jc w:val="left"/>
              <w:rPr>
                <w:lang w:val="en-US"/>
              </w:rPr>
            </w:pPr>
            <w:r>
              <w:rPr>
                <w:lang w:val="en-US"/>
              </w:rPr>
              <w:t>HELLENIC OPEN UNIVERSITY</w:t>
            </w:r>
          </w:p>
        </w:tc>
        <w:tc>
          <w:tcPr>
            <w:tcW w:w="1462" w:type="dxa"/>
            <w:vAlign w:val="center"/>
          </w:tcPr>
          <w:p w:rsidR="00000000" w:rsidRDefault="00000000">
            <w:pPr>
              <w:pStyle w:val="a6"/>
              <w:rPr>
                <w:lang w:val="en-US"/>
              </w:rPr>
            </w:pPr>
            <w:r>
              <w:rPr>
                <w:lang w:val="en-US"/>
              </w:rPr>
              <w:t>311</w:t>
            </w:r>
          </w:p>
        </w:tc>
        <w:tc>
          <w:tcPr>
            <w:tcW w:w="1417" w:type="dxa"/>
            <w:vAlign w:val="center"/>
          </w:tcPr>
          <w:p w:rsidR="00000000" w:rsidRDefault="00000000">
            <w:pPr>
              <w:pStyle w:val="a6"/>
              <w:rPr>
                <w:lang w:val="en-US"/>
              </w:rPr>
            </w:pPr>
            <w:r>
              <w:rPr>
                <w:lang w:val="en-US"/>
              </w:rPr>
              <w:t>18</w:t>
            </w:r>
          </w:p>
        </w:tc>
      </w:tr>
      <w:tr w:rsidR="00000000">
        <w:tblPrEx>
          <w:tblCellMar>
            <w:top w:w="0" w:type="dxa"/>
            <w:bottom w:w="0" w:type="dxa"/>
          </w:tblCellMar>
        </w:tblPrEx>
        <w:trPr>
          <w:cantSplit/>
          <w:jc w:val="center"/>
        </w:trPr>
        <w:tc>
          <w:tcPr>
            <w:tcW w:w="6537" w:type="dxa"/>
          </w:tcPr>
          <w:p w:rsidR="00000000" w:rsidRDefault="00000000">
            <w:pPr>
              <w:pStyle w:val="a6"/>
              <w:jc w:val="left"/>
              <w:rPr>
                <w:b/>
                <w:w w:val="150"/>
                <w:lang w:val="en-US"/>
              </w:rPr>
            </w:pPr>
            <w:r>
              <w:rPr>
                <w:b/>
                <w:w w:val="150"/>
                <w:lang w:val="en-US"/>
              </w:rPr>
              <w:t>GENERAL TOTAL</w:t>
            </w:r>
          </w:p>
        </w:tc>
        <w:tc>
          <w:tcPr>
            <w:tcW w:w="1462" w:type="dxa"/>
            <w:vAlign w:val="center"/>
          </w:tcPr>
          <w:p w:rsidR="00000000" w:rsidRDefault="00000000">
            <w:pPr>
              <w:pStyle w:val="a6"/>
              <w:rPr>
                <w:b/>
                <w:w w:val="150"/>
                <w:lang w:val="en-US"/>
              </w:rPr>
            </w:pPr>
            <w:r>
              <w:rPr>
                <w:b/>
                <w:w w:val="150"/>
                <w:lang w:val="en-US"/>
              </w:rPr>
              <w:t>11677</w:t>
            </w:r>
          </w:p>
        </w:tc>
        <w:tc>
          <w:tcPr>
            <w:tcW w:w="1417" w:type="dxa"/>
            <w:vAlign w:val="center"/>
          </w:tcPr>
          <w:p w:rsidR="00000000" w:rsidRDefault="00000000">
            <w:pPr>
              <w:pStyle w:val="a6"/>
              <w:rPr>
                <w:b/>
                <w:w w:val="150"/>
                <w:lang w:val="en-US"/>
              </w:rPr>
            </w:pPr>
            <w:r>
              <w:rPr>
                <w:b/>
                <w:w w:val="150"/>
                <w:lang w:val="en-US"/>
              </w:rPr>
              <w:t>3520</w:t>
            </w:r>
          </w:p>
        </w:tc>
      </w:tr>
    </w:tbl>
    <w:p w:rsidR="00000000" w:rsidRDefault="00000000">
      <w:pPr>
        <w:tabs>
          <w:tab w:val="left" w:pos="567"/>
          <w:tab w:val="left" w:pos="1021"/>
          <w:tab w:val="left" w:pos="1474"/>
          <w:tab w:val="left" w:pos="1928"/>
        </w:tabs>
        <w:jc w:val="center"/>
        <w:rPr>
          <w:b/>
          <w:color w:val="000000"/>
          <w:lang w:val="en-US"/>
        </w:rPr>
      </w:pPr>
    </w:p>
    <w:p w:rsidR="00000000" w:rsidRDefault="00000000">
      <w:pPr>
        <w:tabs>
          <w:tab w:val="left" w:pos="567"/>
          <w:tab w:val="left" w:pos="1021"/>
          <w:tab w:val="left" w:pos="1474"/>
          <w:tab w:val="left" w:pos="1928"/>
        </w:tabs>
        <w:jc w:val="center"/>
        <w:rPr>
          <w:b/>
          <w:color w:val="000000"/>
          <w:lang w:val="en-GB"/>
        </w:rPr>
      </w:pPr>
      <w:r>
        <w:rPr>
          <w:b/>
          <w:color w:val="000000"/>
          <w:lang w:val="en-US"/>
        </w:rPr>
        <w:t>TABLE</w:t>
      </w:r>
      <w:r>
        <w:rPr>
          <w:b/>
          <w:color w:val="000000"/>
          <w:lang w:val="en-GB"/>
        </w:rPr>
        <w:t xml:space="preserve"> 14</w:t>
      </w:r>
    </w:p>
    <w:p w:rsidR="00000000" w:rsidRDefault="00000000">
      <w:pPr>
        <w:pStyle w:val="-0"/>
        <w:rPr>
          <w:b/>
          <w:lang w:val="en-GB"/>
        </w:rPr>
      </w:pPr>
      <w:r>
        <w:rPr>
          <w:lang w:val="en-GB"/>
        </w:rPr>
        <w:t>(</w:t>
      </w:r>
      <w:r>
        <w:rPr>
          <w:lang w:val="en-US"/>
        </w:rPr>
        <w:t>Source</w:t>
      </w:r>
      <w:r>
        <w:rPr>
          <w:lang w:val="en-GB"/>
        </w:rPr>
        <w:t xml:space="preserve"> </w:t>
      </w:r>
      <w:r>
        <w:rPr>
          <w:lang w:val="en-US"/>
        </w:rPr>
        <w:t>Ministry of National Education and Religious Affairs</w:t>
      </w:r>
      <w:r>
        <w:rPr>
          <w:lang w:val="en-GB"/>
        </w:rPr>
        <w:t>, Directorate for Planning and Operational Research, Dept. of Op. Research  &amp; Statistics)</w:t>
      </w:r>
    </w:p>
    <w:p w:rsidR="00000000" w:rsidRDefault="00000000">
      <w:pPr>
        <w:tabs>
          <w:tab w:val="left" w:pos="567"/>
          <w:tab w:val="left" w:pos="1021"/>
          <w:tab w:val="left" w:pos="1474"/>
          <w:tab w:val="left" w:pos="1928"/>
        </w:tabs>
        <w:jc w:val="center"/>
        <w:rPr>
          <w:b/>
          <w:lang w:val="en-US"/>
        </w:rPr>
      </w:pPr>
      <w:r>
        <w:rPr>
          <w:b/>
          <w:lang w:val="en-US"/>
        </w:rPr>
        <w:br w:type="page"/>
        <w:t>2001 – 2002</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F" w:firstRow="1" w:lastRow="0" w:firstColumn="1" w:lastColumn="0" w:noHBand="0" w:noVBand="0"/>
      </w:tblPr>
      <w:tblGrid>
        <w:gridCol w:w="6501"/>
        <w:gridCol w:w="1417"/>
        <w:gridCol w:w="1447"/>
      </w:tblGrid>
      <w:tr w:rsidR="00000000">
        <w:tblPrEx>
          <w:tblCellMar>
            <w:top w:w="0" w:type="dxa"/>
            <w:bottom w:w="0" w:type="dxa"/>
          </w:tblCellMar>
        </w:tblPrEx>
        <w:trPr>
          <w:cantSplit/>
          <w:trHeight w:val="365"/>
          <w:jc w:val="center"/>
        </w:trPr>
        <w:tc>
          <w:tcPr>
            <w:tcW w:w="6501" w:type="dxa"/>
            <w:vMerge w:val="restart"/>
            <w:tcBorders>
              <w:left w:val="nil"/>
              <w:right w:val="nil"/>
            </w:tcBorders>
          </w:tcPr>
          <w:p w:rsidR="00000000" w:rsidRDefault="00000000">
            <w:pPr>
              <w:pStyle w:val="a6"/>
              <w:rPr>
                <w:b/>
                <w:lang w:val="en-US"/>
              </w:rPr>
            </w:pPr>
            <w:r>
              <w:rPr>
                <w:b/>
                <w:lang w:val="en-US"/>
              </w:rPr>
              <w:t>UNIVERSITIES</w:t>
            </w:r>
          </w:p>
        </w:tc>
        <w:tc>
          <w:tcPr>
            <w:tcW w:w="2864" w:type="dxa"/>
            <w:gridSpan w:val="2"/>
            <w:tcBorders>
              <w:left w:val="nil"/>
              <w:bottom w:val="single" w:sz="4" w:space="0" w:color="auto"/>
              <w:right w:val="nil"/>
            </w:tcBorders>
          </w:tcPr>
          <w:p w:rsidR="00000000" w:rsidRDefault="00000000">
            <w:pPr>
              <w:pStyle w:val="a6"/>
              <w:rPr>
                <w:b/>
                <w:lang w:val="en-US"/>
              </w:rPr>
            </w:pPr>
            <w:r>
              <w:rPr>
                <w:b/>
                <w:lang w:val="en-US"/>
              </w:rPr>
              <w:t>GENERAL TOTAL</w:t>
            </w:r>
          </w:p>
        </w:tc>
      </w:tr>
      <w:tr w:rsidR="00000000">
        <w:tblPrEx>
          <w:tblCellMar>
            <w:top w:w="0" w:type="dxa"/>
            <w:bottom w:w="0" w:type="dxa"/>
          </w:tblCellMar>
        </w:tblPrEx>
        <w:trPr>
          <w:cantSplit/>
          <w:jc w:val="center"/>
        </w:trPr>
        <w:tc>
          <w:tcPr>
            <w:tcW w:w="6501" w:type="dxa"/>
            <w:vMerge/>
            <w:tcBorders>
              <w:left w:val="nil"/>
              <w:bottom w:val="single" w:sz="4" w:space="0" w:color="auto"/>
              <w:right w:val="nil"/>
            </w:tcBorders>
          </w:tcPr>
          <w:p w:rsidR="00000000" w:rsidRDefault="00000000">
            <w:pPr>
              <w:pStyle w:val="a6"/>
              <w:rPr>
                <w:b/>
                <w:lang w:val="en-US"/>
              </w:rPr>
            </w:pPr>
          </w:p>
        </w:tc>
        <w:tc>
          <w:tcPr>
            <w:tcW w:w="1417" w:type="dxa"/>
            <w:tcBorders>
              <w:top w:val="single" w:sz="4" w:space="0" w:color="auto"/>
              <w:left w:val="nil"/>
              <w:bottom w:val="single" w:sz="4" w:space="0" w:color="auto"/>
              <w:right w:val="nil"/>
            </w:tcBorders>
            <w:vAlign w:val="center"/>
          </w:tcPr>
          <w:p w:rsidR="00000000" w:rsidRDefault="00000000">
            <w:pPr>
              <w:pStyle w:val="a6"/>
              <w:rPr>
                <w:b/>
                <w:lang w:val="en-US"/>
              </w:rPr>
            </w:pPr>
            <w:r>
              <w:rPr>
                <w:b/>
                <w:lang w:val="en-US"/>
              </w:rPr>
              <w:t>TOTAL</w:t>
            </w:r>
          </w:p>
        </w:tc>
        <w:tc>
          <w:tcPr>
            <w:tcW w:w="1447" w:type="dxa"/>
            <w:tcBorders>
              <w:top w:val="single" w:sz="4" w:space="0" w:color="auto"/>
              <w:left w:val="nil"/>
              <w:bottom w:val="single" w:sz="4" w:space="0" w:color="auto"/>
              <w:right w:val="nil"/>
            </w:tcBorders>
            <w:vAlign w:val="center"/>
          </w:tcPr>
          <w:p w:rsidR="00000000" w:rsidRDefault="00000000">
            <w:pPr>
              <w:pStyle w:val="a6"/>
              <w:rPr>
                <w:b/>
                <w:lang w:val="en-US"/>
              </w:rPr>
            </w:pPr>
            <w:r>
              <w:rPr>
                <w:b/>
                <w:lang w:val="en-US"/>
              </w:rPr>
              <w:t>WOMEN</w:t>
            </w:r>
          </w:p>
        </w:tc>
      </w:tr>
      <w:tr w:rsidR="00000000">
        <w:tblPrEx>
          <w:tblCellMar>
            <w:top w:w="0" w:type="dxa"/>
            <w:bottom w:w="0" w:type="dxa"/>
          </w:tblCellMar>
        </w:tblPrEx>
        <w:trPr>
          <w:cantSplit/>
          <w:jc w:val="center"/>
        </w:trPr>
        <w:tc>
          <w:tcPr>
            <w:tcW w:w="6501" w:type="dxa"/>
            <w:tcBorders>
              <w:top w:val="single" w:sz="4" w:space="0" w:color="auto"/>
              <w:left w:val="nil"/>
              <w:bottom w:val="nil"/>
              <w:right w:val="nil"/>
            </w:tcBorders>
          </w:tcPr>
          <w:p w:rsidR="00000000" w:rsidRDefault="00000000">
            <w:pPr>
              <w:pStyle w:val="a6"/>
              <w:jc w:val="left"/>
              <w:rPr>
                <w:lang w:val="en-US"/>
              </w:rPr>
            </w:pPr>
            <w:r>
              <w:rPr>
                <w:lang w:val="en-US"/>
              </w:rPr>
              <w:t>NATIONAL AND KAPODISTRIAN UNIVERSITY OF ATHENS</w:t>
            </w:r>
          </w:p>
        </w:tc>
        <w:tc>
          <w:tcPr>
            <w:tcW w:w="1417" w:type="dxa"/>
            <w:tcBorders>
              <w:top w:val="single" w:sz="4" w:space="0" w:color="auto"/>
              <w:left w:val="nil"/>
              <w:bottom w:val="nil"/>
              <w:right w:val="nil"/>
            </w:tcBorders>
            <w:vAlign w:val="center"/>
          </w:tcPr>
          <w:p w:rsidR="00000000" w:rsidRDefault="00000000">
            <w:pPr>
              <w:pStyle w:val="a6"/>
              <w:rPr>
                <w:lang w:val="en-US"/>
              </w:rPr>
            </w:pPr>
            <w:r>
              <w:rPr>
                <w:lang w:val="en-US"/>
              </w:rPr>
              <w:t>2343</w:t>
            </w:r>
          </w:p>
        </w:tc>
        <w:tc>
          <w:tcPr>
            <w:tcW w:w="1447" w:type="dxa"/>
            <w:tcBorders>
              <w:top w:val="single" w:sz="4" w:space="0" w:color="auto"/>
              <w:left w:val="nil"/>
              <w:bottom w:val="nil"/>
              <w:right w:val="nil"/>
            </w:tcBorders>
            <w:vAlign w:val="center"/>
          </w:tcPr>
          <w:p w:rsidR="00000000" w:rsidRDefault="00000000">
            <w:pPr>
              <w:pStyle w:val="a6"/>
              <w:rPr>
                <w:lang w:val="en-US"/>
              </w:rPr>
            </w:pPr>
            <w:r>
              <w:rPr>
                <w:lang w:val="en-US"/>
              </w:rPr>
              <w:t>843</w:t>
            </w:r>
          </w:p>
        </w:tc>
      </w:tr>
      <w:tr w:rsidR="00000000">
        <w:tblPrEx>
          <w:tblCellMar>
            <w:top w:w="0" w:type="dxa"/>
            <w:bottom w:w="0" w:type="dxa"/>
          </w:tblCellMar>
        </w:tblPrEx>
        <w:trPr>
          <w:cantSplit/>
          <w:jc w:val="center"/>
        </w:trPr>
        <w:tc>
          <w:tcPr>
            <w:tcW w:w="6501" w:type="dxa"/>
            <w:tcBorders>
              <w:top w:val="nil"/>
              <w:left w:val="nil"/>
              <w:bottom w:val="nil"/>
              <w:right w:val="nil"/>
            </w:tcBorders>
          </w:tcPr>
          <w:p w:rsidR="00000000" w:rsidRDefault="00000000">
            <w:pPr>
              <w:pStyle w:val="a6"/>
              <w:jc w:val="left"/>
              <w:rPr>
                <w:lang w:val="en-US"/>
              </w:rPr>
            </w:pPr>
            <w:r>
              <w:rPr>
                <w:lang w:val="en-US"/>
              </w:rPr>
              <w:t>NATIONAL TECHNICAL UNIVERSITY OF ATHENS</w:t>
            </w:r>
          </w:p>
        </w:tc>
        <w:tc>
          <w:tcPr>
            <w:tcW w:w="1417" w:type="dxa"/>
            <w:tcBorders>
              <w:top w:val="nil"/>
              <w:left w:val="nil"/>
              <w:bottom w:val="nil"/>
              <w:right w:val="nil"/>
            </w:tcBorders>
            <w:vAlign w:val="center"/>
          </w:tcPr>
          <w:p w:rsidR="00000000" w:rsidRDefault="00000000">
            <w:pPr>
              <w:pStyle w:val="a6"/>
              <w:rPr>
                <w:lang w:val="en-US"/>
              </w:rPr>
            </w:pPr>
            <w:r>
              <w:rPr>
                <w:lang w:val="en-US"/>
              </w:rPr>
              <w:t>785</w:t>
            </w:r>
          </w:p>
        </w:tc>
        <w:tc>
          <w:tcPr>
            <w:tcW w:w="1447" w:type="dxa"/>
            <w:tcBorders>
              <w:top w:val="nil"/>
              <w:left w:val="nil"/>
              <w:bottom w:val="nil"/>
              <w:right w:val="nil"/>
            </w:tcBorders>
            <w:vAlign w:val="center"/>
          </w:tcPr>
          <w:p w:rsidR="00000000" w:rsidRDefault="00000000">
            <w:pPr>
              <w:pStyle w:val="a6"/>
              <w:rPr>
                <w:lang w:val="en-US"/>
              </w:rPr>
            </w:pPr>
            <w:r>
              <w:rPr>
                <w:lang w:val="en-US"/>
              </w:rPr>
              <w:t>180</w:t>
            </w:r>
          </w:p>
        </w:tc>
      </w:tr>
      <w:tr w:rsidR="00000000">
        <w:tblPrEx>
          <w:tblCellMar>
            <w:top w:w="0" w:type="dxa"/>
            <w:bottom w:w="0" w:type="dxa"/>
          </w:tblCellMar>
        </w:tblPrEx>
        <w:trPr>
          <w:cantSplit/>
          <w:jc w:val="center"/>
        </w:trPr>
        <w:tc>
          <w:tcPr>
            <w:tcW w:w="6501" w:type="dxa"/>
            <w:tcBorders>
              <w:top w:val="nil"/>
              <w:left w:val="nil"/>
              <w:bottom w:val="nil"/>
              <w:right w:val="nil"/>
            </w:tcBorders>
          </w:tcPr>
          <w:p w:rsidR="00000000" w:rsidRDefault="00000000">
            <w:pPr>
              <w:pStyle w:val="a6"/>
              <w:jc w:val="left"/>
              <w:rPr>
                <w:lang w:val="en-US"/>
              </w:rPr>
            </w:pPr>
            <w:r>
              <w:rPr>
                <w:lang w:val="en-US"/>
              </w:rPr>
              <w:t>ARISTOTLE UNIVERSITY OF THESSALONIKI</w:t>
            </w:r>
          </w:p>
        </w:tc>
        <w:tc>
          <w:tcPr>
            <w:tcW w:w="1417" w:type="dxa"/>
            <w:tcBorders>
              <w:top w:val="nil"/>
              <w:left w:val="nil"/>
              <w:bottom w:val="nil"/>
              <w:right w:val="nil"/>
            </w:tcBorders>
            <w:vAlign w:val="center"/>
          </w:tcPr>
          <w:p w:rsidR="00000000" w:rsidRDefault="00000000">
            <w:pPr>
              <w:pStyle w:val="a6"/>
              <w:rPr>
                <w:lang w:val="en-US"/>
              </w:rPr>
            </w:pPr>
            <w:r>
              <w:rPr>
                <w:lang w:val="en-US"/>
              </w:rPr>
              <w:t>2742</w:t>
            </w:r>
          </w:p>
        </w:tc>
        <w:tc>
          <w:tcPr>
            <w:tcW w:w="1447" w:type="dxa"/>
            <w:tcBorders>
              <w:top w:val="nil"/>
              <w:left w:val="nil"/>
              <w:bottom w:val="nil"/>
              <w:right w:val="nil"/>
            </w:tcBorders>
            <w:vAlign w:val="center"/>
          </w:tcPr>
          <w:p w:rsidR="00000000" w:rsidRDefault="00000000">
            <w:pPr>
              <w:pStyle w:val="a6"/>
              <w:rPr>
                <w:lang w:val="en-US"/>
              </w:rPr>
            </w:pPr>
            <w:r>
              <w:rPr>
                <w:lang w:val="en-US"/>
              </w:rPr>
              <w:t>905</w:t>
            </w:r>
          </w:p>
        </w:tc>
      </w:tr>
      <w:tr w:rsidR="00000000">
        <w:tblPrEx>
          <w:tblCellMar>
            <w:top w:w="0" w:type="dxa"/>
            <w:bottom w:w="0" w:type="dxa"/>
          </w:tblCellMar>
        </w:tblPrEx>
        <w:trPr>
          <w:cantSplit/>
          <w:jc w:val="center"/>
        </w:trPr>
        <w:tc>
          <w:tcPr>
            <w:tcW w:w="6501" w:type="dxa"/>
            <w:tcBorders>
              <w:top w:val="nil"/>
              <w:left w:val="nil"/>
              <w:bottom w:val="nil"/>
              <w:right w:val="nil"/>
            </w:tcBorders>
          </w:tcPr>
          <w:p w:rsidR="00000000" w:rsidRDefault="00000000">
            <w:pPr>
              <w:pStyle w:val="a6"/>
              <w:jc w:val="left"/>
              <w:rPr>
                <w:lang w:val="en-US"/>
              </w:rPr>
            </w:pPr>
            <w:r>
              <w:rPr>
                <w:lang w:val="en-US"/>
              </w:rPr>
              <w:t xml:space="preserve">ATHENS UNIVERSITY OF ECONOMICS </w:t>
            </w:r>
          </w:p>
        </w:tc>
        <w:tc>
          <w:tcPr>
            <w:tcW w:w="1417" w:type="dxa"/>
            <w:tcBorders>
              <w:top w:val="nil"/>
              <w:left w:val="nil"/>
              <w:bottom w:val="nil"/>
              <w:right w:val="nil"/>
            </w:tcBorders>
            <w:vAlign w:val="center"/>
          </w:tcPr>
          <w:p w:rsidR="00000000" w:rsidRDefault="00000000">
            <w:pPr>
              <w:pStyle w:val="a6"/>
              <w:rPr>
                <w:lang w:val="en-US"/>
              </w:rPr>
            </w:pPr>
            <w:r>
              <w:rPr>
                <w:lang w:val="en-US"/>
              </w:rPr>
              <w:t>263</w:t>
            </w:r>
          </w:p>
        </w:tc>
        <w:tc>
          <w:tcPr>
            <w:tcW w:w="1447" w:type="dxa"/>
            <w:tcBorders>
              <w:top w:val="nil"/>
              <w:left w:val="nil"/>
              <w:bottom w:val="nil"/>
              <w:right w:val="nil"/>
            </w:tcBorders>
            <w:vAlign w:val="center"/>
          </w:tcPr>
          <w:p w:rsidR="00000000" w:rsidRDefault="00000000">
            <w:pPr>
              <w:pStyle w:val="a6"/>
              <w:rPr>
                <w:lang w:val="en-US"/>
              </w:rPr>
            </w:pPr>
            <w:r>
              <w:rPr>
                <w:lang w:val="en-US"/>
              </w:rPr>
              <w:t>65</w:t>
            </w:r>
          </w:p>
        </w:tc>
      </w:tr>
      <w:tr w:rsidR="00000000">
        <w:tblPrEx>
          <w:tblCellMar>
            <w:top w:w="0" w:type="dxa"/>
            <w:bottom w:w="0" w:type="dxa"/>
          </w:tblCellMar>
        </w:tblPrEx>
        <w:trPr>
          <w:cantSplit/>
          <w:jc w:val="center"/>
        </w:trPr>
        <w:tc>
          <w:tcPr>
            <w:tcW w:w="6501" w:type="dxa"/>
            <w:tcBorders>
              <w:top w:val="nil"/>
              <w:left w:val="nil"/>
              <w:bottom w:val="nil"/>
              <w:right w:val="nil"/>
            </w:tcBorders>
          </w:tcPr>
          <w:p w:rsidR="00000000" w:rsidRDefault="00000000">
            <w:pPr>
              <w:pStyle w:val="a6"/>
              <w:jc w:val="left"/>
              <w:rPr>
                <w:lang w:val="en-US"/>
              </w:rPr>
            </w:pPr>
            <w:r>
              <w:rPr>
                <w:lang w:val="en-US"/>
              </w:rPr>
              <w:t>AGRICULTURAL UNIVERSITY OF ATHENS</w:t>
            </w:r>
          </w:p>
        </w:tc>
        <w:tc>
          <w:tcPr>
            <w:tcW w:w="1417" w:type="dxa"/>
            <w:tcBorders>
              <w:top w:val="nil"/>
              <w:left w:val="nil"/>
              <w:bottom w:val="nil"/>
              <w:right w:val="nil"/>
            </w:tcBorders>
            <w:vAlign w:val="center"/>
          </w:tcPr>
          <w:p w:rsidR="00000000" w:rsidRDefault="00000000">
            <w:pPr>
              <w:pStyle w:val="a6"/>
              <w:rPr>
                <w:lang w:val="en-GB"/>
              </w:rPr>
            </w:pPr>
            <w:r>
              <w:rPr>
                <w:lang w:val="en-GB"/>
              </w:rPr>
              <w:t>246</w:t>
            </w:r>
          </w:p>
        </w:tc>
        <w:tc>
          <w:tcPr>
            <w:tcW w:w="1447" w:type="dxa"/>
            <w:tcBorders>
              <w:top w:val="nil"/>
              <w:left w:val="nil"/>
              <w:bottom w:val="nil"/>
              <w:right w:val="nil"/>
            </w:tcBorders>
            <w:vAlign w:val="center"/>
          </w:tcPr>
          <w:p w:rsidR="00000000" w:rsidRDefault="00000000">
            <w:pPr>
              <w:pStyle w:val="a6"/>
              <w:rPr>
                <w:lang w:val="en-GB"/>
              </w:rPr>
            </w:pPr>
            <w:r>
              <w:rPr>
                <w:lang w:val="en-GB"/>
              </w:rPr>
              <w:t>64</w:t>
            </w:r>
          </w:p>
        </w:tc>
      </w:tr>
      <w:tr w:rsidR="00000000">
        <w:tblPrEx>
          <w:tblCellMar>
            <w:top w:w="0" w:type="dxa"/>
            <w:bottom w:w="0" w:type="dxa"/>
          </w:tblCellMar>
        </w:tblPrEx>
        <w:trPr>
          <w:cantSplit/>
          <w:jc w:val="center"/>
        </w:trPr>
        <w:tc>
          <w:tcPr>
            <w:tcW w:w="6501" w:type="dxa"/>
            <w:tcBorders>
              <w:top w:val="nil"/>
              <w:left w:val="nil"/>
              <w:bottom w:val="nil"/>
              <w:right w:val="nil"/>
            </w:tcBorders>
          </w:tcPr>
          <w:p w:rsidR="00000000" w:rsidRDefault="00000000">
            <w:pPr>
              <w:pStyle w:val="a6"/>
              <w:jc w:val="left"/>
              <w:rPr>
                <w:lang w:val="en-GB"/>
              </w:rPr>
            </w:pPr>
            <w:r>
              <w:rPr>
                <w:lang w:val="en-US"/>
              </w:rPr>
              <w:t>ATHENS SCHOOL OF FINE ARTS</w:t>
            </w:r>
          </w:p>
        </w:tc>
        <w:tc>
          <w:tcPr>
            <w:tcW w:w="1417" w:type="dxa"/>
            <w:tcBorders>
              <w:top w:val="nil"/>
              <w:left w:val="nil"/>
              <w:bottom w:val="nil"/>
              <w:right w:val="nil"/>
            </w:tcBorders>
            <w:vAlign w:val="center"/>
          </w:tcPr>
          <w:p w:rsidR="00000000" w:rsidRDefault="00000000">
            <w:pPr>
              <w:pStyle w:val="a6"/>
              <w:rPr>
                <w:lang w:val="en-US"/>
              </w:rPr>
            </w:pPr>
            <w:r>
              <w:rPr>
                <w:lang w:val="en-US"/>
              </w:rPr>
              <w:t>71</w:t>
            </w:r>
          </w:p>
        </w:tc>
        <w:tc>
          <w:tcPr>
            <w:tcW w:w="1447" w:type="dxa"/>
            <w:tcBorders>
              <w:top w:val="nil"/>
              <w:left w:val="nil"/>
              <w:bottom w:val="nil"/>
              <w:right w:val="nil"/>
            </w:tcBorders>
            <w:vAlign w:val="center"/>
          </w:tcPr>
          <w:p w:rsidR="00000000" w:rsidRDefault="00000000">
            <w:pPr>
              <w:pStyle w:val="a6"/>
              <w:rPr>
                <w:lang w:val="en-US"/>
              </w:rPr>
            </w:pPr>
            <w:r>
              <w:rPr>
                <w:lang w:val="en-US"/>
              </w:rPr>
              <w:t>24</w:t>
            </w:r>
          </w:p>
        </w:tc>
      </w:tr>
      <w:tr w:rsidR="00000000">
        <w:tblPrEx>
          <w:tblCellMar>
            <w:top w:w="0" w:type="dxa"/>
            <w:bottom w:w="0" w:type="dxa"/>
          </w:tblCellMar>
        </w:tblPrEx>
        <w:trPr>
          <w:cantSplit/>
          <w:jc w:val="center"/>
        </w:trPr>
        <w:tc>
          <w:tcPr>
            <w:tcW w:w="6501" w:type="dxa"/>
            <w:tcBorders>
              <w:top w:val="nil"/>
              <w:left w:val="nil"/>
              <w:bottom w:val="nil"/>
              <w:right w:val="nil"/>
            </w:tcBorders>
          </w:tcPr>
          <w:p w:rsidR="00000000" w:rsidRDefault="00000000">
            <w:pPr>
              <w:pStyle w:val="a6"/>
              <w:jc w:val="left"/>
              <w:rPr>
                <w:lang w:val="en-US"/>
              </w:rPr>
            </w:pPr>
            <w:r>
              <w:rPr>
                <w:lang w:val="en-US"/>
              </w:rPr>
              <w:t>PANTEION UNIVERSITY OF SOCIAL AND POLITICAL SCIENCES</w:t>
            </w:r>
          </w:p>
        </w:tc>
        <w:tc>
          <w:tcPr>
            <w:tcW w:w="1417" w:type="dxa"/>
            <w:tcBorders>
              <w:top w:val="nil"/>
              <w:left w:val="nil"/>
              <w:bottom w:val="nil"/>
              <w:right w:val="nil"/>
            </w:tcBorders>
            <w:vAlign w:val="center"/>
          </w:tcPr>
          <w:p w:rsidR="00000000" w:rsidRDefault="00000000">
            <w:pPr>
              <w:pStyle w:val="a6"/>
              <w:rPr>
                <w:lang w:val="en-US"/>
              </w:rPr>
            </w:pPr>
            <w:r>
              <w:rPr>
                <w:lang w:val="en-US"/>
              </w:rPr>
              <w:t>312</w:t>
            </w:r>
          </w:p>
        </w:tc>
        <w:tc>
          <w:tcPr>
            <w:tcW w:w="1447" w:type="dxa"/>
            <w:tcBorders>
              <w:top w:val="nil"/>
              <w:left w:val="nil"/>
              <w:bottom w:val="nil"/>
              <w:right w:val="nil"/>
            </w:tcBorders>
            <w:vAlign w:val="center"/>
          </w:tcPr>
          <w:p w:rsidR="00000000" w:rsidRDefault="00000000">
            <w:pPr>
              <w:pStyle w:val="a6"/>
              <w:rPr>
                <w:lang w:val="en-US"/>
              </w:rPr>
            </w:pPr>
            <w:r>
              <w:rPr>
                <w:lang w:val="en-US"/>
              </w:rPr>
              <w:t>119</w:t>
            </w:r>
          </w:p>
        </w:tc>
      </w:tr>
      <w:tr w:rsidR="00000000">
        <w:tblPrEx>
          <w:tblCellMar>
            <w:top w:w="0" w:type="dxa"/>
            <w:bottom w:w="0" w:type="dxa"/>
          </w:tblCellMar>
        </w:tblPrEx>
        <w:trPr>
          <w:cantSplit/>
          <w:jc w:val="center"/>
        </w:trPr>
        <w:tc>
          <w:tcPr>
            <w:tcW w:w="6501" w:type="dxa"/>
            <w:tcBorders>
              <w:top w:val="nil"/>
              <w:left w:val="nil"/>
              <w:bottom w:val="nil"/>
              <w:right w:val="nil"/>
            </w:tcBorders>
          </w:tcPr>
          <w:p w:rsidR="00000000" w:rsidRDefault="00000000">
            <w:pPr>
              <w:pStyle w:val="a6"/>
              <w:jc w:val="left"/>
              <w:rPr>
                <w:lang w:val="en-US"/>
              </w:rPr>
            </w:pPr>
            <w:r>
              <w:rPr>
                <w:lang w:val="en-US"/>
              </w:rPr>
              <w:t>UNIVERSITY OF PIRAEUS</w:t>
            </w:r>
          </w:p>
        </w:tc>
        <w:tc>
          <w:tcPr>
            <w:tcW w:w="1417" w:type="dxa"/>
            <w:tcBorders>
              <w:top w:val="nil"/>
              <w:left w:val="nil"/>
              <w:bottom w:val="nil"/>
              <w:right w:val="nil"/>
            </w:tcBorders>
            <w:vAlign w:val="center"/>
          </w:tcPr>
          <w:p w:rsidR="00000000" w:rsidRDefault="00000000">
            <w:pPr>
              <w:pStyle w:val="a6"/>
              <w:rPr>
                <w:lang w:val="en-US"/>
              </w:rPr>
            </w:pPr>
            <w:r>
              <w:rPr>
                <w:lang w:val="en-US"/>
              </w:rPr>
              <w:t>234</w:t>
            </w:r>
          </w:p>
        </w:tc>
        <w:tc>
          <w:tcPr>
            <w:tcW w:w="1447" w:type="dxa"/>
            <w:tcBorders>
              <w:top w:val="nil"/>
              <w:left w:val="nil"/>
              <w:bottom w:val="nil"/>
              <w:right w:val="nil"/>
            </w:tcBorders>
            <w:vAlign w:val="center"/>
          </w:tcPr>
          <w:p w:rsidR="00000000" w:rsidRDefault="00000000">
            <w:pPr>
              <w:pStyle w:val="a6"/>
              <w:rPr>
                <w:lang w:val="en-US"/>
              </w:rPr>
            </w:pPr>
            <w:r>
              <w:rPr>
                <w:lang w:val="en-US"/>
              </w:rPr>
              <w:t>55</w:t>
            </w:r>
          </w:p>
        </w:tc>
      </w:tr>
      <w:tr w:rsidR="00000000">
        <w:tblPrEx>
          <w:tblCellMar>
            <w:top w:w="0" w:type="dxa"/>
            <w:bottom w:w="0" w:type="dxa"/>
          </w:tblCellMar>
        </w:tblPrEx>
        <w:trPr>
          <w:cantSplit/>
          <w:jc w:val="center"/>
        </w:trPr>
        <w:tc>
          <w:tcPr>
            <w:tcW w:w="6501" w:type="dxa"/>
            <w:tcBorders>
              <w:top w:val="nil"/>
              <w:left w:val="nil"/>
              <w:bottom w:val="nil"/>
              <w:right w:val="nil"/>
            </w:tcBorders>
          </w:tcPr>
          <w:p w:rsidR="00000000" w:rsidRDefault="00000000">
            <w:pPr>
              <w:pStyle w:val="a6"/>
              <w:jc w:val="left"/>
              <w:rPr>
                <w:lang w:val="en-US"/>
              </w:rPr>
            </w:pPr>
            <w:r>
              <w:rPr>
                <w:lang w:val="en-US"/>
              </w:rPr>
              <w:t>UNIVERSITY OF MACEDONIA</w:t>
            </w:r>
          </w:p>
        </w:tc>
        <w:tc>
          <w:tcPr>
            <w:tcW w:w="1417" w:type="dxa"/>
            <w:tcBorders>
              <w:top w:val="nil"/>
              <w:left w:val="nil"/>
              <w:bottom w:val="nil"/>
              <w:right w:val="nil"/>
            </w:tcBorders>
            <w:vAlign w:val="center"/>
          </w:tcPr>
          <w:p w:rsidR="00000000" w:rsidRDefault="00000000">
            <w:pPr>
              <w:pStyle w:val="a6"/>
              <w:rPr>
                <w:lang w:val="en-US"/>
              </w:rPr>
            </w:pPr>
            <w:r>
              <w:rPr>
                <w:lang w:val="en-US"/>
              </w:rPr>
              <w:t>234</w:t>
            </w:r>
          </w:p>
        </w:tc>
        <w:tc>
          <w:tcPr>
            <w:tcW w:w="1447" w:type="dxa"/>
            <w:tcBorders>
              <w:top w:val="nil"/>
              <w:left w:val="nil"/>
              <w:bottom w:val="nil"/>
              <w:right w:val="nil"/>
            </w:tcBorders>
            <w:vAlign w:val="center"/>
          </w:tcPr>
          <w:p w:rsidR="00000000" w:rsidRDefault="00000000">
            <w:pPr>
              <w:pStyle w:val="a6"/>
              <w:rPr>
                <w:lang w:val="en-US"/>
              </w:rPr>
            </w:pPr>
            <w:r>
              <w:rPr>
                <w:lang w:val="en-US"/>
              </w:rPr>
              <w:t>73</w:t>
            </w:r>
          </w:p>
        </w:tc>
      </w:tr>
      <w:tr w:rsidR="00000000">
        <w:tblPrEx>
          <w:tblCellMar>
            <w:top w:w="0" w:type="dxa"/>
            <w:bottom w:w="0" w:type="dxa"/>
          </w:tblCellMar>
        </w:tblPrEx>
        <w:trPr>
          <w:cantSplit/>
          <w:jc w:val="center"/>
        </w:trPr>
        <w:tc>
          <w:tcPr>
            <w:tcW w:w="6501" w:type="dxa"/>
            <w:tcBorders>
              <w:top w:val="nil"/>
              <w:left w:val="nil"/>
              <w:bottom w:val="nil"/>
              <w:right w:val="nil"/>
            </w:tcBorders>
          </w:tcPr>
          <w:p w:rsidR="00000000" w:rsidRDefault="00000000">
            <w:pPr>
              <w:pStyle w:val="a6"/>
              <w:jc w:val="left"/>
              <w:rPr>
                <w:lang w:val="en-US"/>
              </w:rPr>
            </w:pPr>
            <w:r>
              <w:rPr>
                <w:lang w:val="en-US"/>
              </w:rPr>
              <w:t>UNIVERSITY OF PATRAS</w:t>
            </w:r>
          </w:p>
        </w:tc>
        <w:tc>
          <w:tcPr>
            <w:tcW w:w="1417" w:type="dxa"/>
            <w:tcBorders>
              <w:top w:val="nil"/>
              <w:left w:val="nil"/>
              <w:bottom w:val="nil"/>
              <w:right w:val="nil"/>
            </w:tcBorders>
            <w:vAlign w:val="center"/>
          </w:tcPr>
          <w:p w:rsidR="00000000" w:rsidRDefault="00000000">
            <w:pPr>
              <w:pStyle w:val="a6"/>
              <w:rPr>
                <w:lang w:val="en-US"/>
              </w:rPr>
            </w:pPr>
            <w:r>
              <w:rPr>
                <w:lang w:val="en-US"/>
              </w:rPr>
              <w:t>858</w:t>
            </w:r>
          </w:p>
        </w:tc>
        <w:tc>
          <w:tcPr>
            <w:tcW w:w="1447" w:type="dxa"/>
            <w:tcBorders>
              <w:top w:val="nil"/>
              <w:left w:val="nil"/>
              <w:bottom w:val="nil"/>
              <w:right w:val="nil"/>
            </w:tcBorders>
            <w:vAlign w:val="center"/>
          </w:tcPr>
          <w:p w:rsidR="00000000" w:rsidRDefault="00000000">
            <w:pPr>
              <w:pStyle w:val="a6"/>
              <w:rPr>
                <w:lang w:val="en-US"/>
              </w:rPr>
            </w:pPr>
            <w:r>
              <w:rPr>
                <w:lang w:val="en-US"/>
              </w:rPr>
              <w:t>198</w:t>
            </w:r>
          </w:p>
        </w:tc>
      </w:tr>
      <w:tr w:rsidR="00000000">
        <w:tblPrEx>
          <w:tblCellMar>
            <w:top w:w="0" w:type="dxa"/>
            <w:bottom w:w="0" w:type="dxa"/>
          </w:tblCellMar>
        </w:tblPrEx>
        <w:trPr>
          <w:cantSplit/>
          <w:jc w:val="center"/>
        </w:trPr>
        <w:tc>
          <w:tcPr>
            <w:tcW w:w="6501" w:type="dxa"/>
            <w:tcBorders>
              <w:top w:val="nil"/>
              <w:left w:val="nil"/>
              <w:bottom w:val="nil"/>
              <w:right w:val="nil"/>
            </w:tcBorders>
          </w:tcPr>
          <w:p w:rsidR="00000000" w:rsidRDefault="00000000">
            <w:pPr>
              <w:pStyle w:val="a6"/>
              <w:jc w:val="left"/>
              <w:rPr>
                <w:lang w:val="en-US"/>
              </w:rPr>
            </w:pPr>
            <w:r>
              <w:rPr>
                <w:lang w:val="en-US"/>
              </w:rPr>
              <w:t>UNIVERSITY OF IOANNINA</w:t>
            </w:r>
          </w:p>
        </w:tc>
        <w:tc>
          <w:tcPr>
            <w:tcW w:w="1417" w:type="dxa"/>
            <w:tcBorders>
              <w:top w:val="nil"/>
              <w:left w:val="nil"/>
              <w:bottom w:val="nil"/>
              <w:right w:val="nil"/>
            </w:tcBorders>
            <w:vAlign w:val="center"/>
          </w:tcPr>
          <w:p w:rsidR="00000000" w:rsidRDefault="00000000">
            <w:pPr>
              <w:pStyle w:val="a6"/>
              <w:rPr>
                <w:lang w:val="en-US"/>
              </w:rPr>
            </w:pPr>
            <w:r>
              <w:rPr>
                <w:lang w:val="en-US"/>
              </w:rPr>
              <w:t>674</w:t>
            </w:r>
          </w:p>
        </w:tc>
        <w:tc>
          <w:tcPr>
            <w:tcW w:w="1447" w:type="dxa"/>
            <w:tcBorders>
              <w:top w:val="nil"/>
              <w:left w:val="nil"/>
              <w:bottom w:val="nil"/>
              <w:right w:val="nil"/>
            </w:tcBorders>
            <w:vAlign w:val="center"/>
          </w:tcPr>
          <w:p w:rsidR="00000000" w:rsidRDefault="00000000">
            <w:pPr>
              <w:pStyle w:val="a6"/>
              <w:rPr>
                <w:lang w:val="en-US"/>
              </w:rPr>
            </w:pPr>
            <w:r>
              <w:rPr>
                <w:lang w:val="en-US"/>
              </w:rPr>
              <w:t>191</w:t>
            </w:r>
          </w:p>
        </w:tc>
      </w:tr>
      <w:tr w:rsidR="00000000">
        <w:tblPrEx>
          <w:tblCellMar>
            <w:top w:w="0" w:type="dxa"/>
            <w:bottom w:w="0" w:type="dxa"/>
          </w:tblCellMar>
        </w:tblPrEx>
        <w:trPr>
          <w:cantSplit/>
          <w:jc w:val="center"/>
        </w:trPr>
        <w:tc>
          <w:tcPr>
            <w:tcW w:w="6501" w:type="dxa"/>
            <w:tcBorders>
              <w:top w:val="nil"/>
              <w:left w:val="nil"/>
              <w:bottom w:val="nil"/>
              <w:right w:val="nil"/>
            </w:tcBorders>
          </w:tcPr>
          <w:p w:rsidR="00000000" w:rsidRDefault="00000000">
            <w:pPr>
              <w:pStyle w:val="a6"/>
              <w:jc w:val="left"/>
              <w:rPr>
                <w:lang w:val="en-US"/>
              </w:rPr>
            </w:pPr>
            <w:r>
              <w:rPr>
                <w:lang w:val="en-US"/>
              </w:rPr>
              <w:t>DEMOCRITUS UNIVERSITY OF THRACE</w:t>
            </w:r>
          </w:p>
        </w:tc>
        <w:tc>
          <w:tcPr>
            <w:tcW w:w="1417" w:type="dxa"/>
            <w:tcBorders>
              <w:top w:val="nil"/>
              <w:left w:val="nil"/>
              <w:bottom w:val="nil"/>
              <w:right w:val="nil"/>
            </w:tcBorders>
            <w:vAlign w:val="center"/>
          </w:tcPr>
          <w:p w:rsidR="00000000" w:rsidRDefault="00000000">
            <w:pPr>
              <w:pStyle w:val="a6"/>
              <w:rPr>
                <w:lang w:val="en-US"/>
              </w:rPr>
            </w:pPr>
            <w:r>
              <w:rPr>
                <w:lang w:val="en-US"/>
              </w:rPr>
              <w:t>768</w:t>
            </w:r>
          </w:p>
        </w:tc>
        <w:tc>
          <w:tcPr>
            <w:tcW w:w="1447" w:type="dxa"/>
            <w:tcBorders>
              <w:top w:val="nil"/>
              <w:left w:val="nil"/>
              <w:bottom w:val="nil"/>
              <w:right w:val="nil"/>
            </w:tcBorders>
            <w:vAlign w:val="center"/>
          </w:tcPr>
          <w:p w:rsidR="00000000" w:rsidRDefault="00000000">
            <w:pPr>
              <w:pStyle w:val="a6"/>
              <w:rPr>
                <w:lang w:val="en-US"/>
              </w:rPr>
            </w:pPr>
            <w:r>
              <w:rPr>
                <w:lang w:val="en-US"/>
              </w:rPr>
              <w:t>218</w:t>
            </w:r>
          </w:p>
        </w:tc>
      </w:tr>
      <w:tr w:rsidR="00000000">
        <w:tblPrEx>
          <w:tblCellMar>
            <w:top w:w="0" w:type="dxa"/>
            <w:bottom w:w="0" w:type="dxa"/>
          </w:tblCellMar>
        </w:tblPrEx>
        <w:trPr>
          <w:cantSplit/>
          <w:jc w:val="center"/>
        </w:trPr>
        <w:tc>
          <w:tcPr>
            <w:tcW w:w="6501" w:type="dxa"/>
            <w:tcBorders>
              <w:top w:val="nil"/>
              <w:left w:val="nil"/>
              <w:bottom w:val="nil"/>
              <w:right w:val="nil"/>
            </w:tcBorders>
          </w:tcPr>
          <w:p w:rsidR="00000000" w:rsidRDefault="00000000">
            <w:pPr>
              <w:pStyle w:val="a6"/>
              <w:jc w:val="left"/>
              <w:rPr>
                <w:lang w:val="en-US"/>
              </w:rPr>
            </w:pPr>
            <w:r>
              <w:rPr>
                <w:lang w:val="en-US"/>
              </w:rPr>
              <w:t>UNIVERSITY OF CRETE</w:t>
            </w:r>
          </w:p>
        </w:tc>
        <w:tc>
          <w:tcPr>
            <w:tcW w:w="1417" w:type="dxa"/>
            <w:tcBorders>
              <w:top w:val="nil"/>
              <w:left w:val="nil"/>
              <w:bottom w:val="nil"/>
              <w:right w:val="nil"/>
            </w:tcBorders>
            <w:vAlign w:val="center"/>
          </w:tcPr>
          <w:p w:rsidR="00000000" w:rsidRDefault="00000000">
            <w:pPr>
              <w:pStyle w:val="a6"/>
              <w:rPr>
                <w:lang w:val="en-US"/>
              </w:rPr>
            </w:pPr>
            <w:r>
              <w:rPr>
                <w:lang w:val="en-US"/>
              </w:rPr>
              <w:t>583</w:t>
            </w:r>
          </w:p>
        </w:tc>
        <w:tc>
          <w:tcPr>
            <w:tcW w:w="1447" w:type="dxa"/>
            <w:tcBorders>
              <w:top w:val="nil"/>
              <w:left w:val="nil"/>
              <w:bottom w:val="nil"/>
              <w:right w:val="nil"/>
            </w:tcBorders>
            <w:vAlign w:val="center"/>
          </w:tcPr>
          <w:p w:rsidR="00000000" w:rsidRDefault="00000000">
            <w:pPr>
              <w:pStyle w:val="a6"/>
              <w:rPr>
                <w:lang w:val="en-US"/>
              </w:rPr>
            </w:pPr>
            <w:r>
              <w:rPr>
                <w:lang w:val="en-US"/>
              </w:rPr>
              <w:t>154</w:t>
            </w:r>
          </w:p>
        </w:tc>
      </w:tr>
      <w:tr w:rsidR="00000000">
        <w:tblPrEx>
          <w:tblCellMar>
            <w:top w:w="0" w:type="dxa"/>
            <w:bottom w:w="0" w:type="dxa"/>
          </w:tblCellMar>
        </w:tblPrEx>
        <w:trPr>
          <w:cantSplit/>
          <w:jc w:val="center"/>
        </w:trPr>
        <w:tc>
          <w:tcPr>
            <w:tcW w:w="6501" w:type="dxa"/>
            <w:tcBorders>
              <w:top w:val="nil"/>
              <w:left w:val="nil"/>
              <w:bottom w:val="nil"/>
              <w:right w:val="nil"/>
            </w:tcBorders>
          </w:tcPr>
          <w:p w:rsidR="00000000" w:rsidRDefault="00000000">
            <w:pPr>
              <w:pStyle w:val="a6"/>
              <w:jc w:val="left"/>
              <w:rPr>
                <w:lang w:val="en-US"/>
              </w:rPr>
            </w:pPr>
            <w:r>
              <w:rPr>
                <w:lang w:val="en-US"/>
              </w:rPr>
              <w:t>TECHNICAL UNIVERSITY OF CRETE</w:t>
            </w:r>
          </w:p>
        </w:tc>
        <w:tc>
          <w:tcPr>
            <w:tcW w:w="1417" w:type="dxa"/>
            <w:tcBorders>
              <w:top w:val="nil"/>
              <w:left w:val="nil"/>
              <w:bottom w:val="nil"/>
              <w:right w:val="nil"/>
            </w:tcBorders>
            <w:vAlign w:val="center"/>
          </w:tcPr>
          <w:p w:rsidR="00000000" w:rsidRDefault="00000000">
            <w:pPr>
              <w:pStyle w:val="a6"/>
              <w:rPr>
                <w:lang w:val="en-US"/>
              </w:rPr>
            </w:pPr>
            <w:r>
              <w:rPr>
                <w:lang w:val="en-US"/>
              </w:rPr>
              <w:t>227</w:t>
            </w:r>
          </w:p>
        </w:tc>
        <w:tc>
          <w:tcPr>
            <w:tcW w:w="1447" w:type="dxa"/>
            <w:tcBorders>
              <w:top w:val="nil"/>
              <w:left w:val="nil"/>
              <w:bottom w:val="nil"/>
              <w:right w:val="nil"/>
            </w:tcBorders>
            <w:vAlign w:val="center"/>
          </w:tcPr>
          <w:p w:rsidR="00000000" w:rsidRDefault="00000000">
            <w:pPr>
              <w:pStyle w:val="a6"/>
              <w:rPr>
                <w:lang w:val="en-US"/>
              </w:rPr>
            </w:pPr>
            <w:r>
              <w:rPr>
                <w:lang w:val="en-US"/>
              </w:rPr>
              <w:t>55</w:t>
            </w:r>
          </w:p>
        </w:tc>
      </w:tr>
      <w:tr w:rsidR="00000000">
        <w:tblPrEx>
          <w:tblCellMar>
            <w:top w:w="0" w:type="dxa"/>
            <w:bottom w:w="0" w:type="dxa"/>
          </w:tblCellMar>
        </w:tblPrEx>
        <w:trPr>
          <w:cantSplit/>
          <w:jc w:val="center"/>
        </w:trPr>
        <w:tc>
          <w:tcPr>
            <w:tcW w:w="6501" w:type="dxa"/>
            <w:tcBorders>
              <w:top w:val="nil"/>
              <w:left w:val="nil"/>
              <w:bottom w:val="nil"/>
              <w:right w:val="nil"/>
            </w:tcBorders>
          </w:tcPr>
          <w:p w:rsidR="00000000" w:rsidRDefault="00000000">
            <w:pPr>
              <w:pStyle w:val="a6"/>
              <w:jc w:val="left"/>
              <w:rPr>
                <w:lang w:val="en-US"/>
              </w:rPr>
            </w:pPr>
            <w:r>
              <w:rPr>
                <w:lang w:val="en-US"/>
              </w:rPr>
              <w:t xml:space="preserve">UNIVERSITY OF THE AEGEAN </w:t>
            </w:r>
          </w:p>
        </w:tc>
        <w:tc>
          <w:tcPr>
            <w:tcW w:w="1417" w:type="dxa"/>
            <w:tcBorders>
              <w:top w:val="nil"/>
              <w:left w:val="nil"/>
              <w:bottom w:val="nil"/>
              <w:right w:val="nil"/>
            </w:tcBorders>
            <w:vAlign w:val="center"/>
          </w:tcPr>
          <w:p w:rsidR="00000000" w:rsidRDefault="00000000">
            <w:pPr>
              <w:pStyle w:val="a6"/>
              <w:rPr>
                <w:lang w:val="en-US"/>
              </w:rPr>
            </w:pPr>
            <w:r>
              <w:rPr>
                <w:lang w:val="en-US"/>
              </w:rPr>
              <w:t>393</w:t>
            </w:r>
          </w:p>
        </w:tc>
        <w:tc>
          <w:tcPr>
            <w:tcW w:w="1447" w:type="dxa"/>
            <w:tcBorders>
              <w:top w:val="nil"/>
              <w:left w:val="nil"/>
              <w:bottom w:val="nil"/>
              <w:right w:val="nil"/>
            </w:tcBorders>
            <w:vAlign w:val="center"/>
          </w:tcPr>
          <w:p w:rsidR="00000000" w:rsidRDefault="00000000">
            <w:pPr>
              <w:pStyle w:val="a6"/>
              <w:rPr>
                <w:lang w:val="en-US"/>
              </w:rPr>
            </w:pPr>
            <w:r>
              <w:rPr>
                <w:lang w:val="en-US"/>
              </w:rPr>
              <w:t>127</w:t>
            </w:r>
          </w:p>
        </w:tc>
      </w:tr>
      <w:tr w:rsidR="00000000">
        <w:tblPrEx>
          <w:tblCellMar>
            <w:top w:w="0" w:type="dxa"/>
            <w:bottom w:w="0" w:type="dxa"/>
          </w:tblCellMar>
        </w:tblPrEx>
        <w:trPr>
          <w:cantSplit/>
          <w:jc w:val="center"/>
        </w:trPr>
        <w:tc>
          <w:tcPr>
            <w:tcW w:w="6501" w:type="dxa"/>
            <w:tcBorders>
              <w:top w:val="nil"/>
              <w:left w:val="nil"/>
              <w:bottom w:val="nil"/>
              <w:right w:val="nil"/>
            </w:tcBorders>
          </w:tcPr>
          <w:p w:rsidR="00000000" w:rsidRDefault="00000000">
            <w:pPr>
              <w:pStyle w:val="a6"/>
              <w:jc w:val="left"/>
              <w:rPr>
                <w:lang w:val="en-US"/>
              </w:rPr>
            </w:pPr>
            <w:r>
              <w:rPr>
                <w:lang w:val="en-US"/>
              </w:rPr>
              <w:t>IONIAN UNIVERSITY</w:t>
            </w:r>
          </w:p>
        </w:tc>
        <w:tc>
          <w:tcPr>
            <w:tcW w:w="1417" w:type="dxa"/>
            <w:tcBorders>
              <w:top w:val="nil"/>
              <w:left w:val="nil"/>
              <w:bottom w:val="nil"/>
              <w:right w:val="nil"/>
            </w:tcBorders>
            <w:vAlign w:val="center"/>
          </w:tcPr>
          <w:p w:rsidR="00000000" w:rsidRDefault="00000000">
            <w:pPr>
              <w:pStyle w:val="a6"/>
              <w:rPr>
                <w:lang w:val="en-US"/>
              </w:rPr>
            </w:pPr>
            <w:r>
              <w:rPr>
                <w:lang w:val="en-US"/>
              </w:rPr>
              <w:t>127</w:t>
            </w:r>
          </w:p>
        </w:tc>
        <w:tc>
          <w:tcPr>
            <w:tcW w:w="1447" w:type="dxa"/>
            <w:tcBorders>
              <w:top w:val="nil"/>
              <w:left w:val="nil"/>
              <w:bottom w:val="nil"/>
              <w:right w:val="nil"/>
            </w:tcBorders>
            <w:vAlign w:val="center"/>
          </w:tcPr>
          <w:p w:rsidR="00000000" w:rsidRDefault="00000000">
            <w:pPr>
              <w:pStyle w:val="a6"/>
              <w:rPr>
                <w:lang w:val="en-US"/>
              </w:rPr>
            </w:pPr>
            <w:r>
              <w:rPr>
                <w:lang w:val="en-US"/>
              </w:rPr>
              <w:t>44</w:t>
            </w:r>
          </w:p>
        </w:tc>
      </w:tr>
      <w:tr w:rsidR="00000000">
        <w:tblPrEx>
          <w:tblCellMar>
            <w:top w:w="0" w:type="dxa"/>
            <w:bottom w:w="0" w:type="dxa"/>
          </w:tblCellMar>
        </w:tblPrEx>
        <w:trPr>
          <w:cantSplit/>
          <w:jc w:val="center"/>
        </w:trPr>
        <w:tc>
          <w:tcPr>
            <w:tcW w:w="6501" w:type="dxa"/>
            <w:tcBorders>
              <w:top w:val="nil"/>
              <w:left w:val="nil"/>
              <w:bottom w:val="nil"/>
              <w:right w:val="nil"/>
            </w:tcBorders>
          </w:tcPr>
          <w:p w:rsidR="00000000" w:rsidRDefault="00000000">
            <w:pPr>
              <w:pStyle w:val="a6"/>
              <w:jc w:val="left"/>
              <w:rPr>
                <w:lang w:val="en-US"/>
              </w:rPr>
            </w:pPr>
            <w:r>
              <w:rPr>
                <w:lang w:val="en-US"/>
              </w:rPr>
              <w:t>UNIVERSITY OF THESSALY</w:t>
            </w:r>
          </w:p>
        </w:tc>
        <w:tc>
          <w:tcPr>
            <w:tcW w:w="1417" w:type="dxa"/>
            <w:tcBorders>
              <w:top w:val="nil"/>
              <w:left w:val="nil"/>
              <w:bottom w:val="nil"/>
              <w:right w:val="nil"/>
            </w:tcBorders>
            <w:vAlign w:val="center"/>
          </w:tcPr>
          <w:p w:rsidR="00000000" w:rsidRDefault="00000000">
            <w:pPr>
              <w:pStyle w:val="a6"/>
              <w:rPr>
                <w:lang w:val="en-US"/>
              </w:rPr>
            </w:pPr>
            <w:r>
              <w:rPr>
                <w:lang w:val="en-US"/>
              </w:rPr>
              <w:t>711</w:t>
            </w:r>
          </w:p>
        </w:tc>
        <w:tc>
          <w:tcPr>
            <w:tcW w:w="1447" w:type="dxa"/>
            <w:tcBorders>
              <w:top w:val="nil"/>
              <w:left w:val="nil"/>
              <w:bottom w:val="nil"/>
              <w:right w:val="nil"/>
            </w:tcBorders>
            <w:vAlign w:val="center"/>
          </w:tcPr>
          <w:p w:rsidR="00000000" w:rsidRDefault="00000000">
            <w:pPr>
              <w:pStyle w:val="a6"/>
              <w:rPr>
                <w:lang w:val="en-US"/>
              </w:rPr>
            </w:pPr>
            <w:r>
              <w:rPr>
                <w:lang w:val="en-US"/>
              </w:rPr>
              <w:t>224</w:t>
            </w:r>
          </w:p>
        </w:tc>
      </w:tr>
      <w:tr w:rsidR="00000000">
        <w:tblPrEx>
          <w:tblCellMar>
            <w:top w:w="0" w:type="dxa"/>
            <w:bottom w:w="0" w:type="dxa"/>
          </w:tblCellMar>
        </w:tblPrEx>
        <w:trPr>
          <w:cantSplit/>
          <w:jc w:val="center"/>
        </w:trPr>
        <w:tc>
          <w:tcPr>
            <w:tcW w:w="6501" w:type="dxa"/>
            <w:tcBorders>
              <w:top w:val="nil"/>
              <w:left w:val="nil"/>
              <w:bottom w:val="nil"/>
              <w:right w:val="nil"/>
            </w:tcBorders>
          </w:tcPr>
          <w:p w:rsidR="00000000" w:rsidRDefault="00000000">
            <w:pPr>
              <w:pStyle w:val="a6"/>
              <w:jc w:val="left"/>
              <w:rPr>
                <w:lang w:val="en-US"/>
              </w:rPr>
            </w:pPr>
            <w:r>
              <w:rPr>
                <w:lang w:val="en-US"/>
              </w:rPr>
              <w:t>HAROKOPIO UNIVERSITY</w:t>
            </w:r>
          </w:p>
        </w:tc>
        <w:tc>
          <w:tcPr>
            <w:tcW w:w="1417" w:type="dxa"/>
            <w:tcBorders>
              <w:top w:val="nil"/>
              <w:left w:val="nil"/>
              <w:bottom w:val="nil"/>
              <w:right w:val="nil"/>
            </w:tcBorders>
            <w:vAlign w:val="center"/>
          </w:tcPr>
          <w:p w:rsidR="00000000" w:rsidRDefault="00000000">
            <w:pPr>
              <w:pStyle w:val="a6"/>
              <w:rPr>
                <w:lang w:val="en-US"/>
              </w:rPr>
            </w:pPr>
            <w:r>
              <w:rPr>
                <w:lang w:val="en-US"/>
              </w:rPr>
              <w:t>90</w:t>
            </w:r>
          </w:p>
        </w:tc>
        <w:tc>
          <w:tcPr>
            <w:tcW w:w="1447" w:type="dxa"/>
            <w:tcBorders>
              <w:top w:val="nil"/>
              <w:left w:val="nil"/>
              <w:bottom w:val="nil"/>
              <w:right w:val="nil"/>
            </w:tcBorders>
            <w:vAlign w:val="center"/>
          </w:tcPr>
          <w:p w:rsidR="00000000" w:rsidRDefault="00000000">
            <w:pPr>
              <w:pStyle w:val="a6"/>
              <w:rPr>
                <w:lang w:val="en-US"/>
              </w:rPr>
            </w:pPr>
            <w:r>
              <w:rPr>
                <w:lang w:val="en-US"/>
              </w:rPr>
              <w:t>51</w:t>
            </w:r>
          </w:p>
        </w:tc>
      </w:tr>
      <w:tr w:rsidR="00000000">
        <w:tblPrEx>
          <w:tblCellMar>
            <w:top w:w="0" w:type="dxa"/>
            <w:bottom w:w="0" w:type="dxa"/>
          </w:tblCellMar>
        </w:tblPrEx>
        <w:trPr>
          <w:cantSplit/>
          <w:jc w:val="center"/>
        </w:trPr>
        <w:tc>
          <w:tcPr>
            <w:tcW w:w="6501" w:type="dxa"/>
            <w:tcBorders>
              <w:top w:val="nil"/>
              <w:left w:val="nil"/>
              <w:bottom w:val="nil"/>
              <w:right w:val="nil"/>
            </w:tcBorders>
          </w:tcPr>
          <w:p w:rsidR="00000000" w:rsidRDefault="00000000">
            <w:pPr>
              <w:pStyle w:val="a6"/>
              <w:jc w:val="left"/>
              <w:rPr>
                <w:lang w:val="en-US"/>
              </w:rPr>
            </w:pPr>
            <w:r>
              <w:rPr>
                <w:lang w:val="en-US"/>
              </w:rPr>
              <w:t>HELLENIC OPEN UNIVERSITY</w:t>
            </w:r>
          </w:p>
        </w:tc>
        <w:tc>
          <w:tcPr>
            <w:tcW w:w="1417" w:type="dxa"/>
            <w:tcBorders>
              <w:top w:val="nil"/>
              <w:left w:val="nil"/>
              <w:bottom w:val="nil"/>
              <w:right w:val="nil"/>
            </w:tcBorders>
            <w:vAlign w:val="center"/>
          </w:tcPr>
          <w:p w:rsidR="00000000" w:rsidRDefault="00000000">
            <w:pPr>
              <w:pStyle w:val="a6"/>
              <w:rPr>
                <w:lang w:val="en-US"/>
              </w:rPr>
            </w:pPr>
            <w:r>
              <w:rPr>
                <w:lang w:val="en-US"/>
              </w:rPr>
              <w:t>725</w:t>
            </w:r>
          </w:p>
        </w:tc>
        <w:tc>
          <w:tcPr>
            <w:tcW w:w="1447" w:type="dxa"/>
            <w:tcBorders>
              <w:top w:val="nil"/>
              <w:left w:val="nil"/>
              <w:bottom w:val="nil"/>
              <w:right w:val="nil"/>
            </w:tcBorders>
            <w:vAlign w:val="center"/>
          </w:tcPr>
          <w:p w:rsidR="00000000" w:rsidRDefault="00000000">
            <w:pPr>
              <w:pStyle w:val="a6"/>
              <w:rPr>
                <w:lang w:val="en-US"/>
              </w:rPr>
            </w:pPr>
            <w:r>
              <w:rPr>
                <w:lang w:val="en-US"/>
              </w:rPr>
              <w:t>221</w:t>
            </w:r>
          </w:p>
        </w:tc>
      </w:tr>
      <w:tr w:rsidR="00000000">
        <w:tblPrEx>
          <w:tblCellMar>
            <w:top w:w="0" w:type="dxa"/>
            <w:bottom w:w="0" w:type="dxa"/>
          </w:tblCellMar>
        </w:tblPrEx>
        <w:trPr>
          <w:cantSplit/>
          <w:jc w:val="center"/>
        </w:trPr>
        <w:tc>
          <w:tcPr>
            <w:tcW w:w="6501" w:type="dxa"/>
            <w:tcBorders>
              <w:top w:val="nil"/>
              <w:left w:val="nil"/>
              <w:right w:val="nil"/>
            </w:tcBorders>
          </w:tcPr>
          <w:p w:rsidR="00000000" w:rsidRDefault="00000000">
            <w:pPr>
              <w:pStyle w:val="a6"/>
              <w:jc w:val="left"/>
              <w:rPr>
                <w:b/>
                <w:w w:val="150"/>
                <w:lang w:val="en-US"/>
              </w:rPr>
            </w:pPr>
            <w:r>
              <w:rPr>
                <w:b/>
                <w:w w:val="150"/>
                <w:lang w:val="en-US"/>
              </w:rPr>
              <w:t>GENERAL TOTAL</w:t>
            </w:r>
          </w:p>
        </w:tc>
        <w:tc>
          <w:tcPr>
            <w:tcW w:w="1417" w:type="dxa"/>
            <w:tcBorders>
              <w:top w:val="nil"/>
              <w:left w:val="nil"/>
              <w:right w:val="nil"/>
            </w:tcBorders>
            <w:vAlign w:val="center"/>
          </w:tcPr>
          <w:p w:rsidR="00000000" w:rsidRDefault="00000000">
            <w:pPr>
              <w:pStyle w:val="a6"/>
              <w:rPr>
                <w:b/>
                <w:w w:val="150"/>
                <w:lang w:val="en-US"/>
              </w:rPr>
            </w:pPr>
            <w:r>
              <w:rPr>
                <w:b/>
                <w:w w:val="150"/>
                <w:lang w:val="en-US"/>
              </w:rPr>
              <w:t>12386</w:t>
            </w:r>
          </w:p>
        </w:tc>
        <w:tc>
          <w:tcPr>
            <w:tcW w:w="1447" w:type="dxa"/>
            <w:tcBorders>
              <w:top w:val="nil"/>
              <w:left w:val="nil"/>
              <w:right w:val="nil"/>
            </w:tcBorders>
            <w:vAlign w:val="center"/>
          </w:tcPr>
          <w:p w:rsidR="00000000" w:rsidRDefault="00000000">
            <w:pPr>
              <w:pStyle w:val="a6"/>
              <w:rPr>
                <w:b/>
                <w:w w:val="150"/>
                <w:lang w:val="en-US"/>
              </w:rPr>
            </w:pPr>
            <w:r>
              <w:rPr>
                <w:b/>
                <w:w w:val="150"/>
                <w:lang w:val="en-US"/>
              </w:rPr>
              <w:t>3811</w:t>
            </w:r>
          </w:p>
        </w:tc>
      </w:tr>
    </w:tbl>
    <w:p w:rsidR="00000000" w:rsidRDefault="00000000">
      <w:pPr>
        <w:tabs>
          <w:tab w:val="left" w:pos="567"/>
          <w:tab w:val="left" w:pos="1021"/>
          <w:tab w:val="left" w:pos="1474"/>
          <w:tab w:val="left" w:pos="1928"/>
        </w:tabs>
        <w:jc w:val="center"/>
        <w:rPr>
          <w:b/>
          <w:color w:val="000000"/>
          <w:lang w:val="en-GB"/>
        </w:rPr>
      </w:pPr>
      <w:r>
        <w:rPr>
          <w:b/>
          <w:color w:val="000000"/>
          <w:lang w:val="en-US"/>
        </w:rPr>
        <w:br/>
        <w:t xml:space="preserve">TABLE </w:t>
      </w:r>
      <w:r>
        <w:rPr>
          <w:b/>
          <w:color w:val="000000"/>
          <w:lang w:val="en-GB"/>
        </w:rPr>
        <w:t xml:space="preserve"> 15</w:t>
      </w:r>
    </w:p>
    <w:p w:rsidR="00000000" w:rsidRDefault="00000000">
      <w:pPr>
        <w:pStyle w:val="-0"/>
        <w:rPr>
          <w:b/>
          <w:color w:val="000000"/>
          <w:lang w:val="en-GB"/>
        </w:rPr>
      </w:pPr>
      <w:r>
        <w:rPr>
          <w:color w:val="000000"/>
          <w:lang w:val="en-GB"/>
        </w:rPr>
        <w:t>(</w:t>
      </w:r>
      <w:r>
        <w:rPr>
          <w:color w:val="000000"/>
          <w:lang w:val="en-US"/>
        </w:rPr>
        <w:t>Source</w:t>
      </w:r>
      <w:r>
        <w:rPr>
          <w:color w:val="000000"/>
          <w:lang w:val="en-GB"/>
        </w:rPr>
        <w:t xml:space="preserve"> </w:t>
      </w:r>
      <w:r>
        <w:rPr>
          <w:lang w:val="en-US"/>
        </w:rPr>
        <w:t>Ministry of National Education and Religious Affairs</w:t>
      </w:r>
      <w:r>
        <w:rPr>
          <w:color w:val="000000"/>
          <w:lang w:val="en-GB"/>
        </w:rPr>
        <w:t xml:space="preserve">, </w:t>
      </w:r>
      <w:r>
        <w:rPr>
          <w:lang w:val="en-GB"/>
        </w:rPr>
        <w:t>Directorate for Planning and Operational Research</w:t>
      </w:r>
      <w:r>
        <w:rPr>
          <w:color w:val="000000"/>
          <w:lang w:val="en-GB"/>
        </w:rPr>
        <w:t>, Dept. of Op. Research  &amp; Statistics)</w:t>
      </w:r>
    </w:p>
    <w:p w:rsidR="00000000" w:rsidRDefault="00000000">
      <w:pPr>
        <w:tabs>
          <w:tab w:val="left" w:pos="567"/>
          <w:tab w:val="left" w:pos="1021"/>
          <w:tab w:val="left" w:pos="1474"/>
          <w:tab w:val="left" w:pos="1928"/>
        </w:tabs>
        <w:jc w:val="center"/>
        <w:rPr>
          <w:b/>
          <w:color w:val="000000"/>
          <w:lang w:val="en-GB"/>
        </w:rPr>
      </w:pPr>
    </w:p>
    <w:p w:rsidR="00000000" w:rsidRDefault="00000000">
      <w:pPr>
        <w:pStyle w:val="Heading2"/>
        <w:spacing w:line="360" w:lineRule="auto"/>
        <w:rPr>
          <w:lang w:val="en-GB"/>
        </w:rPr>
      </w:pPr>
      <w:r>
        <w:rPr>
          <w:b/>
          <w:lang w:val="en-GB"/>
        </w:rPr>
        <w:t>ANNEX E</w:t>
      </w:r>
      <w:r>
        <w:rPr>
          <w:lang w:val="en-GB"/>
        </w:rPr>
        <w:br/>
        <w:t>(ARTICLE 11)</w:t>
      </w:r>
    </w:p>
    <w:p w:rsidR="00000000" w:rsidRDefault="00000000">
      <w:pPr>
        <w:tabs>
          <w:tab w:val="left" w:pos="567"/>
          <w:tab w:val="left" w:pos="1021"/>
          <w:tab w:val="left" w:pos="1474"/>
          <w:tab w:val="left" w:pos="1928"/>
        </w:tabs>
        <w:jc w:val="center"/>
        <w:rPr>
          <w:b/>
          <w:color w:val="000000"/>
          <w:lang w:val="en-GB"/>
        </w:rPr>
      </w:pPr>
      <w:r>
        <w:rPr>
          <w:b/>
          <w:color w:val="000000"/>
          <w:lang w:val="en-GB"/>
        </w:rPr>
        <w:t>MEASURES AGAINST UNEMPLOYMENT – MEASURES FOR THE INCREASE OF WOMEN’S EMPLOYMENT</w:t>
      </w:r>
    </w:p>
    <w:p w:rsidR="00000000" w:rsidRDefault="00000000">
      <w:pPr>
        <w:tabs>
          <w:tab w:val="left" w:pos="567"/>
          <w:tab w:val="left" w:pos="1021"/>
          <w:tab w:val="left" w:pos="1474"/>
          <w:tab w:val="left" w:pos="1928"/>
        </w:tabs>
        <w:jc w:val="center"/>
        <w:rPr>
          <w:color w:val="000000"/>
          <w:lang w:val="en-GB"/>
        </w:rPr>
      </w:pPr>
      <w:r>
        <w:rPr>
          <w:color w:val="000000"/>
          <w:lang w:val="en-GB"/>
        </w:rPr>
        <w:t>A. GENDER EQUALITY AND THE 3</w:t>
      </w:r>
      <w:r>
        <w:rPr>
          <w:color w:val="000000"/>
          <w:vertAlign w:val="superscript"/>
          <w:lang w:val="en-GB"/>
        </w:rPr>
        <w:t>RD</w:t>
      </w:r>
      <w:r>
        <w:rPr>
          <w:color w:val="000000"/>
          <w:lang w:val="en-GB"/>
        </w:rPr>
        <w:t xml:space="preserve"> COMMUNITY SUPPORT FRAMEWORK</w:t>
      </w:r>
    </w:p>
    <w:p w:rsidR="00000000" w:rsidRDefault="00000000">
      <w:pPr>
        <w:numPr>
          <w:ilvl w:val="0"/>
          <w:numId w:val="356"/>
        </w:numPr>
        <w:tabs>
          <w:tab w:val="clear" w:pos="360"/>
          <w:tab w:val="left" w:pos="567"/>
          <w:tab w:val="left" w:pos="1021"/>
          <w:tab w:val="left" w:pos="1474"/>
          <w:tab w:val="left" w:pos="1928"/>
        </w:tabs>
        <w:ind w:left="567" w:hanging="567"/>
        <w:rPr>
          <w:color w:val="000000"/>
          <w:lang w:val="en-GB"/>
        </w:rPr>
      </w:pPr>
      <w:r>
        <w:rPr>
          <w:color w:val="000000"/>
          <w:lang w:val="en-US"/>
        </w:rPr>
        <w:t>The</w:t>
      </w:r>
      <w:r>
        <w:rPr>
          <w:color w:val="000000"/>
          <w:lang w:val="en-GB"/>
        </w:rPr>
        <w:t xml:space="preserve"> 3</w:t>
      </w:r>
      <w:r>
        <w:rPr>
          <w:color w:val="000000"/>
          <w:vertAlign w:val="superscript"/>
          <w:lang w:val="en-US"/>
        </w:rPr>
        <w:t>rd</w:t>
      </w:r>
      <w:r>
        <w:rPr>
          <w:color w:val="000000"/>
          <w:lang w:val="en-GB"/>
        </w:rPr>
        <w:t xml:space="preserve"> </w:t>
      </w:r>
      <w:r>
        <w:rPr>
          <w:color w:val="000000"/>
          <w:lang w:val="en-US"/>
        </w:rPr>
        <w:t>Community</w:t>
      </w:r>
      <w:r>
        <w:rPr>
          <w:color w:val="000000"/>
          <w:lang w:val="en-GB"/>
        </w:rPr>
        <w:t xml:space="preserve"> </w:t>
      </w:r>
      <w:r>
        <w:rPr>
          <w:color w:val="000000"/>
          <w:lang w:val="en-US"/>
        </w:rPr>
        <w:t>Support</w:t>
      </w:r>
      <w:r>
        <w:rPr>
          <w:color w:val="000000"/>
          <w:lang w:val="en-GB"/>
        </w:rPr>
        <w:t xml:space="preserve"> </w:t>
      </w:r>
      <w:r>
        <w:rPr>
          <w:color w:val="000000"/>
          <w:lang w:val="en-US"/>
        </w:rPr>
        <w:t>Framework</w:t>
      </w:r>
      <w:r>
        <w:rPr>
          <w:color w:val="000000"/>
          <w:lang w:val="en-GB"/>
        </w:rPr>
        <w:t xml:space="preserve">, </w:t>
      </w:r>
      <w:r>
        <w:rPr>
          <w:color w:val="000000"/>
          <w:lang w:val="en-US"/>
        </w:rPr>
        <w:t>drafting</w:t>
      </w:r>
      <w:r>
        <w:rPr>
          <w:color w:val="000000"/>
          <w:lang w:val="en-GB"/>
        </w:rPr>
        <w:t xml:space="preserve"> </w:t>
      </w:r>
      <w:r>
        <w:rPr>
          <w:color w:val="000000"/>
          <w:lang w:val="en-US"/>
        </w:rPr>
        <w:t>strategic</w:t>
      </w:r>
      <w:r>
        <w:rPr>
          <w:color w:val="000000"/>
          <w:lang w:val="en-GB"/>
        </w:rPr>
        <w:t xml:space="preserve"> </w:t>
      </w:r>
      <w:r>
        <w:rPr>
          <w:color w:val="000000"/>
          <w:lang w:val="en-US"/>
        </w:rPr>
        <w:t>priorities</w:t>
      </w:r>
      <w:r>
        <w:rPr>
          <w:color w:val="000000"/>
          <w:lang w:val="en-GB"/>
        </w:rPr>
        <w:t xml:space="preserve"> </w:t>
      </w:r>
      <w:r>
        <w:rPr>
          <w:color w:val="000000"/>
          <w:lang w:val="en-US"/>
        </w:rPr>
        <w:t>concerning</w:t>
      </w:r>
      <w:r>
        <w:rPr>
          <w:color w:val="000000"/>
          <w:lang w:val="en-GB"/>
        </w:rPr>
        <w:t xml:space="preserve"> the </w:t>
      </w:r>
      <w:r>
        <w:rPr>
          <w:color w:val="000000"/>
          <w:lang w:val="en-US"/>
        </w:rPr>
        <w:t>development</w:t>
      </w:r>
      <w:r>
        <w:rPr>
          <w:color w:val="000000"/>
          <w:lang w:val="en-GB"/>
        </w:rPr>
        <w:t xml:space="preserve"> </w:t>
      </w:r>
      <w:r>
        <w:rPr>
          <w:color w:val="000000"/>
          <w:lang w:val="en-US"/>
        </w:rPr>
        <w:t>of</w:t>
      </w:r>
      <w:r>
        <w:rPr>
          <w:color w:val="000000"/>
          <w:lang w:val="en-GB"/>
        </w:rPr>
        <w:t xml:space="preserve"> </w:t>
      </w:r>
      <w:r>
        <w:rPr>
          <w:color w:val="000000"/>
          <w:lang w:val="en-US"/>
        </w:rPr>
        <w:t>human</w:t>
      </w:r>
      <w:r>
        <w:rPr>
          <w:color w:val="000000"/>
          <w:lang w:val="en-GB"/>
        </w:rPr>
        <w:t xml:space="preserve"> </w:t>
      </w:r>
      <w:r>
        <w:rPr>
          <w:color w:val="000000"/>
          <w:lang w:val="en-US"/>
        </w:rPr>
        <w:t>resources</w:t>
      </w:r>
      <w:r>
        <w:rPr>
          <w:color w:val="000000"/>
          <w:lang w:val="en-GB"/>
        </w:rPr>
        <w:t xml:space="preserve"> </w:t>
      </w:r>
      <w:r>
        <w:rPr>
          <w:color w:val="000000"/>
          <w:lang w:val="en-US"/>
        </w:rPr>
        <w:t>in</w:t>
      </w:r>
      <w:r>
        <w:rPr>
          <w:color w:val="000000"/>
          <w:lang w:val="en-GB"/>
        </w:rPr>
        <w:t xml:space="preserve"> Greece </w:t>
      </w:r>
      <w:r>
        <w:rPr>
          <w:color w:val="000000"/>
          <w:lang w:val="en-US"/>
        </w:rPr>
        <w:t>according</w:t>
      </w:r>
      <w:r>
        <w:rPr>
          <w:color w:val="000000"/>
          <w:lang w:val="en-GB"/>
        </w:rPr>
        <w:t xml:space="preserve"> </w:t>
      </w:r>
      <w:r>
        <w:rPr>
          <w:color w:val="000000"/>
          <w:lang w:val="en-US"/>
        </w:rPr>
        <w:t>to</w:t>
      </w:r>
      <w:r>
        <w:rPr>
          <w:color w:val="000000"/>
          <w:lang w:val="en-GB"/>
        </w:rPr>
        <w:t xml:space="preserve"> </w:t>
      </w:r>
      <w:r>
        <w:rPr>
          <w:color w:val="000000"/>
          <w:lang w:val="en-US"/>
        </w:rPr>
        <w:t>the</w:t>
      </w:r>
      <w:r>
        <w:rPr>
          <w:color w:val="000000"/>
          <w:lang w:val="en-GB"/>
        </w:rPr>
        <w:t xml:space="preserve"> </w:t>
      </w:r>
      <w:r>
        <w:rPr>
          <w:color w:val="000000"/>
          <w:lang w:val="en-US"/>
        </w:rPr>
        <w:t>five</w:t>
      </w:r>
      <w:r>
        <w:rPr>
          <w:color w:val="000000"/>
          <w:lang w:val="en-GB"/>
        </w:rPr>
        <w:t xml:space="preserve"> </w:t>
      </w:r>
      <w:r>
        <w:rPr>
          <w:color w:val="000000"/>
          <w:lang w:val="en-US"/>
        </w:rPr>
        <w:t>policy</w:t>
      </w:r>
      <w:r>
        <w:rPr>
          <w:color w:val="000000"/>
          <w:lang w:val="en-GB"/>
        </w:rPr>
        <w:t xml:space="preserve"> </w:t>
      </w:r>
      <w:r>
        <w:rPr>
          <w:color w:val="000000"/>
          <w:lang w:val="en-US"/>
        </w:rPr>
        <w:t>fields</w:t>
      </w:r>
      <w:r>
        <w:rPr>
          <w:color w:val="000000"/>
          <w:lang w:val="en-GB"/>
        </w:rPr>
        <w:t xml:space="preserve"> </w:t>
      </w:r>
      <w:r>
        <w:rPr>
          <w:color w:val="000000"/>
          <w:lang w:val="en-US"/>
        </w:rPr>
        <w:t>of</w:t>
      </w:r>
      <w:r>
        <w:rPr>
          <w:color w:val="000000"/>
          <w:lang w:val="en-GB"/>
        </w:rPr>
        <w:t xml:space="preserve"> </w:t>
      </w:r>
      <w:r>
        <w:rPr>
          <w:color w:val="000000"/>
          <w:lang w:val="en-US"/>
        </w:rPr>
        <w:t>the</w:t>
      </w:r>
      <w:r>
        <w:rPr>
          <w:color w:val="000000"/>
          <w:lang w:val="en-GB"/>
        </w:rPr>
        <w:t xml:space="preserve"> </w:t>
      </w:r>
      <w:r>
        <w:rPr>
          <w:color w:val="000000"/>
          <w:lang w:val="en-US"/>
        </w:rPr>
        <w:t>regulation</w:t>
      </w:r>
      <w:r>
        <w:rPr>
          <w:color w:val="000000"/>
          <w:lang w:val="en-GB"/>
        </w:rPr>
        <w:t xml:space="preserve"> </w:t>
      </w:r>
      <w:r>
        <w:rPr>
          <w:color w:val="000000"/>
          <w:lang w:val="en-US"/>
        </w:rPr>
        <w:t>of</w:t>
      </w:r>
      <w:r>
        <w:rPr>
          <w:color w:val="000000"/>
          <w:lang w:val="en-GB"/>
        </w:rPr>
        <w:t xml:space="preserve"> </w:t>
      </w:r>
      <w:r>
        <w:rPr>
          <w:color w:val="000000"/>
          <w:lang w:val="en-US"/>
        </w:rPr>
        <w:t>the</w:t>
      </w:r>
      <w:r>
        <w:rPr>
          <w:color w:val="000000"/>
          <w:lang w:val="en-GB"/>
        </w:rPr>
        <w:t xml:space="preserve"> </w:t>
      </w:r>
      <w:r>
        <w:rPr>
          <w:color w:val="000000"/>
          <w:lang w:val="en-US"/>
        </w:rPr>
        <w:t>European</w:t>
      </w:r>
      <w:r>
        <w:rPr>
          <w:color w:val="000000"/>
          <w:lang w:val="en-GB"/>
        </w:rPr>
        <w:t xml:space="preserve"> </w:t>
      </w:r>
      <w:r>
        <w:rPr>
          <w:color w:val="000000"/>
          <w:lang w:val="en-US"/>
        </w:rPr>
        <w:t>Social</w:t>
      </w:r>
      <w:r>
        <w:rPr>
          <w:color w:val="000000"/>
          <w:lang w:val="en-GB"/>
        </w:rPr>
        <w:t xml:space="preserve"> </w:t>
      </w:r>
      <w:r>
        <w:rPr>
          <w:color w:val="000000"/>
          <w:lang w:val="en-US"/>
        </w:rPr>
        <w:t>Fund</w:t>
      </w:r>
      <w:r>
        <w:rPr>
          <w:color w:val="000000"/>
          <w:lang w:val="en-GB"/>
        </w:rPr>
        <w:t xml:space="preserve">, </w:t>
      </w:r>
      <w:r>
        <w:rPr>
          <w:color w:val="000000"/>
          <w:lang w:val="en-US"/>
        </w:rPr>
        <w:t>aims</w:t>
      </w:r>
      <w:r>
        <w:rPr>
          <w:color w:val="000000"/>
          <w:lang w:val="en-GB"/>
        </w:rPr>
        <w:t xml:space="preserve"> </w:t>
      </w:r>
      <w:r>
        <w:rPr>
          <w:color w:val="000000"/>
          <w:lang w:val="en-US"/>
        </w:rPr>
        <w:t>at</w:t>
      </w:r>
      <w:r>
        <w:rPr>
          <w:color w:val="000000"/>
          <w:lang w:val="en-GB"/>
        </w:rPr>
        <w:t xml:space="preserve"> </w:t>
      </w:r>
      <w:r>
        <w:rPr>
          <w:color w:val="000000"/>
          <w:lang w:val="en-US"/>
        </w:rPr>
        <w:t>the</w:t>
      </w:r>
      <w:r>
        <w:rPr>
          <w:color w:val="000000"/>
          <w:lang w:val="en-GB"/>
        </w:rPr>
        <w:t xml:space="preserve"> </w:t>
      </w:r>
      <w:r>
        <w:rPr>
          <w:color w:val="000000"/>
          <w:lang w:val="en-US"/>
        </w:rPr>
        <w:t>distribution</w:t>
      </w:r>
      <w:r>
        <w:rPr>
          <w:color w:val="000000"/>
          <w:lang w:val="en-GB"/>
        </w:rPr>
        <w:t xml:space="preserve"> </w:t>
      </w:r>
      <w:r>
        <w:rPr>
          <w:color w:val="000000"/>
          <w:lang w:val="en-US"/>
        </w:rPr>
        <w:t>of</w:t>
      </w:r>
      <w:r>
        <w:rPr>
          <w:color w:val="000000"/>
          <w:lang w:val="en-GB"/>
        </w:rPr>
        <w:t xml:space="preserve"> </w:t>
      </w:r>
      <w:r>
        <w:rPr>
          <w:color w:val="000000"/>
          <w:lang w:val="en-US"/>
        </w:rPr>
        <w:t>specific</w:t>
      </w:r>
      <w:r>
        <w:rPr>
          <w:color w:val="000000"/>
          <w:lang w:val="en-GB"/>
        </w:rPr>
        <w:t xml:space="preserve"> appropriations </w:t>
      </w:r>
      <w:r>
        <w:rPr>
          <w:color w:val="000000"/>
          <w:lang w:val="en-US"/>
        </w:rPr>
        <w:t>in</w:t>
      </w:r>
      <w:r>
        <w:rPr>
          <w:color w:val="000000"/>
          <w:lang w:val="en-GB"/>
        </w:rPr>
        <w:t xml:space="preserve"> </w:t>
      </w:r>
      <w:r>
        <w:rPr>
          <w:color w:val="000000"/>
          <w:lang w:val="en-US"/>
        </w:rPr>
        <w:t>the</w:t>
      </w:r>
      <w:r>
        <w:rPr>
          <w:color w:val="000000"/>
          <w:lang w:val="en-GB"/>
        </w:rPr>
        <w:t xml:space="preserve"> </w:t>
      </w:r>
      <w:r>
        <w:rPr>
          <w:color w:val="000000"/>
          <w:lang w:val="en-US"/>
        </w:rPr>
        <w:t>fifth</w:t>
      </w:r>
      <w:r>
        <w:rPr>
          <w:color w:val="000000"/>
          <w:lang w:val="en-GB"/>
        </w:rPr>
        <w:t xml:space="preserve"> </w:t>
      </w:r>
      <w:r>
        <w:rPr>
          <w:color w:val="000000"/>
          <w:lang w:val="en-US"/>
        </w:rPr>
        <w:t>policy</w:t>
      </w:r>
      <w:r>
        <w:rPr>
          <w:color w:val="000000"/>
          <w:lang w:val="en-GB"/>
        </w:rPr>
        <w:t xml:space="preserve"> </w:t>
      </w:r>
      <w:r>
        <w:rPr>
          <w:color w:val="000000"/>
          <w:lang w:val="en-US"/>
        </w:rPr>
        <w:t>field</w:t>
      </w:r>
      <w:r>
        <w:rPr>
          <w:color w:val="000000"/>
          <w:lang w:val="en-GB"/>
        </w:rPr>
        <w:t xml:space="preserve">  “f</w:t>
      </w:r>
      <w:r>
        <w:rPr>
          <w:color w:val="000000"/>
          <w:lang w:val="en-US"/>
        </w:rPr>
        <w:t>or</w:t>
      </w:r>
      <w:r>
        <w:rPr>
          <w:color w:val="000000"/>
          <w:lang w:val="en-GB"/>
        </w:rPr>
        <w:t xml:space="preserve"> </w:t>
      </w:r>
      <w:r>
        <w:rPr>
          <w:color w:val="000000"/>
          <w:lang w:val="en-US"/>
        </w:rPr>
        <w:t>the</w:t>
      </w:r>
      <w:r>
        <w:rPr>
          <w:color w:val="000000"/>
          <w:lang w:val="en-GB"/>
        </w:rPr>
        <w:t xml:space="preserve"> </w:t>
      </w:r>
      <w:r>
        <w:rPr>
          <w:color w:val="000000"/>
          <w:lang w:val="en-US"/>
        </w:rPr>
        <w:t>improvement</w:t>
      </w:r>
      <w:r>
        <w:rPr>
          <w:color w:val="000000"/>
          <w:lang w:val="en-GB"/>
        </w:rPr>
        <w:t xml:space="preserve"> </w:t>
      </w:r>
      <w:r>
        <w:rPr>
          <w:color w:val="000000"/>
          <w:lang w:val="en-US"/>
        </w:rPr>
        <w:t>of</w:t>
      </w:r>
      <w:r>
        <w:rPr>
          <w:color w:val="000000"/>
          <w:lang w:val="en-GB"/>
        </w:rPr>
        <w:t xml:space="preserve"> </w:t>
      </w:r>
      <w:r>
        <w:rPr>
          <w:color w:val="000000"/>
          <w:lang w:val="en-US"/>
        </w:rPr>
        <w:t>access</w:t>
      </w:r>
      <w:r>
        <w:rPr>
          <w:color w:val="000000"/>
          <w:lang w:val="en-GB"/>
        </w:rPr>
        <w:t xml:space="preserve"> </w:t>
      </w:r>
      <w:r>
        <w:rPr>
          <w:color w:val="000000"/>
          <w:lang w:val="en-US"/>
        </w:rPr>
        <w:t>and</w:t>
      </w:r>
      <w:r>
        <w:rPr>
          <w:color w:val="000000"/>
          <w:lang w:val="en-GB"/>
        </w:rPr>
        <w:t xml:space="preserve"> </w:t>
      </w:r>
      <w:r>
        <w:rPr>
          <w:color w:val="000000"/>
          <w:lang w:val="en-US"/>
        </w:rPr>
        <w:t>participation</w:t>
      </w:r>
      <w:r>
        <w:rPr>
          <w:color w:val="000000"/>
          <w:lang w:val="en-GB"/>
        </w:rPr>
        <w:t xml:space="preserve"> of women </w:t>
      </w:r>
      <w:r>
        <w:rPr>
          <w:color w:val="000000"/>
          <w:lang w:val="en-US"/>
        </w:rPr>
        <w:t>in</w:t>
      </w:r>
      <w:r>
        <w:rPr>
          <w:color w:val="000000"/>
          <w:lang w:val="en-GB"/>
        </w:rPr>
        <w:t xml:space="preserve"> </w:t>
      </w:r>
      <w:r>
        <w:rPr>
          <w:color w:val="000000"/>
          <w:lang w:val="en-US"/>
        </w:rPr>
        <w:t>the</w:t>
      </w:r>
      <w:r>
        <w:rPr>
          <w:color w:val="000000"/>
          <w:lang w:val="en-GB"/>
        </w:rPr>
        <w:t xml:space="preserve"> </w:t>
      </w:r>
      <w:r>
        <w:rPr>
          <w:color w:val="000000"/>
          <w:lang w:val="en-US"/>
        </w:rPr>
        <w:t>labour</w:t>
      </w:r>
      <w:r>
        <w:rPr>
          <w:color w:val="000000"/>
          <w:lang w:val="en-GB"/>
        </w:rPr>
        <w:t xml:space="preserve"> </w:t>
      </w:r>
      <w:r>
        <w:rPr>
          <w:color w:val="000000"/>
          <w:lang w:val="en-US"/>
        </w:rPr>
        <w:t>market</w:t>
      </w:r>
      <w:r>
        <w:rPr>
          <w:color w:val="000000"/>
          <w:lang w:val="en-GB"/>
        </w:rPr>
        <w:t xml:space="preserve"> </w:t>
      </w:r>
      <w:r>
        <w:rPr>
          <w:color w:val="000000"/>
          <w:lang w:val="en-US"/>
        </w:rPr>
        <w:t>including their professional career</w:t>
      </w:r>
      <w:r>
        <w:rPr>
          <w:color w:val="000000"/>
          <w:lang w:val="en-GB"/>
        </w:rPr>
        <w:t>, access to new employment opportunities and their capability to establish new enterprises, but also, for the reduction of horizontal and vertical gender-based discriminations in the labour market”.</w:t>
      </w:r>
    </w:p>
    <w:tbl>
      <w:tblPr>
        <w:tblW w:w="0" w:type="auto"/>
        <w:jc w:val="center"/>
        <w:tblBorders>
          <w:top w:val="single" w:sz="4" w:space="0" w:color="auto"/>
          <w:bottom w:val="single" w:sz="4" w:space="0" w:color="auto"/>
        </w:tblBorders>
        <w:tblLayout w:type="fixed"/>
        <w:tblLook w:val="0000" w:firstRow="0" w:lastRow="0" w:firstColumn="0" w:lastColumn="0" w:noHBand="0" w:noVBand="0"/>
      </w:tblPr>
      <w:tblGrid>
        <w:gridCol w:w="1272"/>
        <w:gridCol w:w="6483"/>
        <w:gridCol w:w="1597"/>
      </w:tblGrid>
      <w:tr w:rsidR="00000000">
        <w:tblPrEx>
          <w:tblCellMar>
            <w:top w:w="0" w:type="dxa"/>
            <w:bottom w:w="0" w:type="dxa"/>
          </w:tblCellMar>
        </w:tblPrEx>
        <w:trPr>
          <w:jc w:val="center"/>
        </w:trPr>
        <w:tc>
          <w:tcPr>
            <w:tcW w:w="1272" w:type="dxa"/>
            <w:vAlign w:val="center"/>
          </w:tcPr>
          <w:p w:rsidR="00000000" w:rsidRDefault="00000000">
            <w:pPr>
              <w:pStyle w:val="a6"/>
              <w:rPr>
                <w:lang w:val="en-GB"/>
              </w:rPr>
            </w:pPr>
          </w:p>
        </w:tc>
        <w:tc>
          <w:tcPr>
            <w:tcW w:w="6483" w:type="dxa"/>
            <w:vAlign w:val="center"/>
          </w:tcPr>
          <w:p w:rsidR="00000000" w:rsidRDefault="00000000">
            <w:pPr>
              <w:pStyle w:val="a6"/>
              <w:rPr>
                <w:lang w:val="en-GB"/>
              </w:rPr>
            </w:pPr>
            <w:r>
              <w:rPr>
                <w:lang w:val="en-US"/>
              </w:rPr>
              <w:t>Concrete measures to improve access and participation of women in the labour market</w:t>
            </w:r>
          </w:p>
        </w:tc>
        <w:tc>
          <w:tcPr>
            <w:tcW w:w="1597" w:type="dxa"/>
            <w:vAlign w:val="center"/>
          </w:tcPr>
          <w:p w:rsidR="00000000" w:rsidRDefault="00000000">
            <w:pPr>
              <w:pStyle w:val="a6"/>
              <w:rPr>
                <w:lang w:val="en-US"/>
              </w:rPr>
            </w:pPr>
            <w:r>
              <w:rPr>
                <w:lang w:val="en-US"/>
              </w:rPr>
              <w:t xml:space="preserve">11,8% or </w:t>
            </w:r>
            <w:r>
              <w:rPr>
                <w:lang w:val="en-US"/>
              </w:rPr>
              <w:br/>
              <w:t>501,6 mil. Euro</w:t>
            </w:r>
          </w:p>
        </w:tc>
      </w:tr>
    </w:tbl>
    <w:p w:rsidR="00000000" w:rsidRDefault="00000000">
      <w:pPr>
        <w:tabs>
          <w:tab w:val="left" w:pos="567"/>
          <w:tab w:val="left" w:pos="1021"/>
          <w:tab w:val="left" w:pos="1474"/>
          <w:tab w:val="left" w:pos="1928"/>
        </w:tabs>
        <w:spacing w:after="0"/>
        <w:rPr>
          <w:color w:val="000000"/>
          <w:lang w:val="en-GB"/>
        </w:rPr>
      </w:pPr>
    </w:p>
    <w:p w:rsidR="00000000" w:rsidRDefault="00000000">
      <w:pPr>
        <w:tabs>
          <w:tab w:val="left" w:pos="567"/>
          <w:tab w:val="left" w:pos="1021"/>
          <w:tab w:val="left" w:pos="1474"/>
          <w:tab w:val="left" w:pos="1928"/>
        </w:tabs>
        <w:ind w:left="567"/>
        <w:rPr>
          <w:lang w:val="en-GB"/>
        </w:rPr>
      </w:pPr>
      <w:r>
        <w:rPr>
          <w:color w:val="000000"/>
          <w:lang w:val="en-US"/>
        </w:rPr>
        <w:t>The</w:t>
      </w:r>
      <w:r>
        <w:rPr>
          <w:color w:val="000000"/>
          <w:lang w:val="en-GB"/>
        </w:rPr>
        <w:t xml:space="preserve"> </w:t>
      </w:r>
      <w:r>
        <w:rPr>
          <w:color w:val="000000"/>
          <w:lang w:val="en-US"/>
        </w:rPr>
        <w:t>following</w:t>
      </w:r>
      <w:r>
        <w:rPr>
          <w:color w:val="000000"/>
          <w:lang w:val="en-GB"/>
        </w:rPr>
        <w:t xml:space="preserve"> </w:t>
      </w:r>
      <w:r>
        <w:rPr>
          <w:color w:val="000000"/>
          <w:lang w:val="en-US"/>
        </w:rPr>
        <w:t>table</w:t>
      </w:r>
      <w:r>
        <w:rPr>
          <w:color w:val="000000"/>
          <w:lang w:val="en-GB"/>
        </w:rPr>
        <w:t xml:space="preserve"> </w:t>
      </w:r>
      <w:r>
        <w:rPr>
          <w:color w:val="000000"/>
          <w:lang w:val="en-US"/>
        </w:rPr>
        <w:t>presents the distribution of appropriations</w:t>
      </w:r>
      <w:r>
        <w:rPr>
          <w:lang w:val="en-US"/>
        </w:rPr>
        <w:t xml:space="preserve"> for positive actions in favour of women in the Operational Programmes during the period under examination</w:t>
      </w:r>
      <w:r>
        <w:rPr>
          <w:lang w:val="en-GB"/>
        </w:rPr>
        <w:t>.</w:t>
      </w:r>
    </w:p>
    <w:p w:rsidR="00000000" w:rsidRDefault="00000000">
      <w:pPr>
        <w:pStyle w:val="OBJECT"/>
        <w:tabs>
          <w:tab w:val="left" w:pos="567"/>
          <w:tab w:val="left" w:pos="1021"/>
          <w:tab w:val="left" w:pos="1474"/>
          <w:tab w:val="left" w:pos="1928"/>
        </w:tabs>
        <w:spacing w:before="0" w:after="240" w:line="240" w:lineRule="auto"/>
        <w:rPr>
          <w:rFonts w:ascii="Times New Roman" w:hAnsi="Times New Roman"/>
          <w:smallCaps w:val="0"/>
          <w:shadow w:val="0"/>
          <w:lang w:val="en-GB"/>
        </w:rPr>
      </w:pPr>
      <w:r>
        <w:rPr>
          <w:rFonts w:ascii="Times New Roman" w:hAnsi="Times New Roman"/>
          <w:smallCaps w:val="0"/>
          <w:shadow w:val="0"/>
        </w:rPr>
        <w:t>Budget Percentage</w:t>
      </w:r>
      <w:r>
        <w:rPr>
          <w:rFonts w:ascii="Times New Roman" w:hAnsi="Times New Roman"/>
          <w:smallCaps w:val="0"/>
          <w:shadow w:val="0"/>
          <w:lang w:val="en-GB"/>
        </w:rPr>
        <w:t xml:space="preserve"> </w:t>
      </w:r>
      <w:r>
        <w:rPr>
          <w:rFonts w:ascii="Times New Roman" w:hAnsi="Times New Roman"/>
          <w:smallCaps w:val="0"/>
          <w:shadow w:val="0"/>
        </w:rPr>
        <w:t>for Positive Action Measures of the Operational Programmes</w:t>
      </w:r>
    </w:p>
    <w:tbl>
      <w:tblPr>
        <w:tblW w:w="0" w:type="auto"/>
        <w:jc w:val="center"/>
        <w:tblBorders>
          <w:top w:val="single" w:sz="6" w:space="0" w:color="000000"/>
          <w:bottom w:val="single" w:sz="6" w:space="0" w:color="000000"/>
        </w:tblBorders>
        <w:tblLayout w:type="fixed"/>
        <w:tblCellMar>
          <w:left w:w="56" w:type="dxa"/>
          <w:right w:w="56" w:type="dxa"/>
        </w:tblCellMar>
        <w:tblLook w:val="00BF" w:firstRow="1" w:lastRow="0" w:firstColumn="1" w:lastColumn="0" w:noHBand="0" w:noVBand="0"/>
      </w:tblPr>
      <w:tblGrid>
        <w:gridCol w:w="3712"/>
        <w:gridCol w:w="1531"/>
        <w:gridCol w:w="1388"/>
        <w:gridCol w:w="1304"/>
        <w:gridCol w:w="1439"/>
      </w:tblGrid>
      <w:tr w:rsidR="00000000">
        <w:tblPrEx>
          <w:tblCellMar>
            <w:top w:w="0" w:type="dxa"/>
            <w:bottom w:w="0" w:type="dxa"/>
          </w:tblCellMar>
        </w:tblPrEx>
        <w:trPr>
          <w:cantSplit/>
          <w:trHeight w:val="240"/>
          <w:jc w:val="center"/>
        </w:trPr>
        <w:tc>
          <w:tcPr>
            <w:tcW w:w="3712" w:type="dxa"/>
            <w:tcBorders>
              <w:top w:val="single" w:sz="6" w:space="0" w:color="000000"/>
              <w:bottom w:val="single" w:sz="4" w:space="0" w:color="auto"/>
            </w:tcBorders>
            <w:vAlign w:val="center"/>
          </w:tcPr>
          <w:p w:rsidR="00000000" w:rsidRDefault="00000000">
            <w:pPr>
              <w:pStyle w:val="a6"/>
              <w:rPr>
                <w:rFonts w:eastAsia="Arial Unicode MS"/>
                <w:b/>
                <w:lang w:val="en-US"/>
              </w:rPr>
            </w:pPr>
            <w:r>
              <w:rPr>
                <w:b/>
                <w:lang w:val="en-US"/>
              </w:rPr>
              <w:t>Operational Programmes</w:t>
            </w:r>
          </w:p>
        </w:tc>
        <w:tc>
          <w:tcPr>
            <w:tcW w:w="1531" w:type="dxa"/>
            <w:tcBorders>
              <w:top w:val="single" w:sz="6" w:space="0" w:color="000000"/>
              <w:bottom w:val="single" w:sz="4" w:space="0" w:color="auto"/>
            </w:tcBorders>
            <w:vAlign w:val="center"/>
          </w:tcPr>
          <w:p w:rsidR="00000000" w:rsidRDefault="00000000">
            <w:pPr>
              <w:pStyle w:val="a6"/>
              <w:rPr>
                <w:rFonts w:eastAsia="Arial Unicode MS"/>
                <w:b/>
                <w:lang w:val="en-US"/>
              </w:rPr>
            </w:pPr>
            <w:r>
              <w:rPr>
                <w:b/>
                <w:lang w:val="en-US"/>
              </w:rPr>
              <w:t>Positive actions in favour of women</w:t>
            </w:r>
          </w:p>
        </w:tc>
        <w:tc>
          <w:tcPr>
            <w:tcW w:w="1388" w:type="dxa"/>
            <w:tcBorders>
              <w:top w:val="single" w:sz="6" w:space="0" w:color="000000"/>
              <w:bottom w:val="single" w:sz="4" w:space="0" w:color="auto"/>
            </w:tcBorders>
            <w:vAlign w:val="center"/>
          </w:tcPr>
          <w:p w:rsidR="00000000" w:rsidRDefault="00000000">
            <w:pPr>
              <w:pStyle w:val="a6"/>
              <w:rPr>
                <w:b/>
                <w:lang w:val="en-US"/>
              </w:rPr>
            </w:pPr>
            <w:r>
              <w:rPr>
                <w:b/>
                <w:lang w:val="en-US"/>
              </w:rPr>
              <w:t>Nominal sum in Є</w:t>
            </w:r>
          </w:p>
        </w:tc>
        <w:tc>
          <w:tcPr>
            <w:tcW w:w="1304" w:type="dxa"/>
            <w:tcBorders>
              <w:top w:val="single" w:sz="6" w:space="0" w:color="000000"/>
              <w:bottom w:val="single" w:sz="4" w:space="0" w:color="auto"/>
            </w:tcBorders>
            <w:vAlign w:val="center"/>
          </w:tcPr>
          <w:p w:rsidR="00000000" w:rsidRDefault="00000000">
            <w:pPr>
              <w:pStyle w:val="a6"/>
              <w:rPr>
                <w:rFonts w:eastAsia="Arial Unicode MS"/>
                <w:b/>
                <w:lang w:val="en-GB"/>
              </w:rPr>
            </w:pPr>
            <w:r>
              <w:rPr>
                <w:b/>
                <w:lang w:val="en-US"/>
              </w:rPr>
              <w:t>Percentage  in relation to total</w:t>
            </w:r>
            <w:r>
              <w:rPr>
                <w:b/>
                <w:lang w:val="en-GB"/>
              </w:rPr>
              <w:t xml:space="preserve"> </w:t>
            </w:r>
            <w:r>
              <w:rPr>
                <w:b/>
                <w:lang w:val="en-US"/>
              </w:rPr>
              <w:t>budget of the O.P.</w:t>
            </w:r>
          </w:p>
        </w:tc>
        <w:tc>
          <w:tcPr>
            <w:tcW w:w="1439" w:type="dxa"/>
            <w:tcBorders>
              <w:top w:val="single" w:sz="6" w:space="0" w:color="000000"/>
              <w:bottom w:val="single" w:sz="4" w:space="0" w:color="auto"/>
            </w:tcBorders>
            <w:vAlign w:val="center"/>
          </w:tcPr>
          <w:p w:rsidR="00000000" w:rsidRDefault="00000000">
            <w:pPr>
              <w:pStyle w:val="a6"/>
              <w:rPr>
                <w:b/>
                <w:lang w:val="en-GB"/>
              </w:rPr>
            </w:pPr>
            <w:r>
              <w:rPr>
                <w:b/>
                <w:lang w:val="en-US"/>
              </w:rPr>
              <w:t>Percentage in relation to total</w:t>
            </w:r>
            <w:r>
              <w:rPr>
                <w:b/>
                <w:lang w:val="en-GB"/>
              </w:rPr>
              <w:t xml:space="preserve"> </w:t>
            </w:r>
            <w:r>
              <w:rPr>
                <w:b/>
                <w:lang w:val="en-US"/>
              </w:rPr>
              <w:t>of E.S.F. in the O.P.</w:t>
            </w:r>
          </w:p>
        </w:tc>
      </w:tr>
      <w:tr w:rsidR="00000000">
        <w:tblPrEx>
          <w:tblCellMar>
            <w:top w:w="0" w:type="dxa"/>
            <w:bottom w:w="0" w:type="dxa"/>
          </w:tblCellMar>
        </w:tblPrEx>
        <w:trPr>
          <w:cantSplit/>
          <w:trHeight w:val="240"/>
          <w:jc w:val="center"/>
        </w:trPr>
        <w:tc>
          <w:tcPr>
            <w:tcW w:w="3712" w:type="dxa"/>
            <w:tcBorders>
              <w:top w:val="single" w:sz="4" w:space="0" w:color="auto"/>
            </w:tcBorders>
            <w:vAlign w:val="center"/>
          </w:tcPr>
          <w:p w:rsidR="00000000" w:rsidRDefault="00000000">
            <w:pPr>
              <w:pStyle w:val="a6"/>
              <w:rPr>
                <w:rFonts w:eastAsia="Arial Unicode MS"/>
                <w:sz w:val="22"/>
                <w:lang w:val="el-GR"/>
              </w:rPr>
            </w:pPr>
            <w:r>
              <w:rPr>
                <w:sz w:val="22"/>
                <w:lang w:val="en-GB"/>
              </w:rPr>
              <w:t>Oper.Pr</w:t>
            </w:r>
            <w:r>
              <w:rPr>
                <w:sz w:val="22"/>
                <w:lang w:val="el-GR"/>
              </w:rPr>
              <w:t>. ‘</w:t>
            </w:r>
            <w:r>
              <w:rPr>
                <w:sz w:val="22"/>
                <w:lang w:val="en-GB"/>
              </w:rPr>
              <w:t>Competitiveness</w:t>
            </w:r>
            <w:r>
              <w:rPr>
                <w:sz w:val="22"/>
                <w:lang w:val="el-GR"/>
              </w:rPr>
              <w:t>’</w:t>
            </w:r>
          </w:p>
        </w:tc>
        <w:tc>
          <w:tcPr>
            <w:tcW w:w="1531" w:type="dxa"/>
            <w:tcBorders>
              <w:top w:val="single" w:sz="4" w:space="0" w:color="auto"/>
            </w:tcBorders>
            <w:vAlign w:val="center"/>
          </w:tcPr>
          <w:p w:rsidR="00000000" w:rsidRDefault="00000000">
            <w:pPr>
              <w:pStyle w:val="a6"/>
              <w:rPr>
                <w:lang w:val="en-GB"/>
              </w:rPr>
            </w:pPr>
            <w:r>
              <w:rPr>
                <w:lang w:val="en-GB"/>
              </w:rPr>
              <w:t>Action in 2.8.2.</w:t>
            </w:r>
          </w:p>
          <w:p w:rsidR="00000000" w:rsidRDefault="00000000">
            <w:pPr>
              <w:pStyle w:val="a6"/>
              <w:rPr>
                <w:rFonts w:eastAsia="Arial Unicode MS"/>
                <w:sz w:val="22"/>
                <w:lang w:val="el-GR"/>
              </w:rPr>
            </w:pPr>
            <w:r>
              <w:rPr>
                <w:sz w:val="22"/>
                <w:lang w:val="en-GB"/>
              </w:rPr>
              <w:t>Action</w:t>
            </w:r>
            <w:r>
              <w:rPr>
                <w:sz w:val="22"/>
                <w:lang w:val="el-GR"/>
              </w:rPr>
              <w:t xml:space="preserve"> </w:t>
            </w:r>
            <w:r>
              <w:rPr>
                <w:sz w:val="22"/>
                <w:lang w:val="en-GB"/>
              </w:rPr>
              <w:t>in</w:t>
            </w:r>
            <w:r>
              <w:rPr>
                <w:sz w:val="22"/>
                <w:lang w:val="el-GR"/>
              </w:rPr>
              <w:t xml:space="preserve"> 8.2.2</w:t>
            </w:r>
          </w:p>
        </w:tc>
        <w:tc>
          <w:tcPr>
            <w:tcW w:w="1388" w:type="dxa"/>
            <w:tcBorders>
              <w:top w:val="single" w:sz="4" w:space="0" w:color="auto"/>
            </w:tcBorders>
            <w:vAlign w:val="center"/>
          </w:tcPr>
          <w:p w:rsidR="00000000" w:rsidRDefault="00000000">
            <w:pPr>
              <w:pStyle w:val="a6"/>
              <w:rPr>
                <w:lang w:val="en-GB"/>
              </w:rPr>
            </w:pPr>
            <w:r>
              <w:rPr>
                <w:lang w:val="en-GB"/>
              </w:rPr>
              <w:t>35.500.000</w:t>
            </w:r>
          </w:p>
          <w:p w:rsidR="00000000" w:rsidRDefault="00000000">
            <w:pPr>
              <w:pStyle w:val="a6"/>
              <w:rPr>
                <w:lang w:val="en-GB"/>
              </w:rPr>
            </w:pPr>
            <w:r>
              <w:rPr>
                <w:lang w:val="en-GB"/>
              </w:rPr>
              <w:t>800.000</w:t>
            </w:r>
          </w:p>
        </w:tc>
        <w:tc>
          <w:tcPr>
            <w:tcW w:w="1304" w:type="dxa"/>
            <w:tcBorders>
              <w:top w:val="single" w:sz="4" w:space="0" w:color="auto"/>
            </w:tcBorders>
            <w:vAlign w:val="center"/>
          </w:tcPr>
          <w:p w:rsidR="00000000" w:rsidRDefault="00000000">
            <w:pPr>
              <w:pStyle w:val="a6"/>
              <w:rPr>
                <w:rFonts w:eastAsia="Arial Unicode MS"/>
                <w:lang w:val="en-GB"/>
              </w:rPr>
            </w:pPr>
            <w:r>
              <w:rPr>
                <w:rFonts w:eastAsia="Arial Unicode MS"/>
                <w:lang w:val="en-GB"/>
              </w:rPr>
              <w:t>1,12</w:t>
            </w:r>
          </w:p>
        </w:tc>
        <w:tc>
          <w:tcPr>
            <w:tcW w:w="1439" w:type="dxa"/>
            <w:tcBorders>
              <w:top w:val="single" w:sz="4" w:space="0" w:color="auto"/>
            </w:tcBorders>
            <w:vAlign w:val="center"/>
          </w:tcPr>
          <w:p w:rsidR="00000000" w:rsidRDefault="00000000">
            <w:pPr>
              <w:pStyle w:val="a6"/>
              <w:rPr>
                <w:lang w:val="en-GB"/>
              </w:rPr>
            </w:pPr>
            <w:r>
              <w:rPr>
                <w:lang w:val="en-GB"/>
              </w:rPr>
              <w:t>5,5</w:t>
            </w:r>
          </w:p>
        </w:tc>
      </w:tr>
      <w:tr w:rsidR="00000000">
        <w:tblPrEx>
          <w:tblCellMar>
            <w:top w:w="0" w:type="dxa"/>
            <w:bottom w:w="0" w:type="dxa"/>
          </w:tblCellMar>
        </w:tblPrEx>
        <w:trPr>
          <w:cantSplit/>
          <w:trHeight w:val="240"/>
          <w:jc w:val="center"/>
        </w:trPr>
        <w:tc>
          <w:tcPr>
            <w:tcW w:w="3712" w:type="dxa"/>
            <w:vAlign w:val="center"/>
          </w:tcPr>
          <w:p w:rsidR="00000000" w:rsidRDefault="00000000">
            <w:pPr>
              <w:pStyle w:val="a6"/>
              <w:rPr>
                <w:rFonts w:eastAsia="Arial Unicode MS"/>
                <w:lang w:val="en-GB"/>
              </w:rPr>
            </w:pPr>
            <w:r>
              <w:rPr>
                <w:lang w:val="en-US"/>
              </w:rPr>
              <w:t>Oper</w:t>
            </w:r>
            <w:r>
              <w:rPr>
                <w:lang w:val="en-GB"/>
              </w:rPr>
              <w:t xml:space="preserve">. </w:t>
            </w:r>
            <w:r>
              <w:rPr>
                <w:lang w:val="en-US"/>
              </w:rPr>
              <w:t>Pr</w:t>
            </w:r>
            <w:r>
              <w:rPr>
                <w:lang w:val="en-GB"/>
              </w:rPr>
              <w:t>. ‘</w:t>
            </w:r>
            <w:r>
              <w:rPr>
                <w:lang w:val="en-US"/>
              </w:rPr>
              <w:t>Employment and Vocational Training</w:t>
            </w:r>
            <w:r>
              <w:rPr>
                <w:lang w:val="en-GB"/>
              </w:rPr>
              <w:t>’</w:t>
            </w:r>
          </w:p>
        </w:tc>
        <w:tc>
          <w:tcPr>
            <w:tcW w:w="1531" w:type="dxa"/>
            <w:vAlign w:val="center"/>
          </w:tcPr>
          <w:p w:rsidR="00000000" w:rsidRDefault="00000000">
            <w:pPr>
              <w:pStyle w:val="a6"/>
              <w:rPr>
                <w:rFonts w:eastAsia="Arial Unicode MS"/>
                <w:lang w:val="en-GB"/>
              </w:rPr>
            </w:pPr>
            <w:r>
              <w:rPr>
                <w:lang w:val="en-GB"/>
              </w:rPr>
              <w:t>5.1., 5.2., 5.3.</w:t>
            </w:r>
          </w:p>
        </w:tc>
        <w:tc>
          <w:tcPr>
            <w:tcW w:w="1388" w:type="dxa"/>
            <w:vAlign w:val="center"/>
          </w:tcPr>
          <w:p w:rsidR="00000000" w:rsidRDefault="00000000">
            <w:pPr>
              <w:pStyle w:val="a6"/>
              <w:rPr>
                <w:lang w:val="en-GB"/>
              </w:rPr>
            </w:pPr>
            <w:r>
              <w:rPr>
                <w:lang w:val="en-GB"/>
              </w:rPr>
              <w:t>175.000.000</w:t>
            </w:r>
          </w:p>
        </w:tc>
        <w:tc>
          <w:tcPr>
            <w:tcW w:w="1304" w:type="dxa"/>
            <w:vAlign w:val="center"/>
          </w:tcPr>
          <w:p w:rsidR="00000000" w:rsidRDefault="00000000">
            <w:pPr>
              <w:pStyle w:val="a6"/>
              <w:rPr>
                <w:rFonts w:eastAsia="Arial Unicode MS"/>
                <w:lang w:val="en-GB"/>
              </w:rPr>
            </w:pPr>
            <w:r>
              <w:rPr>
                <w:lang w:val="en-GB"/>
              </w:rPr>
              <w:t>9.2%</w:t>
            </w:r>
          </w:p>
        </w:tc>
        <w:tc>
          <w:tcPr>
            <w:tcW w:w="1439" w:type="dxa"/>
            <w:vAlign w:val="center"/>
          </w:tcPr>
          <w:p w:rsidR="00000000" w:rsidRDefault="00000000">
            <w:pPr>
              <w:pStyle w:val="a6"/>
              <w:rPr>
                <w:lang w:val="en-GB"/>
              </w:rPr>
            </w:pPr>
            <w:r>
              <w:rPr>
                <w:lang w:val="en-GB"/>
              </w:rPr>
              <w:t>9,33%</w:t>
            </w:r>
          </w:p>
        </w:tc>
      </w:tr>
      <w:tr w:rsidR="00000000">
        <w:tblPrEx>
          <w:tblCellMar>
            <w:top w:w="0" w:type="dxa"/>
            <w:bottom w:w="0" w:type="dxa"/>
          </w:tblCellMar>
        </w:tblPrEx>
        <w:trPr>
          <w:cantSplit/>
          <w:trHeight w:val="240"/>
          <w:jc w:val="center"/>
        </w:trPr>
        <w:tc>
          <w:tcPr>
            <w:tcW w:w="3712" w:type="dxa"/>
            <w:vAlign w:val="center"/>
          </w:tcPr>
          <w:p w:rsidR="00000000" w:rsidRDefault="00000000">
            <w:pPr>
              <w:pStyle w:val="a6"/>
              <w:rPr>
                <w:rFonts w:eastAsia="Arial Unicode MS"/>
                <w:lang w:val="en-GB"/>
              </w:rPr>
            </w:pPr>
            <w:r>
              <w:rPr>
                <w:lang w:val="en-US"/>
              </w:rPr>
              <w:t>Oper</w:t>
            </w:r>
            <w:r>
              <w:rPr>
                <w:lang w:val="en-GB"/>
              </w:rPr>
              <w:t xml:space="preserve">. </w:t>
            </w:r>
            <w:r>
              <w:rPr>
                <w:lang w:val="en-US"/>
              </w:rPr>
              <w:t>Pr</w:t>
            </w:r>
            <w:r>
              <w:rPr>
                <w:lang w:val="en-GB"/>
              </w:rPr>
              <w:t>. ‘</w:t>
            </w:r>
            <w:r>
              <w:rPr>
                <w:lang w:val="en-US"/>
              </w:rPr>
              <w:t>Education and Initial Vocational Training</w:t>
            </w:r>
            <w:r>
              <w:rPr>
                <w:lang w:val="en-GB"/>
              </w:rPr>
              <w:t>’</w:t>
            </w:r>
          </w:p>
        </w:tc>
        <w:tc>
          <w:tcPr>
            <w:tcW w:w="1531" w:type="dxa"/>
            <w:vAlign w:val="center"/>
          </w:tcPr>
          <w:p w:rsidR="00000000" w:rsidRDefault="00000000">
            <w:pPr>
              <w:pStyle w:val="a6"/>
              <w:rPr>
                <w:rFonts w:eastAsia="Arial Unicode MS"/>
                <w:lang w:val="en-GB"/>
              </w:rPr>
            </w:pPr>
            <w:r>
              <w:rPr>
                <w:lang w:val="en-GB"/>
              </w:rPr>
              <w:t>4.1. and 4.2.</w:t>
            </w:r>
          </w:p>
        </w:tc>
        <w:tc>
          <w:tcPr>
            <w:tcW w:w="1388" w:type="dxa"/>
            <w:vAlign w:val="center"/>
          </w:tcPr>
          <w:p w:rsidR="00000000" w:rsidRDefault="00000000">
            <w:pPr>
              <w:pStyle w:val="a6"/>
              <w:rPr>
                <w:lang w:val="en-GB"/>
              </w:rPr>
            </w:pPr>
            <w:r>
              <w:rPr>
                <w:lang w:val="en-GB"/>
              </w:rPr>
              <w:t>69.469.234</w:t>
            </w:r>
          </w:p>
        </w:tc>
        <w:tc>
          <w:tcPr>
            <w:tcW w:w="1304" w:type="dxa"/>
            <w:vAlign w:val="center"/>
          </w:tcPr>
          <w:p w:rsidR="00000000" w:rsidRDefault="00000000">
            <w:pPr>
              <w:pStyle w:val="a6"/>
              <w:rPr>
                <w:rFonts w:eastAsia="Arial Unicode MS"/>
                <w:lang w:val="en-GB"/>
              </w:rPr>
            </w:pPr>
            <w:r>
              <w:rPr>
                <w:lang w:val="en-GB"/>
              </w:rPr>
              <w:t>2,80%</w:t>
            </w:r>
          </w:p>
        </w:tc>
        <w:tc>
          <w:tcPr>
            <w:tcW w:w="1439" w:type="dxa"/>
            <w:vAlign w:val="center"/>
          </w:tcPr>
          <w:p w:rsidR="00000000" w:rsidRDefault="00000000">
            <w:pPr>
              <w:pStyle w:val="a6"/>
              <w:rPr>
                <w:lang w:val="en-GB"/>
              </w:rPr>
            </w:pPr>
            <w:r>
              <w:rPr>
                <w:lang w:val="en-GB"/>
              </w:rPr>
              <w:t>3,5</w:t>
            </w:r>
          </w:p>
        </w:tc>
      </w:tr>
      <w:tr w:rsidR="00000000">
        <w:tblPrEx>
          <w:tblCellMar>
            <w:top w:w="0" w:type="dxa"/>
            <w:bottom w:w="0" w:type="dxa"/>
          </w:tblCellMar>
        </w:tblPrEx>
        <w:trPr>
          <w:cantSplit/>
          <w:trHeight w:val="240"/>
          <w:jc w:val="center"/>
        </w:trPr>
        <w:tc>
          <w:tcPr>
            <w:tcW w:w="3712" w:type="dxa"/>
            <w:vAlign w:val="center"/>
          </w:tcPr>
          <w:p w:rsidR="00000000" w:rsidRDefault="00000000">
            <w:pPr>
              <w:pStyle w:val="a6"/>
              <w:rPr>
                <w:rFonts w:eastAsia="Arial Unicode MS"/>
                <w:sz w:val="22"/>
                <w:lang w:val="el-GR"/>
              </w:rPr>
            </w:pPr>
            <w:r>
              <w:rPr>
                <w:sz w:val="22"/>
                <w:lang w:val="en-GB"/>
              </w:rPr>
              <w:t>Oper</w:t>
            </w:r>
            <w:r>
              <w:rPr>
                <w:sz w:val="22"/>
                <w:lang w:val="el-GR"/>
              </w:rPr>
              <w:t xml:space="preserve">. </w:t>
            </w:r>
            <w:r>
              <w:rPr>
                <w:sz w:val="22"/>
                <w:lang w:val="en-GB"/>
              </w:rPr>
              <w:t>Pr</w:t>
            </w:r>
            <w:r>
              <w:rPr>
                <w:sz w:val="22"/>
                <w:lang w:val="el-GR"/>
              </w:rPr>
              <w:t>. ‘</w:t>
            </w:r>
            <w:r>
              <w:rPr>
                <w:sz w:val="22"/>
                <w:lang w:val="en-GB"/>
              </w:rPr>
              <w:t>Information Society</w:t>
            </w:r>
            <w:r>
              <w:rPr>
                <w:sz w:val="22"/>
                <w:lang w:val="el-GR"/>
              </w:rPr>
              <w:t>’</w:t>
            </w:r>
          </w:p>
        </w:tc>
        <w:tc>
          <w:tcPr>
            <w:tcW w:w="1531" w:type="dxa"/>
            <w:vAlign w:val="center"/>
          </w:tcPr>
          <w:p w:rsidR="00000000" w:rsidRDefault="00000000">
            <w:pPr>
              <w:pStyle w:val="a6"/>
              <w:rPr>
                <w:rFonts w:eastAsia="Arial Unicode MS"/>
                <w:lang w:val="en-GB"/>
              </w:rPr>
            </w:pPr>
            <w:r>
              <w:rPr>
                <w:lang w:val="en-US"/>
              </w:rPr>
              <w:t>Actions</w:t>
            </w:r>
            <w:r>
              <w:rPr>
                <w:lang w:val="en-GB"/>
              </w:rPr>
              <w:t xml:space="preserve"> </w:t>
            </w:r>
            <w:r>
              <w:rPr>
                <w:lang w:val="en-US"/>
              </w:rPr>
              <w:t>in</w:t>
            </w:r>
            <w:r>
              <w:rPr>
                <w:lang w:val="en-GB"/>
              </w:rPr>
              <w:t xml:space="preserve"> 3.5. </w:t>
            </w:r>
            <w:r>
              <w:rPr>
                <w:lang w:val="en-US"/>
              </w:rPr>
              <w:t>and</w:t>
            </w:r>
            <w:r>
              <w:rPr>
                <w:lang w:val="en-GB"/>
              </w:rPr>
              <w:t xml:space="preserve"> 3.4.</w:t>
            </w:r>
          </w:p>
        </w:tc>
        <w:tc>
          <w:tcPr>
            <w:tcW w:w="1388" w:type="dxa"/>
            <w:vAlign w:val="center"/>
          </w:tcPr>
          <w:p w:rsidR="00000000" w:rsidRDefault="00000000">
            <w:pPr>
              <w:pStyle w:val="a6"/>
              <w:rPr>
                <w:lang w:val="en-GB"/>
              </w:rPr>
            </w:pPr>
            <w:r>
              <w:rPr>
                <w:lang w:val="en-GB"/>
              </w:rPr>
              <w:t xml:space="preserve">10% </w:t>
            </w:r>
            <w:r>
              <w:rPr>
                <w:lang w:val="en-US"/>
              </w:rPr>
              <w:t>of the cost will be allotted</w:t>
            </w:r>
            <w:r>
              <w:rPr>
                <w:lang w:val="en-GB"/>
              </w:rPr>
              <w:t xml:space="preserve">, </w:t>
            </w:r>
            <w:r>
              <w:rPr>
                <w:lang w:val="en-US"/>
              </w:rPr>
              <w:t>i.e.</w:t>
            </w:r>
            <w:r>
              <w:rPr>
                <w:lang w:val="en-GB"/>
              </w:rPr>
              <w:t>8.000.000</w:t>
            </w:r>
          </w:p>
        </w:tc>
        <w:tc>
          <w:tcPr>
            <w:tcW w:w="1304" w:type="dxa"/>
            <w:vAlign w:val="center"/>
          </w:tcPr>
          <w:p w:rsidR="00000000" w:rsidRDefault="00000000">
            <w:pPr>
              <w:pStyle w:val="a6"/>
              <w:rPr>
                <w:rFonts w:eastAsia="Arial Unicode MS"/>
                <w:lang w:val="en-GB"/>
              </w:rPr>
            </w:pPr>
            <w:r>
              <w:rPr>
                <w:lang w:val="en-GB"/>
              </w:rPr>
              <w:t>0,7%</w:t>
            </w:r>
          </w:p>
        </w:tc>
        <w:tc>
          <w:tcPr>
            <w:tcW w:w="1439" w:type="dxa"/>
            <w:vAlign w:val="center"/>
          </w:tcPr>
          <w:p w:rsidR="00000000" w:rsidRDefault="00000000">
            <w:pPr>
              <w:pStyle w:val="a6"/>
              <w:rPr>
                <w:lang w:val="en-GB"/>
              </w:rPr>
            </w:pPr>
            <w:r>
              <w:rPr>
                <w:lang w:val="en-GB"/>
              </w:rPr>
              <w:t>2,8%</w:t>
            </w:r>
          </w:p>
        </w:tc>
      </w:tr>
      <w:tr w:rsidR="00000000">
        <w:tblPrEx>
          <w:tblCellMar>
            <w:top w:w="0" w:type="dxa"/>
            <w:bottom w:w="0" w:type="dxa"/>
          </w:tblCellMar>
        </w:tblPrEx>
        <w:trPr>
          <w:cantSplit/>
          <w:trHeight w:val="240"/>
          <w:jc w:val="center"/>
        </w:trPr>
        <w:tc>
          <w:tcPr>
            <w:tcW w:w="3712" w:type="dxa"/>
            <w:vAlign w:val="center"/>
          </w:tcPr>
          <w:p w:rsidR="00000000" w:rsidRDefault="00000000">
            <w:pPr>
              <w:pStyle w:val="a6"/>
              <w:rPr>
                <w:rFonts w:eastAsia="Arial Unicode MS"/>
                <w:lang w:val="en-GB"/>
              </w:rPr>
            </w:pPr>
            <w:r>
              <w:rPr>
                <w:lang w:val="en-US"/>
              </w:rPr>
              <w:t>Oper</w:t>
            </w:r>
            <w:r>
              <w:rPr>
                <w:lang w:val="en-GB"/>
              </w:rPr>
              <w:t>.</w:t>
            </w:r>
            <w:r>
              <w:rPr>
                <w:lang w:val="en-US"/>
              </w:rPr>
              <w:t>Pr</w:t>
            </w:r>
            <w:r>
              <w:rPr>
                <w:lang w:val="en-GB"/>
              </w:rPr>
              <w:t xml:space="preserve">. </w:t>
            </w:r>
            <w:r>
              <w:rPr>
                <w:lang w:val="en-US"/>
              </w:rPr>
              <w:t>of the Region of Eastern Macedonia and Thrace</w:t>
            </w:r>
          </w:p>
        </w:tc>
        <w:tc>
          <w:tcPr>
            <w:tcW w:w="1531" w:type="dxa"/>
            <w:vAlign w:val="center"/>
          </w:tcPr>
          <w:p w:rsidR="00000000" w:rsidRDefault="00000000">
            <w:pPr>
              <w:pStyle w:val="a6"/>
              <w:rPr>
                <w:rFonts w:eastAsia="Arial Unicode MS"/>
                <w:lang w:val="en-GB"/>
              </w:rPr>
            </w:pPr>
            <w:r>
              <w:rPr>
                <w:lang w:val="en-GB"/>
              </w:rPr>
              <w:t>5.4.</w:t>
            </w:r>
          </w:p>
        </w:tc>
        <w:tc>
          <w:tcPr>
            <w:tcW w:w="1388" w:type="dxa"/>
            <w:vAlign w:val="center"/>
          </w:tcPr>
          <w:p w:rsidR="00000000" w:rsidRDefault="00000000">
            <w:pPr>
              <w:pStyle w:val="a6"/>
              <w:rPr>
                <w:lang w:val="en-GB"/>
              </w:rPr>
            </w:pPr>
            <w:r>
              <w:rPr>
                <w:lang w:val="en-GB"/>
              </w:rPr>
              <w:t>23.734.740</w:t>
            </w:r>
          </w:p>
        </w:tc>
        <w:tc>
          <w:tcPr>
            <w:tcW w:w="1304" w:type="dxa"/>
            <w:vAlign w:val="center"/>
          </w:tcPr>
          <w:p w:rsidR="00000000" w:rsidRDefault="00000000">
            <w:pPr>
              <w:pStyle w:val="a6"/>
              <w:rPr>
                <w:rFonts w:eastAsia="Arial Unicode MS"/>
                <w:lang w:val="en-GB"/>
              </w:rPr>
            </w:pPr>
            <w:r>
              <w:rPr>
                <w:lang w:val="en-GB"/>
              </w:rPr>
              <w:t>2,60%</w:t>
            </w:r>
          </w:p>
        </w:tc>
        <w:tc>
          <w:tcPr>
            <w:tcW w:w="1439" w:type="dxa"/>
            <w:vAlign w:val="center"/>
          </w:tcPr>
          <w:p w:rsidR="00000000" w:rsidRDefault="00000000">
            <w:pPr>
              <w:pStyle w:val="a6"/>
              <w:rPr>
                <w:lang w:val="en-GB"/>
              </w:rPr>
            </w:pPr>
            <w:r>
              <w:rPr>
                <w:lang w:val="en-GB"/>
              </w:rPr>
              <w:t>29%</w:t>
            </w:r>
          </w:p>
        </w:tc>
      </w:tr>
      <w:tr w:rsidR="00000000">
        <w:tblPrEx>
          <w:tblCellMar>
            <w:top w:w="0" w:type="dxa"/>
            <w:bottom w:w="0" w:type="dxa"/>
          </w:tblCellMar>
        </w:tblPrEx>
        <w:trPr>
          <w:cantSplit/>
          <w:trHeight w:val="240"/>
          <w:jc w:val="center"/>
        </w:trPr>
        <w:tc>
          <w:tcPr>
            <w:tcW w:w="3712" w:type="dxa"/>
            <w:vAlign w:val="center"/>
          </w:tcPr>
          <w:p w:rsidR="00000000" w:rsidRDefault="00000000">
            <w:pPr>
              <w:pStyle w:val="a6"/>
              <w:rPr>
                <w:rFonts w:eastAsia="Arial Unicode MS"/>
                <w:lang w:val="en-GB"/>
              </w:rPr>
            </w:pPr>
            <w:r>
              <w:rPr>
                <w:lang w:val="en-US"/>
              </w:rPr>
              <w:t>Oper</w:t>
            </w:r>
            <w:r>
              <w:rPr>
                <w:lang w:val="en-GB"/>
              </w:rPr>
              <w:t>.</w:t>
            </w:r>
            <w:r>
              <w:rPr>
                <w:lang w:val="en-US"/>
              </w:rPr>
              <w:t>Pr</w:t>
            </w:r>
            <w:r>
              <w:rPr>
                <w:lang w:val="en-GB"/>
              </w:rPr>
              <w:t xml:space="preserve">. </w:t>
            </w:r>
            <w:r>
              <w:rPr>
                <w:lang w:val="en-US"/>
              </w:rPr>
              <w:t>of the Region of Attica</w:t>
            </w:r>
          </w:p>
        </w:tc>
        <w:tc>
          <w:tcPr>
            <w:tcW w:w="1531" w:type="dxa"/>
            <w:vAlign w:val="center"/>
          </w:tcPr>
          <w:p w:rsidR="00000000" w:rsidRDefault="00000000">
            <w:pPr>
              <w:pStyle w:val="a6"/>
              <w:rPr>
                <w:rFonts w:eastAsia="Arial Unicode MS"/>
                <w:lang w:val="en-GB"/>
              </w:rPr>
            </w:pPr>
            <w:r>
              <w:rPr>
                <w:lang w:val="en-GB"/>
              </w:rPr>
              <w:t>3.3.</w:t>
            </w:r>
          </w:p>
        </w:tc>
        <w:tc>
          <w:tcPr>
            <w:tcW w:w="1388" w:type="dxa"/>
            <w:vAlign w:val="center"/>
          </w:tcPr>
          <w:p w:rsidR="00000000" w:rsidRDefault="00000000">
            <w:pPr>
              <w:pStyle w:val="a6"/>
              <w:rPr>
                <w:lang w:val="en-GB"/>
              </w:rPr>
            </w:pPr>
            <w:r>
              <w:rPr>
                <w:lang w:val="en-GB"/>
              </w:rPr>
              <w:t>17.972.977</w:t>
            </w:r>
          </w:p>
        </w:tc>
        <w:tc>
          <w:tcPr>
            <w:tcW w:w="1304" w:type="dxa"/>
            <w:vAlign w:val="center"/>
          </w:tcPr>
          <w:p w:rsidR="00000000" w:rsidRDefault="00000000">
            <w:pPr>
              <w:pStyle w:val="a6"/>
              <w:rPr>
                <w:rFonts w:eastAsia="Arial Unicode MS"/>
                <w:lang w:val="en-GB"/>
              </w:rPr>
            </w:pPr>
            <w:r>
              <w:rPr>
                <w:lang w:val="en-GB"/>
              </w:rPr>
              <w:t>1,20%</w:t>
            </w:r>
          </w:p>
        </w:tc>
        <w:tc>
          <w:tcPr>
            <w:tcW w:w="1439" w:type="dxa"/>
            <w:vAlign w:val="center"/>
          </w:tcPr>
          <w:p w:rsidR="00000000" w:rsidRDefault="00000000">
            <w:pPr>
              <w:pStyle w:val="a6"/>
              <w:rPr>
                <w:lang w:val="en-GB"/>
              </w:rPr>
            </w:pPr>
            <w:r>
              <w:rPr>
                <w:lang w:val="en-GB"/>
              </w:rPr>
              <w:t>19,8%</w:t>
            </w:r>
          </w:p>
        </w:tc>
      </w:tr>
      <w:tr w:rsidR="00000000">
        <w:tblPrEx>
          <w:tblCellMar>
            <w:top w:w="0" w:type="dxa"/>
            <w:bottom w:w="0" w:type="dxa"/>
          </w:tblCellMar>
        </w:tblPrEx>
        <w:trPr>
          <w:cantSplit/>
          <w:trHeight w:val="240"/>
          <w:jc w:val="center"/>
        </w:trPr>
        <w:tc>
          <w:tcPr>
            <w:tcW w:w="3712" w:type="dxa"/>
            <w:vAlign w:val="center"/>
          </w:tcPr>
          <w:p w:rsidR="00000000" w:rsidRDefault="00000000">
            <w:pPr>
              <w:pStyle w:val="a6"/>
              <w:rPr>
                <w:rFonts w:eastAsia="Arial Unicode MS"/>
                <w:lang w:val="en-GB"/>
              </w:rPr>
            </w:pPr>
            <w:r>
              <w:rPr>
                <w:lang w:val="en-US"/>
              </w:rPr>
              <w:t>Oper</w:t>
            </w:r>
            <w:r>
              <w:rPr>
                <w:lang w:val="en-GB"/>
              </w:rPr>
              <w:t xml:space="preserve">. </w:t>
            </w:r>
            <w:r>
              <w:rPr>
                <w:lang w:val="en-US"/>
              </w:rPr>
              <w:t>Pr</w:t>
            </w:r>
            <w:r>
              <w:rPr>
                <w:lang w:val="en-GB"/>
              </w:rPr>
              <w:t xml:space="preserve">. </w:t>
            </w:r>
            <w:r>
              <w:rPr>
                <w:lang w:val="en-US"/>
              </w:rPr>
              <w:t>of the Region of Northern Aegean</w:t>
            </w:r>
          </w:p>
        </w:tc>
        <w:tc>
          <w:tcPr>
            <w:tcW w:w="1531" w:type="dxa"/>
            <w:vAlign w:val="center"/>
          </w:tcPr>
          <w:p w:rsidR="00000000" w:rsidRDefault="00000000">
            <w:pPr>
              <w:pStyle w:val="a6"/>
              <w:rPr>
                <w:rFonts w:eastAsia="Arial Unicode MS"/>
                <w:lang w:val="en-GB"/>
              </w:rPr>
            </w:pPr>
            <w:r>
              <w:rPr>
                <w:lang w:val="en-GB"/>
              </w:rPr>
              <w:t>1.5.</w:t>
            </w:r>
          </w:p>
        </w:tc>
        <w:tc>
          <w:tcPr>
            <w:tcW w:w="1388" w:type="dxa"/>
            <w:vAlign w:val="center"/>
          </w:tcPr>
          <w:p w:rsidR="00000000" w:rsidRDefault="00000000">
            <w:pPr>
              <w:pStyle w:val="a6"/>
              <w:rPr>
                <w:lang w:val="en-GB"/>
              </w:rPr>
            </w:pPr>
            <w:r>
              <w:rPr>
                <w:lang w:val="en-GB"/>
              </w:rPr>
              <w:t>13.206.082</w:t>
            </w:r>
          </w:p>
        </w:tc>
        <w:tc>
          <w:tcPr>
            <w:tcW w:w="1304" w:type="dxa"/>
            <w:vAlign w:val="center"/>
          </w:tcPr>
          <w:p w:rsidR="00000000" w:rsidRDefault="00000000">
            <w:pPr>
              <w:pStyle w:val="a6"/>
              <w:rPr>
                <w:rFonts w:eastAsia="Arial Unicode MS"/>
                <w:lang w:val="en-GB"/>
              </w:rPr>
            </w:pPr>
            <w:r>
              <w:rPr>
                <w:lang w:val="en-GB"/>
              </w:rPr>
              <w:t>2,68%</w:t>
            </w:r>
          </w:p>
        </w:tc>
        <w:tc>
          <w:tcPr>
            <w:tcW w:w="1439" w:type="dxa"/>
            <w:vAlign w:val="center"/>
          </w:tcPr>
          <w:p w:rsidR="00000000" w:rsidRDefault="00000000">
            <w:pPr>
              <w:pStyle w:val="a6"/>
              <w:rPr>
                <w:lang w:val="en-GB"/>
              </w:rPr>
            </w:pPr>
            <w:r>
              <w:rPr>
                <w:lang w:val="en-GB"/>
              </w:rPr>
              <w:t>29%</w:t>
            </w:r>
          </w:p>
        </w:tc>
      </w:tr>
      <w:tr w:rsidR="00000000">
        <w:tblPrEx>
          <w:tblCellMar>
            <w:top w:w="0" w:type="dxa"/>
            <w:bottom w:w="0" w:type="dxa"/>
          </w:tblCellMar>
        </w:tblPrEx>
        <w:trPr>
          <w:cantSplit/>
          <w:trHeight w:val="240"/>
          <w:jc w:val="center"/>
        </w:trPr>
        <w:tc>
          <w:tcPr>
            <w:tcW w:w="3712" w:type="dxa"/>
            <w:vAlign w:val="center"/>
          </w:tcPr>
          <w:p w:rsidR="00000000" w:rsidRDefault="00000000">
            <w:pPr>
              <w:pStyle w:val="a6"/>
              <w:rPr>
                <w:rFonts w:eastAsia="Arial Unicode MS"/>
                <w:lang w:val="en-GB"/>
              </w:rPr>
            </w:pPr>
            <w:r>
              <w:rPr>
                <w:lang w:val="en-US"/>
              </w:rPr>
              <w:t>Oper</w:t>
            </w:r>
            <w:r>
              <w:rPr>
                <w:lang w:val="en-GB"/>
              </w:rPr>
              <w:t>.</w:t>
            </w:r>
            <w:r>
              <w:rPr>
                <w:lang w:val="en-US"/>
              </w:rPr>
              <w:t>Pr</w:t>
            </w:r>
            <w:r>
              <w:rPr>
                <w:lang w:val="en-GB"/>
              </w:rPr>
              <w:t xml:space="preserve">. </w:t>
            </w:r>
            <w:r>
              <w:rPr>
                <w:lang w:val="en-US"/>
              </w:rPr>
              <w:t>of the Region of Western Greece</w:t>
            </w:r>
          </w:p>
        </w:tc>
        <w:tc>
          <w:tcPr>
            <w:tcW w:w="1531" w:type="dxa"/>
            <w:vAlign w:val="center"/>
          </w:tcPr>
          <w:p w:rsidR="00000000" w:rsidRDefault="00000000">
            <w:pPr>
              <w:pStyle w:val="a6"/>
              <w:rPr>
                <w:rFonts w:eastAsia="Arial Unicode MS"/>
                <w:lang w:val="en-GB"/>
              </w:rPr>
            </w:pPr>
            <w:r>
              <w:rPr>
                <w:lang w:val="en-GB"/>
              </w:rPr>
              <w:t>5.1.</w:t>
            </w:r>
          </w:p>
        </w:tc>
        <w:tc>
          <w:tcPr>
            <w:tcW w:w="1388" w:type="dxa"/>
            <w:vAlign w:val="center"/>
          </w:tcPr>
          <w:p w:rsidR="00000000" w:rsidRDefault="00000000">
            <w:pPr>
              <w:pStyle w:val="a6"/>
              <w:rPr>
                <w:lang w:val="en-GB"/>
              </w:rPr>
            </w:pPr>
            <w:r>
              <w:rPr>
                <w:lang w:val="en-GB"/>
              </w:rPr>
              <w:t>16.140.552</w:t>
            </w:r>
          </w:p>
        </w:tc>
        <w:tc>
          <w:tcPr>
            <w:tcW w:w="1304" w:type="dxa"/>
            <w:vAlign w:val="center"/>
          </w:tcPr>
          <w:p w:rsidR="00000000" w:rsidRDefault="00000000">
            <w:pPr>
              <w:pStyle w:val="a6"/>
              <w:rPr>
                <w:rFonts w:eastAsia="Arial Unicode MS"/>
                <w:sz w:val="22"/>
                <w:lang w:val="el-GR"/>
              </w:rPr>
            </w:pPr>
            <w:r>
              <w:rPr>
                <w:sz w:val="22"/>
                <w:lang w:val="el-GR"/>
              </w:rPr>
              <w:t>2,06%</w:t>
            </w:r>
          </w:p>
        </w:tc>
        <w:tc>
          <w:tcPr>
            <w:tcW w:w="1439" w:type="dxa"/>
            <w:vAlign w:val="center"/>
          </w:tcPr>
          <w:p w:rsidR="00000000" w:rsidRDefault="00000000">
            <w:pPr>
              <w:pStyle w:val="a6"/>
              <w:rPr>
                <w:lang w:val="en-GB"/>
              </w:rPr>
            </w:pPr>
            <w:r>
              <w:rPr>
                <w:lang w:val="en-GB"/>
              </w:rPr>
              <w:t>38%</w:t>
            </w:r>
          </w:p>
        </w:tc>
      </w:tr>
      <w:tr w:rsidR="00000000">
        <w:tblPrEx>
          <w:tblCellMar>
            <w:top w:w="0" w:type="dxa"/>
            <w:bottom w:w="0" w:type="dxa"/>
          </w:tblCellMar>
        </w:tblPrEx>
        <w:trPr>
          <w:cantSplit/>
          <w:trHeight w:val="240"/>
          <w:jc w:val="center"/>
        </w:trPr>
        <w:tc>
          <w:tcPr>
            <w:tcW w:w="3712" w:type="dxa"/>
            <w:vAlign w:val="center"/>
          </w:tcPr>
          <w:p w:rsidR="00000000" w:rsidRDefault="00000000">
            <w:pPr>
              <w:pStyle w:val="a6"/>
              <w:rPr>
                <w:rFonts w:eastAsia="Arial Unicode MS"/>
                <w:lang w:val="en-GB"/>
              </w:rPr>
            </w:pPr>
            <w:r>
              <w:rPr>
                <w:lang w:val="en-US"/>
              </w:rPr>
              <w:t>Oper</w:t>
            </w:r>
            <w:r>
              <w:rPr>
                <w:lang w:val="en-GB"/>
              </w:rPr>
              <w:t xml:space="preserve">. </w:t>
            </w:r>
            <w:r>
              <w:rPr>
                <w:lang w:val="en-US"/>
              </w:rPr>
              <w:t>Pr</w:t>
            </w:r>
            <w:r>
              <w:rPr>
                <w:lang w:val="en-GB"/>
              </w:rPr>
              <w:t xml:space="preserve">. </w:t>
            </w:r>
            <w:r>
              <w:rPr>
                <w:lang w:val="en-US"/>
              </w:rPr>
              <w:t>of the Region</w:t>
            </w:r>
            <w:r>
              <w:rPr>
                <w:lang w:val="en-GB"/>
              </w:rPr>
              <w:t xml:space="preserve"> </w:t>
            </w:r>
            <w:r>
              <w:rPr>
                <w:lang w:val="en-US"/>
              </w:rPr>
              <w:t>of Western Macedonia</w:t>
            </w:r>
          </w:p>
        </w:tc>
        <w:tc>
          <w:tcPr>
            <w:tcW w:w="1531" w:type="dxa"/>
            <w:vAlign w:val="center"/>
          </w:tcPr>
          <w:p w:rsidR="00000000" w:rsidRDefault="00000000">
            <w:pPr>
              <w:pStyle w:val="a6"/>
              <w:rPr>
                <w:rFonts w:eastAsia="Arial Unicode MS"/>
                <w:lang w:val="en-GB"/>
              </w:rPr>
            </w:pPr>
            <w:r>
              <w:rPr>
                <w:lang w:val="en-GB"/>
              </w:rPr>
              <w:t>1.1.</w:t>
            </w:r>
          </w:p>
        </w:tc>
        <w:tc>
          <w:tcPr>
            <w:tcW w:w="1388" w:type="dxa"/>
            <w:vAlign w:val="center"/>
          </w:tcPr>
          <w:p w:rsidR="00000000" w:rsidRDefault="00000000">
            <w:pPr>
              <w:pStyle w:val="a6"/>
              <w:rPr>
                <w:lang w:val="en-GB"/>
              </w:rPr>
            </w:pPr>
            <w:r>
              <w:rPr>
                <w:lang w:val="en-GB"/>
              </w:rPr>
              <w:t>13.206.163</w:t>
            </w:r>
          </w:p>
        </w:tc>
        <w:tc>
          <w:tcPr>
            <w:tcW w:w="1304" w:type="dxa"/>
            <w:vAlign w:val="center"/>
          </w:tcPr>
          <w:p w:rsidR="00000000" w:rsidRDefault="00000000">
            <w:pPr>
              <w:pStyle w:val="a6"/>
              <w:rPr>
                <w:rFonts w:eastAsia="Arial Unicode MS"/>
                <w:lang w:val="en-GB"/>
              </w:rPr>
            </w:pPr>
            <w:r>
              <w:rPr>
                <w:lang w:val="en-GB"/>
              </w:rPr>
              <w:t>2,27%</w:t>
            </w:r>
          </w:p>
        </w:tc>
        <w:tc>
          <w:tcPr>
            <w:tcW w:w="1439" w:type="dxa"/>
            <w:vAlign w:val="center"/>
          </w:tcPr>
          <w:p w:rsidR="00000000" w:rsidRDefault="00000000">
            <w:pPr>
              <w:pStyle w:val="a6"/>
              <w:rPr>
                <w:lang w:val="en-GB"/>
              </w:rPr>
            </w:pPr>
            <w:r>
              <w:rPr>
                <w:lang w:val="en-GB"/>
              </w:rPr>
              <w:t>42%</w:t>
            </w:r>
          </w:p>
        </w:tc>
      </w:tr>
      <w:tr w:rsidR="00000000">
        <w:tblPrEx>
          <w:tblCellMar>
            <w:top w:w="0" w:type="dxa"/>
            <w:bottom w:w="0" w:type="dxa"/>
          </w:tblCellMar>
        </w:tblPrEx>
        <w:trPr>
          <w:cantSplit/>
          <w:trHeight w:val="240"/>
          <w:jc w:val="center"/>
        </w:trPr>
        <w:tc>
          <w:tcPr>
            <w:tcW w:w="3712" w:type="dxa"/>
            <w:vAlign w:val="center"/>
          </w:tcPr>
          <w:p w:rsidR="00000000" w:rsidRDefault="00000000">
            <w:pPr>
              <w:pStyle w:val="a6"/>
              <w:rPr>
                <w:rFonts w:eastAsia="Arial Unicode MS"/>
                <w:lang w:val="en-GB"/>
              </w:rPr>
            </w:pPr>
            <w:r>
              <w:rPr>
                <w:lang w:val="en-US"/>
              </w:rPr>
              <w:t>Oper</w:t>
            </w:r>
            <w:r>
              <w:rPr>
                <w:lang w:val="en-GB"/>
              </w:rPr>
              <w:t>.</w:t>
            </w:r>
            <w:r>
              <w:rPr>
                <w:lang w:val="en-US"/>
              </w:rPr>
              <w:t>Pr</w:t>
            </w:r>
            <w:r>
              <w:rPr>
                <w:lang w:val="en-GB"/>
              </w:rPr>
              <w:t xml:space="preserve">. </w:t>
            </w:r>
            <w:r>
              <w:rPr>
                <w:lang w:val="en-US"/>
              </w:rPr>
              <w:t>of the Region of Epirus</w:t>
            </w:r>
          </w:p>
        </w:tc>
        <w:tc>
          <w:tcPr>
            <w:tcW w:w="1531" w:type="dxa"/>
            <w:vAlign w:val="center"/>
          </w:tcPr>
          <w:p w:rsidR="00000000" w:rsidRDefault="00000000">
            <w:pPr>
              <w:pStyle w:val="a6"/>
              <w:rPr>
                <w:rFonts w:eastAsia="Arial Unicode MS"/>
                <w:lang w:val="en-GB"/>
              </w:rPr>
            </w:pPr>
            <w:r>
              <w:rPr>
                <w:lang w:val="en-GB"/>
              </w:rPr>
              <w:t>5.1.</w:t>
            </w:r>
          </w:p>
        </w:tc>
        <w:tc>
          <w:tcPr>
            <w:tcW w:w="1388" w:type="dxa"/>
            <w:vAlign w:val="center"/>
          </w:tcPr>
          <w:p w:rsidR="00000000" w:rsidRDefault="00000000">
            <w:pPr>
              <w:pStyle w:val="a6"/>
              <w:rPr>
                <w:lang w:val="en-GB"/>
              </w:rPr>
            </w:pPr>
            <w:r>
              <w:rPr>
                <w:lang w:val="en-GB"/>
              </w:rPr>
              <w:t>16.573.000</w:t>
            </w:r>
          </w:p>
        </w:tc>
        <w:tc>
          <w:tcPr>
            <w:tcW w:w="1304" w:type="dxa"/>
            <w:vAlign w:val="center"/>
          </w:tcPr>
          <w:p w:rsidR="00000000" w:rsidRDefault="00000000">
            <w:pPr>
              <w:pStyle w:val="a6"/>
              <w:rPr>
                <w:rFonts w:eastAsia="Arial Unicode MS"/>
                <w:lang w:val="en-GB"/>
              </w:rPr>
            </w:pPr>
            <w:r>
              <w:rPr>
                <w:lang w:val="en-GB"/>
              </w:rPr>
              <w:t>2,40%</w:t>
            </w:r>
          </w:p>
        </w:tc>
        <w:tc>
          <w:tcPr>
            <w:tcW w:w="1439" w:type="dxa"/>
            <w:vAlign w:val="center"/>
          </w:tcPr>
          <w:p w:rsidR="00000000" w:rsidRDefault="00000000">
            <w:pPr>
              <w:pStyle w:val="a6"/>
              <w:rPr>
                <w:lang w:val="en-GB"/>
              </w:rPr>
            </w:pPr>
            <w:r>
              <w:rPr>
                <w:lang w:val="en-GB"/>
              </w:rPr>
              <w:t>29,2%</w:t>
            </w:r>
          </w:p>
        </w:tc>
      </w:tr>
      <w:tr w:rsidR="00000000">
        <w:tblPrEx>
          <w:tblCellMar>
            <w:top w:w="0" w:type="dxa"/>
            <w:bottom w:w="0" w:type="dxa"/>
          </w:tblCellMar>
        </w:tblPrEx>
        <w:trPr>
          <w:cantSplit/>
          <w:trHeight w:val="240"/>
          <w:jc w:val="center"/>
        </w:trPr>
        <w:tc>
          <w:tcPr>
            <w:tcW w:w="3712" w:type="dxa"/>
            <w:vAlign w:val="center"/>
          </w:tcPr>
          <w:p w:rsidR="00000000" w:rsidRDefault="00000000">
            <w:pPr>
              <w:pStyle w:val="a6"/>
              <w:rPr>
                <w:rFonts w:eastAsia="Arial Unicode MS"/>
                <w:lang w:val="en-GB"/>
              </w:rPr>
            </w:pPr>
            <w:r>
              <w:rPr>
                <w:lang w:val="en-US"/>
              </w:rPr>
              <w:t>Oper</w:t>
            </w:r>
            <w:r>
              <w:rPr>
                <w:lang w:val="en-GB"/>
              </w:rPr>
              <w:t>.</w:t>
            </w:r>
            <w:r>
              <w:rPr>
                <w:lang w:val="en-US"/>
              </w:rPr>
              <w:t>Pr</w:t>
            </w:r>
            <w:r>
              <w:rPr>
                <w:lang w:val="en-GB"/>
              </w:rPr>
              <w:t xml:space="preserve">. </w:t>
            </w:r>
            <w:r>
              <w:rPr>
                <w:lang w:val="en-US"/>
              </w:rPr>
              <w:t>of the Region of Thessaly</w:t>
            </w:r>
          </w:p>
        </w:tc>
        <w:tc>
          <w:tcPr>
            <w:tcW w:w="1531" w:type="dxa"/>
            <w:vAlign w:val="center"/>
          </w:tcPr>
          <w:p w:rsidR="00000000" w:rsidRDefault="00000000">
            <w:pPr>
              <w:pStyle w:val="a6"/>
              <w:rPr>
                <w:rFonts w:eastAsia="Arial Unicode MS"/>
                <w:lang w:val="en-GB"/>
              </w:rPr>
            </w:pPr>
            <w:r>
              <w:rPr>
                <w:lang w:val="en-GB"/>
              </w:rPr>
              <w:t>5.3.</w:t>
            </w:r>
          </w:p>
        </w:tc>
        <w:tc>
          <w:tcPr>
            <w:tcW w:w="1388" w:type="dxa"/>
            <w:vAlign w:val="center"/>
          </w:tcPr>
          <w:p w:rsidR="00000000" w:rsidRDefault="00000000">
            <w:pPr>
              <w:pStyle w:val="a6"/>
              <w:rPr>
                <w:lang w:val="en-GB"/>
              </w:rPr>
            </w:pPr>
            <w:r>
              <w:rPr>
                <w:lang w:val="en-GB"/>
              </w:rPr>
              <w:t>21.716.800</w:t>
            </w:r>
          </w:p>
        </w:tc>
        <w:tc>
          <w:tcPr>
            <w:tcW w:w="1304" w:type="dxa"/>
            <w:vAlign w:val="center"/>
          </w:tcPr>
          <w:p w:rsidR="00000000" w:rsidRDefault="00000000">
            <w:pPr>
              <w:pStyle w:val="a6"/>
              <w:rPr>
                <w:rFonts w:eastAsia="Arial Unicode MS"/>
                <w:lang w:val="en-GB"/>
              </w:rPr>
            </w:pPr>
            <w:r>
              <w:rPr>
                <w:lang w:val="en-GB"/>
              </w:rPr>
              <w:t>2,34%</w:t>
            </w:r>
          </w:p>
        </w:tc>
        <w:tc>
          <w:tcPr>
            <w:tcW w:w="1439" w:type="dxa"/>
            <w:vAlign w:val="center"/>
          </w:tcPr>
          <w:p w:rsidR="00000000" w:rsidRDefault="00000000">
            <w:pPr>
              <w:pStyle w:val="a6"/>
              <w:rPr>
                <w:lang w:val="en-GB"/>
              </w:rPr>
            </w:pPr>
            <w:r>
              <w:rPr>
                <w:lang w:val="en-GB"/>
              </w:rPr>
              <w:t>38%</w:t>
            </w:r>
          </w:p>
        </w:tc>
      </w:tr>
      <w:tr w:rsidR="00000000">
        <w:tblPrEx>
          <w:tblCellMar>
            <w:top w:w="0" w:type="dxa"/>
            <w:bottom w:w="0" w:type="dxa"/>
          </w:tblCellMar>
        </w:tblPrEx>
        <w:trPr>
          <w:cantSplit/>
          <w:trHeight w:val="240"/>
          <w:jc w:val="center"/>
        </w:trPr>
        <w:tc>
          <w:tcPr>
            <w:tcW w:w="3712" w:type="dxa"/>
            <w:vAlign w:val="center"/>
          </w:tcPr>
          <w:p w:rsidR="00000000" w:rsidRDefault="00000000">
            <w:pPr>
              <w:pStyle w:val="a6"/>
              <w:rPr>
                <w:rFonts w:eastAsia="Arial Unicode MS"/>
                <w:lang w:val="en-GB"/>
              </w:rPr>
            </w:pPr>
            <w:r>
              <w:rPr>
                <w:lang w:val="en-US"/>
              </w:rPr>
              <w:t>Oper</w:t>
            </w:r>
            <w:r>
              <w:rPr>
                <w:lang w:val="en-GB"/>
              </w:rPr>
              <w:t>.</w:t>
            </w:r>
            <w:r>
              <w:rPr>
                <w:lang w:val="en-US"/>
              </w:rPr>
              <w:t>Pr</w:t>
            </w:r>
            <w:r>
              <w:rPr>
                <w:lang w:val="en-GB"/>
              </w:rPr>
              <w:t xml:space="preserve">. </w:t>
            </w:r>
            <w:r>
              <w:rPr>
                <w:lang w:val="en-US"/>
              </w:rPr>
              <w:t>of the Region of Ionian Islands</w:t>
            </w:r>
          </w:p>
        </w:tc>
        <w:tc>
          <w:tcPr>
            <w:tcW w:w="1531" w:type="dxa"/>
            <w:vAlign w:val="center"/>
          </w:tcPr>
          <w:p w:rsidR="00000000" w:rsidRDefault="00000000">
            <w:pPr>
              <w:pStyle w:val="a6"/>
              <w:rPr>
                <w:rFonts w:eastAsia="Arial Unicode MS"/>
                <w:lang w:val="en-GB"/>
              </w:rPr>
            </w:pPr>
            <w:r>
              <w:rPr>
                <w:lang w:val="en-GB"/>
              </w:rPr>
              <w:t>5.3.</w:t>
            </w:r>
          </w:p>
        </w:tc>
        <w:tc>
          <w:tcPr>
            <w:tcW w:w="1388" w:type="dxa"/>
            <w:vAlign w:val="center"/>
          </w:tcPr>
          <w:p w:rsidR="00000000" w:rsidRDefault="00000000">
            <w:pPr>
              <w:pStyle w:val="a6"/>
              <w:rPr>
                <w:lang w:val="en-GB"/>
              </w:rPr>
            </w:pPr>
            <w:r>
              <w:rPr>
                <w:lang w:val="en-GB"/>
              </w:rPr>
              <w:t>10.570.000</w:t>
            </w:r>
          </w:p>
        </w:tc>
        <w:tc>
          <w:tcPr>
            <w:tcW w:w="1304" w:type="dxa"/>
            <w:vAlign w:val="center"/>
          </w:tcPr>
          <w:p w:rsidR="00000000" w:rsidRDefault="00000000">
            <w:pPr>
              <w:pStyle w:val="a6"/>
              <w:rPr>
                <w:rFonts w:eastAsia="Arial Unicode MS"/>
                <w:lang w:val="en-GB"/>
              </w:rPr>
            </w:pPr>
            <w:r>
              <w:rPr>
                <w:lang w:val="en-GB"/>
              </w:rPr>
              <w:t>2,81%</w:t>
            </w:r>
          </w:p>
        </w:tc>
        <w:tc>
          <w:tcPr>
            <w:tcW w:w="1439" w:type="dxa"/>
            <w:vAlign w:val="center"/>
          </w:tcPr>
          <w:p w:rsidR="00000000" w:rsidRDefault="00000000">
            <w:pPr>
              <w:pStyle w:val="a6"/>
              <w:rPr>
                <w:lang w:val="en-GB"/>
              </w:rPr>
            </w:pPr>
            <w:r>
              <w:rPr>
                <w:lang w:val="en-GB"/>
              </w:rPr>
              <w:t>33,8%</w:t>
            </w:r>
          </w:p>
        </w:tc>
      </w:tr>
      <w:tr w:rsidR="00000000">
        <w:tblPrEx>
          <w:tblCellMar>
            <w:top w:w="0" w:type="dxa"/>
            <w:bottom w:w="0" w:type="dxa"/>
          </w:tblCellMar>
        </w:tblPrEx>
        <w:trPr>
          <w:cantSplit/>
          <w:trHeight w:val="240"/>
          <w:jc w:val="center"/>
        </w:trPr>
        <w:tc>
          <w:tcPr>
            <w:tcW w:w="3712" w:type="dxa"/>
            <w:vAlign w:val="center"/>
          </w:tcPr>
          <w:p w:rsidR="00000000" w:rsidRDefault="00000000">
            <w:pPr>
              <w:pStyle w:val="a6"/>
              <w:rPr>
                <w:rFonts w:eastAsia="Arial Unicode MS"/>
                <w:lang w:val="en-GB"/>
              </w:rPr>
            </w:pPr>
            <w:r>
              <w:rPr>
                <w:lang w:val="en-US"/>
              </w:rPr>
              <w:t>Oper</w:t>
            </w:r>
            <w:r>
              <w:rPr>
                <w:lang w:val="en-GB"/>
              </w:rPr>
              <w:t xml:space="preserve">. </w:t>
            </w:r>
            <w:r>
              <w:rPr>
                <w:lang w:val="en-US"/>
              </w:rPr>
              <w:t>Pr</w:t>
            </w:r>
            <w:r>
              <w:rPr>
                <w:lang w:val="en-GB"/>
              </w:rPr>
              <w:t xml:space="preserve">. </w:t>
            </w:r>
            <w:r>
              <w:rPr>
                <w:lang w:val="en-US"/>
              </w:rPr>
              <w:t>of the Region of Central Macedonia</w:t>
            </w:r>
          </w:p>
        </w:tc>
        <w:tc>
          <w:tcPr>
            <w:tcW w:w="1531" w:type="dxa"/>
            <w:vAlign w:val="center"/>
          </w:tcPr>
          <w:p w:rsidR="00000000" w:rsidRDefault="00000000">
            <w:pPr>
              <w:pStyle w:val="a6"/>
              <w:rPr>
                <w:rFonts w:eastAsia="Arial Unicode MS"/>
                <w:lang w:val="en-GB"/>
              </w:rPr>
            </w:pPr>
            <w:r>
              <w:rPr>
                <w:lang w:val="en-GB"/>
              </w:rPr>
              <w:t>5.1.</w:t>
            </w:r>
          </w:p>
        </w:tc>
        <w:tc>
          <w:tcPr>
            <w:tcW w:w="1388" w:type="dxa"/>
            <w:vAlign w:val="center"/>
          </w:tcPr>
          <w:p w:rsidR="00000000" w:rsidRDefault="00000000">
            <w:pPr>
              <w:pStyle w:val="a6"/>
              <w:rPr>
                <w:lang w:val="en-GB"/>
              </w:rPr>
            </w:pPr>
            <w:r>
              <w:rPr>
                <w:lang w:val="en-GB"/>
              </w:rPr>
              <w:t>34.629.505</w:t>
            </w:r>
          </w:p>
        </w:tc>
        <w:tc>
          <w:tcPr>
            <w:tcW w:w="1304" w:type="dxa"/>
            <w:vAlign w:val="center"/>
          </w:tcPr>
          <w:p w:rsidR="00000000" w:rsidRDefault="00000000">
            <w:pPr>
              <w:pStyle w:val="a6"/>
              <w:rPr>
                <w:rFonts w:eastAsia="Arial Unicode MS"/>
                <w:lang w:val="en-GB"/>
              </w:rPr>
            </w:pPr>
            <w:r>
              <w:rPr>
                <w:lang w:val="en-GB"/>
              </w:rPr>
              <w:t>2,37%</w:t>
            </w:r>
          </w:p>
        </w:tc>
        <w:tc>
          <w:tcPr>
            <w:tcW w:w="1439" w:type="dxa"/>
            <w:vAlign w:val="center"/>
          </w:tcPr>
          <w:p w:rsidR="00000000" w:rsidRDefault="00000000">
            <w:pPr>
              <w:pStyle w:val="a6"/>
              <w:rPr>
                <w:lang w:val="en-GB"/>
              </w:rPr>
            </w:pPr>
            <w:r>
              <w:rPr>
                <w:lang w:val="en-GB"/>
              </w:rPr>
              <w:t>37%</w:t>
            </w:r>
          </w:p>
        </w:tc>
      </w:tr>
      <w:tr w:rsidR="00000000">
        <w:tblPrEx>
          <w:tblCellMar>
            <w:top w:w="0" w:type="dxa"/>
            <w:bottom w:w="0" w:type="dxa"/>
          </w:tblCellMar>
        </w:tblPrEx>
        <w:trPr>
          <w:cantSplit/>
          <w:trHeight w:val="240"/>
          <w:jc w:val="center"/>
        </w:trPr>
        <w:tc>
          <w:tcPr>
            <w:tcW w:w="3712" w:type="dxa"/>
            <w:vAlign w:val="center"/>
          </w:tcPr>
          <w:p w:rsidR="00000000" w:rsidRDefault="00000000">
            <w:pPr>
              <w:pStyle w:val="a6"/>
              <w:rPr>
                <w:rFonts w:eastAsia="Arial Unicode MS"/>
                <w:lang w:val="en-GB"/>
              </w:rPr>
            </w:pPr>
            <w:r>
              <w:rPr>
                <w:lang w:val="en-US"/>
              </w:rPr>
              <w:t>Oper</w:t>
            </w:r>
            <w:r>
              <w:rPr>
                <w:lang w:val="en-GB"/>
              </w:rPr>
              <w:t xml:space="preserve">. </w:t>
            </w:r>
            <w:r>
              <w:rPr>
                <w:lang w:val="en-US"/>
              </w:rPr>
              <w:t>Pr. of the Region of Crete</w:t>
            </w:r>
          </w:p>
        </w:tc>
        <w:tc>
          <w:tcPr>
            <w:tcW w:w="1531" w:type="dxa"/>
            <w:vAlign w:val="center"/>
          </w:tcPr>
          <w:p w:rsidR="00000000" w:rsidRDefault="00000000">
            <w:pPr>
              <w:pStyle w:val="a6"/>
              <w:rPr>
                <w:rFonts w:eastAsia="Arial Unicode MS"/>
                <w:lang w:val="en-GB"/>
              </w:rPr>
            </w:pPr>
            <w:r>
              <w:rPr>
                <w:lang w:val="en-GB"/>
              </w:rPr>
              <w:t>6.1.</w:t>
            </w:r>
          </w:p>
        </w:tc>
        <w:tc>
          <w:tcPr>
            <w:tcW w:w="1388" w:type="dxa"/>
            <w:vAlign w:val="center"/>
          </w:tcPr>
          <w:p w:rsidR="00000000" w:rsidRDefault="00000000">
            <w:pPr>
              <w:pStyle w:val="a6"/>
              <w:rPr>
                <w:lang w:val="en-GB"/>
              </w:rPr>
            </w:pPr>
            <w:r>
              <w:rPr>
                <w:lang w:val="en-GB"/>
              </w:rPr>
              <w:t>18.999.997</w:t>
            </w:r>
          </w:p>
        </w:tc>
        <w:tc>
          <w:tcPr>
            <w:tcW w:w="1304" w:type="dxa"/>
            <w:vAlign w:val="center"/>
          </w:tcPr>
          <w:p w:rsidR="00000000" w:rsidRDefault="00000000">
            <w:pPr>
              <w:pStyle w:val="a6"/>
              <w:rPr>
                <w:rFonts w:eastAsia="Arial Unicode MS"/>
                <w:lang w:val="en-GB"/>
              </w:rPr>
            </w:pPr>
            <w:r>
              <w:rPr>
                <w:lang w:val="en-GB"/>
              </w:rPr>
              <w:t>2,56%</w:t>
            </w:r>
          </w:p>
        </w:tc>
        <w:tc>
          <w:tcPr>
            <w:tcW w:w="1439" w:type="dxa"/>
            <w:vAlign w:val="center"/>
          </w:tcPr>
          <w:p w:rsidR="00000000" w:rsidRDefault="00000000">
            <w:pPr>
              <w:pStyle w:val="a6"/>
              <w:rPr>
                <w:lang w:val="en-GB"/>
              </w:rPr>
            </w:pPr>
            <w:r>
              <w:rPr>
                <w:lang w:val="en-GB"/>
              </w:rPr>
              <w:t>14,25%</w:t>
            </w:r>
          </w:p>
        </w:tc>
      </w:tr>
      <w:tr w:rsidR="00000000">
        <w:tblPrEx>
          <w:tblCellMar>
            <w:top w:w="0" w:type="dxa"/>
            <w:bottom w:w="0" w:type="dxa"/>
          </w:tblCellMar>
        </w:tblPrEx>
        <w:trPr>
          <w:cantSplit/>
          <w:trHeight w:val="240"/>
          <w:jc w:val="center"/>
        </w:trPr>
        <w:tc>
          <w:tcPr>
            <w:tcW w:w="3712" w:type="dxa"/>
            <w:vAlign w:val="center"/>
          </w:tcPr>
          <w:p w:rsidR="00000000" w:rsidRDefault="00000000">
            <w:pPr>
              <w:pStyle w:val="a6"/>
              <w:rPr>
                <w:rFonts w:eastAsia="Arial Unicode MS"/>
                <w:lang w:val="en-GB"/>
              </w:rPr>
            </w:pPr>
            <w:r>
              <w:rPr>
                <w:lang w:val="en-US"/>
              </w:rPr>
              <w:t>Oper</w:t>
            </w:r>
            <w:r>
              <w:rPr>
                <w:lang w:val="en-GB"/>
              </w:rPr>
              <w:t xml:space="preserve">. </w:t>
            </w:r>
            <w:r>
              <w:rPr>
                <w:lang w:val="en-US"/>
              </w:rPr>
              <w:t>Pr</w:t>
            </w:r>
            <w:r>
              <w:rPr>
                <w:lang w:val="en-GB"/>
              </w:rPr>
              <w:t xml:space="preserve">. </w:t>
            </w:r>
            <w:r>
              <w:rPr>
                <w:lang w:val="en-US"/>
              </w:rPr>
              <w:t>of the Region of</w:t>
            </w:r>
            <w:r>
              <w:rPr>
                <w:lang w:val="en-GB"/>
              </w:rPr>
              <w:t xml:space="preserve"> </w:t>
            </w:r>
            <w:r>
              <w:rPr>
                <w:lang w:val="en-US"/>
              </w:rPr>
              <w:t>Southern Aegean</w:t>
            </w:r>
          </w:p>
        </w:tc>
        <w:tc>
          <w:tcPr>
            <w:tcW w:w="1531" w:type="dxa"/>
            <w:vAlign w:val="center"/>
          </w:tcPr>
          <w:p w:rsidR="00000000" w:rsidRDefault="00000000">
            <w:pPr>
              <w:pStyle w:val="a6"/>
              <w:rPr>
                <w:rFonts w:eastAsia="Arial Unicode MS"/>
                <w:lang w:val="en-GB"/>
              </w:rPr>
            </w:pPr>
            <w:r>
              <w:rPr>
                <w:lang w:val="en-GB"/>
              </w:rPr>
              <w:t>4.2.</w:t>
            </w:r>
          </w:p>
        </w:tc>
        <w:tc>
          <w:tcPr>
            <w:tcW w:w="1388" w:type="dxa"/>
            <w:vAlign w:val="center"/>
          </w:tcPr>
          <w:p w:rsidR="00000000" w:rsidRDefault="00000000">
            <w:pPr>
              <w:pStyle w:val="a6"/>
              <w:rPr>
                <w:lang w:val="en-GB"/>
              </w:rPr>
            </w:pPr>
            <w:r>
              <w:rPr>
                <w:lang w:val="en-GB"/>
              </w:rPr>
              <w:t>14.434.335</w:t>
            </w:r>
          </w:p>
        </w:tc>
        <w:tc>
          <w:tcPr>
            <w:tcW w:w="1304" w:type="dxa"/>
            <w:vAlign w:val="center"/>
          </w:tcPr>
          <w:p w:rsidR="00000000" w:rsidRDefault="00000000">
            <w:pPr>
              <w:pStyle w:val="a6"/>
              <w:rPr>
                <w:rFonts w:eastAsia="Arial Unicode MS"/>
                <w:lang w:val="en-GB"/>
              </w:rPr>
            </w:pPr>
            <w:r>
              <w:rPr>
                <w:lang w:val="en-GB"/>
              </w:rPr>
              <w:t>2,46%</w:t>
            </w:r>
          </w:p>
        </w:tc>
        <w:tc>
          <w:tcPr>
            <w:tcW w:w="1439" w:type="dxa"/>
            <w:vAlign w:val="center"/>
          </w:tcPr>
          <w:p w:rsidR="00000000" w:rsidRDefault="00000000">
            <w:pPr>
              <w:pStyle w:val="a6"/>
              <w:rPr>
                <w:lang w:val="en-GB"/>
              </w:rPr>
            </w:pPr>
            <w:r>
              <w:rPr>
                <w:lang w:val="en-GB"/>
              </w:rPr>
              <w:t>30%</w:t>
            </w:r>
          </w:p>
        </w:tc>
      </w:tr>
      <w:tr w:rsidR="00000000">
        <w:tblPrEx>
          <w:tblCellMar>
            <w:top w:w="0" w:type="dxa"/>
            <w:bottom w:w="0" w:type="dxa"/>
          </w:tblCellMar>
        </w:tblPrEx>
        <w:trPr>
          <w:cantSplit/>
          <w:trHeight w:val="240"/>
          <w:jc w:val="center"/>
        </w:trPr>
        <w:tc>
          <w:tcPr>
            <w:tcW w:w="3712" w:type="dxa"/>
            <w:vAlign w:val="center"/>
          </w:tcPr>
          <w:p w:rsidR="00000000" w:rsidRDefault="00000000">
            <w:pPr>
              <w:pStyle w:val="a6"/>
              <w:rPr>
                <w:rFonts w:eastAsia="Arial Unicode MS"/>
                <w:lang w:val="en-GB"/>
              </w:rPr>
            </w:pPr>
            <w:r>
              <w:rPr>
                <w:lang w:val="en-US"/>
              </w:rPr>
              <w:t>Oper</w:t>
            </w:r>
            <w:r>
              <w:rPr>
                <w:lang w:val="en-GB"/>
              </w:rPr>
              <w:t xml:space="preserve">. </w:t>
            </w:r>
            <w:r>
              <w:rPr>
                <w:lang w:val="en-US"/>
              </w:rPr>
              <w:t>Pr</w:t>
            </w:r>
            <w:r>
              <w:rPr>
                <w:lang w:val="en-GB"/>
              </w:rPr>
              <w:t xml:space="preserve">. </w:t>
            </w:r>
            <w:r>
              <w:rPr>
                <w:lang w:val="en-US"/>
              </w:rPr>
              <w:t>of the Region of Peloponnese</w:t>
            </w:r>
          </w:p>
        </w:tc>
        <w:tc>
          <w:tcPr>
            <w:tcW w:w="1531" w:type="dxa"/>
            <w:vAlign w:val="center"/>
          </w:tcPr>
          <w:p w:rsidR="00000000" w:rsidRDefault="00000000">
            <w:pPr>
              <w:pStyle w:val="a6"/>
              <w:rPr>
                <w:rFonts w:eastAsia="Arial Unicode MS"/>
                <w:lang w:val="en-US"/>
              </w:rPr>
            </w:pPr>
            <w:r>
              <w:rPr>
                <w:lang w:val="en-US"/>
              </w:rPr>
              <w:t>5.3.</w:t>
            </w:r>
          </w:p>
        </w:tc>
        <w:tc>
          <w:tcPr>
            <w:tcW w:w="1388" w:type="dxa"/>
            <w:vAlign w:val="center"/>
          </w:tcPr>
          <w:p w:rsidR="00000000" w:rsidRDefault="00000000">
            <w:pPr>
              <w:pStyle w:val="a6"/>
              <w:rPr>
                <w:lang w:val="en-US"/>
              </w:rPr>
            </w:pPr>
            <w:r>
              <w:rPr>
                <w:lang w:val="en-US"/>
              </w:rPr>
              <w:t>8.800.000</w:t>
            </w:r>
          </w:p>
        </w:tc>
        <w:tc>
          <w:tcPr>
            <w:tcW w:w="1304" w:type="dxa"/>
            <w:vAlign w:val="center"/>
          </w:tcPr>
          <w:p w:rsidR="00000000" w:rsidRDefault="00000000">
            <w:pPr>
              <w:pStyle w:val="a6"/>
              <w:rPr>
                <w:rFonts w:eastAsia="Arial Unicode MS"/>
                <w:lang w:val="en-US"/>
              </w:rPr>
            </w:pPr>
            <w:r>
              <w:rPr>
                <w:lang w:val="en-US"/>
              </w:rPr>
              <w:t>1,20%</w:t>
            </w:r>
          </w:p>
        </w:tc>
        <w:tc>
          <w:tcPr>
            <w:tcW w:w="1439" w:type="dxa"/>
            <w:vAlign w:val="center"/>
          </w:tcPr>
          <w:p w:rsidR="00000000" w:rsidRDefault="00000000">
            <w:pPr>
              <w:pStyle w:val="a6"/>
              <w:rPr>
                <w:lang w:val="en-US"/>
              </w:rPr>
            </w:pPr>
            <w:r>
              <w:rPr>
                <w:lang w:val="en-US"/>
              </w:rPr>
              <w:t>23,3%</w:t>
            </w:r>
          </w:p>
        </w:tc>
      </w:tr>
      <w:tr w:rsidR="00000000">
        <w:tblPrEx>
          <w:tblCellMar>
            <w:top w:w="0" w:type="dxa"/>
            <w:bottom w:w="0" w:type="dxa"/>
          </w:tblCellMar>
        </w:tblPrEx>
        <w:trPr>
          <w:cantSplit/>
          <w:trHeight w:val="240"/>
          <w:jc w:val="center"/>
        </w:trPr>
        <w:tc>
          <w:tcPr>
            <w:tcW w:w="3712" w:type="dxa"/>
            <w:vAlign w:val="center"/>
          </w:tcPr>
          <w:p w:rsidR="00000000" w:rsidRDefault="00000000">
            <w:pPr>
              <w:pStyle w:val="a6"/>
              <w:rPr>
                <w:rFonts w:eastAsia="Arial Unicode MS"/>
                <w:lang w:val="en-GB"/>
              </w:rPr>
            </w:pPr>
            <w:r>
              <w:rPr>
                <w:lang w:val="en-US"/>
              </w:rPr>
              <w:t>Oper</w:t>
            </w:r>
            <w:r>
              <w:rPr>
                <w:lang w:val="en-GB"/>
              </w:rPr>
              <w:t xml:space="preserve">. </w:t>
            </w:r>
            <w:r>
              <w:rPr>
                <w:lang w:val="en-US"/>
              </w:rPr>
              <w:t>Pr</w:t>
            </w:r>
            <w:r>
              <w:rPr>
                <w:lang w:val="en-GB"/>
              </w:rPr>
              <w:t xml:space="preserve">. </w:t>
            </w:r>
            <w:r>
              <w:rPr>
                <w:lang w:val="en-US"/>
              </w:rPr>
              <w:t>of the Region of Central Greece (</w:t>
            </w:r>
            <w:r>
              <w:rPr>
                <w:lang w:val="en-GB"/>
              </w:rPr>
              <w:t>Sterea Hellas)</w:t>
            </w:r>
          </w:p>
        </w:tc>
        <w:tc>
          <w:tcPr>
            <w:tcW w:w="1531" w:type="dxa"/>
            <w:vAlign w:val="center"/>
          </w:tcPr>
          <w:p w:rsidR="00000000" w:rsidRDefault="00000000">
            <w:pPr>
              <w:pStyle w:val="a6"/>
              <w:rPr>
                <w:rFonts w:eastAsia="Arial Unicode MS"/>
                <w:lang w:val="en-US"/>
              </w:rPr>
            </w:pPr>
            <w:r>
              <w:rPr>
                <w:lang w:val="en-US"/>
              </w:rPr>
              <w:t>5.2.</w:t>
            </w:r>
          </w:p>
        </w:tc>
        <w:tc>
          <w:tcPr>
            <w:tcW w:w="1388" w:type="dxa"/>
            <w:vAlign w:val="center"/>
          </w:tcPr>
          <w:p w:rsidR="00000000" w:rsidRDefault="00000000">
            <w:pPr>
              <w:pStyle w:val="a6"/>
              <w:rPr>
                <w:lang w:val="en-US"/>
              </w:rPr>
            </w:pPr>
            <w:r>
              <w:rPr>
                <w:lang w:val="en-US"/>
              </w:rPr>
              <w:t>19.075.568</w:t>
            </w:r>
          </w:p>
        </w:tc>
        <w:tc>
          <w:tcPr>
            <w:tcW w:w="1304" w:type="dxa"/>
            <w:vAlign w:val="center"/>
          </w:tcPr>
          <w:p w:rsidR="00000000" w:rsidRDefault="00000000">
            <w:pPr>
              <w:pStyle w:val="a6"/>
              <w:rPr>
                <w:rFonts w:eastAsia="Arial Unicode MS"/>
                <w:lang w:val="en-US"/>
              </w:rPr>
            </w:pPr>
            <w:r>
              <w:rPr>
                <w:lang w:val="en-US"/>
              </w:rPr>
              <w:t>2,18%</w:t>
            </w:r>
          </w:p>
        </w:tc>
        <w:tc>
          <w:tcPr>
            <w:tcW w:w="1439" w:type="dxa"/>
            <w:vAlign w:val="center"/>
          </w:tcPr>
          <w:p w:rsidR="00000000" w:rsidRDefault="00000000">
            <w:pPr>
              <w:pStyle w:val="a6"/>
              <w:rPr>
                <w:lang w:val="en-US"/>
              </w:rPr>
            </w:pPr>
            <w:r>
              <w:rPr>
                <w:lang w:val="en-US"/>
              </w:rPr>
              <w:t>33,5%</w:t>
            </w:r>
          </w:p>
        </w:tc>
      </w:tr>
      <w:tr w:rsidR="00000000">
        <w:tblPrEx>
          <w:tblCellMar>
            <w:top w:w="0" w:type="dxa"/>
            <w:bottom w:w="0" w:type="dxa"/>
          </w:tblCellMar>
        </w:tblPrEx>
        <w:trPr>
          <w:cantSplit/>
          <w:trHeight w:val="240"/>
          <w:jc w:val="center"/>
        </w:trPr>
        <w:tc>
          <w:tcPr>
            <w:tcW w:w="3712" w:type="dxa"/>
            <w:vAlign w:val="center"/>
          </w:tcPr>
          <w:p w:rsidR="00000000" w:rsidRDefault="00000000">
            <w:pPr>
              <w:pStyle w:val="a6"/>
              <w:rPr>
                <w:lang w:val="en-US"/>
              </w:rPr>
            </w:pPr>
            <w:r>
              <w:rPr>
                <w:lang w:val="en-US"/>
              </w:rPr>
              <w:t>Comm. Progr. EQUAL</w:t>
            </w:r>
          </w:p>
        </w:tc>
        <w:tc>
          <w:tcPr>
            <w:tcW w:w="1531" w:type="dxa"/>
            <w:vAlign w:val="center"/>
          </w:tcPr>
          <w:p w:rsidR="00000000" w:rsidRDefault="00000000">
            <w:pPr>
              <w:pStyle w:val="a6"/>
              <w:rPr>
                <w:lang w:val="en-GB"/>
              </w:rPr>
            </w:pPr>
            <w:r>
              <w:rPr>
                <w:lang w:val="en-GB"/>
              </w:rPr>
              <w:t>4.1., 4.2.</w:t>
            </w:r>
          </w:p>
        </w:tc>
        <w:tc>
          <w:tcPr>
            <w:tcW w:w="1388" w:type="dxa"/>
            <w:vAlign w:val="center"/>
          </w:tcPr>
          <w:p w:rsidR="00000000" w:rsidRDefault="00000000">
            <w:pPr>
              <w:pStyle w:val="a6"/>
              <w:rPr>
                <w:lang w:val="en-GB"/>
              </w:rPr>
            </w:pPr>
            <w:r>
              <w:rPr>
                <w:lang w:val="en-GB"/>
              </w:rPr>
              <w:t>13.880.000</w:t>
            </w:r>
          </w:p>
        </w:tc>
        <w:tc>
          <w:tcPr>
            <w:tcW w:w="1304" w:type="dxa"/>
            <w:vAlign w:val="center"/>
          </w:tcPr>
          <w:p w:rsidR="00000000" w:rsidRDefault="00000000">
            <w:pPr>
              <w:pStyle w:val="a6"/>
              <w:rPr>
                <w:lang w:val="en-GB"/>
              </w:rPr>
            </w:pPr>
            <w:r>
              <w:rPr>
                <w:lang w:val="en-GB"/>
              </w:rPr>
              <w:t>10%</w:t>
            </w:r>
          </w:p>
        </w:tc>
        <w:tc>
          <w:tcPr>
            <w:tcW w:w="1439" w:type="dxa"/>
            <w:vAlign w:val="center"/>
          </w:tcPr>
          <w:p w:rsidR="00000000" w:rsidRDefault="00000000">
            <w:pPr>
              <w:pStyle w:val="a6"/>
              <w:rPr>
                <w:lang w:val="en-GB"/>
              </w:rPr>
            </w:pPr>
            <w:r>
              <w:rPr>
                <w:lang w:val="en-GB"/>
              </w:rPr>
              <w:t>10%</w:t>
            </w:r>
          </w:p>
        </w:tc>
      </w:tr>
    </w:tbl>
    <w:p w:rsidR="00000000" w:rsidRDefault="00000000">
      <w:pPr>
        <w:pStyle w:val="-0"/>
        <w:rPr>
          <w:lang w:val="en-GB"/>
        </w:rPr>
      </w:pPr>
      <w:r>
        <w:rPr>
          <w:lang w:val="en-US"/>
        </w:rPr>
        <w:t>Source</w:t>
      </w:r>
      <w:r>
        <w:rPr>
          <w:lang w:val="en-GB"/>
        </w:rPr>
        <w:t xml:space="preserve">: </w:t>
      </w:r>
      <w:r>
        <w:rPr>
          <w:lang w:val="en-US"/>
        </w:rPr>
        <w:t>Financial</w:t>
      </w:r>
      <w:r>
        <w:rPr>
          <w:lang w:val="en-GB"/>
        </w:rPr>
        <w:t xml:space="preserve"> </w:t>
      </w:r>
      <w:r>
        <w:rPr>
          <w:lang w:val="en-US"/>
        </w:rPr>
        <w:t>data</w:t>
      </w:r>
      <w:r>
        <w:rPr>
          <w:lang w:val="en-GB"/>
        </w:rPr>
        <w:t xml:space="preserve"> </w:t>
      </w:r>
      <w:r>
        <w:rPr>
          <w:lang w:val="en-US"/>
        </w:rPr>
        <w:t>of</w:t>
      </w:r>
      <w:r>
        <w:rPr>
          <w:lang w:val="en-GB"/>
        </w:rPr>
        <w:t xml:space="preserve"> the </w:t>
      </w:r>
      <w:r>
        <w:rPr>
          <w:lang w:val="en-US"/>
        </w:rPr>
        <w:t>3</w:t>
      </w:r>
      <w:r>
        <w:rPr>
          <w:vertAlign w:val="superscript"/>
          <w:lang w:val="en-US"/>
        </w:rPr>
        <w:t>rd</w:t>
      </w:r>
      <w:r>
        <w:rPr>
          <w:lang w:val="en-US"/>
        </w:rPr>
        <w:t xml:space="preserve"> Community Support Framework</w:t>
      </w:r>
      <w:r>
        <w:rPr>
          <w:lang w:val="en-GB"/>
        </w:rPr>
        <w:t xml:space="preserve"> </w:t>
      </w:r>
      <w:r>
        <w:rPr>
          <w:lang w:val="en-US"/>
        </w:rPr>
        <w:t>Operational Programmes and the EQUAL Community Programme</w:t>
      </w:r>
      <w:r>
        <w:rPr>
          <w:lang w:val="en-GB"/>
        </w:rPr>
        <w:t xml:space="preserve"> Programming Complements, Study of the Research Centre for Gender Equality.</w:t>
      </w:r>
    </w:p>
    <w:p w:rsidR="00000000" w:rsidRDefault="00000000">
      <w:pPr>
        <w:tabs>
          <w:tab w:val="left" w:pos="567"/>
          <w:tab w:val="left" w:pos="1021"/>
          <w:tab w:val="left" w:pos="1474"/>
          <w:tab w:val="left" w:pos="1928"/>
        </w:tabs>
        <w:rPr>
          <w:lang w:val="en-GB"/>
        </w:rPr>
      </w:pPr>
    </w:p>
    <w:p w:rsidR="00000000" w:rsidRDefault="00000000">
      <w:pPr>
        <w:pStyle w:val="BodyText"/>
        <w:numPr>
          <w:ilvl w:val="0"/>
          <w:numId w:val="356"/>
        </w:numPr>
        <w:tabs>
          <w:tab w:val="clear" w:pos="360"/>
          <w:tab w:val="left" w:pos="567"/>
          <w:tab w:val="left" w:pos="1021"/>
          <w:tab w:val="left" w:pos="1474"/>
          <w:tab w:val="left" w:pos="1928"/>
        </w:tabs>
        <w:ind w:left="567" w:hanging="567"/>
        <w:rPr>
          <w:lang w:val="en-GB"/>
        </w:rPr>
      </w:pPr>
      <w:r>
        <w:rPr>
          <w:lang w:val="en-GB"/>
        </w:rPr>
        <w:t>Establishment of agencies to support and monitor equality:</w:t>
      </w:r>
    </w:p>
    <w:p w:rsidR="00000000" w:rsidRDefault="00000000">
      <w:pPr>
        <w:pStyle w:val="18-8"/>
        <w:rPr>
          <w:lang w:val="en-GB"/>
        </w:rPr>
      </w:pPr>
      <w:r>
        <w:sym w:font="Symbol" w:char="F0B7"/>
      </w:r>
      <w:r>
        <w:tab/>
      </w:r>
      <w:r>
        <w:rPr>
          <w:i/>
          <w:lang w:val="en-GB"/>
        </w:rPr>
        <w:t>Special Service for E.S.F. Action Coordination in the Operational Programmes of the 3</w:t>
      </w:r>
      <w:r>
        <w:rPr>
          <w:i/>
          <w:vertAlign w:val="superscript"/>
          <w:lang w:val="en-GB"/>
        </w:rPr>
        <w:t>rd</w:t>
      </w:r>
      <w:r>
        <w:rPr>
          <w:i/>
          <w:lang w:val="en-GB"/>
        </w:rPr>
        <w:t xml:space="preserve"> Community Support Framework</w:t>
      </w:r>
      <w:r>
        <w:rPr>
          <w:lang w:val="en-GB"/>
        </w:rPr>
        <w:t xml:space="preserve"> </w:t>
      </w:r>
    </w:p>
    <w:p w:rsidR="00000000" w:rsidRDefault="00000000">
      <w:pPr>
        <w:pStyle w:val="18-8"/>
        <w:rPr>
          <w:lang w:val="en-GB"/>
        </w:rPr>
      </w:pPr>
      <w:r>
        <w:rPr>
          <w:lang w:val="en-GB"/>
        </w:rPr>
        <w:tab/>
      </w:r>
      <w:r>
        <w:rPr>
          <w:lang w:val="en-GB"/>
        </w:rPr>
        <w:tab/>
        <w:t xml:space="preserve">The </w:t>
      </w:r>
      <w:r>
        <w:t>ΕΥ</w:t>
      </w:r>
      <w:r>
        <w:rPr>
          <w:lang w:val="en-GB"/>
        </w:rPr>
        <w:t>S</w:t>
      </w:r>
      <w:r>
        <w:t>ΕΚΤ</w:t>
      </w:r>
      <w:r>
        <w:rPr>
          <w:lang w:val="en-GB"/>
        </w:rPr>
        <w:t xml:space="preserve"> (Special Service for the Coordination of Actions of the European Social Fund), as the authority competent to coordinate actions of the European Social Fund and monitor the effectiveness of interventions of the European Social Fund, </w:t>
      </w:r>
      <w:r>
        <w:rPr>
          <w:i/>
          <w:lang w:val="en-GB"/>
        </w:rPr>
        <w:t>has undertaken the responsibility of promoting gender equality issues in the actions of the Operational Programmes</w:t>
      </w:r>
      <w:r>
        <w:rPr>
          <w:lang w:val="en-GB"/>
        </w:rPr>
        <w:t>.</w:t>
      </w:r>
    </w:p>
    <w:p w:rsidR="00000000" w:rsidRDefault="00000000">
      <w:pPr>
        <w:pStyle w:val="18-8"/>
        <w:rPr>
          <w:lang w:val="en-GB"/>
        </w:rPr>
      </w:pPr>
      <w:r>
        <w:sym w:font="Symbol" w:char="F0B7"/>
      </w:r>
      <w:r>
        <w:tab/>
      </w:r>
      <w:r>
        <w:rPr>
          <w:i/>
          <w:lang w:val="en-US"/>
        </w:rPr>
        <w:t>Appointment</w:t>
      </w:r>
      <w:r>
        <w:rPr>
          <w:i/>
          <w:lang w:val="en-GB"/>
        </w:rPr>
        <w:t xml:space="preserve"> </w:t>
      </w:r>
      <w:r>
        <w:rPr>
          <w:i/>
          <w:lang w:val="en-US"/>
        </w:rPr>
        <w:t>of</w:t>
      </w:r>
      <w:r>
        <w:rPr>
          <w:i/>
          <w:lang w:val="en-GB"/>
        </w:rPr>
        <w:t xml:space="preserve"> Officers </w:t>
      </w:r>
      <w:r>
        <w:rPr>
          <w:i/>
          <w:lang w:val="en-US"/>
        </w:rPr>
        <w:t>for</w:t>
      </w:r>
      <w:r>
        <w:rPr>
          <w:i/>
          <w:lang w:val="en-GB"/>
        </w:rPr>
        <w:t xml:space="preserve"> </w:t>
      </w:r>
      <w:r>
        <w:rPr>
          <w:i/>
          <w:lang w:val="en-US"/>
        </w:rPr>
        <w:t>Gender</w:t>
      </w:r>
      <w:r>
        <w:rPr>
          <w:i/>
          <w:lang w:val="en-GB"/>
        </w:rPr>
        <w:t xml:space="preserve"> </w:t>
      </w:r>
      <w:r>
        <w:rPr>
          <w:i/>
          <w:lang w:val="en-US"/>
        </w:rPr>
        <w:t>Equality</w:t>
      </w:r>
      <w:r>
        <w:rPr>
          <w:lang w:val="en-GB"/>
        </w:rPr>
        <w:t xml:space="preserve"> </w:t>
      </w:r>
      <w:r>
        <w:rPr>
          <w:lang w:val="en-US"/>
        </w:rPr>
        <w:t>in Managing Authorities of Sectoral Operational Programmes of the 3</w:t>
      </w:r>
      <w:r>
        <w:rPr>
          <w:vertAlign w:val="superscript"/>
          <w:lang w:val="en-US"/>
        </w:rPr>
        <w:t>rd</w:t>
      </w:r>
      <w:r>
        <w:rPr>
          <w:lang w:val="en-US"/>
        </w:rPr>
        <w:t xml:space="preserve"> Community Support Framework</w:t>
      </w:r>
      <w:r>
        <w:rPr>
          <w:lang w:val="en-GB"/>
        </w:rPr>
        <w:t>. Issuing,</w:t>
      </w:r>
      <w:r>
        <w:rPr>
          <w:lang w:val="en-US"/>
        </w:rPr>
        <w:t xml:space="preserve"> by the Ministry of National Economy,</w:t>
      </w:r>
      <w:r>
        <w:rPr>
          <w:lang w:val="en-GB"/>
        </w:rPr>
        <w:t xml:space="preserve"> of the 18321/6/6/2001 circular “on appointment of officers responsible for gender equality in Managing Authorities”.</w:t>
      </w:r>
    </w:p>
    <w:p w:rsidR="00000000" w:rsidRDefault="00000000">
      <w:pPr>
        <w:pStyle w:val="18-8"/>
        <w:rPr>
          <w:lang w:val="en-GB"/>
        </w:rPr>
      </w:pPr>
      <w:r>
        <w:sym w:font="Symbol" w:char="F0B7"/>
      </w:r>
      <w:r>
        <w:tab/>
      </w:r>
      <w:r>
        <w:rPr>
          <w:lang w:val="en-GB"/>
        </w:rPr>
        <w:t>Publication of a Guide on the integration of gender equality policies on gender equality in the planning and evaluation of actions of the Operational Programmes of the 3</w:t>
      </w:r>
      <w:r>
        <w:rPr>
          <w:vertAlign w:val="superscript"/>
          <w:lang w:val="en-GB"/>
        </w:rPr>
        <w:t>rd</w:t>
      </w:r>
      <w:r>
        <w:rPr>
          <w:lang w:val="en-GB"/>
        </w:rPr>
        <w:t xml:space="preserve"> Community Support Framework (</w:t>
      </w:r>
      <w:r>
        <w:t>ΚΕ</w:t>
      </w:r>
      <w:r>
        <w:rPr>
          <w:lang w:val="en-GB"/>
        </w:rPr>
        <w:t>TH</w:t>
      </w:r>
      <w:r>
        <w:t>Ι</w:t>
      </w:r>
      <w:r>
        <w:rPr>
          <w:lang w:val="en-GB"/>
        </w:rPr>
        <w:t>, June 2003)</w:t>
      </w:r>
    </w:p>
    <w:p w:rsidR="00000000" w:rsidRDefault="00000000">
      <w:pPr>
        <w:pStyle w:val="18-8"/>
        <w:rPr>
          <w:lang w:val="en-GB"/>
        </w:rPr>
      </w:pPr>
      <w:r>
        <w:rPr>
          <w:lang w:val="en-US"/>
        </w:rPr>
        <w:tab/>
      </w:r>
      <w:r>
        <w:rPr>
          <w:lang w:val="en-US"/>
        </w:rPr>
        <w:tab/>
        <w:t>The</w:t>
      </w:r>
      <w:r>
        <w:rPr>
          <w:lang w:val="en-GB"/>
        </w:rPr>
        <w:t xml:space="preserve"> </w:t>
      </w:r>
      <w:r>
        <w:rPr>
          <w:lang w:val="en-US"/>
        </w:rPr>
        <w:t>publication</w:t>
      </w:r>
      <w:r>
        <w:rPr>
          <w:lang w:val="en-GB"/>
        </w:rPr>
        <w:t xml:space="preserve"> </w:t>
      </w:r>
      <w:r>
        <w:rPr>
          <w:lang w:val="en-US"/>
        </w:rPr>
        <w:t>of</w:t>
      </w:r>
      <w:r>
        <w:rPr>
          <w:lang w:val="en-GB"/>
        </w:rPr>
        <w:t xml:space="preserve"> </w:t>
      </w:r>
      <w:r>
        <w:rPr>
          <w:lang w:val="en-US"/>
        </w:rPr>
        <w:t>the</w:t>
      </w:r>
      <w:r>
        <w:rPr>
          <w:lang w:val="en-GB"/>
        </w:rPr>
        <w:t xml:space="preserve"> </w:t>
      </w:r>
      <w:r>
        <w:rPr>
          <w:lang w:val="en-US"/>
        </w:rPr>
        <w:t>Guide</w:t>
      </w:r>
      <w:r>
        <w:rPr>
          <w:lang w:val="en-GB"/>
        </w:rPr>
        <w:t xml:space="preserve">, </w:t>
      </w:r>
      <w:r>
        <w:rPr>
          <w:lang w:val="en-US"/>
        </w:rPr>
        <w:t>which</w:t>
      </w:r>
      <w:r>
        <w:rPr>
          <w:lang w:val="en-GB"/>
        </w:rPr>
        <w:t xml:space="preserve"> </w:t>
      </w:r>
      <w:r>
        <w:rPr>
          <w:lang w:val="en-US"/>
        </w:rPr>
        <w:t>was</w:t>
      </w:r>
      <w:r>
        <w:rPr>
          <w:lang w:val="en-GB"/>
        </w:rPr>
        <w:t xml:space="preserve"> </w:t>
      </w:r>
      <w:r>
        <w:rPr>
          <w:lang w:val="en-US"/>
        </w:rPr>
        <w:t>distributed</w:t>
      </w:r>
      <w:r>
        <w:rPr>
          <w:lang w:val="en-GB"/>
        </w:rPr>
        <w:t xml:space="preserve"> </w:t>
      </w:r>
      <w:r>
        <w:rPr>
          <w:lang w:val="en-US"/>
        </w:rPr>
        <w:t>to</w:t>
      </w:r>
      <w:r>
        <w:rPr>
          <w:lang w:val="en-GB"/>
        </w:rPr>
        <w:t xml:space="preserve"> </w:t>
      </w:r>
      <w:r>
        <w:rPr>
          <w:lang w:val="en-US"/>
        </w:rPr>
        <w:t>all</w:t>
      </w:r>
      <w:r>
        <w:rPr>
          <w:lang w:val="en-GB"/>
        </w:rPr>
        <w:t xml:space="preserve"> </w:t>
      </w:r>
      <w:r>
        <w:rPr>
          <w:lang w:val="en-US"/>
        </w:rPr>
        <w:t>Managing</w:t>
      </w:r>
      <w:r>
        <w:rPr>
          <w:lang w:val="en-GB"/>
        </w:rPr>
        <w:t xml:space="preserve"> </w:t>
      </w:r>
      <w:r>
        <w:rPr>
          <w:lang w:val="en-US"/>
        </w:rPr>
        <w:t>Authorities</w:t>
      </w:r>
      <w:r>
        <w:rPr>
          <w:lang w:val="en-GB"/>
        </w:rPr>
        <w:t xml:space="preserve">, </w:t>
      </w:r>
      <w:r>
        <w:rPr>
          <w:lang w:val="en-US"/>
        </w:rPr>
        <w:t>to</w:t>
      </w:r>
      <w:r>
        <w:rPr>
          <w:lang w:val="en-GB"/>
        </w:rPr>
        <w:t xml:space="preserve"> </w:t>
      </w:r>
      <w:r>
        <w:rPr>
          <w:lang w:val="en-US"/>
        </w:rPr>
        <w:t>final</w:t>
      </w:r>
      <w:r>
        <w:rPr>
          <w:lang w:val="en-GB"/>
        </w:rPr>
        <w:t xml:space="preserve"> </w:t>
      </w:r>
      <w:r>
        <w:rPr>
          <w:lang w:val="en-US"/>
        </w:rPr>
        <w:t>beneficiaries</w:t>
      </w:r>
      <w:r>
        <w:rPr>
          <w:lang w:val="en-GB"/>
        </w:rPr>
        <w:t xml:space="preserve"> </w:t>
      </w:r>
      <w:r>
        <w:rPr>
          <w:lang w:val="en-US"/>
        </w:rPr>
        <w:t>of</w:t>
      </w:r>
      <w:r>
        <w:rPr>
          <w:lang w:val="en-GB"/>
        </w:rPr>
        <w:t xml:space="preserve"> the </w:t>
      </w:r>
      <w:r>
        <w:rPr>
          <w:lang w:val="en-US"/>
        </w:rPr>
        <w:t>Operational Programmes</w:t>
      </w:r>
      <w:r>
        <w:rPr>
          <w:lang w:val="en-GB"/>
        </w:rPr>
        <w:t xml:space="preserve"> </w:t>
      </w:r>
      <w:r>
        <w:rPr>
          <w:lang w:val="en-US"/>
        </w:rPr>
        <w:t>as</w:t>
      </w:r>
      <w:r>
        <w:rPr>
          <w:lang w:val="en-GB"/>
        </w:rPr>
        <w:t xml:space="preserve"> </w:t>
      </w:r>
      <w:r>
        <w:rPr>
          <w:lang w:val="en-US"/>
        </w:rPr>
        <w:t>well</w:t>
      </w:r>
      <w:r>
        <w:rPr>
          <w:lang w:val="en-GB"/>
        </w:rPr>
        <w:t xml:space="preserve"> </w:t>
      </w:r>
      <w:r>
        <w:rPr>
          <w:lang w:val="en-US"/>
        </w:rPr>
        <w:t>as</w:t>
      </w:r>
      <w:r>
        <w:rPr>
          <w:lang w:val="en-GB"/>
        </w:rPr>
        <w:t xml:space="preserve"> </w:t>
      </w:r>
      <w:r>
        <w:rPr>
          <w:lang w:val="en-US"/>
        </w:rPr>
        <w:t>consultants</w:t>
      </w:r>
      <w:r>
        <w:rPr>
          <w:lang w:val="en-GB"/>
        </w:rPr>
        <w:t xml:space="preserve"> for the </w:t>
      </w:r>
      <w:r>
        <w:rPr>
          <w:lang w:val="en-US"/>
        </w:rPr>
        <w:t>intermediate</w:t>
      </w:r>
      <w:r>
        <w:rPr>
          <w:lang w:val="en-GB"/>
        </w:rPr>
        <w:t xml:space="preserve"> </w:t>
      </w:r>
      <w:r>
        <w:rPr>
          <w:lang w:val="en-US"/>
        </w:rPr>
        <w:t>evaluation</w:t>
      </w:r>
      <w:r>
        <w:rPr>
          <w:lang w:val="en-GB"/>
        </w:rPr>
        <w:t xml:space="preserve"> </w:t>
      </w:r>
      <w:r>
        <w:rPr>
          <w:lang w:val="en-US"/>
        </w:rPr>
        <w:t>of</w:t>
      </w:r>
      <w:r>
        <w:rPr>
          <w:lang w:val="en-GB"/>
        </w:rPr>
        <w:t xml:space="preserve"> </w:t>
      </w:r>
      <w:r>
        <w:rPr>
          <w:lang w:val="en-US"/>
        </w:rPr>
        <w:t>Operational</w:t>
      </w:r>
      <w:r>
        <w:rPr>
          <w:lang w:val="en-GB"/>
        </w:rPr>
        <w:t xml:space="preserve"> </w:t>
      </w:r>
      <w:r>
        <w:rPr>
          <w:lang w:val="en-US"/>
        </w:rPr>
        <w:t>Programmes</w:t>
      </w:r>
      <w:r>
        <w:rPr>
          <w:lang w:val="en-GB"/>
        </w:rPr>
        <w:t xml:space="preserve">, </w:t>
      </w:r>
      <w:r>
        <w:rPr>
          <w:lang w:val="en-US"/>
        </w:rPr>
        <w:t>mainly</w:t>
      </w:r>
      <w:r>
        <w:rPr>
          <w:lang w:val="en-GB"/>
        </w:rPr>
        <w:t xml:space="preserve"> </w:t>
      </w:r>
      <w:r>
        <w:rPr>
          <w:lang w:val="en-US"/>
        </w:rPr>
        <w:t>aims</w:t>
      </w:r>
      <w:r>
        <w:rPr>
          <w:lang w:val="en-GB"/>
        </w:rPr>
        <w:t xml:space="preserve"> </w:t>
      </w:r>
      <w:r>
        <w:rPr>
          <w:lang w:val="en-US"/>
        </w:rPr>
        <w:t>at</w:t>
      </w:r>
      <w:r>
        <w:rPr>
          <w:lang w:val="en-GB"/>
        </w:rPr>
        <w:t xml:space="preserve"> </w:t>
      </w:r>
      <w:r>
        <w:rPr>
          <w:lang w:val="en-US"/>
        </w:rPr>
        <w:t>promoting</w:t>
      </w:r>
      <w:r>
        <w:rPr>
          <w:lang w:val="en-GB"/>
        </w:rPr>
        <w:t xml:space="preserve"> </w:t>
      </w:r>
      <w:r>
        <w:rPr>
          <w:lang w:val="en-US"/>
        </w:rPr>
        <w:t>the</w:t>
      </w:r>
      <w:r>
        <w:rPr>
          <w:lang w:val="en-GB"/>
        </w:rPr>
        <w:t xml:space="preserve"> </w:t>
      </w:r>
      <w:r>
        <w:rPr>
          <w:lang w:val="en-US"/>
        </w:rPr>
        <w:t>integration</w:t>
      </w:r>
      <w:r>
        <w:rPr>
          <w:lang w:val="en-GB"/>
        </w:rPr>
        <w:t xml:space="preserve"> </w:t>
      </w:r>
      <w:r>
        <w:rPr>
          <w:lang w:val="en-US"/>
        </w:rPr>
        <w:t>of</w:t>
      </w:r>
      <w:r>
        <w:rPr>
          <w:lang w:val="en-GB"/>
        </w:rPr>
        <w:t xml:space="preserve"> </w:t>
      </w:r>
      <w:r>
        <w:rPr>
          <w:lang w:val="en-US"/>
        </w:rPr>
        <w:t>gender</w:t>
      </w:r>
      <w:r>
        <w:rPr>
          <w:lang w:val="en-GB"/>
        </w:rPr>
        <w:t xml:space="preserve"> </w:t>
      </w:r>
      <w:r>
        <w:rPr>
          <w:lang w:val="en-US"/>
        </w:rPr>
        <w:t>equality</w:t>
      </w:r>
      <w:r>
        <w:rPr>
          <w:lang w:val="en-GB"/>
        </w:rPr>
        <w:t xml:space="preserve"> </w:t>
      </w:r>
      <w:r>
        <w:rPr>
          <w:lang w:val="en-US"/>
        </w:rPr>
        <w:t>in</w:t>
      </w:r>
      <w:r>
        <w:rPr>
          <w:lang w:val="en-GB"/>
        </w:rPr>
        <w:t xml:space="preserve"> </w:t>
      </w:r>
      <w:r>
        <w:rPr>
          <w:lang w:val="en-US"/>
        </w:rPr>
        <w:t>the</w:t>
      </w:r>
      <w:r>
        <w:rPr>
          <w:lang w:val="en-GB"/>
        </w:rPr>
        <w:t xml:space="preserve"> </w:t>
      </w:r>
      <w:r>
        <w:rPr>
          <w:lang w:val="en-US"/>
        </w:rPr>
        <w:t>implementation of the 3</w:t>
      </w:r>
      <w:r>
        <w:rPr>
          <w:vertAlign w:val="superscript"/>
          <w:lang w:val="en-US"/>
        </w:rPr>
        <w:t>rd</w:t>
      </w:r>
      <w:r>
        <w:rPr>
          <w:lang w:val="en-US"/>
        </w:rPr>
        <w:t xml:space="preserve"> Community Support Framework, providing technical knowledge to persons involved in planning, monitoring and evaluating Operational Programmes</w:t>
      </w:r>
      <w:r>
        <w:rPr>
          <w:lang w:val="en-GB"/>
        </w:rPr>
        <w:t xml:space="preserve">, both at the level of Managing Authorities and the level of final beneficiaries. </w:t>
      </w:r>
    </w:p>
    <w:p w:rsidR="00000000" w:rsidRDefault="00000000">
      <w:pPr>
        <w:pStyle w:val="18-8"/>
        <w:rPr>
          <w:lang w:val="en-GB"/>
        </w:rPr>
      </w:pPr>
      <w:r>
        <w:sym w:font="Symbol" w:char="F0B7"/>
      </w:r>
      <w:r>
        <w:tab/>
      </w:r>
      <w:r>
        <w:rPr>
          <w:i/>
          <w:lang w:val="en-US"/>
        </w:rPr>
        <w:t>Organizing an informational seminar</w:t>
      </w:r>
      <w:r>
        <w:rPr>
          <w:b/>
          <w:lang w:val="en-GB"/>
        </w:rPr>
        <w:t xml:space="preserve"> </w:t>
      </w:r>
      <w:r>
        <w:rPr>
          <w:lang w:val="en-US"/>
        </w:rPr>
        <w:t>concerning integration of gender equality</w:t>
      </w:r>
      <w:r>
        <w:rPr>
          <w:lang w:val="en-GB"/>
        </w:rPr>
        <w:t xml:space="preserve"> </w:t>
      </w:r>
      <w:r>
        <w:rPr>
          <w:lang w:val="en-US"/>
        </w:rPr>
        <w:t>into the actions implemented in the context of the Operational Programmes. The seminar was intended</w:t>
      </w:r>
      <w:r>
        <w:rPr>
          <w:lang w:val="en-GB"/>
        </w:rPr>
        <w:t xml:space="preserve"> </w:t>
      </w:r>
      <w:r>
        <w:rPr>
          <w:lang w:val="en-US"/>
        </w:rPr>
        <w:t>for</w:t>
      </w:r>
      <w:r>
        <w:rPr>
          <w:lang w:val="en-GB"/>
        </w:rPr>
        <w:t xml:space="preserve"> </w:t>
      </w:r>
      <w:r>
        <w:rPr>
          <w:lang w:val="en-US"/>
        </w:rPr>
        <w:t>people</w:t>
      </w:r>
      <w:r>
        <w:rPr>
          <w:lang w:val="en-GB"/>
        </w:rPr>
        <w:t xml:space="preserve"> </w:t>
      </w:r>
      <w:r>
        <w:rPr>
          <w:lang w:val="en-US"/>
        </w:rPr>
        <w:t>responsible</w:t>
      </w:r>
      <w:r>
        <w:rPr>
          <w:lang w:val="en-GB"/>
        </w:rPr>
        <w:t xml:space="preserve"> </w:t>
      </w:r>
      <w:r>
        <w:rPr>
          <w:lang w:val="en-US"/>
        </w:rPr>
        <w:t>for</w:t>
      </w:r>
      <w:r>
        <w:rPr>
          <w:lang w:val="en-GB"/>
        </w:rPr>
        <w:t xml:space="preserve"> the </w:t>
      </w:r>
      <w:r>
        <w:rPr>
          <w:lang w:val="en-US"/>
        </w:rPr>
        <w:t>Operational</w:t>
      </w:r>
      <w:r>
        <w:rPr>
          <w:lang w:val="en-GB"/>
        </w:rPr>
        <w:t xml:space="preserve"> </w:t>
      </w:r>
      <w:r>
        <w:rPr>
          <w:lang w:val="en-US"/>
        </w:rPr>
        <w:t>Programmes</w:t>
      </w:r>
      <w:r>
        <w:rPr>
          <w:lang w:val="en-GB"/>
        </w:rPr>
        <w:t xml:space="preserve">, executives of Managing Authorities, and implementation operators, Ithaca 19-20 </w:t>
      </w:r>
      <w:r>
        <w:rPr>
          <w:lang w:val="en-US"/>
        </w:rPr>
        <w:t>June</w:t>
      </w:r>
      <w:r>
        <w:rPr>
          <w:lang w:val="en-GB"/>
        </w:rPr>
        <w:t xml:space="preserve"> 2003.</w:t>
      </w:r>
    </w:p>
    <w:p w:rsidR="00000000" w:rsidRDefault="00000000">
      <w:pPr>
        <w:pStyle w:val="18-8"/>
        <w:rPr>
          <w:lang w:val="en-GB"/>
        </w:rPr>
      </w:pPr>
      <w:r>
        <w:sym w:font="Symbol" w:char="F0B7"/>
      </w:r>
      <w:r>
        <w:tab/>
      </w:r>
      <w:r>
        <w:rPr>
          <w:i/>
          <w:lang w:val="en-US"/>
        </w:rPr>
        <w:t>Creation</w:t>
      </w:r>
      <w:r>
        <w:rPr>
          <w:i/>
          <w:lang w:val="en-GB"/>
        </w:rPr>
        <w:t xml:space="preserve"> </w:t>
      </w:r>
      <w:r>
        <w:rPr>
          <w:i/>
          <w:lang w:val="en-US"/>
        </w:rPr>
        <w:t>of</w:t>
      </w:r>
      <w:r>
        <w:rPr>
          <w:i/>
          <w:lang w:val="en-GB"/>
        </w:rPr>
        <w:t xml:space="preserve"> </w:t>
      </w:r>
      <w:r>
        <w:rPr>
          <w:i/>
          <w:lang w:val="en-US"/>
        </w:rPr>
        <w:t>a</w:t>
      </w:r>
      <w:r>
        <w:rPr>
          <w:i/>
          <w:lang w:val="en-GB"/>
        </w:rPr>
        <w:t xml:space="preserve"> </w:t>
      </w:r>
      <w:r>
        <w:rPr>
          <w:i/>
          <w:lang w:val="en-US"/>
        </w:rPr>
        <w:t>system</w:t>
      </w:r>
      <w:r>
        <w:rPr>
          <w:i/>
          <w:lang w:val="en-GB"/>
        </w:rPr>
        <w:t xml:space="preserve"> for </w:t>
      </w:r>
      <w:r>
        <w:rPr>
          <w:i/>
          <w:lang w:val="en-US"/>
        </w:rPr>
        <w:t>monitoring</w:t>
      </w:r>
      <w:r>
        <w:rPr>
          <w:b/>
          <w:lang w:val="en-GB"/>
        </w:rPr>
        <w:t xml:space="preserve"> </w:t>
      </w:r>
      <w:r>
        <w:rPr>
          <w:lang w:val="en-GB"/>
        </w:rPr>
        <w:t xml:space="preserve">the </w:t>
      </w:r>
      <w:r>
        <w:rPr>
          <w:lang w:val="en-US"/>
        </w:rPr>
        <w:t xml:space="preserve">promotion of gender equality in the actions of the Operational Programmes of the Community Support Framework </w:t>
      </w:r>
      <w:r>
        <w:rPr>
          <w:lang w:val="en-GB"/>
        </w:rPr>
        <w:t>2000-2006. (</w:t>
      </w:r>
      <w:r>
        <w:rPr>
          <w:lang w:val="en-US"/>
        </w:rPr>
        <w:t>database</w:t>
      </w:r>
      <w:r>
        <w:rPr>
          <w:lang w:val="en-GB"/>
        </w:rPr>
        <w:t xml:space="preserve"> </w:t>
      </w:r>
      <w:r>
        <w:t>ΕΥ</w:t>
      </w:r>
      <w:r>
        <w:rPr>
          <w:lang w:val="en-GB"/>
        </w:rPr>
        <w:t>S</w:t>
      </w:r>
      <w:r>
        <w:t>ΕΚΤ</w:t>
      </w:r>
      <w:r>
        <w:rPr>
          <w:lang w:val="en-GB"/>
        </w:rPr>
        <w:t>).</w:t>
      </w:r>
    </w:p>
    <w:p w:rsidR="00000000" w:rsidRDefault="00000000">
      <w:pPr>
        <w:pStyle w:val="BodyText"/>
        <w:tabs>
          <w:tab w:val="left" w:pos="567"/>
          <w:tab w:val="left" w:pos="1021"/>
          <w:tab w:val="left" w:pos="1474"/>
          <w:tab w:val="left" w:pos="1928"/>
        </w:tabs>
        <w:jc w:val="center"/>
        <w:rPr>
          <w:caps/>
          <w:color w:val="000000"/>
          <w:lang w:val="en-GB"/>
        </w:rPr>
      </w:pPr>
      <w:r>
        <w:rPr>
          <w:caps/>
          <w:color w:val="000000"/>
          <w:lang w:val="en-GB"/>
        </w:rPr>
        <w:t>B. Gender Equality in SPECIFIC Operational Programme Interventions</w:t>
      </w:r>
    </w:p>
    <w:p w:rsidR="00000000" w:rsidRDefault="00000000">
      <w:pPr>
        <w:tabs>
          <w:tab w:val="left" w:pos="567"/>
          <w:tab w:val="left" w:pos="1021"/>
          <w:tab w:val="left" w:pos="1474"/>
          <w:tab w:val="left" w:pos="1928"/>
        </w:tabs>
        <w:ind w:left="567"/>
        <w:rPr>
          <w:lang w:val="en-GB"/>
        </w:rPr>
      </w:pPr>
      <w:r>
        <w:rPr>
          <w:lang w:val="en-US"/>
        </w:rPr>
        <w:t>More</w:t>
      </w:r>
      <w:r>
        <w:rPr>
          <w:lang w:val="en-GB"/>
        </w:rPr>
        <w:t xml:space="preserve"> </w:t>
      </w:r>
      <w:r>
        <w:rPr>
          <w:lang w:val="en-US"/>
        </w:rPr>
        <w:t>specifically</w:t>
      </w:r>
      <w:r>
        <w:rPr>
          <w:lang w:val="en-GB"/>
        </w:rPr>
        <w:t xml:space="preserve">, </w:t>
      </w:r>
      <w:r>
        <w:rPr>
          <w:lang w:val="en-US"/>
        </w:rPr>
        <w:t>and</w:t>
      </w:r>
      <w:r>
        <w:rPr>
          <w:lang w:val="en-GB"/>
        </w:rPr>
        <w:t xml:space="preserve"> </w:t>
      </w:r>
      <w:r>
        <w:rPr>
          <w:lang w:val="en-US"/>
        </w:rPr>
        <w:t>per sector of intervention,</w:t>
      </w:r>
      <w:r>
        <w:rPr>
          <w:lang w:val="en-GB"/>
        </w:rPr>
        <w:t xml:space="preserve"> the </w:t>
      </w:r>
      <w:r>
        <w:rPr>
          <w:lang w:val="en-US"/>
        </w:rPr>
        <w:t>progress of positive actions</w:t>
      </w:r>
      <w:r>
        <w:rPr>
          <w:lang w:val="en-GB"/>
        </w:rPr>
        <w:t xml:space="preserve"> </w:t>
      </w:r>
      <w:r>
        <w:rPr>
          <w:lang w:val="en-US"/>
        </w:rPr>
        <w:t>for the promotion of gender equality which have been integrated and are implemented</w:t>
      </w:r>
      <w:r>
        <w:rPr>
          <w:lang w:val="en-GB"/>
        </w:rPr>
        <w:t xml:space="preserve"> </w:t>
      </w:r>
      <w:r>
        <w:rPr>
          <w:lang w:val="en-US"/>
        </w:rPr>
        <w:t>in Operational Programmes of the 3</w:t>
      </w:r>
      <w:r>
        <w:rPr>
          <w:vertAlign w:val="superscript"/>
          <w:lang w:val="en-US"/>
        </w:rPr>
        <w:t>rd</w:t>
      </w:r>
      <w:r>
        <w:rPr>
          <w:lang w:val="en-US"/>
        </w:rPr>
        <w:t xml:space="preserve"> Community Support Framework, is presented in the tables attached</w:t>
      </w:r>
      <w:r>
        <w:rPr>
          <w:lang w:val="en-GB"/>
        </w:rPr>
        <w:t>.</w:t>
      </w:r>
    </w:p>
    <w:p w:rsidR="00000000" w:rsidRDefault="00000000">
      <w:pPr>
        <w:pStyle w:val="BodyText"/>
        <w:rPr>
          <w:lang w:val="en-GB"/>
        </w:rPr>
      </w:pPr>
      <w:r>
        <w:rPr>
          <w:lang w:val="en-US"/>
        </w:rPr>
        <w:tab/>
      </w:r>
      <w:r>
        <w:rPr>
          <w:lang w:val="en-US"/>
        </w:rPr>
        <w:tab/>
        <w:t>Here,</w:t>
      </w:r>
      <w:r>
        <w:rPr>
          <w:lang w:val="en-GB"/>
        </w:rPr>
        <w:t xml:space="preserve"> </w:t>
      </w:r>
      <w:r>
        <w:rPr>
          <w:lang w:val="en-US"/>
        </w:rPr>
        <w:t>actions</w:t>
      </w:r>
      <w:r>
        <w:rPr>
          <w:lang w:val="en-GB"/>
        </w:rPr>
        <w:t xml:space="preserve"> </w:t>
      </w:r>
      <w:r>
        <w:rPr>
          <w:lang w:val="en-US"/>
        </w:rPr>
        <w:t>such as</w:t>
      </w:r>
      <w:r>
        <w:rPr>
          <w:lang w:val="en-GB"/>
        </w:rPr>
        <w:t xml:space="preserve"> </w:t>
      </w:r>
    </w:p>
    <w:p w:rsidR="00000000" w:rsidRDefault="00000000">
      <w:pPr>
        <w:pStyle w:val="BodyText"/>
        <w:rPr>
          <w:lang w:val="en-GB"/>
        </w:rPr>
      </w:pPr>
      <w:r>
        <w:rPr>
          <w:b/>
          <w:lang w:val="en-GB"/>
        </w:rPr>
        <w:t>1.</w:t>
      </w:r>
      <w:r>
        <w:rPr>
          <w:lang w:val="en-GB"/>
        </w:rPr>
        <w:tab/>
        <w:t xml:space="preserve">“Positive actions for the promotion of equal opportunities between men and women in small-medium sized enterprises and large enterprises” and </w:t>
      </w:r>
    </w:p>
    <w:p w:rsidR="00000000" w:rsidRDefault="00000000">
      <w:pPr>
        <w:pStyle w:val="BodyText"/>
        <w:rPr>
          <w:b/>
          <w:lang w:val="en-GB"/>
        </w:rPr>
      </w:pPr>
      <w:r>
        <w:rPr>
          <w:b/>
          <w:lang w:val="en-GB"/>
        </w:rPr>
        <w:br w:type="page"/>
        <w:t>2.</w:t>
      </w:r>
      <w:r>
        <w:rPr>
          <w:lang w:val="en-GB"/>
        </w:rPr>
        <w:tab/>
        <w:t>“Integrated interventions in favour of women”, are included.</w:t>
      </w:r>
    </w:p>
    <w:p w:rsidR="00000000" w:rsidRDefault="00000000">
      <w:pPr>
        <w:pStyle w:val="18-8"/>
        <w:rPr>
          <w:lang w:val="en-GB"/>
        </w:rPr>
      </w:pPr>
      <w:r>
        <w:sym w:font="Symbol" w:char="F0B7"/>
      </w:r>
      <w:r>
        <w:tab/>
      </w:r>
      <w:r>
        <w:rPr>
          <w:lang w:val="en-GB"/>
        </w:rPr>
        <w:t xml:space="preserve">In the sector of developing </w:t>
      </w:r>
      <w:r>
        <w:rPr>
          <w:i/>
          <w:u w:val="single"/>
          <w:lang w:val="en-US"/>
        </w:rPr>
        <w:t>women</w:t>
      </w:r>
      <w:r>
        <w:rPr>
          <w:i/>
          <w:u w:val="single"/>
          <w:lang w:val="en-GB"/>
        </w:rPr>
        <w:t>’</w:t>
      </w:r>
      <w:r>
        <w:rPr>
          <w:i/>
          <w:u w:val="single"/>
          <w:lang w:val="en-US"/>
        </w:rPr>
        <w:t>s</w:t>
      </w:r>
      <w:r>
        <w:rPr>
          <w:i/>
          <w:u w:val="single"/>
          <w:lang w:val="en-GB"/>
        </w:rPr>
        <w:t xml:space="preserve"> </w:t>
      </w:r>
      <w:r>
        <w:rPr>
          <w:i/>
          <w:u w:val="single"/>
          <w:lang w:val="en-US"/>
        </w:rPr>
        <w:t>entrepreneurship</w:t>
      </w:r>
      <w:r>
        <w:rPr>
          <w:lang w:val="en-GB"/>
        </w:rPr>
        <w:t xml:space="preserve">, </w:t>
      </w:r>
      <w:r>
        <w:rPr>
          <w:lang w:val="en-US"/>
        </w:rPr>
        <w:t xml:space="preserve">actions relating to the support of women’s entrepreneurship </w:t>
      </w:r>
      <w:r>
        <w:rPr>
          <w:lang w:val="en-GB"/>
        </w:rPr>
        <w:t>(supporting 1,218 women’s enterprises) through financial aid, for the creation of new viable enterprises</w:t>
      </w:r>
      <w:r>
        <w:rPr>
          <w:lang w:val="en-US"/>
        </w:rPr>
        <w:t xml:space="preserve"> are of</w:t>
      </w:r>
      <w:r>
        <w:rPr>
          <w:lang w:val="en-GB"/>
        </w:rPr>
        <w:t xml:space="preserve"> </w:t>
      </w:r>
      <w:r>
        <w:rPr>
          <w:lang w:val="en-US"/>
        </w:rPr>
        <w:t>particular</w:t>
      </w:r>
      <w:r>
        <w:rPr>
          <w:lang w:val="en-GB"/>
        </w:rPr>
        <w:t xml:space="preserve"> </w:t>
      </w:r>
      <w:r>
        <w:rPr>
          <w:lang w:val="en-US"/>
        </w:rPr>
        <w:t>interest</w:t>
      </w:r>
      <w:r>
        <w:rPr>
          <w:lang w:val="en-GB"/>
        </w:rPr>
        <w:t>.</w:t>
      </w:r>
    </w:p>
    <w:p w:rsidR="00000000" w:rsidRDefault="00000000">
      <w:pPr>
        <w:pStyle w:val="18-8"/>
        <w:rPr>
          <w:lang w:val="en-GB"/>
        </w:rPr>
      </w:pPr>
      <w:r>
        <w:sym w:font="Symbol" w:char="F0B7"/>
      </w:r>
      <w:r>
        <w:tab/>
      </w:r>
      <w:r>
        <w:rPr>
          <w:lang w:val="en-US"/>
        </w:rPr>
        <w:t>Moreover</w:t>
      </w:r>
      <w:r>
        <w:rPr>
          <w:lang w:val="en-GB"/>
        </w:rPr>
        <w:t xml:space="preserve">, </w:t>
      </w:r>
      <w:r>
        <w:rPr>
          <w:lang w:val="en-US"/>
        </w:rPr>
        <w:t>in</w:t>
      </w:r>
      <w:r>
        <w:rPr>
          <w:lang w:val="en-GB"/>
        </w:rPr>
        <w:t xml:space="preserve"> </w:t>
      </w:r>
      <w:r>
        <w:rPr>
          <w:lang w:val="en-US"/>
        </w:rPr>
        <w:t>Centres</w:t>
      </w:r>
      <w:r>
        <w:rPr>
          <w:lang w:val="en-GB"/>
        </w:rPr>
        <w:t xml:space="preserve"> </w:t>
      </w:r>
      <w:r>
        <w:rPr>
          <w:lang w:val="en-US"/>
        </w:rPr>
        <w:t>of</w:t>
      </w:r>
      <w:r>
        <w:rPr>
          <w:lang w:val="en-GB"/>
        </w:rPr>
        <w:t xml:space="preserve"> </w:t>
      </w:r>
      <w:r>
        <w:rPr>
          <w:lang w:val="en-US"/>
        </w:rPr>
        <w:t>Professional</w:t>
      </w:r>
      <w:r>
        <w:rPr>
          <w:lang w:val="en-GB"/>
        </w:rPr>
        <w:t xml:space="preserve"> </w:t>
      </w:r>
      <w:r>
        <w:rPr>
          <w:lang w:val="en-US"/>
        </w:rPr>
        <w:t>and</w:t>
      </w:r>
      <w:r>
        <w:rPr>
          <w:lang w:val="en-GB"/>
        </w:rPr>
        <w:t xml:space="preserve"> </w:t>
      </w:r>
      <w:r>
        <w:rPr>
          <w:lang w:val="en-US"/>
        </w:rPr>
        <w:t>Technological Development</w:t>
      </w:r>
      <w:r>
        <w:rPr>
          <w:lang w:val="en-GB"/>
        </w:rPr>
        <w:t xml:space="preserve"> </w:t>
      </w:r>
      <w:r>
        <w:rPr>
          <w:lang w:val="en-US"/>
        </w:rPr>
        <w:t xml:space="preserve">in the </w:t>
      </w:r>
      <w:r>
        <w:rPr>
          <w:lang w:val="en-GB"/>
        </w:rPr>
        <w:t xml:space="preserve">13 </w:t>
      </w:r>
      <w:r>
        <w:rPr>
          <w:lang w:val="en-US"/>
        </w:rPr>
        <w:t>Regions of the country there are specialized advisors</w:t>
      </w:r>
      <w:r>
        <w:rPr>
          <w:lang w:val="en-GB"/>
        </w:rPr>
        <w:t xml:space="preserve"> </w:t>
      </w:r>
      <w:r>
        <w:rPr>
          <w:lang w:val="en-US"/>
        </w:rPr>
        <w:t>providing support to women</w:t>
      </w:r>
      <w:r>
        <w:rPr>
          <w:lang w:val="en-GB"/>
        </w:rPr>
        <w:t xml:space="preserve"> </w:t>
      </w:r>
      <w:r>
        <w:rPr>
          <w:lang w:val="en-US"/>
        </w:rPr>
        <w:t>investors</w:t>
      </w:r>
      <w:r>
        <w:rPr>
          <w:lang w:val="en-GB"/>
        </w:rPr>
        <w:t>.</w:t>
      </w:r>
    </w:p>
    <w:p w:rsidR="00000000" w:rsidRDefault="00000000">
      <w:pPr>
        <w:pStyle w:val="18-8"/>
        <w:rPr>
          <w:lang w:val="en-GB"/>
        </w:rPr>
      </w:pPr>
      <w:r>
        <w:sym w:font="Symbol" w:char="F0B7"/>
      </w:r>
      <w:r>
        <w:tab/>
      </w:r>
      <w:r>
        <w:rPr>
          <w:lang w:val="en-US"/>
        </w:rPr>
        <w:t>At</w:t>
      </w:r>
      <w:r>
        <w:rPr>
          <w:lang w:val="en-GB"/>
        </w:rPr>
        <w:t xml:space="preserve"> </w:t>
      </w:r>
      <w:r>
        <w:rPr>
          <w:lang w:val="en-US"/>
        </w:rPr>
        <w:t>the</w:t>
      </w:r>
      <w:r>
        <w:rPr>
          <w:lang w:val="en-GB"/>
        </w:rPr>
        <w:t xml:space="preserve"> </w:t>
      </w:r>
      <w:r>
        <w:rPr>
          <w:lang w:val="en-US"/>
        </w:rPr>
        <w:t>same</w:t>
      </w:r>
      <w:r>
        <w:rPr>
          <w:lang w:val="en-GB"/>
        </w:rPr>
        <w:t xml:space="preserve"> </w:t>
      </w:r>
      <w:r>
        <w:rPr>
          <w:lang w:val="en-US"/>
        </w:rPr>
        <w:t>time</w:t>
      </w:r>
      <w:r>
        <w:rPr>
          <w:lang w:val="en-GB"/>
        </w:rPr>
        <w:t xml:space="preserve">, </w:t>
      </w:r>
      <w:r>
        <w:rPr>
          <w:lang w:val="en-US"/>
        </w:rPr>
        <w:t>the</w:t>
      </w:r>
      <w:r>
        <w:rPr>
          <w:lang w:val="en-GB"/>
        </w:rPr>
        <w:t xml:space="preserve"> </w:t>
      </w:r>
      <w:r>
        <w:rPr>
          <w:lang w:val="en-US"/>
        </w:rPr>
        <w:t>institutional</w:t>
      </w:r>
      <w:r>
        <w:rPr>
          <w:lang w:val="en-GB"/>
        </w:rPr>
        <w:t xml:space="preserve"> </w:t>
      </w:r>
      <w:r>
        <w:rPr>
          <w:lang w:val="en-US"/>
        </w:rPr>
        <w:t>framework</w:t>
      </w:r>
      <w:r>
        <w:rPr>
          <w:lang w:val="en-GB"/>
        </w:rPr>
        <w:t xml:space="preserve"> </w:t>
      </w:r>
      <w:r>
        <w:rPr>
          <w:lang w:val="en-US"/>
        </w:rPr>
        <w:t>for the implementation of actions supporting women’s entrepreneurship in Regional Operational Programmes is</w:t>
      </w:r>
      <w:r>
        <w:rPr>
          <w:lang w:val="en-GB"/>
        </w:rPr>
        <w:t xml:space="preserve"> being completed.</w:t>
      </w:r>
    </w:p>
    <w:p w:rsidR="00000000" w:rsidRDefault="00000000">
      <w:pPr>
        <w:pStyle w:val="18-8"/>
        <w:rPr>
          <w:lang w:val="en-GB"/>
        </w:rPr>
      </w:pPr>
      <w:r>
        <w:sym w:font="Symbol" w:char="F0B7"/>
      </w:r>
      <w:r>
        <w:tab/>
      </w:r>
      <w:r>
        <w:rPr>
          <w:lang w:val="en-US"/>
        </w:rPr>
        <w:t>Finally,</w:t>
      </w:r>
      <w:r>
        <w:rPr>
          <w:lang w:val="en-GB"/>
        </w:rPr>
        <w:t xml:space="preserve"> </w:t>
      </w:r>
      <w:r>
        <w:rPr>
          <w:lang w:val="en-US"/>
        </w:rPr>
        <w:t>in the context of integrating the principle of gender equality</w:t>
      </w:r>
      <w:r>
        <w:rPr>
          <w:lang w:val="en-GB"/>
        </w:rPr>
        <w:t xml:space="preserve"> </w:t>
      </w:r>
      <w:r>
        <w:rPr>
          <w:lang w:val="en-US"/>
        </w:rPr>
        <w:t>in all policies</w:t>
      </w:r>
      <w:r>
        <w:rPr>
          <w:lang w:val="en-GB"/>
        </w:rPr>
        <w:t>, actions that have integrated the dimension of gender (</w:t>
      </w:r>
      <w:r>
        <w:rPr>
          <w:lang w:val="en-US"/>
        </w:rPr>
        <w:t>mainstreaming</w:t>
      </w:r>
      <w:r>
        <w:rPr>
          <w:lang w:val="en-GB"/>
        </w:rPr>
        <w:t>) are implemented in all Operational Programmes.</w:t>
      </w:r>
    </w:p>
    <w:p w:rsidR="00000000" w:rsidRDefault="00000000">
      <w:pPr>
        <w:tabs>
          <w:tab w:val="left" w:pos="567"/>
          <w:tab w:val="left" w:pos="1021"/>
          <w:tab w:val="left" w:pos="1474"/>
          <w:tab w:val="left" w:pos="1928"/>
        </w:tabs>
        <w:ind w:left="567"/>
        <w:rPr>
          <w:lang w:val="en-GB"/>
        </w:rPr>
      </w:pPr>
      <w:r>
        <w:rPr>
          <w:lang w:val="en-GB"/>
        </w:rPr>
        <w:t>For instance</w:t>
      </w:r>
      <w:r>
        <w:rPr>
          <w:lang w:val="en-US"/>
        </w:rPr>
        <w:t>,</w:t>
      </w:r>
      <w:r>
        <w:rPr>
          <w:lang w:val="en-GB"/>
        </w:rPr>
        <w:t xml:space="preserve"> </w:t>
      </w:r>
      <w:r>
        <w:rPr>
          <w:lang w:val="en-US"/>
        </w:rPr>
        <w:t>we mention</w:t>
      </w:r>
      <w:r>
        <w:rPr>
          <w:b/>
          <w:lang w:val="en-GB"/>
        </w:rPr>
        <w:t>:</w:t>
      </w:r>
    </w:p>
    <w:p w:rsidR="00000000" w:rsidRDefault="00000000">
      <w:pPr>
        <w:pStyle w:val="18-8"/>
        <w:rPr>
          <w:lang w:val="en-GB"/>
        </w:rPr>
      </w:pPr>
      <w:r>
        <w:sym w:font="Symbol" w:char="F0B7"/>
      </w:r>
      <w:r>
        <w:tab/>
      </w:r>
      <w:r>
        <w:rPr>
          <w:lang w:val="en-US"/>
        </w:rPr>
        <w:t xml:space="preserve">In the field of </w:t>
      </w:r>
      <w:r>
        <w:rPr>
          <w:i/>
          <w:u w:val="single"/>
          <w:lang w:val="en-US"/>
        </w:rPr>
        <w:t>Research</w:t>
      </w:r>
      <w:r>
        <w:rPr>
          <w:lang w:val="en-GB"/>
        </w:rPr>
        <w:t xml:space="preserve">: </w:t>
      </w:r>
    </w:p>
    <w:p w:rsidR="00000000" w:rsidRDefault="00000000">
      <w:pPr>
        <w:pStyle w:val="BodyText2"/>
        <w:numPr>
          <w:ilvl w:val="0"/>
          <w:numId w:val="285"/>
        </w:numPr>
        <w:tabs>
          <w:tab w:val="clear" w:pos="720"/>
          <w:tab w:val="left" w:pos="567"/>
          <w:tab w:val="left" w:pos="1021"/>
          <w:tab w:val="left" w:pos="1474"/>
          <w:tab w:val="left" w:pos="1928"/>
        </w:tabs>
        <w:ind w:left="1418" w:firstLine="0"/>
        <w:rPr>
          <w:sz w:val="22"/>
          <w:lang w:val="en-GB"/>
        </w:rPr>
      </w:pPr>
      <w:r>
        <w:rPr>
          <w:sz w:val="22"/>
          <w:lang w:val="en-GB"/>
        </w:rPr>
        <w:t xml:space="preserve">Operation of  the Network of Women researchers-scientists </w:t>
      </w:r>
    </w:p>
    <w:p w:rsidR="00000000" w:rsidRDefault="00000000">
      <w:pPr>
        <w:pStyle w:val="BodyText2"/>
        <w:tabs>
          <w:tab w:val="left" w:pos="567"/>
          <w:tab w:val="left" w:pos="1021"/>
          <w:tab w:val="left" w:pos="1474"/>
          <w:tab w:val="left" w:pos="1928"/>
        </w:tabs>
        <w:ind w:left="1418"/>
        <w:rPr>
          <w:sz w:val="22"/>
          <w:lang w:val="en-GB"/>
        </w:rPr>
      </w:pPr>
      <w:r>
        <w:rPr>
          <w:sz w:val="22"/>
          <w:lang w:val="en-GB"/>
        </w:rPr>
        <w:t xml:space="preserve">«PERIKTIONI» for the promotion of equal opportunities in research and technological development. The General Secretariat for Gender Equality also participates in the Network. </w:t>
      </w:r>
    </w:p>
    <w:p w:rsidR="00000000" w:rsidRDefault="00000000">
      <w:pPr>
        <w:pStyle w:val="BodyText2"/>
        <w:numPr>
          <w:ilvl w:val="0"/>
          <w:numId w:val="285"/>
        </w:numPr>
        <w:tabs>
          <w:tab w:val="clear" w:pos="720"/>
          <w:tab w:val="left" w:pos="567"/>
          <w:tab w:val="left" w:pos="1021"/>
          <w:tab w:val="left" w:pos="1474"/>
          <w:tab w:val="left" w:pos="1928"/>
        </w:tabs>
        <w:ind w:left="1418" w:firstLine="0"/>
        <w:rPr>
          <w:sz w:val="22"/>
          <w:lang w:val="en-GB"/>
        </w:rPr>
      </w:pPr>
      <w:r>
        <w:rPr>
          <w:sz w:val="22"/>
          <w:lang w:val="en-GB"/>
        </w:rPr>
        <w:t>Operation of an Observatory, which, inter alia, will monitor and record women’s presence.</w:t>
      </w:r>
    </w:p>
    <w:p w:rsidR="00000000" w:rsidRDefault="00000000">
      <w:pPr>
        <w:pStyle w:val="BodyText2"/>
        <w:numPr>
          <w:ilvl w:val="0"/>
          <w:numId w:val="285"/>
        </w:numPr>
        <w:tabs>
          <w:tab w:val="clear" w:pos="720"/>
          <w:tab w:val="left" w:pos="567"/>
          <w:tab w:val="left" w:pos="1021"/>
          <w:tab w:val="left" w:pos="1474"/>
          <w:tab w:val="left" w:pos="1928"/>
        </w:tabs>
        <w:ind w:left="1418" w:firstLine="0"/>
        <w:rPr>
          <w:sz w:val="22"/>
          <w:lang w:val="en-GB"/>
        </w:rPr>
      </w:pPr>
      <w:r>
        <w:rPr>
          <w:sz w:val="22"/>
          <w:lang w:val="en-GB"/>
        </w:rPr>
        <w:t>Programme for the Support of Research Manpower, with special bonus for women’s participation.</w:t>
      </w:r>
    </w:p>
    <w:p w:rsidR="00000000" w:rsidRDefault="00000000">
      <w:pPr>
        <w:pStyle w:val="18-8"/>
        <w:rPr>
          <w:lang w:val="en-GB"/>
        </w:rPr>
      </w:pPr>
      <w:r>
        <w:sym w:font="Symbol" w:char="F0B7"/>
      </w:r>
      <w:r>
        <w:tab/>
      </w:r>
      <w:r>
        <w:rPr>
          <w:lang w:val="en-GB"/>
        </w:rPr>
        <w:t xml:space="preserve">In the field of the </w:t>
      </w:r>
      <w:r>
        <w:rPr>
          <w:i/>
          <w:u w:val="single"/>
          <w:lang w:val="en-US"/>
        </w:rPr>
        <w:t>Information Society</w:t>
      </w:r>
      <w:r>
        <w:rPr>
          <w:lang w:val="en-GB"/>
        </w:rPr>
        <w:t>:</w:t>
      </w:r>
    </w:p>
    <w:p w:rsidR="00000000" w:rsidRDefault="00000000">
      <w:pPr>
        <w:tabs>
          <w:tab w:val="left" w:pos="567"/>
          <w:tab w:val="left" w:pos="1021"/>
          <w:tab w:val="left" w:pos="1474"/>
          <w:tab w:val="left" w:pos="1928"/>
        </w:tabs>
        <w:ind w:left="1418"/>
        <w:rPr>
          <w:lang w:val="en-GB"/>
        </w:rPr>
      </w:pPr>
      <w:r>
        <w:rPr>
          <w:lang w:val="en-US"/>
        </w:rPr>
        <w:t>Actions</w:t>
      </w:r>
      <w:r>
        <w:rPr>
          <w:lang w:val="en-GB"/>
        </w:rPr>
        <w:t xml:space="preserve"> </w:t>
      </w:r>
      <w:r>
        <w:rPr>
          <w:lang w:val="en-US"/>
        </w:rPr>
        <w:t>to</w:t>
      </w:r>
      <w:r>
        <w:rPr>
          <w:lang w:val="en-GB"/>
        </w:rPr>
        <w:t xml:space="preserve"> upgrade Manpower’s</w:t>
      </w:r>
      <w:r>
        <w:rPr>
          <w:lang w:val="en-US"/>
        </w:rPr>
        <w:t xml:space="preserve"> Skills</w:t>
      </w:r>
      <w:r>
        <w:rPr>
          <w:lang w:val="en-GB"/>
        </w:rPr>
        <w:t xml:space="preserve"> – </w:t>
      </w:r>
      <w:r>
        <w:rPr>
          <w:lang w:val="en-US"/>
        </w:rPr>
        <w:t>training in new technologies</w:t>
      </w:r>
      <w:r>
        <w:rPr>
          <w:lang w:val="en-GB"/>
        </w:rPr>
        <w:t xml:space="preserve"> </w:t>
      </w:r>
      <w:r>
        <w:rPr>
          <w:lang w:val="en-US"/>
        </w:rPr>
        <w:t>aiming at fast acquisition of skills so as to enhance the access of the unemployed to the labour market and to maintain the employability of the manpower at a high level</w:t>
      </w:r>
      <w:r>
        <w:rPr>
          <w:lang w:val="en-GB"/>
        </w:rPr>
        <w:t xml:space="preserve">. These actions also include, besides </w:t>
      </w:r>
      <w:r>
        <w:rPr>
          <w:lang w:val="en-US"/>
        </w:rPr>
        <w:t>the</w:t>
      </w:r>
      <w:r>
        <w:rPr>
          <w:lang w:val="en-GB"/>
        </w:rPr>
        <w:t xml:space="preserve"> </w:t>
      </w:r>
      <w:r>
        <w:rPr>
          <w:lang w:val="en-US"/>
        </w:rPr>
        <w:t>provision</w:t>
      </w:r>
      <w:r>
        <w:rPr>
          <w:lang w:val="en-GB"/>
        </w:rPr>
        <w:t xml:space="preserve"> regarding 60% </w:t>
      </w:r>
      <w:r>
        <w:rPr>
          <w:lang w:val="en-US"/>
        </w:rPr>
        <w:t>for women’s participation in actions of training</w:t>
      </w:r>
      <w:r>
        <w:rPr>
          <w:lang w:val="en-GB"/>
        </w:rPr>
        <w:t xml:space="preserve"> (</w:t>
      </w:r>
      <w:r>
        <w:rPr>
          <w:lang w:val="en-US"/>
        </w:rPr>
        <w:t>in the last invitation the percentage goes up to</w:t>
      </w:r>
      <w:r>
        <w:rPr>
          <w:lang w:val="en-GB"/>
        </w:rPr>
        <w:t xml:space="preserve"> 70%) special care for the implementation of flexible forms of training for women (tele-training). </w:t>
      </w:r>
    </w:p>
    <w:p w:rsidR="00000000" w:rsidRDefault="00000000">
      <w:pPr>
        <w:pStyle w:val="BodyText"/>
        <w:rPr>
          <w:lang w:val="en-GB"/>
        </w:rPr>
      </w:pPr>
      <w:r>
        <w:rPr>
          <w:lang w:val="en-US"/>
        </w:rPr>
        <w:tab/>
      </w:r>
      <w:r>
        <w:rPr>
          <w:lang w:val="en-US"/>
        </w:rPr>
        <w:tab/>
        <w:t>In particular</w:t>
      </w:r>
      <w:r>
        <w:rPr>
          <w:lang w:val="en-GB"/>
        </w:rPr>
        <w:t xml:space="preserve">, </w:t>
      </w:r>
      <w:r>
        <w:rPr>
          <w:lang w:val="en-US"/>
        </w:rPr>
        <w:t>special</w:t>
      </w:r>
      <w:r>
        <w:rPr>
          <w:lang w:val="en-GB"/>
        </w:rPr>
        <w:t xml:space="preserve"> </w:t>
      </w:r>
      <w:r>
        <w:rPr>
          <w:lang w:val="en-US"/>
        </w:rPr>
        <w:t>action</w:t>
      </w:r>
      <w:r>
        <w:rPr>
          <w:lang w:val="en-GB"/>
        </w:rPr>
        <w:t xml:space="preserve"> </w:t>
      </w:r>
      <w:r>
        <w:rPr>
          <w:lang w:val="en-US"/>
        </w:rPr>
        <w:t>i</w:t>
      </w:r>
      <w:r>
        <w:rPr>
          <w:lang w:val="en-GB"/>
        </w:rPr>
        <w:t xml:space="preserve">s </w:t>
      </w:r>
      <w:r>
        <w:rPr>
          <w:lang w:val="en-US"/>
        </w:rPr>
        <w:t>planned</w:t>
      </w:r>
      <w:r>
        <w:rPr>
          <w:lang w:val="en-GB"/>
        </w:rPr>
        <w:t xml:space="preserve"> for the acquisition of </w:t>
      </w:r>
      <w:r>
        <w:rPr>
          <w:lang w:val="en-US"/>
        </w:rPr>
        <w:t>working experience</w:t>
      </w:r>
      <w:r>
        <w:rPr>
          <w:lang w:val="en-GB"/>
        </w:rPr>
        <w:t xml:space="preserve"> (</w:t>
      </w:r>
      <w:r>
        <w:rPr>
          <w:lang w:val="en-US"/>
        </w:rPr>
        <w:t>stage</w:t>
      </w:r>
      <w:r>
        <w:rPr>
          <w:lang w:val="en-GB"/>
        </w:rPr>
        <w:t xml:space="preserve">) </w:t>
      </w:r>
      <w:r>
        <w:rPr>
          <w:lang w:val="en-US"/>
        </w:rPr>
        <w:t>so as to facilitate women’s integration into the labour market and to promote telework for women</w:t>
      </w:r>
      <w:r>
        <w:rPr>
          <w:lang w:val="en-GB"/>
        </w:rPr>
        <w:t>.</w:t>
      </w:r>
    </w:p>
    <w:p w:rsidR="00000000" w:rsidRDefault="00000000">
      <w:pPr>
        <w:pStyle w:val="18-8"/>
        <w:rPr>
          <w:b/>
          <w:lang w:val="en-GB"/>
        </w:rPr>
      </w:pPr>
      <w:r>
        <w:sym w:font="Symbol" w:char="F0B7"/>
      </w:r>
      <w:r>
        <w:tab/>
      </w:r>
      <w:r>
        <w:rPr>
          <w:lang w:val="en-GB"/>
        </w:rPr>
        <w:t xml:space="preserve">In the field of </w:t>
      </w:r>
      <w:r>
        <w:rPr>
          <w:i/>
          <w:u w:val="single"/>
          <w:lang w:val="en-GB"/>
        </w:rPr>
        <w:t>Training-Employment</w:t>
      </w:r>
      <w:r>
        <w:rPr>
          <w:lang w:val="en-GB"/>
        </w:rPr>
        <w:t>:</w:t>
      </w:r>
    </w:p>
    <w:p w:rsidR="00000000" w:rsidRDefault="00000000">
      <w:pPr>
        <w:pStyle w:val="BodyText"/>
        <w:numPr>
          <w:ilvl w:val="0"/>
          <w:numId w:val="364"/>
        </w:numPr>
        <w:tabs>
          <w:tab w:val="clear" w:pos="360"/>
          <w:tab w:val="left" w:pos="567"/>
          <w:tab w:val="left" w:pos="1021"/>
          <w:tab w:val="left" w:pos="1474"/>
          <w:tab w:val="left" w:pos="1928"/>
        </w:tabs>
        <w:ind w:left="1418" w:firstLine="0"/>
        <w:rPr>
          <w:lang w:val="en-GB"/>
        </w:rPr>
      </w:pPr>
      <w:r>
        <w:rPr>
          <w:lang w:val="en-GB"/>
        </w:rPr>
        <w:t>The Operational Programme “Employment and Vocational Training” implements actions of training and promotion in employment where women’s participation ascends to 62%.</w:t>
      </w:r>
    </w:p>
    <w:p w:rsidR="00000000" w:rsidRDefault="00000000">
      <w:pPr>
        <w:pStyle w:val="BodyText"/>
        <w:numPr>
          <w:ilvl w:val="0"/>
          <w:numId w:val="365"/>
        </w:numPr>
        <w:tabs>
          <w:tab w:val="clear" w:pos="360"/>
          <w:tab w:val="left" w:pos="567"/>
          <w:tab w:val="left" w:pos="1021"/>
          <w:tab w:val="left" w:pos="1474"/>
          <w:tab w:val="left" w:pos="1928"/>
        </w:tabs>
        <w:ind w:left="1418" w:firstLine="0"/>
        <w:rPr>
          <w:lang w:val="en-GB"/>
        </w:rPr>
      </w:pPr>
      <w:r>
        <w:rPr>
          <w:lang w:val="en-GB"/>
        </w:rPr>
        <w:t>Regarding the training actions of the Operational Programme “Health-Welfare”, in the sector of Health it is noted that women’s participation reaches 67%, while it reaches 80% in the sector of Welfare, a result of female domination in the particular fields of intervention.</w:t>
      </w:r>
    </w:p>
    <w:p w:rsidR="00000000" w:rsidRDefault="00000000">
      <w:pPr>
        <w:pStyle w:val="BodyText"/>
        <w:rPr>
          <w:lang w:val="en-GB"/>
        </w:rPr>
      </w:pPr>
      <w:r>
        <w:rPr>
          <w:lang w:val="en-US"/>
        </w:rPr>
        <w:tab/>
      </w:r>
      <w:r>
        <w:rPr>
          <w:lang w:val="en-US"/>
        </w:rPr>
        <w:tab/>
        <w:t>However</w:t>
      </w:r>
      <w:r>
        <w:rPr>
          <w:lang w:val="en-GB"/>
        </w:rPr>
        <w:t xml:space="preserve">, </w:t>
      </w:r>
      <w:r>
        <w:rPr>
          <w:lang w:val="en-US"/>
        </w:rPr>
        <w:t>we</w:t>
      </w:r>
      <w:r>
        <w:rPr>
          <w:lang w:val="en-GB"/>
        </w:rPr>
        <w:t xml:space="preserve"> </w:t>
      </w:r>
      <w:r>
        <w:rPr>
          <w:lang w:val="en-US"/>
        </w:rPr>
        <w:t>should</w:t>
      </w:r>
      <w:r>
        <w:rPr>
          <w:lang w:val="en-GB"/>
        </w:rPr>
        <w:t xml:space="preserve"> </w:t>
      </w:r>
      <w:r>
        <w:rPr>
          <w:lang w:val="en-US"/>
        </w:rPr>
        <w:t>note</w:t>
      </w:r>
      <w:r>
        <w:rPr>
          <w:lang w:val="en-GB"/>
        </w:rPr>
        <w:t xml:space="preserve"> </w:t>
      </w:r>
      <w:r>
        <w:rPr>
          <w:lang w:val="en-US"/>
        </w:rPr>
        <w:t>the</w:t>
      </w:r>
      <w:r>
        <w:rPr>
          <w:lang w:val="en-GB"/>
        </w:rPr>
        <w:t xml:space="preserve"> </w:t>
      </w:r>
      <w:r>
        <w:rPr>
          <w:lang w:val="en-US"/>
        </w:rPr>
        <w:t>indirect</w:t>
      </w:r>
      <w:r>
        <w:rPr>
          <w:lang w:val="en-GB"/>
        </w:rPr>
        <w:t xml:space="preserve"> </w:t>
      </w:r>
      <w:r>
        <w:rPr>
          <w:lang w:val="en-US"/>
        </w:rPr>
        <w:t>positive</w:t>
      </w:r>
      <w:r>
        <w:rPr>
          <w:lang w:val="en-GB"/>
        </w:rPr>
        <w:t xml:space="preserve"> </w:t>
      </w:r>
      <w:r>
        <w:rPr>
          <w:lang w:val="en-US"/>
        </w:rPr>
        <w:t>impact of the programme</w:t>
      </w:r>
      <w:r>
        <w:rPr>
          <w:lang w:val="en-GB"/>
        </w:rPr>
        <w:t xml:space="preserve"> </w:t>
      </w:r>
      <w:r>
        <w:rPr>
          <w:lang w:val="en-US"/>
        </w:rPr>
        <w:t xml:space="preserve">on women’s employment both during implementation and as concerns the positions expected to be created </w:t>
      </w:r>
      <w:r>
        <w:rPr>
          <w:lang w:val="en-GB"/>
        </w:rPr>
        <w:t>(women’s participation 65.5%- 82.35%).</w:t>
      </w:r>
    </w:p>
    <w:p w:rsidR="00000000" w:rsidRDefault="00000000">
      <w:pPr>
        <w:pStyle w:val="BodyText"/>
        <w:rPr>
          <w:i/>
          <w:lang w:val="en-GB"/>
        </w:rPr>
      </w:pPr>
      <w:r>
        <w:rPr>
          <w:lang w:val="en-GB"/>
        </w:rPr>
        <w:tab/>
      </w:r>
      <w:r>
        <w:rPr>
          <w:lang w:val="en-GB"/>
        </w:rPr>
        <w:tab/>
      </w:r>
      <w:r>
        <w:rPr>
          <w:lang w:val="en-US"/>
        </w:rPr>
        <w:t>Finally</w:t>
      </w:r>
      <w:r>
        <w:rPr>
          <w:lang w:val="en-GB"/>
        </w:rPr>
        <w:t xml:space="preserve">, </w:t>
      </w:r>
      <w:r>
        <w:rPr>
          <w:lang w:val="en-US"/>
        </w:rPr>
        <w:t>several Regional Operational Programmes</w:t>
      </w:r>
      <w:r>
        <w:rPr>
          <w:lang w:val="en-GB"/>
        </w:rPr>
        <w:t xml:space="preserve"> in their notices for the Measure “Development of Human Resources - Synergy”, </w:t>
      </w:r>
      <w:r>
        <w:rPr>
          <w:lang w:val="en-US"/>
        </w:rPr>
        <w:t xml:space="preserve">included a </w:t>
      </w:r>
      <w:r>
        <w:rPr>
          <w:lang w:val="en-GB"/>
        </w:rPr>
        <w:t>60% quota in favour of women.</w:t>
      </w:r>
      <w:r>
        <w:rPr>
          <w:i/>
          <w:lang w:val="en-GB"/>
        </w:rPr>
        <w:t xml:space="preserve"> </w:t>
      </w:r>
    </w:p>
    <w:p w:rsidR="00000000" w:rsidRDefault="00000000">
      <w:pPr>
        <w:pStyle w:val="BodyText3"/>
        <w:tabs>
          <w:tab w:val="left" w:pos="567"/>
          <w:tab w:val="left" w:pos="1021"/>
          <w:tab w:val="left" w:pos="1474"/>
          <w:tab w:val="left" w:pos="1928"/>
        </w:tabs>
        <w:jc w:val="center"/>
        <w:rPr>
          <w:color w:val="000000"/>
          <w:sz w:val="22"/>
          <w:lang w:val="en-GB"/>
        </w:rPr>
      </w:pPr>
      <w:r>
        <w:rPr>
          <w:color w:val="000000"/>
          <w:sz w:val="22"/>
          <w:lang w:val="en-GB"/>
        </w:rPr>
        <w:t>C. DETAILED DATA ON THE PROGRESS OF OPERATIONAL PROGRAMME</w:t>
      </w:r>
      <w:r>
        <w:rPr>
          <w:color w:val="000000"/>
          <w:sz w:val="22"/>
          <w:lang w:val="en-GB"/>
        </w:rPr>
        <w:br/>
        <w:t>“EMPLOYMENT AND VOCATIONAL TRAINING”</w:t>
      </w:r>
    </w:p>
    <w:p w:rsidR="00000000" w:rsidRDefault="00000000">
      <w:pPr>
        <w:pStyle w:val="BodyText"/>
        <w:rPr>
          <w:lang w:val="en-GB"/>
        </w:rPr>
      </w:pPr>
      <w:r>
        <w:rPr>
          <w:lang w:val="en-GB"/>
        </w:rPr>
        <w:tab/>
        <w:t>Obligatory participation of women at an increased percentage (60%) has been established in all interventions financed by the Operational Programme to promote equal opportunities between the sexes.</w:t>
      </w:r>
    </w:p>
    <w:p w:rsidR="00000000" w:rsidRDefault="00000000">
      <w:pPr>
        <w:pStyle w:val="BodyText"/>
        <w:rPr>
          <w:i/>
          <w:lang w:val="en-GB"/>
        </w:rPr>
      </w:pPr>
      <w:r>
        <w:rPr>
          <w:lang w:val="en-GB"/>
        </w:rPr>
        <w:tab/>
      </w:r>
      <w:r>
        <w:rPr>
          <w:lang w:val="en-GB"/>
        </w:rPr>
        <w:tab/>
        <w:t xml:space="preserve">In the Axis “Improvement of access and participation of women in the labour market”, implemented actions </w:t>
      </w:r>
      <w:r>
        <w:rPr>
          <w:i/>
          <w:lang w:val="en-GB"/>
        </w:rPr>
        <w:t xml:space="preserve">exclusively aim at promoting equal opportunities between men and women. </w:t>
      </w:r>
    </w:p>
    <w:p w:rsidR="00000000" w:rsidRDefault="00000000">
      <w:pPr>
        <w:pStyle w:val="BodyText"/>
        <w:rPr>
          <w:lang w:val="en-GB"/>
        </w:rPr>
      </w:pPr>
      <w:r>
        <w:rPr>
          <w:lang w:val="en-GB"/>
        </w:rPr>
        <w:tab/>
      </w:r>
      <w:r>
        <w:rPr>
          <w:lang w:val="en-GB"/>
        </w:rPr>
        <w:tab/>
      </w:r>
      <w:r>
        <w:rPr>
          <w:lang w:val="en-US"/>
        </w:rPr>
        <w:t>The General Secretariat for Gender Equality is the final beneficiary</w:t>
      </w:r>
      <w:r>
        <w:rPr>
          <w:lang w:val="en-GB"/>
        </w:rPr>
        <w:t xml:space="preserve"> </w:t>
      </w:r>
      <w:r>
        <w:rPr>
          <w:lang w:val="en-US"/>
        </w:rPr>
        <w:t>in Measures</w:t>
      </w:r>
      <w:r>
        <w:rPr>
          <w:lang w:val="en-GB"/>
        </w:rPr>
        <w:t xml:space="preserve"> 5.1. and 5.3., which are included in the above mentioned Axis. </w:t>
      </w:r>
    </w:p>
    <w:p w:rsidR="00000000" w:rsidRDefault="00000000">
      <w:pPr>
        <w:pStyle w:val="BodyText"/>
        <w:rPr>
          <w:i/>
          <w:lang w:val="en-GB"/>
        </w:rPr>
      </w:pPr>
      <w:r>
        <w:rPr>
          <w:i/>
          <w:lang w:val="en-GB"/>
        </w:rPr>
        <w:tab/>
      </w:r>
      <w:r>
        <w:rPr>
          <w:i/>
          <w:lang w:val="en-GB"/>
        </w:rPr>
        <w:tab/>
      </w:r>
      <w:r>
        <w:rPr>
          <w:i/>
          <w:lang w:val="en-US"/>
        </w:rPr>
        <w:t>More</w:t>
      </w:r>
      <w:r>
        <w:rPr>
          <w:i/>
          <w:lang w:val="en-GB"/>
        </w:rPr>
        <w:t xml:space="preserve"> </w:t>
      </w:r>
      <w:r>
        <w:rPr>
          <w:i/>
          <w:lang w:val="en-US"/>
        </w:rPr>
        <w:t>specifically</w:t>
      </w:r>
      <w:r>
        <w:rPr>
          <w:i/>
          <w:lang w:val="en-GB"/>
        </w:rPr>
        <w:t>:</w:t>
      </w:r>
    </w:p>
    <w:p w:rsidR="00000000" w:rsidRDefault="00000000">
      <w:pPr>
        <w:pStyle w:val="BodyText"/>
        <w:rPr>
          <w:i/>
          <w:u w:val="single"/>
          <w:lang w:val="en-GB"/>
        </w:rPr>
      </w:pPr>
      <w:r>
        <w:rPr>
          <w:i/>
          <w:lang w:val="en-US"/>
        </w:rPr>
        <w:tab/>
      </w:r>
      <w:r>
        <w:rPr>
          <w:i/>
          <w:u w:val="single"/>
          <w:lang w:val="en-US"/>
        </w:rPr>
        <w:t>Measure</w:t>
      </w:r>
      <w:r>
        <w:rPr>
          <w:i/>
          <w:u w:val="single"/>
          <w:lang w:val="en-GB"/>
        </w:rPr>
        <w:t xml:space="preserve"> “</w:t>
      </w:r>
      <w:r>
        <w:rPr>
          <w:i/>
          <w:u w:val="single"/>
          <w:lang w:val="en-US"/>
        </w:rPr>
        <w:t>Positive</w:t>
      </w:r>
      <w:r>
        <w:rPr>
          <w:i/>
          <w:u w:val="single"/>
          <w:lang w:val="en-GB"/>
        </w:rPr>
        <w:t xml:space="preserve"> </w:t>
      </w:r>
      <w:r>
        <w:rPr>
          <w:i/>
          <w:u w:val="single"/>
          <w:lang w:val="en-US"/>
        </w:rPr>
        <w:t>Actions</w:t>
      </w:r>
      <w:r>
        <w:rPr>
          <w:i/>
          <w:u w:val="single"/>
          <w:lang w:val="en-GB"/>
        </w:rPr>
        <w:t xml:space="preserve"> </w:t>
      </w:r>
      <w:r>
        <w:rPr>
          <w:i/>
          <w:u w:val="single"/>
          <w:lang w:val="en-US"/>
        </w:rPr>
        <w:t>in</w:t>
      </w:r>
      <w:r>
        <w:rPr>
          <w:i/>
          <w:u w:val="single"/>
          <w:lang w:val="en-GB"/>
        </w:rPr>
        <w:t xml:space="preserve"> </w:t>
      </w:r>
      <w:r>
        <w:rPr>
          <w:i/>
          <w:u w:val="single"/>
          <w:lang w:val="en-US"/>
        </w:rPr>
        <w:t>favour</w:t>
      </w:r>
      <w:r>
        <w:rPr>
          <w:i/>
          <w:u w:val="single"/>
          <w:lang w:val="en-GB"/>
        </w:rPr>
        <w:t xml:space="preserve"> </w:t>
      </w:r>
      <w:r>
        <w:rPr>
          <w:i/>
          <w:u w:val="single"/>
          <w:lang w:val="en-US"/>
        </w:rPr>
        <w:t>of</w:t>
      </w:r>
      <w:r>
        <w:rPr>
          <w:i/>
          <w:u w:val="single"/>
          <w:lang w:val="en-GB"/>
        </w:rPr>
        <w:t xml:space="preserve"> </w:t>
      </w:r>
      <w:r>
        <w:rPr>
          <w:i/>
          <w:u w:val="single"/>
          <w:lang w:val="en-US"/>
        </w:rPr>
        <w:t>women</w:t>
      </w:r>
      <w:r>
        <w:rPr>
          <w:i/>
          <w:u w:val="single"/>
          <w:lang w:val="en-GB"/>
        </w:rPr>
        <w:t xml:space="preserve"> </w:t>
      </w:r>
      <w:r>
        <w:rPr>
          <w:i/>
          <w:u w:val="single"/>
          <w:lang w:val="en-US"/>
        </w:rPr>
        <w:t>in Small-medium</w:t>
      </w:r>
      <w:r>
        <w:rPr>
          <w:i/>
          <w:u w:val="single"/>
          <w:lang w:val="en-GB"/>
        </w:rPr>
        <w:t xml:space="preserve"> sized &amp; </w:t>
      </w:r>
      <w:r>
        <w:rPr>
          <w:i/>
          <w:u w:val="single"/>
          <w:lang w:val="en-US"/>
        </w:rPr>
        <w:t>Large</w:t>
      </w:r>
      <w:r>
        <w:rPr>
          <w:i/>
          <w:u w:val="single"/>
          <w:lang w:val="en-GB"/>
        </w:rPr>
        <w:t xml:space="preserve"> </w:t>
      </w:r>
      <w:r>
        <w:rPr>
          <w:i/>
          <w:u w:val="single"/>
          <w:lang w:val="en-US"/>
        </w:rPr>
        <w:t>Enterprises”</w:t>
      </w:r>
    </w:p>
    <w:p w:rsidR="00000000" w:rsidRDefault="00000000">
      <w:pPr>
        <w:pStyle w:val="BodyText"/>
        <w:rPr>
          <w:lang w:val="en-GB"/>
        </w:rPr>
      </w:pPr>
      <w:r>
        <w:rPr>
          <w:lang w:val="en-GB"/>
        </w:rPr>
        <w:tab/>
        <w:t xml:space="preserve">The measure will be implemented by the General Secretariat for Gender Equality, for the first time in Greece, and aims at helping women working in small-medium sized and large enterprises to acquire additional qualifications, so as to be able to claim a better career as well as to combine family and working responsibilities. This project will benefit 5,000 employees. It will be implemented by enterprises or partnerships of enterprises. The project is under way. </w:t>
      </w:r>
    </w:p>
    <w:p w:rsidR="00000000" w:rsidRDefault="00000000">
      <w:pPr>
        <w:pStyle w:val="BodyText"/>
        <w:rPr>
          <w:i/>
          <w:u w:val="single"/>
          <w:lang w:val="en-GB"/>
        </w:rPr>
      </w:pPr>
      <w:r>
        <w:rPr>
          <w:i/>
          <w:lang w:val="en-US"/>
        </w:rPr>
        <w:tab/>
      </w:r>
      <w:r>
        <w:rPr>
          <w:i/>
          <w:u w:val="single"/>
          <w:lang w:val="en-US"/>
        </w:rPr>
        <w:t xml:space="preserve">Measure </w:t>
      </w:r>
      <w:r>
        <w:rPr>
          <w:i/>
          <w:u w:val="single"/>
          <w:lang w:val="en-GB"/>
        </w:rPr>
        <w:t>“</w:t>
      </w:r>
      <w:r>
        <w:rPr>
          <w:i/>
          <w:u w:val="single"/>
          <w:lang w:val="en-US"/>
        </w:rPr>
        <w:t>Integrated Interventions in favour of women”</w:t>
      </w:r>
    </w:p>
    <w:p w:rsidR="00000000" w:rsidRDefault="00000000">
      <w:pPr>
        <w:pStyle w:val="BodyText"/>
        <w:rPr>
          <w:lang w:val="en-GB"/>
        </w:rPr>
      </w:pPr>
      <w:r>
        <w:rPr>
          <w:lang w:val="en-US"/>
        </w:rPr>
        <w:tab/>
        <w:t>The</w:t>
      </w:r>
      <w:r>
        <w:rPr>
          <w:lang w:val="en-GB"/>
        </w:rPr>
        <w:t xml:space="preserve"> </w:t>
      </w:r>
      <w:r>
        <w:rPr>
          <w:lang w:val="en-US"/>
        </w:rPr>
        <w:t>measure</w:t>
      </w:r>
      <w:r>
        <w:rPr>
          <w:lang w:val="en-GB"/>
        </w:rPr>
        <w:t xml:space="preserve"> </w:t>
      </w:r>
      <w:r>
        <w:rPr>
          <w:lang w:val="en-US"/>
        </w:rPr>
        <w:t>provides</w:t>
      </w:r>
      <w:r>
        <w:rPr>
          <w:lang w:val="en-GB"/>
        </w:rPr>
        <w:t xml:space="preserve"> for Accompanying Supportive Services </w:t>
      </w:r>
      <w:r>
        <w:rPr>
          <w:lang w:val="en-US"/>
        </w:rPr>
        <w:t xml:space="preserve">and addresses </w:t>
      </w:r>
      <w:r>
        <w:rPr>
          <w:lang w:val="en-GB"/>
        </w:rPr>
        <w:t xml:space="preserve">30,000 </w:t>
      </w:r>
      <w:r>
        <w:rPr>
          <w:lang w:val="en-US"/>
        </w:rPr>
        <w:t xml:space="preserve">unemployed women for the period </w:t>
      </w:r>
      <w:r>
        <w:rPr>
          <w:lang w:val="en-GB"/>
        </w:rPr>
        <w:t xml:space="preserve">2000- 2006. </w:t>
      </w:r>
    </w:p>
    <w:p w:rsidR="00000000" w:rsidRDefault="00000000">
      <w:pPr>
        <w:pStyle w:val="BodyText"/>
        <w:rPr>
          <w:lang w:val="en-GB"/>
        </w:rPr>
      </w:pPr>
      <w:r>
        <w:rPr>
          <w:lang w:val="en-US"/>
        </w:rPr>
        <w:tab/>
      </w:r>
      <w:r>
        <w:rPr>
          <w:lang w:val="en-US"/>
        </w:rPr>
        <w:tab/>
        <w:t>During</w:t>
      </w:r>
      <w:r>
        <w:rPr>
          <w:lang w:val="en-GB"/>
        </w:rPr>
        <w:t xml:space="preserve"> </w:t>
      </w:r>
      <w:r>
        <w:rPr>
          <w:lang w:val="en-US"/>
        </w:rPr>
        <w:t>implementation</w:t>
      </w:r>
      <w:r>
        <w:rPr>
          <w:lang w:val="en-GB"/>
        </w:rPr>
        <w:t xml:space="preserve"> </w:t>
      </w:r>
      <w:r>
        <w:rPr>
          <w:lang w:val="en-US"/>
        </w:rPr>
        <w:t>of</w:t>
      </w:r>
      <w:r>
        <w:rPr>
          <w:lang w:val="en-GB"/>
        </w:rPr>
        <w:t xml:space="preserve"> the </w:t>
      </w:r>
      <w:r>
        <w:rPr>
          <w:i/>
          <w:lang w:val="en-GB"/>
        </w:rPr>
        <w:t xml:space="preserve">first </w:t>
      </w:r>
      <w:r>
        <w:rPr>
          <w:i/>
          <w:lang w:val="en-US"/>
        </w:rPr>
        <w:t>phase</w:t>
      </w:r>
      <w:r>
        <w:rPr>
          <w:lang w:val="en-US"/>
        </w:rPr>
        <w:t xml:space="preserve"> </w:t>
      </w:r>
      <w:r>
        <w:rPr>
          <w:lang w:val="en-GB"/>
        </w:rPr>
        <w:t xml:space="preserve">(2000 – 2003) of </w:t>
      </w:r>
      <w:r>
        <w:rPr>
          <w:lang w:val="en-US"/>
        </w:rPr>
        <w:t>supportive</w:t>
      </w:r>
      <w:r>
        <w:rPr>
          <w:lang w:val="en-GB"/>
        </w:rPr>
        <w:t xml:space="preserve"> </w:t>
      </w:r>
      <w:r>
        <w:rPr>
          <w:lang w:val="en-US"/>
        </w:rPr>
        <w:t>services</w:t>
      </w:r>
      <w:r>
        <w:rPr>
          <w:lang w:val="en-GB"/>
        </w:rPr>
        <w:t xml:space="preserve"> </w:t>
      </w:r>
      <w:r>
        <w:rPr>
          <w:lang w:val="en-US"/>
        </w:rPr>
        <w:t>by</w:t>
      </w:r>
      <w:r>
        <w:rPr>
          <w:lang w:val="en-GB"/>
        </w:rPr>
        <w:t xml:space="preserve"> </w:t>
      </w:r>
      <w:r>
        <w:rPr>
          <w:lang w:val="en-US"/>
        </w:rPr>
        <w:t>K</w:t>
      </w:r>
      <w:r>
        <w:t>Ε</w:t>
      </w:r>
      <w:r>
        <w:rPr>
          <w:lang w:val="en-US"/>
        </w:rPr>
        <w:t>TH</w:t>
      </w:r>
      <w:r>
        <w:t>Ι</w:t>
      </w:r>
      <w:r>
        <w:rPr>
          <w:lang w:val="en-GB"/>
        </w:rPr>
        <w:t>, 14,189</w:t>
      </w:r>
      <w:r>
        <w:rPr>
          <w:lang w:val="en-US"/>
        </w:rPr>
        <w:t xml:space="preserve"> women benefited from consultation and supportive actions in their working and social environment</w:t>
      </w:r>
      <w:r>
        <w:rPr>
          <w:lang w:val="en-GB"/>
        </w:rPr>
        <w:t xml:space="preserve">. </w:t>
      </w:r>
    </w:p>
    <w:p w:rsidR="00000000" w:rsidRDefault="00000000">
      <w:pPr>
        <w:pStyle w:val="BodyText"/>
        <w:rPr>
          <w:lang w:val="en-GB"/>
        </w:rPr>
      </w:pPr>
      <w:r>
        <w:rPr>
          <w:color w:val="000000"/>
          <w:lang w:val="en-GB"/>
        </w:rPr>
        <w:tab/>
      </w:r>
      <w:r>
        <w:rPr>
          <w:color w:val="000000"/>
          <w:lang w:val="en-GB"/>
        </w:rPr>
        <w:tab/>
      </w:r>
      <w:r>
        <w:rPr>
          <w:color w:val="000000"/>
          <w:lang w:val="en-US"/>
        </w:rPr>
        <w:t>During</w:t>
      </w:r>
      <w:r>
        <w:rPr>
          <w:color w:val="000000"/>
          <w:lang w:val="en-GB"/>
        </w:rPr>
        <w:t xml:space="preserve"> </w:t>
      </w:r>
      <w:r>
        <w:rPr>
          <w:color w:val="000000"/>
          <w:lang w:val="en-US"/>
        </w:rPr>
        <w:t>the</w:t>
      </w:r>
      <w:r>
        <w:rPr>
          <w:color w:val="000000"/>
          <w:lang w:val="en-GB"/>
        </w:rPr>
        <w:t xml:space="preserve"> </w:t>
      </w:r>
      <w:r>
        <w:rPr>
          <w:i/>
          <w:color w:val="000000"/>
          <w:lang w:val="en-US"/>
        </w:rPr>
        <w:t>second phase</w:t>
      </w:r>
      <w:r>
        <w:rPr>
          <w:color w:val="000000"/>
          <w:lang w:val="en-GB"/>
        </w:rPr>
        <w:t xml:space="preserve"> </w:t>
      </w:r>
      <w:r>
        <w:rPr>
          <w:color w:val="000000"/>
          <w:lang w:val="en-US"/>
        </w:rPr>
        <w:t>of implementation</w:t>
      </w:r>
      <w:r>
        <w:rPr>
          <w:color w:val="000000"/>
          <w:lang w:val="en-GB"/>
        </w:rPr>
        <w:t xml:space="preserve">, 2003 - 2006, </w:t>
      </w:r>
      <w:r>
        <w:rPr>
          <w:color w:val="000000"/>
          <w:lang w:val="en-US"/>
        </w:rPr>
        <w:t>the General Secretariat for Gender Equality</w:t>
      </w:r>
      <w:r>
        <w:rPr>
          <w:color w:val="000000"/>
          <w:lang w:val="en-GB"/>
        </w:rPr>
        <w:t xml:space="preserve"> carries out the project </w:t>
      </w:r>
      <w:r>
        <w:rPr>
          <w:lang w:val="en-GB"/>
        </w:rPr>
        <w:t>“</w:t>
      </w:r>
      <w:r>
        <w:rPr>
          <w:i/>
          <w:lang w:val="en-GB"/>
        </w:rPr>
        <w:t>Provision of integrated interventions in favour of women</w:t>
      </w:r>
      <w:r>
        <w:rPr>
          <w:lang w:val="en-GB"/>
        </w:rPr>
        <w:t xml:space="preserve">”.  </w:t>
      </w:r>
    </w:p>
    <w:p w:rsidR="00000000" w:rsidRDefault="00000000">
      <w:pPr>
        <w:pStyle w:val="BodyText"/>
        <w:rPr>
          <w:lang w:val="en-GB"/>
        </w:rPr>
      </w:pPr>
      <w:r>
        <w:rPr>
          <w:lang w:val="en-GB"/>
        </w:rPr>
        <w:tab/>
      </w:r>
      <w:r>
        <w:rPr>
          <w:lang w:val="en-GB"/>
        </w:rPr>
        <w:tab/>
        <w:t xml:space="preserve">The innovation of the project </w:t>
      </w:r>
      <w:r>
        <w:rPr>
          <w:u w:val="single"/>
          <w:lang w:val="en-US"/>
        </w:rPr>
        <w:t>is</w:t>
      </w:r>
      <w:r>
        <w:rPr>
          <w:u w:val="single"/>
          <w:lang w:val="en-GB"/>
        </w:rPr>
        <w:t xml:space="preserve"> </w:t>
      </w:r>
      <w:r>
        <w:rPr>
          <w:u w:val="single"/>
          <w:lang w:val="en-US"/>
        </w:rPr>
        <w:t>the integrated character of the intervention</w:t>
      </w:r>
      <w:r>
        <w:rPr>
          <w:u w:val="single"/>
          <w:lang w:val="en-GB"/>
        </w:rPr>
        <w:t>,</w:t>
      </w:r>
      <w:r>
        <w:rPr>
          <w:lang w:val="en-GB"/>
        </w:rPr>
        <w:t xml:space="preserve"> </w:t>
      </w:r>
      <w:r>
        <w:rPr>
          <w:lang w:val="en-US"/>
        </w:rPr>
        <w:t>which is achieved through providing interconnected activities</w:t>
      </w:r>
      <w:r>
        <w:rPr>
          <w:lang w:val="en-GB"/>
        </w:rPr>
        <w:t xml:space="preserve">. </w:t>
      </w:r>
    </w:p>
    <w:p w:rsidR="00000000" w:rsidRDefault="00000000">
      <w:pPr>
        <w:pStyle w:val="BodyText"/>
        <w:rPr>
          <w:lang w:val="en-GB"/>
        </w:rPr>
      </w:pPr>
      <w:r>
        <w:rPr>
          <w:lang w:val="en-GB"/>
        </w:rPr>
        <w:tab/>
      </w:r>
      <w:r>
        <w:rPr>
          <w:lang w:val="en-GB"/>
        </w:rPr>
        <w:tab/>
      </w:r>
      <w:r>
        <w:rPr>
          <w:lang w:val="en-US"/>
        </w:rPr>
        <w:t>The</w:t>
      </w:r>
      <w:r>
        <w:rPr>
          <w:lang w:val="en-GB"/>
        </w:rPr>
        <w:t xml:space="preserve"> project </w:t>
      </w:r>
      <w:r>
        <w:rPr>
          <w:lang w:val="en-US"/>
        </w:rPr>
        <w:t>addresses</w:t>
      </w:r>
      <w:r>
        <w:rPr>
          <w:lang w:val="en-GB"/>
        </w:rPr>
        <w:t xml:space="preserve"> 9,018 </w:t>
      </w:r>
      <w:r>
        <w:rPr>
          <w:lang w:val="en-US"/>
        </w:rPr>
        <w:t>mainly</w:t>
      </w:r>
      <w:r>
        <w:rPr>
          <w:lang w:val="en-GB"/>
        </w:rPr>
        <w:t xml:space="preserve"> </w:t>
      </w:r>
      <w:r>
        <w:rPr>
          <w:lang w:val="en-US"/>
        </w:rPr>
        <w:t>unemployed</w:t>
      </w:r>
      <w:r>
        <w:rPr>
          <w:lang w:val="en-GB"/>
        </w:rPr>
        <w:t xml:space="preserve"> </w:t>
      </w:r>
      <w:r>
        <w:rPr>
          <w:lang w:val="en-US"/>
        </w:rPr>
        <w:t>women</w:t>
      </w:r>
      <w:r>
        <w:rPr>
          <w:lang w:val="en-GB"/>
        </w:rPr>
        <w:t xml:space="preserve">, </w:t>
      </w:r>
      <w:r>
        <w:rPr>
          <w:lang w:val="en-US"/>
        </w:rPr>
        <w:t>it</w:t>
      </w:r>
      <w:r>
        <w:rPr>
          <w:lang w:val="en-GB"/>
        </w:rPr>
        <w:t xml:space="preserve"> </w:t>
      </w:r>
      <w:r>
        <w:rPr>
          <w:lang w:val="en-US"/>
        </w:rPr>
        <w:t>is</w:t>
      </w:r>
      <w:r>
        <w:rPr>
          <w:lang w:val="en-GB"/>
        </w:rPr>
        <w:t xml:space="preserve"> </w:t>
      </w:r>
      <w:r>
        <w:rPr>
          <w:lang w:val="en-US"/>
        </w:rPr>
        <w:t>implemented</w:t>
      </w:r>
      <w:r>
        <w:rPr>
          <w:lang w:val="en-GB"/>
        </w:rPr>
        <w:t xml:space="preserve"> </w:t>
      </w:r>
      <w:r>
        <w:rPr>
          <w:lang w:val="en-US"/>
        </w:rPr>
        <w:t>at</w:t>
      </w:r>
      <w:r>
        <w:rPr>
          <w:lang w:val="en-GB"/>
        </w:rPr>
        <w:t xml:space="preserve"> </w:t>
      </w:r>
      <w:r>
        <w:rPr>
          <w:lang w:val="en-US"/>
        </w:rPr>
        <w:t>Regional</w:t>
      </w:r>
      <w:r>
        <w:rPr>
          <w:lang w:val="en-GB"/>
        </w:rPr>
        <w:t xml:space="preserve"> </w:t>
      </w:r>
      <w:r>
        <w:rPr>
          <w:lang w:val="en-US"/>
        </w:rPr>
        <w:t>level</w:t>
      </w:r>
      <w:r>
        <w:rPr>
          <w:lang w:val="en-GB"/>
        </w:rPr>
        <w:t xml:space="preserve"> </w:t>
      </w:r>
      <w:r>
        <w:rPr>
          <w:lang w:val="en-US"/>
        </w:rPr>
        <w:t>by</w:t>
      </w:r>
      <w:r>
        <w:rPr>
          <w:lang w:val="en-GB"/>
        </w:rPr>
        <w:t xml:space="preserve"> 17 </w:t>
      </w:r>
      <w:r>
        <w:rPr>
          <w:lang w:val="en-US"/>
        </w:rPr>
        <w:t>Action</w:t>
      </w:r>
      <w:r>
        <w:rPr>
          <w:lang w:val="en-GB"/>
        </w:rPr>
        <w:t xml:space="preserve"> </w:t>
      </w:r>
      <w:r>
        <w:rPr>
          <w:lang w:val="en-US"/>
        </w:rPr>
        <w:t>Plans</w:t>
      </w:r>
      <w:r>
        <w:rPr>
          <w:lang w:val="en-GB"/>
        </w:rPr>
        <w:t xml:space="preserve">, </w:t>
      </w:r>
      <w:r>
        <w:rPr>
          <w:lang w:val="en-US"/>
        </w:rPr>
        <w:t>and</w:t>
      </w:r>
      <w:r>
        <w:rPr>
          <w:lang w:val="en-GB"/>
        </w:rPr>
        <w:t xml:space="preserve"> </w:t>
      </w:r>
      <w:r>
        <w:rPr>
          <w:lang w:val="en-US"/>
        </w:rPr>
        <w:t>aims</w:t>
      </w:r>
      <w:r>
        <w:rPr>
          <w:lang w:val="en-GB"/>
        </w:rPr>
        <w:t xml:space="preserve"> </w:t>
      </w:r>
      <w:r>
        <w:rPr>
          <w:lang w:val="en-US"/>
        </w:rPr>
        <w:t>at</w:t>
      </w:r>
      <w:r>
        <w:rPr>
          <w:lang w:val="en-GB"/>
        </w:rPr>
        <w:t xml:space="preserve"> </w:t>
      </w:r>
      <w:r>
        <w:rPr>
          <w:lang w:val="en-US"/>
        </w:rPr>
        <w:t>the</w:t>
      </w:r>
      <w:r>
        <w:rPr>
          <w:lang w:val="en-GB"/>
        </w:rPr>
        <w:t xml:space="preserve"> </w:t>
      </w:r>
      <w:r>
        <w:rPr>
          <w:lang w:val="en-US"/>
        </w:rPr>
        <w:t>improvement</w:t>
      </w:r>
      <w:r>
        <w:rPr>
          <w:lang w:val="en-GB"/>
        </w:rPr>
        <w:t xml:space="preserve"> </w:t>
      </w:r>
      <w:r>
        <w:rPr>
          <w:lang w:val="en-US"/>
        </w:rPr>
        <w:t>of</w:t>
      </w:r>
      <w:r>
        <w:rPr>
          <w:lang w:val="en-GB"/>
        </w:rPr>
        <w:t xml:space="preserve"> </w:t>
      </w:r>
      <w:r>
        <w:rPr>
          <w:lang w:val="en-US"/>
        </w:rPr>
        <w:t>women</w:t>
      </w:r>
      <w:r>
        <w:rPr>
          <w:lang w:val="en-GB"/>
        </w:rPr>
        <w:t>’</w:t>
      </w:r>
      <w:r>
        <w:rPr>
          <w:lang w:val="en-US"/>
        </w:rPr>
        <w:t>s</w:t>
      </w:r>
      <w:r>
        <w:rPr>
          <w:lang w:val="en-GB"/>
        </w:rPr>
        <w:t xml:space="preserve"> </w:t>
      </w:r>
      <w:r>
        <w:rPr>
          <w:lang w:val="en-US"/>
        </w:rPr>
        <w:t>access</w:t>
      </w:r>
      <w:r>
        <w:rPr>
          <w:lang w:val="en-GB"/>
        </w:rPr>
        <w:t xml:space="preserve"> to </w:t>
      </w:r>
      <w:r>
        <w:rPr>
          <w:lang w:val="en-US"/>
        </w:rPr>
        <w:t>and participation in the labour market through services of specialized information</w:t>
      </w:r>
      <w:r>
        <w:rPr>
          <w:lang w:val="en-GB"/>
        </w:rPr>
        <w:t>, consultation and social support, and, mainly, their participation in active policies for employment and their obtaining viable employment.</w:t>
      </w:r>
    </w:p>
    <w:p w:rsidR="00000000" w:rsidRDefault="00000000">
      <w:pPr>
        <w:pStyle w:val="BodyText"/>
        <w:rPr>
          <w:lang w:val="en-GB"/>
        </w:rPr>
      </w:pPr>
      <w:r>
        <w:rPr>
          <w:color w:val="000000"/>
          <w:lang w:val="en-GB"/>
        </w:rPr>
        <w:tab/>
      </w:r>
      <w:r>
        <w:rPr>
          <w:color w:val="000000"/>
          <w:lang w:val="en-GB"/>
        </w:rPr>
        <w:tab/>
        <w:t xml:space="preserve">To this end, </w:t>
      </w:r>
      <w:r>
        <w:rPr>
          <w:color w:val="000000"/>
          <w:lang w:val="en-US"/>
        </w:rPr>
        <w:t>in the context of the above mentioned measure</w:t>
      </w:r>
      <w:r>
        <w:rPr>
          <w:color w:val="000000"/>
          <w:lang w:val="en-GB"/>
        </w:rPr>
        <w:t xml:space="preserve">, </w:t>
      </w:r>
      <w:r>
        <w:rPr>
          <w:i/>
          <w:color w:val="000000"/>
          <w:lang w:val="en-GB"/>
        </w:rPr>
        <w:t xml:space="preserve">the </w:t>
      </w:r>
      <w:r>
        <w:rPr>
          <w:i/>
          <w:lang w:val="en-US"/>
        </w:rPr>
        <w:t xml:space="preserve">General Secretariat for Gender Equality appropriates funds of </w:t>
      </w:r>
      <w:r>
        <w:rPr>
          <w:i/>
          <w:lang w:val="en-GB"/>
        </w:rPr>
        <w:t>30 million Euro for promoting 4,785 unemployed women into employment</w:t>
      </w:r>
      <w:r>
        <w:rPr>
          <w:lang w:val="en-GB"/>
        </w:rPr>
        <w:t xml:space="preserve">. This programme will </w:t>
      </w:r>
      <w:r>
        <w:rPr>
          <w:lang w:val="en-US"/>
        </w:rPr>
        <w:t>be</w:t>
      </w:r>
      <w:r>
        <w:rPr>
          <w:lang w:val="en-GB"/>
        </w:rPr>
        <w:t xml:space="preserve"> </w:t>
      </w:r>
      <w:r>
        <w:rPr>
          <w:lang w:val="en-US"/>
        </w:rPr>
        <w:t>implemented</w:t>
      </w:r>
      <w:r>
        <w:rPr>
          <w:lang w:val="en-GB"/>
        </w:rPr>
        <w:t xml:space="preserve"> </w:t>
      </w:r>
      <w:r>
        <w:rPr>
          <w:lang w:val="en-US"/>
        </w:rPr>
        <w:t>by</w:t>
      </w:r>
      <w:r>
        <w:rPr>
          <w:lang w:val="en-GB"/>
        </w:rPr>
        <w:t xml:space="preserve"> </w:t>
      </w:r>
      <w:r>
        <w:rPr>
          <w:lang w:val="en-US"/>
        </w:rPr>
        <w:t>the</w:t>
      </w:r>
      <w:r>
        <w:rPr>
          <w:lang w:val="en-GB"/>
        </w:rPr>
        <w:t xml:space="preserve"> </w:t>
      </w:r>
      <w:r>
        <w:rPr>
          <w:color w:val="000000"/>
          <w:lang w:val="en-US"/>
        </w:rPr>
        <w:t>Greek Manpower Employment Organization</w:t>
      </w:r>
      <w:r>
        <w:rPr>
          <w:lang w:val="en-US"/>
        </w:rPr>
        <w:t xml:space="preserve"> during the period </w:t>
      </w:r>
      <w:r>
        <w:rPr>
          <w:lang w:val="en-GB"/>
        </w:rPr>
        <w:t xml:space="preserve">2004-2006, and, for this reason, a fruitful co-operation between the General Secretariat for Gender Equality and the </w:t>
      </w:r>
      <w:r>
        <w:rPr>
          <w:color w:val="000000"/>
          <w:lang w:val="en-US"/>
        </w:rPr>
        <w:t>Greek Manpower Employment Organization</w:t>
      </w:r>
      <w:r>
        <w:rPr>
          <w:lang w:val="en-GB"/>
        </w:rPr>
        <w:t xml:space="preserve"> has already taken place.</w:t>
      </w:r>
    </w:p>
    <w:p w:rsidR="00000000" w:rsidRDefault="00000000">
      <w:pPr>
        <w:pStyle w:val="BodyText"/>
        <w:rPr>
          <w:lang w:val="en-GB"/>
        </w:rPr>
      </w:pPr>
      <w:r>
        <w:rPr>
          <w:lang w:val="en-US"/>
        </w:rPr>
        <w:tab/>
      </w:r>
      <w:r>
        <w:rPr>
          <w:lang w:val="en-US"/>
        </w:rPr>
        <w:tab/>
        <w:t>So</w:t>
      </w:r>
      <w:r>
        <w:rPr>
          <w:lang w:val="en-GB"/>
        </w:rPr>
        <w:t xml:space="preserve">, </w:t>
      </w:r>
      <w:r>
        <w:rPr>
          <w:lang w:val="en-US"/>
        </w:rPr>
        <w:t>for</w:t>
      </w:r>
      <w:r>
        <w:rPr>
          <w:lang w:val="en-GB"/>
        </w:rPr>
        <w:t xml:space="preserve"> </w:t>
      </w:r>
      <w:r>
        <w:rPr>
          <w:lang w:val="en-US"/>
        </w:rPr>
        <w:t>the</w:t>
      </w:r>
      <w:r>
        <w:rPr>
          <w:lang w:val="en-GB"/>
        </w:rPr>
        <w:t xml:space="preserve"> </w:t>
      </w:r>
      <w:r>
        <w:rPr>
          <w:lang w:val="en-US"/>
        </w:rPr>
        <w:t>first</w:t>
      </w:r>
      <w:r>
        <w:rPr>
          <w:lang w:val="en-GB"/>
        </w:rPr>
        <w:t xml:space="preserve"> </w:t>
      </w:r>
      <w:r>
        <w:rPr>
          <w:lang w:val="en-US"/>
        </w:rPr>
        <w:t>time</w:t>
      </w:r>
      <w:r>
        <w:rPr>
          <w:lang w:val="en-GB"/>
        </w:rPr>
        <w:t xml:space="preserve">, </w:t>
      </w:r>
      <w:r>
        <w:rPr>
          <w:lang w:val="en-US"/>
        </w:rPr>
        <w:t>ensuring</w:t>
      </w:r>
      <w:r>
        <w:rPr>
          <w:lang w:val="en-GB"/>
        </w:rPr>
        <w:t xml:space="preserve"> </w:t>
      </w:r>
      <w:r>
        <w:rPr>
          <w:lang w:val="en-US"/>
        </w:rPr>
        <w:t>the</w:t>
      </w:r>
      <w:r>
        <w:rPr>
          <w:lang w:val="en-GB"/>
        </w:rPr>
        <w:t xml:space="preserve"> </w:t>
      </w:r>
      <w:r>
        <w:rPr>
          <w:lang w:val="en-US"/>
        </w:rPr>
        <w:t>integrated</w:t>
      </w:r>
      <w:r>
        <w:rPr>
          <w:lang w:val="en-GB"/>
        </w:rPr>
        <w:t xml:space="preserve"> </w:t>
      </w:r>
      <w:r>
        <w:rPr>
          <w:lang w:val="en-US"/>
        </w:rPr>
        <w:t>character</w:t>
      </w:r>
      <w:r>
        <w:rPr>
          <w:lang w:val="en-GB"/>
        </w:rPr>
        <w:t xml:space="preserve"> </w:t>
      </w:r>
      <w:r>
        <w:rPr>
          <w:lang w:val="en-US"/>
        </w:rPr>
        <w:t>of</w:t>
      </w:r>
      <w:r>
        <w:rPr>
          <w:lang w:val="en-GB"/>
        </w:rPr>
        <w:t xml:space="preserve"> </w:t>
      </w:r>
      <w:r>
        <w:rPr>
          <w:lang w:val="en-US"/>
        </w:rPr>
        <w:t>the</w:t>
      </w:r>
      <w:r>
        <w:rPr>
          <w:lang w:val="en-GB"/>
        </w:rPr>
        <w:t xml:space="preserve"> </w:t>
      </w:r>
      <w:r>
        <w:rPr>
          <w:lang w:val="en-US"/>
        </w:rPr>
        <w:t>intervention</w:t>
      </w:r>
      <w:r>
        <w:rPr>
          <w:lang w:val="en-GB"/>
        </w:rPr>
        <w:t xml:space="preserve">, </w:t>
      </w:r>
      <w:r>
        <w:rPr>
          <w:lang w:val="en-US"/>
        </w:rPr>
        <w:t>a package of programmes, addressing women beneficiaries of this project, will</w:t>
      </w:r>
      <w:r>
        <w:rPr>
          <w:lang w:val="en-GB"/>
        </w:rPr>
        <w:t xml:space="preserve"> be realised as follows:</w:t>
      </w:r>
    </w:p>
    <w:p w:rsidR="00000000" w:rsidRDefault="00000000">
      <w:pPr>
        <w:pStyle w:val="26-8"/>
        <w:ind w:left="1021"/>
        <w:rPr>
          <w:lang w:val="en-GB"/>
        </w:rPr>
      </w:pPr>
      <w:r>
        <w:rPr>
          <w:lang w:val="en-GB"/>
        </w:rPr>
        <w:t>–</w:t>
      </w:r>
      <w:r>
        <w:rPr>
          <w:lang w:val="en-GB"/>
        </w:rPr>
        <w:tab/>
      </w:r>
      <w:r>
        <w:rPr>
          <w:lang w:val="en-US"/>
        </w:rPr>
        <w:t>Subsidies Programme, for the creation of</w:t>
      </w:r>
      <w:r>
        <w:rPr>
          <w:lang w:val="en-GB"/>
        </w:rPr>
        <w:t xml:space="preserve"> </w:t>
      </w:r>
      <w:r>
        <w:rPr>
          <w:lang w:val="en-US"/>
        </w:rPr>
        <w:t>New Jobs</w:t>
      </w:r>
      <w:r>
        <w:rPr>
          <w:lang w:val="en-GB"/>
        </w:rPr>
        <w:t>,</w:t>
      </w:r>
    </w:p>
    <w:p w:rsidR="00000000" w:rsidRDefault="00000000">
      <w:pPr>
        <w:pStyle w:val="26-8"/>
        <w:ind w:left="1021"/>
        <w:rPr>
          <w:lang w:val="en-GB"/>
        </w:rPr>
      </w:pPr>
      <w:r>
        <w:rPr>
          <w:lang w:val="en-GB"/>
        </w:rPr>
        <w:t>–</w:t>
      </w:r>
      <w:r>
        <w:rPr>
          <w:lang w:val="en-GB"/>
        </w:rPr>
        <w:tab/>
      </w:r>
      <w:r>
        <w:rPr>
          <w:lang w:val="en-US"/>
        </w:rPr>
        <w:t>Programme</w:t>
      </w:r>
      <w:r>
        <w:rPr>
          <w:lang w:val="en-GB"/>
        </w:rPr>
        <w:t xml:space="preserve"> </w:t>
      </w:r>
      <w:r>
        <w:rPr>
          <w:lang w:val="en-US"/>
        </w:rPr>
        <w:t>for</w:t>
      </w:r>
      <w:r>
        <w:rPr>
          <w:lang w:val="en-GB"/>
        </w:rPr>
        <w:t xml:space="preserve"> the </w:t>
      </w:r>
      <w:r>
        <w:rPr>
          <w:lang w:val="en-US"/>
        </w:rPr>
        <w:t>New</w:t>
      </w:r>
      <w:r>
        <w:rPr>
          <w:lang w:val="en-GB"/>
        </w:rPr>
        <w:t xml:space="preserve"> Self-employed, and </w:t>
      </w:r>
    </w:p>
    <w:p w:rsidR="00000000" w:rsidRDefault="00000000">
      <w:pPr>
        <w:pStyle w:val="26-8"/>
        <w:ind w:left="1021"/>
        <w:rPr>
          <w:lang w:val="en-GB"/>
        </w:rPr>
      </w:pPr>
      <w:r>
        <w:rPr>
          <w:lang w:val="en-US"/>
        </w:rPr>
        <w:t>–</w:t>
      </w:r>
      <w:r>
        <w:rPr>
          <w:lang w:val="en-US"/>
        </w:rPr>
        <w:tab/>
        <w:t>Programme</w:t>
      </w:r>
      <w:r>
        <w:rPr>
          <w:lang w:val="en-GB"/>
        </w:rPr>
        <w:t xml:space="preserve"> </w:t>
      </w:r>
      <w:r>
        <w:rPr>
          <w:lang w:val="en-US"/>
        </w:rPr>
        <w:t>for acquiring work experience</w:t>
      </w:r>
      <w:r>
        <w:rPr>
          <w:lang w:val="en-GB"/>
        </w:rPr>
        <w:t xml:space="preserve"> (</w:t>
      </w:r>
      <w:r>
        <w:rPr>
          <w:lang w:val="en-US"/>
        </w:rPr>
        <w:t>stage</w:t>
      </w:r>
      <w:r>
        <w:rPr>
          <w:lang w:val="en-GB"/>
        </w:rPr>
        <w:t xml:space="preserve">) </w:t>
      </w:r>
    </w:p>
    <w:p w:rsidR="00000000" w:rsidRDefault="00000000">
      <w:pPr>
        <w:pStyle w:val="BodyText"/>
        <w:rPr>
          <w:rFonts w:eastAsia="Arial Unicode MS"/>
          <w:lang w:val="en-GB"/>
        </w:rPr>
      </w:pPr>
      <w:r>
        <w:rPr>
          <w:lang w:val="en-US"/>
        </w:rPr>
        <w:tab/>
      </w:r>
      <w:r>
        <w:rPr>
          <w:lang w:val="en-US"/>
        </w:rPr>
        <w:tab/>
        <w:t xml:space="preserve">The Research Centre for Gender Equality </w:t>
      </w:r>
      <w:r>
        <w:rPr>
          <w:rFonts w:eastAsia="Arial Unicode MS"/>
          <w:lang w:val="en-GB"/>
        </w:rPr>
        <w:t xml:space="preserve">( </w:t>
      </w:r>
      <w:r>
        <w:rPr>
          <w:rFonts w:eastAsia="Arial Unicode MS"/>
        </w:rPr>
        <w:t>Κ</w:t>
      </w:r>
      <w:r>
        <w:rPr>
          <w:rFonts w:eastAsia="Arial Unicode MS"/>
          <w:lang w:val="en-GB"/>
        </w:rPr>
        <w:t>.</w:t>
      </w:r>
      <w:r>
        <w:rPr>
          <w:rFonts w:eastAsia="Arial Unicode MS"/>
        </w:rPr>
        <w:t>Ε</w:t>
      </w:r>
      <w:r>
        <w:rPr>
          <w:rFonts w:eastAsia="Arial Unicode MS"/>
          <w:lang w:val="en-GB"/>
        </w:rPr>
        <w:t>.TH.</w:t>
      </w:r>
      <w:r>
        <w:rPr>
          <w:rFonts w:eastAsia="Arial Unicode MS"/>
        </w:rPr>
        <w:t>Ι</w:t>
      </w:r>
      <w:r>
        <w:rPr>
          <w:rFonts w:eastAsia="Arial Unicode MS"/>
          <w:lang w:val="en-GB"/>
        </w:rPr>
        <w:t>. ) is the s</w:t>
      </w:r>
      <w:r>
        <w:rPr>
          <w:lang w:val="en-US"/>
        </w:rPr>
        <w:t>cientific consultant for the Actions of Integrated Interventions in favour of women</w:t>
      </w:r>
      <w:r>
        <w:rPr>
          <w:rFonts w:eastAsia="Arial Unicode MS"/>
          <w:lang w:val="en-GB"/>
        </w:rPr>
        <w:t>.</w:t>
      </w:r>
    </w:p>
    <w:p w:rsidR="00000000" w:rsidRDefault="00000000">
      <w:pPr>
        <w:pStyle w:val="BodyText"/>
        <w:rPr>
          <w:lang w:val="en-GB"/>
        </w:rPr>
      </w:pPr>
      <w:r>
        <w:rPr>
          <w:lang w:val="en-GB"/>
        </w:rPr>
        <w:tab/>
      </w:r>
      <w:r>
        <w:rPr>
          <w:lang w:val="en-GB"/>
        </w:rPr>
        <w:tab/>
      </w:r>
      <w:r>
        <w:rPr>
          <w:lang w:val="en-US"/>
        </w:rPr>
        <w:t>As a conclusion,</w:t>
      </w:r>
      <w:r>
        <w:rPr>
          <w:lang w:val="en-GB"/>
        </w:rPr>
        <w:t xml:space="preserve"> </w:t>
      </w:r>
      <w:r>
        <w:rPr>
          <w:lang w:val="en-US"/>
        </w:rPr>
        <w:t>we can say that</w:t>
      </w:r>
      <w:r>
        <w:rPr>
          <w:lang w:val="en-GB"/>
        </w:rPr>
        <w:t>:</w:t>
      </w:r>
    </w:p>
    <w:p w:rsidR="00000000" w:rsidRDefault="00000000">
      <w:pPr>
        <w:pStyle w:val="BodyText"/>
        <w:rPr>
          <w:i/>
          <w:lang w:val="en-GB"/>
        </w:rPr>
      </w:pPr>
      <w:r>
        <w:rPr>
          <w:i/>
          <w:lang w:val="en-GB"/>
        </w:rPr>
        <w:tab/>
      </w:r>
      <w:r>
        <w:rPr>
          <w:i/>
          <w:lang w:val="en-GB"/>
        </w:rPr>
        <w:tab/>
        <w:t>The target set for the 3</w:t>
      </w:r>
      <w:r>
        <w:rPr>
          <w:i/>
          <w:vertAlign w:val="superscript"/>
          <w:lang w:val="en-GB"/>
        </w:rPr>
        <w:t>rd</w:t>
      </w:r>
      <w:r>
        <w:rPr>
          <w:i/>
          <w:lang w:val="en-GB"/>
        </w:rPr>
        <w:t xml:space="preserve"> Community Support Framework</w:t>
      </w:r>
      <w:r>
        <w:rPr>
          <w:b/>
          <w:lang w:val="en-GB"/>
        </w:rPr>
        <w:t xml:space="preserve"> </w:t>
      </w:r>
      <w:r>
        <w:rPr>
          <w:lang w:val="en-GB"/>
        </w:rPr>
        <w:t xml:space="preserve">in relation to the appropriation of </w:t>
      </w:r>
      <w:r>
        <w:rPr>
          <w:i/>
          <w:lang w:val="en-GB"/>
        </w:rPr>
        <w:t>11.8%</w:t>
      </w:r>
      <w:r>
        <w:rPr>
          <w:lang w:val="en-GB"/>
        </w:rPr>
        <w:t xml:space="preserve"> of the budget of the European Social Fund (501.600.000€) for the financing of positive actions for the promotion of gender equality, approximately in the middle of the programme period, has been covered by 47,3%  </w:t>
      </w:r>
      <w:r>
        <w:rPr>
          <w:i/>
          <w:lang w:val="en-GB"/>
        </w:rPr>
        <w:t>(5.6%)</w:t>
      </w:r>
    </w:p>
    <w:p w:rsidR="00000000" w:rsidRDefault="00000000">
      <w:pPr>
        <w:pStyle w:val="BodyText"/>
        <w:rPr>
          <w:lang w:val="en-US"/>
        </w:rPr>
      </w:pPr>
      <w:r>
        <w:rPr>
          <w:i/>
          <w:lang w:val="en-US"/>
        </w:rPr>
        <w:tab/>
      </w:r>
      <w:r>
        <w:rPr>
          <w:i/>
          <w:lang w:val="en-US"/>
        </w:rPr>
        <w:tab/>
        <w:t>Positive actions for equality</w:t>
      </w:r>
      <w:r>
        <w:rPr>
          <w:lang w:val="en-GB"/>
        </w:rPr>
        <w:t xml:space="preserve"> </w:t>
      </w:r>
      <w:r>
        <w:rPr>
          <w:lang w:val="en-US"/>
        </w:rPr>
        <w:t xml:space="preserve">that were included and implemented in all Operational Programmes have absorbed </w:t>
      </w:r>
      <w:r>
        <w:rPr>
          <w:lang w:val="en-GB"/>
        </w:rPr>
        <w:t>237.285.686 € of the European Social Fund contribution.</w:t>
      </w:r>
    </w:p>
    <w:p w:rsidR="00000000" w:rsidRDefault="00000000">
      <w:pPr>
        <w:pStyle w:val="BodyText"/>
        <w:tabs>
          <w:tab w:val="left" w:pos="567"/>
          <w:tab w:val="left" w:pos="1021"/>
          <w:tab w:val="left" w:pos="1474"/>
          <w:tab w:val="left" w:pos="1928"/>
        </w:tabs>
        <w:jc w:val="center"/>
        <w:rPr>
          <w:lang w:val="en-US"/>
        </w:rPr>
      </w:pPr>
      <w:r>
        <w:rPr>
          <w:lang w:val="en-US"/>
        </w:rPr>
        <w:t>D. OTHER PROGRAMMES AND INITIATIVES</w:t>
      </w:r>
    </w:p>
    <w:p w:rsidR="00000000" w:rsidRDefault="00000000">
      <w:pPr>
        <w:pStyle w:val="BodyText"/>
        <w:tabs>
          <w:tab w:val="left" w:pos="567"/>
          <w:tab w:val="left" w:pos="1021"/>
          <w:tab w:val="left" w:pos="1474"/>
          <w:tab w:val="left" w:pos="1928"/>
        </w:tabs>
        <w:jc w:val="left"/>
        <w:rPr>
          <w:u w:val="single"/>
          <w:lang w:val="en-GB"/>
        </w:rPr>
      </w:pPr>
      <w:r>
        <w:rPr>
          <w:lang w:val="en-GB"/>
        </w:rPr>
        <w:tab/>
      </w:r>
      <w:r>
        <w:rPr>
          <w:u w:val="single"/>
          <w:lang w:val="en-GB"/>
        </w:rPr>
        <w:t>Community Initiative EQUAL- A labour market open to all</w:t>
      </w:r>
    </w:p>
    <w:p w:rsidR="00000000" w:rsidRDefault="00000000">
      <w:pPr>
        <w:pStyle w:val="BodyText"/>
        <w:rPr>
          <w:lang w:val="en-GB"/>
        </w:rPr>
      </w:pPr>
      <w:r>
        <w:rPr>
          <w:lang w:val="en-US"/>
        </w:rPr>
        <w:tab/>
        <w:t>It has been structured on nine (9) thematic fields</w:t>
      </w:r>
      <w:r>
        <w:rPr>
          <w:lang w:val="en-GB"/>
        </w:rPr>
        <w:t xml:space="preserve"> - </w:t>
      </w:r>
      <w:r>
        <w:rPr>
          <w:lang w:val="en-US"/>
        </w:rPr>
        <w:t>measures</w:t>
      </w:r>
      <w:r>
        <w:rPr>
          <w:lang w:val="en-GB"/>
        </w:rPr>
        <w:t xml:space="preserve">. These measures </w:t>
      </w:r>
      <w:r>
        <w:rPr>
          <w:lang w:val="en-US"/>
        </w:rPr>
        <w:t>are</w:t>
      </w:r>
      <w:r>
        <w:rPr>
          <w:lang w:val="en-GB"/>
        </w:rPr>
        <w:t xml:space="preserve"> </w:t>
      </w:r>
      <w:r>
        <w:rPr>
          <w:lang w:val="en-US"/>
        </w:rPr>
        <w:t>based</w:t>
      </w:r>
      <w:r>
        <w:rPr>
          <w:lang w:val="en-GB"/>
        </w:rPr>
        <w:t xml:space="preserve"> </w:t>
      </w:r>
      <w:r>
        <w:rPr>
          <w:lang w:val="en-US"/>
        </w:rPr>
        <w:t>on</w:t>
      </w:r>
      <w:r>
        <w:rPr>
          <w:lang w:val="en-GB"/>
        </w:rPr>
        <w:t xml:space="preserve"> </w:t>
      </w:r>
      <w:r>
        <w:rPr>
          <w:lang w:val="en-US"/>
        </w:rPr>
        <w:t>the</w:t>
      </w:r>
      <w:r>
        <w:rPr>
          <w:lang w:val="en-GB"/>
        </w:rPr>
        <w:t xml:space="preserve"> </w:t>
      </w:r>
      <w:r>
        <w:rPr>
          <w:lang w:val="en-US"/>
        </w:rPr>
        <w:t>four</w:t>
      </w:r>
      <w:r>
        <w:rPr>
          <w:lang w:val="en-GB"/>
        </w:rPr>
        <w:t xml:space="preserve"> (4) pillars </w:t>
      </w:r>
      <w:r>
        <w:rPr>
          <w:lang w:val="en-US"/>
        </w:rPr>
        <w:t>of the European Employment</w:t>
      </w:r>
      <w:r>
        <w:rPr>
          <w:lang w:val="en-GB"/>
        </w:rPr>
        <w:t xml:space="preserve">. It also includes activities that promote and qualitatively enlarge </w:t>
      </w:r>
      <w:r>
        <w:rPr>
          <w:lang w:val="en-US"/>
        </w:rPr>
        <w:t>relevant policies of the National Action Plan</w:t>
      </w:r>
      <w:r>
        <w:rPr>
          <w:lang w:val="en-GB"/>
        </w:rPr>
        <w:t xml:space="preserve"> for</w:t>
      </w:r>
      <w:r>
        <w:rPr>
          <w:lang w:val="en-US"/>
        </w:rPr>
        <w:t xml:space="preserve"> Employment</w:t>
      </w:r>
      <w:r>
        <w:rPr>
          <w:lang w:val="en-GB"/>
        </w:rPr>
        <w:t>.</w:t>
      </w:r>
    </w:p>
    <w:p w:rsidR="00000000" w:rsidRDefault="00000000">
      <w:pPr>
        <w:pStyle w:val="BodyText"/>
        <w:rPr>
          <w:lang w:val="en-GB"/>
        </w:rPr>
      </w:pPr>
      <w:r>
        <w:rPr>
          <w:lang w:val="en-US"/>
        </w:rPr>
        <w:tab/>
      </w:r>
      <w:r>
        <w:rPr>
          <w:lang w:val="en-US"/>
        </w:rPr>
        <w:tab/>
        <w:t>In</w:t>
      </w:r>
      <w:r>
        <w:rPr>
          <w:lang w:val="en-GB"/>
        </w:rPr>
        <w:t xml:space="preserve"> the </w:t>
      </w:r>
      <w:r>
        <w:rPr>
          <w:lang w:val="en-US"/>
        </w:rPr>
        <w:t>Community</w:t>
      </w:r>
      <w:r>
        <w:rPr>
          <w:lang w:val="en-GB"/>
        </w:rPr>
        <w:t xml:space="preserve"> </w:t>
      </w:r>
      <w:r>
        <w:rPr>
          <w:lang w:val="en-US"/>
        </w:rPr>
        <w:t>Initiative</w:t>
      </w:r>
      <w:r>
        <w:rPr>
          <w:lang w:val="en-GB"/>
        </w:rPr>
        <w:t xml:space="preserve"> </w:t>
      </w:r>
      <w:r>
        <w:rPr>
          <w:lang w:val="en-US"/>
        </w:rPr>
        <w:t>EQUAL</w:t>
      </w:r>
      <w:r>
        <w:rPr>
          <w:lang w:val="en-GB"/>
        </w:rPr>
        <w:t xml:space="preserve">, </w:t>
      </w:r>
      <w:r>
        <w:rPr>
          <w:lang w:val="en-US"/>
        </w:rPr>
        <w:t>axis</w:t>
      </w:r>
      <w:r>
        <w:rPr>
          <w:lang w:val="en-GB"/>
        </w:rPr>
        <w:t xml:space="preserve"> 4 </w:t>
      </w:r>
      <w:r>
        <w:rPr>
          <w:lang w:val="en-US"/>
        </w:rPr>
        <w:t>with</w:t>
      </w:r>
      <w:r>
        <w:rPr>
          <w:lang w:val="en-GB"/>
        </w:rPr>
        <w:t xml:space="preserve"> </w:t>
      </w:r>
      <w:r>
        <w:rPr>
          <w:lang w:val="en-US"/>
        </w:rPr>
        <w:t>the</w:t>
      </w:r>
      <w:r>
        <w:rPr>
          <w:lang w:val="en-GB"/>
        </w:rPr>
        <w:t xml:space="preserve"> </w:t>
      </w:r>
      <w:r>
        <w:rPr>
          <w:lang w:val="en-US"/>
        </w:rPr>
        <w:t>general</w:t>
      </w:r>
      <w:r>
        <w:rPr>
          <w:lang w:val="en-GB"/>
        </w:rPr>
        <w:t xml:space="preserve"> </w:t>
      </w:r>
      <w:r>
        <w:rPr>
          <w:lang w:val="en-US"/>
        </w:rPr>
        <w:t>goal</w:t>
      </w:r>
      <w:r>
        <w:rPr>
          <w:lang w:val="en-GB"/>
        </w:rPr>
        <w:t xml:space="preserve"> «</w:t>
      </w:r>
      <w:r>
        <w:rPr>
          <w:lang w:val="en-US"/>
        </w:rPr>
        <w:t>Equal opportunities for both women and men</w:t>
      </w:r>
      <w:r>
        <w:rPr>
          <w:lang w:val="en-GB"/>
        </w:rPr>
        <w:t>» contributes to the promotion of Pillar 4 of the National Action Plan for Employment “</w:t>
      </w:r>
      <w:r>
        <w:rPr>
          <w:lang w:val="en-US"/>
        </w:rPr>
        <w:t>Reinforcing the equality of opportunities between men and women”</w:t>
      </w:r>
      <w:r>
        <w:rPr>
          <w:lang w:val="en-GB"/>
        </w:rPr>
        <w:t>.</w:t>
      </w:r>
    </w:p>
    <w:p w:rsidR="00000000" w:rsidRDefault="00000000">
      <w:pPr>
        <w:pStyle w:val="BodyText"/>
        <w:rPr>
          <w:lang w:val="en-GB"/>
        </w:rPr>
      </w:pPr>
      <w:r>
        <w:rPr>
          <w:lang w:val="en-GB"/>
        </w:rPr>
        <w:tab/>
      </w:r>
      <w:r>
        <w:rPr>
          <w:lang w:val="en-GB"/>
        </w:rPr>
        <w:tab/>
      </w:r>
      <w:r>
        <w:rPr>
          <w:lang w:val="en-US"/>
        </w:rPr>
        <w:t>We</w:t>
      </w:r>
      <w:r>
        <w:rPr>
          <w:lang w:val="en-GB"/>
        </w:rPr>
        <w:t xml:space="preserve"> </w:t>
      </w:r>
      <w:r>
        <w:rPr>
          <w:lang w:val="en-US"/>
        </w:rPr>
        <w:t>note</w:t>
      </w:r>
      <w:r>
        <w:rPr>
          <w:lang w:val="en-GB"/>
        </w:rPr>
        <w:t xml:space="preserve"> </w:t>
      </w:r>
      <w:r>
        <w:rPr>
          <w:lang w:val="en-US"/>
        </w:rPr>
        <w:t>that equality of opportunities is a basic feature of all the projects of the EQUAL</w:t>
      </w:r>
      <w:r>
        <w:rPr>
          <w:lang w:val="en-GB"/>
        </w:rPr>
        <w:t xml:space="preserve"> Initiative, in</w:t>
      </w:r>
      <w:r>
        <w:rPr>
          <w:lang w:val="en-US"/>
        </w:rPr>
        <w:t xml:space="preserve"> all measures</w:t>
      </w:r>
      <w:r>
        <w:rPr>
          <w:lang w:val="en-GB"/>
        </w:rPr>
        <w:t xml:space="preserve">. </w:t>
      </w:r>
    </w:p>
    <w:p w:rsidR="00000000" w:rsidRDefault="00000000">
      <w:pPr>
        <w:pStyle w:val="BodyText"/>
        <w:rPr>
          <w:b/>
          <w:lang w:val="en-GB"/>
        </w:rPr>
      </w:pPr>
      <w:r>
        <w:rPr>
          <w:lang w:val="en-GB"/>
        </w:rPr>
        <w:tab/>
      </w:r>
      <w:r>
        <w:rPr>
          <w:lang w:val="en-GB"/>
        </w:rPr>
        <w:tab/>
      </w:r>
      <w:r>
        <w:rPr>
          <w:lang w:val="en-US"/>
        </w:rPr>
        <w:t>The</w:t>
      </w:r>
      <w:r>
        <w:rPr>
          <w:lang w:val="en-GB"/>
        </w:rPr>
        <w:t xml:space="preserve"> </w:t>
      </w:r>
      <w:r>
        <w:rPr>
          <w:lang w:val="en-US"/>
        </w:rPr>
        <w:t>General Secretariat for Gender Equality</w:t>
      </w:r>
      <w:r>
        <w:rPr>
          <w:lang w:val="en-GB"/>
        </w:rPr>
        <w:t xml:space="preserve"> </w:t>
      </w:r>
      <w:r>
        <w:rPr>
          <w:lang w:val="en-US"/>
        </w:rPr>
        <w:t xml:space="preserve">participates as a partner in Development Partnerships for the implementation of six </w:t>
      </w:r>
      <w:r>
        <w:rPr>
          <w:lang w:val="en-GB"/>
        </w:rPr>
        <w:t xml:space="preserve">(6) projects of the </w:t>
      </w:r>
      <w:r>
        <w:rPr>
          <w:lang w:val="en-US"/>
        </w:rPr>
        <w:t>EQUAL Initiative</w:t>
      </w:r>
      <w:r>
        <w:rPr>
          <w:lang w:val="en-GB"/>
        </w:rPr>
        <w:t xml:space="preserve">, aiming at preserving the implementation </w:t>
      </w:r>
      <w:r>
        <w:rPr>
          <w:color w:val="000000"/>
          <w:lang w:val="en-GB"/>
        </w:rPr>
        <w:t>of equality of opportunities in the framework of each programme.</w:t>
      </w:r>
    </w:p>
    <w:p w:rsidR="00000000" w:rsidRDefault="00000000">
      <w:pPr>
        <w:pStyle w:val="BodyText"/>
        <w:rPr>
          <w:u w:val="single"/>
          <w:lang w:val="en-US"/>
        </w:rPr>
      </w:pPr>
      <w:r>
        <w:rPr>
          <w:lang w:val="en-US"/>
        </w:rPr>
        <w:tab/>
      </w:r>
      <w:r>
        <w:rPr>
          <w:u w:val="single"/>
          <w:lang w:val="en-US"/>
        </w:rPr>
        <w:t>Community Initiatives INTERREG</w:t>
      </w:r>
      <w:r>
        <w:rPr>
          <w:u w:val="single"/>
          <w:lang w:val="en-GB"/>
        </w:rPr>
        <w:t xml:space="preserve"> </w:t>
      </w:r>
      <w:r>
        <w:rPr>
          <w:u w:val="single"/>
        </w:rPr>
        <w:t>ΙΙΙ</w:t>
      </w:r>
      <w:r>
        <w:rPr>
          <w:u w:val="single"/>
          <w:lang w:val="en-GB"/>
        </w:rPr>
        <w:t xml:space="preserve"> &amp; </w:t>
      </w:r>
      <w:r>
        <w:rPr>
          <w:u w:val="single"/>
          <w:lang w:val="en-US"/>
        </w:rPr>
        <w:t>URBAN</w:t>
      </w:r>
      <w:r>
        <w:rPr>
          <w:u w:val="single"/>
          <w:lang w:val="en-GB"/>
        </w:rPr>
        <w:t xml:space="preserve"> </w:t>
      </w:r>
      <w:r>
        <w:rPr>
          <w:u w:val="single"/>
        </w:rPr>
        <w:t>ΙΙ</w:t>
      </w:r>
    </w:p>
    <w:p w:rsidR="00000000" w:rsidRDefault="00000000">
      <w:pPr>
        <w:pStyle w:val="BodyText"/>
        <w:rPr>
          <w:lang w:val="en-GB"/>
        </w:rPr>
      </w:pPr>
      <w:r>
        <w:rPr>
          <w:lang w:val="en-US"/>
        </w:rPr>
        <w:tab/>
        <w:t>The Community Initiatives</w:t>
      </w:r>
      <w:r>
        <w:rPr>
          <w:lang w:val="en-GB"/>
        </w:rPr>
        <w:t xml:space="preserve"> </w:t>
      </w:r>
      <w:r>
        <w:rPr>
          <w:lang w:val="en-US"/>
        </w:rPr>
        <w:t>INTERREG</w:t>
      </w:r>
      <w:r>
        <w:rPr>
          <w:lang w:val="en-GB"/>
        </w:rPr>
        <w:t xml:space="preserve"> </w:t>
      </w:r>
      <w:r>
        <w:t>ΙΙΙ</w:t>
      </w:r>
      <w:r>
        <w:rPr>
          <w:lang w:val="en-GB"/>
        </w:rPr>
        <w:t xml:space="preserve"> &amp; </w:t>
      </w:r>
      <w:r>
        <w:rPr>
          <w:lang w:val="en-US"/>
        </w:rPr>
        <w:t>URBAN</w:t>
      </w:r>
      <w:r>
        <w:rPr>
          <w:lang w:val="en-GB"/>
        </w:rPr>
        <w:t xml:space="preserve"> </w:t>
      </w:r>
      <w:r>
        <w:t>ΙΙ</w:t>
      </w:r>
      <w:r>
        <w:rPr>
          <w:lang w:val="en-GB"/>
        </w:rPr>
        <w:t xml:space="preserve"> </w:t>
      </w:r>
      <w:r>
        <w:rPr>
          <w:lang w:val="en-US"/>
        </w:rPr>
        <w:t>have included the dimension of equality in a large number of Measures concerning not only access to the labour market and development of entrepreneurship</w:t>
      </w:r>
      <w:r>
        <w:rPr>
          <w:lang w:val="en-GB"/>
        </w:rPr>
        <w:t xml:space="preserve">, but also issues as the protection of the environment or technologies of networking.  </w:t>
      </w:r>
    </w:p>
    <w:p w:rsidR="00000000" w:rsidRDefault="00000000">
      <w:pPr>
        <w:pStyle w:val="BodyText"/>
        <w:rPr>
          <w:u w:val="single"/>
          <w:lang w:val="en-GB"/>
        </w:rPr>
      </w:pPr>
      <w:r>
        <w:rPr>
          <w:lang w:val="en-US"/>
        </w:rPr>
        <w:tab/>
      </w:r>
      <w:r>
        <w:rPr>
          <w:u w:val="single"/>
          <w:lang w:val="en-US"/>
        </w:rPr>
        <w:t>Community initiative Leader</w:t>
      </w:r>
      <w:r>
        <w:rPr>
          <w:u w:val="single"/>
          <w:lang w:val="en-GB"/>
        </w:rPr>
        <w:t xml:space="preserve"> +</w:t>
      </w:r>
    </w:p>
    <w:p w:rsidR="00000000" w:rsidRDefault="00000000">
      <w:pPr>
        <w:pStyle w:val="BodyText"/>
        <w:rPr>
          <w:lang w:val="en-GB"/>
        </w:rPr>
      </w:pPr>
      <w:r>
        <w:rPr>
          <w:lang w:val="en-US"/>
        </w:rPr>
        <w:tab/>
        <w:t>Basic goal of the Community Initiative LEADER</w:t>
      </w:r>
      <w:r>
        <w:rPr>
          <w:lang w:val="en-GB"/>
        </w:rPr>
        <w:t>+ for</w:t>
      </w:r>
      <w:r>
        <w:rPr>
          <w:lang w:val="en-US"/>
        </w:rPr>
        <w:t xml:space="preserve"> agricultural development</w:t>
      </w:r>
      <w:r>
        <w:rPr>
          <w:lang w:val="en-GB"/>
        </w:rPr>
        <w:t xml:space="preserve"> </w:t>
      </w:r>
      <w:r>
        <w:rPr>
          <w:lang w:val="en-US"/>
        </w:rPr>
        <w:t>is to promote the development of agricultural areas</w:t>
      </w:r>
      <w:r>
        <w:rPr>
          <w:lang w:val="en-GB"/>
        </w:rPr>
        <w:t xml:space="preserve">, </w:t>
      </w:r>
      <w:r>
        <w:rPr>
          <w:lang w:val="en-US"/>
        </w:rPr>
        <w:t>to urge local societies to create opportunities for new forms of employment</w:t>
      </w:r>
      <w:r>
        <w:rPr>
          <w:lang w:val="en-GB"/>
        </w:rPr>
        <w:t>.</w:t>
      </w:r>
    </w:p>
    <w:p w:rsidR="00000000" w:rsidRDefault="00000000">
      <w:pPr>
        <w:pStyle w:val="18-8"/>
        <w:rPr>
          <w:u w:val="single"/>
          <w:lang w:val="en-GB"/>
        </w:rPr>
      </w:pPr>
      <w:r>
        <w:rPr>
          <w:lang w:val="en-US"/>
        </w:rPr>
        <w:sym w:font="Symbol" w:char="F0B7"/>
      </w:r>
      <w:r>
        <w:tab/>
      </w:r>
      <w:r>
        <w:rPr>
          <w:lang w:val="en-US"/>
        </w:rPr>
        <w:t xml:space="preserve">One of the </w:t>
      </w:r>
      <w:r>
        <w:rPr>
          <w:i/>
          <w:lang w:val="en-US"/>
        </w:rPr>
        <w:t>special goals</w:t>
      </w:r>
      <w:r>
        <w:rPr>
          <w:lang w:val="en-GB"/>
        </w:rPr>
        <w:t xml:space="preserve"> </w:t>
      </w:r>
      <w:r>
        <w:rPr>
          <w:lang w:val="en-US"/>
        </w:rPr>
        <w:t>of the Community Initiative</w:t>
      </w:r>
      <w:r>
        <w:rPr>
          <w:lang w:val="en-GB"/>
        </w:rPr>
        <w:t xml:space="preserve"> </w:t>
      </w:r>
      <w:r>
        <w:rPr>
          <w:lang w:val="en-US"/>
        </w:rPr>
        <w:t xml:space="preserve">is the </w:t>
      </w:r>
      <w:r>
        <w:rPr>
          <w:i/>
          <w:lang w:val="en-US"/>
        </w:rPr>
        <w:t>promotion of equal opportunities for women</w:t>
      </w:r>
      <w:r>
        <w:rPr>
          <w:lang w:val="en-GB"/>
        </w:rPr>
        <w:t xml:space="preserve">. </w:t>
      </w:r>
    </w:p>
    <w:p w:rsidR="00000000" w:rsidRDefault="00000000">
      <w:pPr>
        <w:pStyle w:val="BodyText"/>
        <w:rPr>
          <w:u w:val="single"/>
          <w:lang w:val="en-GB"/>
        </w:rPr>
      </w:pPr>
      <w:r>
        <w:rPr>
          <w:lang w:val="en-US"/>
        </w:rPr>
        <w:tab/>
      </w:r>
      <w:r>
        <w:rPr>
          <w:lang w:val="en-US"/>
        </w:rPr>
        <w:tab/>
        <w:t>We</w:t>
      </w:r>
      <w:r>
        <w:rPr>
          <w:lang w:val="en-GB"/>
        </w:rPr>
        <w:t xml:space="preserve"> point out </w:t>
      </w:r>
      <w:r>
        <w:rPr>
          <w:lang w:val="en-US"/>
        </w:rPr>
        <w:t>that</w:t>
      </w:r>
      <w:r>
        <w:rPr>
          <w:lang w:val="en-GB"/>
        </w:rPr>
        <w:t xml:space="preserve"> the </w:t>
      </w:r>
      <w:r>
        <w:rPr>
          <w:lang w:val="en-US"/>
        </w:rPr>
        <w:t>evaluation</w:t>
      </w:r>
      <w:r>
        <w:rPr>
          <w:lang w:val="en-GB"/>
        </w:rPr>
        <w:t xml:space="preserve"> </w:t>
      </w:r>
      <w:r>
        <w:rPr>
          <w:lang w:val="en-US"/>
        </w:rPr>
        <w:t>criteria</w:t>
      </w:r>
      <w:r>
        <w:rPr>
          <w:lang w:val="en-GB"/>
        </w:rPr>
        <w:t xml:space="preserve"> </w:t>
      </w:r>
      <w:r>
        <w:rPr>
          <w:lang w:val="en-US"/>
        </w:rPr>
        <w:t>for</w:t>
      </w:r>
      <w:r>
        <w:rPr>
          <w:lang w:val="en-GB"/>
        </w:rPr>
        <w:t xml:space="preserve"> the </w:t>
      </w:r>
      <w:r>
        <w:rPr>
          <w:lang w:val="en-US"/>
        </w:rPr>
        <w:t>investment proposals submitted for implementation to the Development Partnerships of Local Action Groups implementing the Programme</w:t>
      </w:r>
      <w:r>
        <w:rPr>
          <w:lang w:val="en-GB"/>
        </w:rPr>
        <w:t xml:space="preserve">, </w:t>
      </w:r>
      <w:r>
        <w:rPr>
          <w:u w:val="single"/>
          <w:lang w:val="en-GB"/>
        </w:rPr>
        <w:t xml:space="preserve">provide for additional credits for women candidate investors. </w:t>
      </w:r>
    </w:p>
    <w:p w:rsidR="00000000" w:rsidRDefault="00000000">
      <w:pPr>
        <w:pStyle w:val="BodyText"/>
        <w:rPr>
          <w:lang w:val="en-GB"/>
        </w:rPr>
      </w:pPr>
      <w:r>
        <w:rPr>
          <w:lang w:val="en-GB"/>
        </w:rPr>
        <w:tab/>
      </w:r>
      <w:r>
        <w:rPr>
          <w:lang w:val="en-GB"/>
        </w:rPr>
        <w:tab/>
        <w:t xml:space="preserve">In the case of companies, co-operatives and associations, the highest number of credits are given, when the percentage of women’s investment in equity capital is higher or equal to 75% and management is exercised by a woman. </w:t>
      </w:r>
    </w:p>
    <w:p w:rsidR="00000000" w:rsidRDefault="00000000">
      <w:pPr>
        <w:pStyle w:val="BodyText2"/>
        <w:tabs>
          <w:tab w:val="left" w:pos="567"/>
          <w:tab w:val="left" w:pos="1021"/>
          <w:tab w:val="left" w:pos="1474"/>
          <w:tab w:val="left" w:pos="1928"/>
        </w:tabs>
        <w:jc w:val="center"/>
        <w:rPr>
          <w:color w:val="000000"/>
          <w:sz w:val="22"/>
          <w:lang w:val="en-GB"/>
        </w:rPr>
      </w:pPr>
      <w:r>
        <w:rPr>
          <w:color w:val="000000"/>
          <w:sz w:val="22"/>
          <w:lang w:val="en-GB"/>
        </w:rPr>
        <w:t>E. COMBATING THE EQUALITY DEFICIT IN THE LABOUR MARKET</w:t>
      </w:r>
    </w:p>
    <w:p w:rsidR="00000000" w:rsidRDefault="00000000">
      <w:pPr>
        <w:pStyle w:val="BodyText"/>
        <w:rPr>
          <w:lang w:val="en-GB"/>
        </w:rPr>
      </w:pPr>
      <w:r>
        <w:rPr>
          <w:lang w:val="en-US"/>
        </w:rPr>
        <w:tab/>
        <w:t>One</w:t>
      </w:r>
      <w:r>
        <w:rPr>
          <w:lang w:val="en-GB"/>
        </w:rPr>
        <w:t xml:space="preserve"> </w:t>
      </w:r>
      <w:r>
        <w:rPr>
          <w:lang w:val="en-US"/>
        </w:rPr>
        <w:t>of</w:t>
      </w:r>
      <w:r>
        <w:rPr>
          <w:lang w:val="en-GB"/>
        </w:rPr>
        <w:t xml:space="preserve"> </w:t>
      </w:r>
      <w:r>
        <w:rPr>
          <w:lang w:val="en-US"/>
        </w:rPr>
        <w:t>the</w:t>
      </w:r>
      <w:r>
        <w:rPr>
          <w:lang w:val="en-GB"/>
        </w:rPr>
        <w:t xml:space="preserve"> </w:t>
      </w:r>
      <w:r>
        <w:rPr>
          <w:lang w:val="en-US"/>
        </w:rPr>
        <w:t>priority</w:t>
      </w:r>
      <w:r>
        <w:rPr>
          <w:lang w:val="en-GB"/>
        </w:rPr>
        <w:t xml:space="preserve"> </w:t>
      </w:r>
      <w:r>
        <w:rPr>
          <w:lang w:val="en-US"/>
        </w:rPr>
        <w:t>action</w:t>
      </w:r>
      <w:r>
        <w:rPr>
          <w:lang w:val="en-GB"/>
        </w:rPr>
        <w:t xml:space="preserve"> axes </w:t>
      </w:r>
      <w:r>
        <w:rPr>
          <w:lang w:val="en-US"/>
        </w:rPr>
        <w:t xml:space="preserve">of the General Secretariat for Gender Equality for the coming period is </w:t>
      </w:r>
      <w:r>
        <w:rPr>
          <w:lang w:val="en-GB"/>
        </w:rPr>
        <w:t xml:space="preserve">to promote </w:t>
      </w:r>
      <w:r>
        <w:rPr>
          <w:lang w:val="en-US"/>
        </w:rPr>
        <w:t>the</w:t>
      </w:r>
      <w:r>
        <w:rPr>
          <w:lang w:val="en-GB"/>
        </w:rPr>
        <w:t xml:space="preserve"> acceleration </w:t>
      </w:r>
      <w:r>
        <w:rPr>
          <w:lang w:val="en-US"/>
        </w:rPr>
        <w:t>of</w:t>
      </w:r>
      <w:r>
        <w:rPr>
          <w:lang w:val="en-GB"/>
        </w:rPr>
        <w:t xml:space="preserve"> </w:t>
      </w:r>
      <w:r>
        <w:rPr>
          <w:lang w:val="en-US"/>
        </w:rPr>
        <w:t>the</w:t>
      </w:r>
      <w:r>
        <w:rPr>
          <w:lang w:val="en-GB"/>
        </w:rPr>
        <w:t xml:space="preserve"> </w:t>
      </w:r>
      <w:r>
        <w:rPr>
          <w:lang w:val="en-US"/>
        </w:rPr>
        <w:t>implementation of all measures and activities of the 3</w:t>
      </w:r>
      <w:r>
        <w:rPr>
          <w:vertAlign w:val="superscript"/>
          <w:lang w:val="en-US"/>
        </w:rPr>
        <w:t>rd</w:t>
      </w:r>
      <w:r>
        <w:rPr>
          <w:lang w:val="en-US"/>
        </w:rPr>
        <w:t xml:space="preserve"> Community Support Framework</w:t>
      </w:r>
      <w:r>
        <w:rPr>
          <w:lang w:val="en-GB"/>
        </w:rPr>
        <w:t xml:space="preserve"> concerning women in the context of the Operational Programme “Employment and Vocational Training” and the</w:t>
      </w:r>
      <w:r>
        <w:rPr>
          <w:lang w:val="en-US"/>
        </w:rPr>
        <w:t xml:space="preserve"> Operational Programme</w:t>
      </w:r>
      <w:r>
        <w:rPr>
          <w:lang w:val="en-GB"/>
        </w:rPr>
        <w:t xml:space="preserve"> “Competitiveness”. Particular </w:t>
      </w:r>
      <w:r>
        <w:rPr>
          <w:lang w:val="en-US"/>
        </w:rPr>
        <w:t>emphasis</w:t>
      </w:r>
      <w:r>
        <w:rPr>
          <w:lang w:val="en-GB"/>
        </w:rPr>
        <w:t xml:space="preserve"> is </w:t>
      </w:r>
      <w:r>
        <w:rPr>
          <w:lang w:val="en-US"/>
        </w:rPr>
        <w:t>placed on</w:t>
      </w:r>
      <w:r>
        <w:rPr>
          <w:lang w:val="en-GB"/>
        </w:rPr>
        <w:t xml:space="preserve"> </w:t>
      </w:r>
      <w:r>
        <w:rPr>
          <w:lang w:val="en-US"/>
        </w:rPr>
        <w:t>the</w:t>
      </w:r>
      <w:r>
        <w:rPr>
          <w:lang w:val="en-GB"/>
        </w:rPr>
        <w:t xml:space="preserve"> </w:t>
      </w:r>
      <w:r>
        <w:rPr>
          <w:lang w:val="en-US"/>
        </w:rPr>
        <w:t>promotion</w:t>
      </w:r>
      <w:r>
        <w:rPr>
          <w:lang w:val="en-GB"/>
        </w:rPr>
        <w:t xml:space="preserve"> </w:t>
      </w:r>
      <w:r>
        <w:rPr>
          <w:lang w:val="en-US"/>
        </w:rPr>
        <w:t>of employment</w:t>
      </w:r>
      <w:r>
        <w:rPr>
          <w:lang w:val="en-GB"/>
        </w:rPr>
        <w:t xml:space="preserve">, </w:t>
      </w:r>
      <w:r>
        <w:rPr>
          <w:lang w:val="en-US"/>
        </w:rPr>
        <w:t>support and empowerment of the entrepreneurial</w:t>
      </w:r>
      <w:r>
        <w:rPr>
          <w:lang w:val="en-GB"/>
        </w:rPr>
        <w:t xml:space="preserve"> capacity of women.</w:t>
      </w:r>
    </w:p>
    <w:p w:rsidR="00000000" w:rsidRDefault="00000000">
      <w:pPr>
        <w:pStyle w:val="BodyText"/>
        <w:rPr>
          <w:lang w:val="en-GB"/>
        </w:rPr>
      </w:pPr>
      <w:r>
        <w:rPr>
          <w:lang w:val="en-US"/>
        </w:rPr>
        <w:tab/>
      </w:r>
      <w:r>
        <w:rPr>
          <w:lang w:val="en-US"/>
        </w:rPr>
        <w:tab/>
        <w:t>To</w:t>
      </w:r>
      <w:r>
        <w:rPr>
          <w:lang w:val="en-GB"/>
        </w:rPr>
        <w:t xml:space="preserve"> </w:t>
      </w:r>
      <w:r>
        <w:rPr>
          <w:lang w:val="en-US"/>
        </w:rPr>
        <w:t>reinforce</w:t>
      </w:r>
      <w:r>
        <w:rPr>
          <w:lang w:val="en-GB"/>
        </w:rPr>
        <w:t xml:space="preserve"> </w:t>
      </w:r>
      <w:r>
        <w:rPr>
          <w:lang w:val="en-US"/>
        </w:rPr>
        <w:t>women</w:t>
      </w:r>
      <w:r>
        <w:rPr>
          <w:lang w:val="en-GB"/>
        </w:rPr>
        <w:t>’</w:t>
      </w:r>
      <w:r>
        <w:rPr>
          <w:lang w:val="en-US"/>
        </w:rPr>
        <w:t>s</w:t>
      </w:r>
      <w:r>
        <w:rPr>
          <w:lang w:val="en-GB"/>
        </w:rPr>
        <w:t xml:space="preserve"> </w:t>
      </w:r>
      <w:r>
        <w:rPr>
          <w:lang w:val="en-US"/>
        </w:rPr>
        <w:t>employment</w:t>
      </w:r>
      <w:r>
        <w:rPr>
          <w:lang w:val="en-GB"/>
        </w:rPr>
        <w:t xml:space="preserve">, </w:t>
      </w:r>
      <w:r>
        <w:rPr>
          <w:lang w:val="en-US"/>
        </w:rPr>
        <w:t>the</w:t>
      </w:r>
      <w:r>
        <w:rPr>
          <w:lang w:val="en-GB"/>
        </w:rPr>
        <w:t xml:space="preserve"> </w:t>
      </w:r>
      <w:r>
        <w:rPr>
          <w:lang w:val="en-US"/>
        </w:rPr>
        <w:t>implementation</w:t>
      </w:r>
      <w:r>
        <w:rPr>
          <w:lang w:val="en-GB"/>
        </w:rPr>
        <w:t xml:space="preserve"> </w:t>
      </w:r>
      <w:r>
        <w:rPr>
          <w:lang w:val="en-US"/>
        </w:rPr>
        <w:t>of</w:t>
      </w:r>
      <w:r>
        <w:rPr>
          <w:lang w:val="en-GB"/>
        </w:rPr>
        <w:t xml:space="preserve"> </w:t>
      </w:r>
      <w:r>
        <w:rPr>
          <w:lang w:val="en-US"/>
        </w:rPr>
        <w:t>the</w:t>
      </w:r>
      <w:r>
        <w:rPr>
          <w:lang w:val="en-GB"/>
        </w:rPr>
        <w:t xml:space="preserve"> project “</w:t>
      </w:r>
      <w:r>
        <w:rPr>
          <w:lang w:val="en-US"/>
        </w:rPr>
        <w:t>Integrated Interventions in favour of women”</w:t>
      </w:r>
      <w:r>
        <w:rPr>
          <w:lang w:val="en-GB"/>
        </w:rPr>
        <w:t xml:space="preserve"> (</w:t>
      </w:r>
      <w:r>
        <w:rPr>
          <w:lang w:val="en-US"/>
        </w:rPr>
        <w:t>Measure</w:t>
      </w:r>
      <w:r>
        <w:rPr>
          <w:lang w:val="en-GB"/>
        </w:rPr>
        <w:t xml:space="preserve"> 5.3), </w:t>
      </w:r>
      <w:r>
        <w:rPr>
          <w:lang w:val="en-US"/>
        </w:rPr>
        <w:t xml:space="preserve">of a total budget of </w:t>
      </w:r>
      <w:r>
        <w:rPr>
          <w:lang w:val="en-GB"/>
        </w:rPr>
        <w:t xml:space="preserve">53 million Euro has already started, with a significant impact on the Region as well as geographical diffusion to all agricultural areas of the country. It is estimated that 9,018 </w:t>
      </w:r>
      <w:r>
        <w:rPr>
          <w:lang w:val="en-US"/>
        </w:rPr>
        <w:t>women will benefit from this project</w:t>
      </w:r>
      <w:r>
        <w:rPr>
          <w:lang w:val="en-GB"/>
        </w:rPr>
        <w:t>, provided with services of specialised information, consultation and social support.</w:t>
      </w:r>
    </w:p>
    <w:p w:rsidR="00000000" w:rsidRDefault="00000000">
      <w:pPr>
        <w:pStyle w:val="BodyText"/>
        <w:rPr>
          <w:lang w:val="en-US"/>
        </w:rPr>
      </w:pPr>
      <w:r>
        <w:rPr>
          <w:lang w:val="en-GB"/>
        </w:rPr>
        <w:tab/>
      </w:r>
      <w:r>
        <w:rPr>
          <w:lang w:val="en-GB"/>
        </w:rPr>
        <w:tab/>
        <w:t xml:space="preserve">In the context of this Programme, 4,785 unemployed women are directly promoted to employment, in co-operation with the </w:t>
      </w:r>
      <w:r>
        <w:rPr>
          <w:lang w:val="en-US"/>
        </w:rPr>
        <w:t>Greek Manpower Employment Organization (OAED), through the creation of 2,000 new jobs for unemployed women, the subsidization of 1,285 young self-employed women and acquiring vocational experience (stage) by 1,500 unemployed women. The entrepreneurship of mothers with underage children or women who care for disabled people is particularly facilitated through the opportunity to state as their enterprise headquarters their home and to justify relevant expenses up to a specific amount. (1/3 of operational expenses, expenses of daycare centre for the children etc). Simplification of the procedures for participation in the programme is also provided for, aiming at reducing bureaucratic procedures and making it easier for interested women to express interest in the programme.</w:t>
      </w:r>
    </w:p>
    <w:p w:rsidR="00000000" w:rsidRDefault="00000000">
      <w:pPr>
        <w:pStyle w:val="BodyText"/>
        <w:rPr>
          <w:lang w:val="en-GB"/>
        </w:rPr>
      </w:pPr>
      <w:r>
        <w:rPr>
          <w:lang w:val="en-US"/>
        </w:rPr>
        <w:tab/>
      </w:r>
      <w:r>
        <w:rPr>
          <w:lang w:val="en-US"/>
        </w:rPr>
        <w:tab/>
        <w:t>In the context of the same programme, in the category of beneficiaries are for the first time included women who have been characterized as victims of human trafficking. These women acquire immediately a residence permit which is at the same time a work permit, a fact ensured by a legal provision recently promoted by the Ministry of the Interior, Public Administration and Decentralization (law 3274/2004, Article 34, paragraph 7).</w:t>
      </w:r>
    </w:p>
    <w:p w:rsidR="00000000" w:rsidRDefault="00000000">
      <w:pPr>
        <w:pStyle w:val="BodyText"/>
        <w:rPr>
          <w:i/>
          <w:lang w:val="en-GB"/>
        </w:rPr>
      </w:pPr>
      <w:r>
        <w:rPr>
          <w:i/>
          <w:lang w:val="en-GB"/>
        </w:rPr>
        <w:t xml:space="preserve">SOURCES: </w:t>
      </w:r>
    </w:p>
    <w:p w:rsidR="00000000" w:rsidRDefault="00000000">
      <w:pPr>
        <w:pStyle w:val="BodyText"/>
        <w:rPr>
          <w:i/>
          <w:lang w:val="en-GB"/>
        </w:rPr>
      </w:pPr>
      <w:r>
        <w:rPr>
          <w:i/>
          <w:lang w:val="en-GB"/>
        </w:rPr>
        <w:t xml:space="preserve">1. </w:t>
      </w:r>
      <w:r>
        <w:rPr>
          <w:i/>
          <w:lang w:val="en-GB"/>
        </w:rPr>
        <w:tab/>
        <w:t xml:space="preserve">File SUBCOMMITTEE FOR HUMAN RESOURCES , / </w:t>
      </w:r>
      <w:r>
        <w:rPr>
          <w:i/>
        </w:rPr>
        <w:t>ΕΥ</w:t>
      </w:r>
      <w:r>
        <w:rPr>
          <w:i/>
          <w:lang w:val="en-GB"/>
        </w:rPr>
        <w:t>S</w:t>
      </w:r>
      <w:r>
        <w:rPr>
          <w:i/>
        </w:rPr>
        <w:t>ΕΚΤ</w:t>
      </w:r>
      <w:r>
        <w:rPr>
          <w:i/>
          <w:lang w:val="en-GB"/>
        </w:rPr>
        <w:t>, Thessaloniki , December 2003.</w:t>
      </w:r>
    </w:p>
    <w:p w:rsidR="00000000" w:rsidRDefault="00000000">
      <w:pPr>
        <w:pStyle w:val="BodyText"/>
        <w:rPr>
          <w:i/>
          <w:lang w:val="en-GB"/>
        </w:rPr>
      </w:pPr>
      <w:r>
        <w:rPr>
          <w:i/>
          <w:lang w:val="en-GB"/>
        </w:rPr>
        <w:t xml:space="preserve">2. </w:t>
      </w:r>
      <w:r>
        <w:rPr>
          <w:i/>
          <w:lang w:val="en-GB"/>
        </w:rPr>
        <w:tab/>
        <w:t>NAP for Employment 2003.</w:t>
      </w:r>
    </w:p>
    <w:p w:rsidR="00000000" w:rsidRDefault="00000000">
      <w:pPr>
        <w:pStyle w:val="BodyText"/>
        <w:rPr>
          <w:i/>
          <w:lang w:val="en-GB"/>
        </w:rPr>
      </w:pPr>
      <w:r>
        <w:rPr>
          <w:i/>
          <w:lang w:val="en-US"/>
        </w:rPr>
        <w:t xml:space="preserve">3. </w:t>
      </w:r>
      <w:r>
        <w:rPr>
          <w:i/>
          <w:lang w:val="en-GB"/>
        </w:rPr>
        <w:tab/>
      </w:r>
      <w:r>
        <w:rPr>
          <w:i/>
          <w:lang w:val="en-US"/>
        </w:rPr>
        <w:t>OPERATIONAL PROGRAMME</w:t>
      </w:r>
      <w:r>
        <w:rPr>
          <w:i/>
          <w:lang w:val="en-GB"/>
        </w:rPr>
        <w:t xml:space="preserve"> “</w:t>
      </w:r>
      <w:r>
        <w:rPr>
          <w:i/>
          <w:lang w:val="en-US"/>
        </w:rPr>
        <w:t>EMPLOYMENT AND VOCATIONAL TRAINING</w:t>
      </w:r>
      <w:r>
        <w:rPr>
          <w:i/>
          <w:lang w:val="en-GB"/>
        </w:rPr>
        <w:t>”.</w:t>
      </w:r>
    </w:p>
    <w:p w:rsidR="00000000" w:rsidRDefault="00000000">
      <w:pPr>
        <w:pStyle w:val="Heading2"/>
        <w:spacing w:line="360" w:lineRule="auto"/>
        <w:rPr>
          <w:lang w:val="en-GB"/>
        </w:rPr>
      </w:pPr>
      <w:r>
        <w:rPr>
          <w:b/>
          <w:lang w:val="en-US"/>
        </w:rPr>
        <w:t>ANNEX</w:t>
      </w:r>
      <w:r>
        <w:rPr>
          <w:b/>
          <w:lang w:val="en-GB"/>
        </w:rPr>
        <w:t xml:space="preserve"> </w:t>
      </w:r>
      <w:r>
        <w:rPr>
          <w:b/>
          <w:lang w:val="en-US"/>
        </w:rPr>
        <w:t>F</w:t>
      </w:r>
      <w:r>
        <w:rPr>
          <w:lang w:val="en-US"/>
        </w:rPr>
        <w:br/>
      </w:r>
      <w:r>
        <w:rPr>
          <w:lang w:val="en-GB"/>
        </w:rPr>
        <w:t>(</w:t>
      </w:r>
      <w:r>
        <w:t>Α</w:t>
      </w:r>
      <w:r>
        <w:rPr>
          <w:lang w:val="en-US"/>
        </w:rPr>
        <w:t>RTICLE</w:t>
      </w:r>
      <w:r>
        <w:rPr>
          <w:lang w:val="en-GB"/>
        </w:rPr>
        <w:t xml:space="preserve"> 12)</w:t>
      </w:r>
    </w:p>
    <w:p w:rsidR="00000000" w:rsidRDefault="00000000">
      <w:pPr>
        <w:tabs>
          <w:tab w:val="left" w:pos="567"/>
          <w:tab w:val="left" w:pos="1021"/>
          <w:tab w:val="left" w:pos="1474"/>
          <w:tab w:val="left" w:pos="1928"/>
        </w:tabs>
        <w:jc w:val="center"/>
        <w:rPr>
          <w:b/>
          <w:lang w:val="en-GB"/>
        </w:rPr>
      </w:pPr>
      <w:r>
        <w:rPr>
          <w:b/>
          <w:lang w:val="en-US"/>
        </w:rPr>
        <w:t>COMMUNITY PROGRAMMES ON HEALTH</w:t>
      </w:r>
    </w:p>
    <w:p w:rsidR="00000000" w:rsidRDefault="00000000">
      <w:pPr>
        <w:pStyle w:val="18-8"/>
        <w:rPr>
          <w:lang w:val="en-GB"/>
        </w:rPr>
      </w:pPr>
      <w:r>
        <w:sym w:font="Symbol" w:char="F0B7"/>
      </w:r>
      <w:r>
        <w:tab/>
      </w:r>
      <w:r>
        <w:rPr>
          <w:lang w:val="en-US"/>
        </w:rPr>
        <w:t>In the context of the</w:t>
      </w:r>
      <w:r>
        <w:rPr>
          <w:lang w:val="en-GB"/>
        </w:rPr>
        <w:t xml:space="preserve"> </w:t>
      </w:r>
      <w:r>
        <w:rPr>
          <w:lang w:val="en-US"/>
        </w:rPr>
        <w:t>Operational</w:t>
      </w:r>
      <w:r>
        <w:rPr>
          <w:lang w:val="en-GB"/>
        </w:rPr>
        <w:t xml:space="preserve"> </w:t>
      </w:r>
      <w:r>
        <w:rPr>
          <w:lang w:val="en-US"/>
        </w:rPr>
        <w:t>Programme</w:t>
      </w:r>
      <w:r>
        <w:rPr>
          <w:lang w:val="en-GB"/>
        </w:rPr>
        <w:t xml:space="preserve"> "</w:t>
      </w:r>
      <w:r>
        <w:rPr>
          <w:lang w:val="en-US"/>
        </w:rPr>
        <w:t>HEALTH</w:t>
      </w:r>
      <w:r>
        <w:rPr>
          <w:lang w:val="en-GB"/>
        </w:rPr>
        <w:t xml:space="preserve">-WELFARE" 2000-2006 </w:t>
      </w:r>
      <w:r>
        <w:rPr>
          <w:lang w:val="en-US"/>
        </w:rPr>
        <w:t>in</w:t>
      </w:r>
      <w:r>
        <w:rPr>
          <w:lang w:val="en-GB"/>
        </w:rPr>
        <w:t xml:space="preserve"> </w:t>
      </w:r>
      <w:r>
        <w:rPr>
          <w:lang w:val="en-US"/>
        </w:rPr>
        <w:t>the</w:t>
      </w:r>
      <w:r>
        <w:rPr>
          <w:lang w:val="en-GB"/>
        </w:rPr>
        <w:t xml:space="preserve"> </w:t>
      </w:r>
      <w:r>
        <w:rPr>
          <w:lang w:val="en-US"/>
        </w:rPr>
        <w:t>priority</w:t>
      </w:r>
      <w:r>
        <w:rPr>
          <w:lang w:val="en-GB"/>
        </w:rPr>
        <w:t xml:space="preserve"> </w:t>
      </w:r>
      <w:r>
        <w:rPr>
          <w:lang w:val="en-US"/>
        </w:rPr>
        <w:t>Axis</w:t>
      </w:r>
      <w:r>
        <w:rPr>
          <w:lang w:val="en-GB"/>
        </w:rPr>
        <w:t xml:space="preserve"> “Welfare, </w:t>
      </w:r>
      <w:r>
        <w:rPr>
          <w:lang w:val="en-US"/>
        </w:rPr>
        <w:t>Measure</w:t>
      </w:r>
      <w:r>
        <w:rPr>
          <w:lang w:val="en-GB"/>
        </w:rPr>
        <w:t xml:space="preserve"> 2”, the programme “Gradual reintegration of individuals with disabilities in socio-economic life and promotion to an autonomous existence” </w:t>
      </w:r>
      <w:r>
        <w:rPr>
          <w:lang w:val="en-US"/>
        </w:rPr>
        <w:t>has been included and is implemented by the Directorate for the Protection of People with Disabilities of the Ministry of Health and Welfare.</w:t>
      </w:r>
      <w:r>
        <w:rPr>
          <w:lang w:val="en-GB"/>
        </w:rPr>
        <w:t xml:space="preserve"> The programme concerns People with Intellectual </w:t>
      </w:r>
      <w:r>
        <w:rPr>
          <w:lang w:val="en-US"/>
        </w:rPr>
        <w:t>Deprival and other disabilities, who are institutionalized</w:t>
      </w:r>
      <w:r>
        <w:rPr>
          <w:lang w:val="en-GB"/>
        </w:rPr>
        <w:t>.</w:t>
      </w:r>
    </w:p>
    <w:p w:rsidR="00000000" w:rsidRDefault="00000000">
      <w:pPr>
        <w:pStyle w:val="18-8"/>
        <w:rPr>
          <w:lang w:val="en-GB"/>
        </w:rPr>
      </w:pPr>
      <w:r>
        <w:sym w:font="Symbol" w:char="F0B7"/>
      </w:r>
      <w:r>
        <w:tab/>
      </w:r>
      <w:r>
        <w:rPr>
          <w:lang w:val="en-GB"/>
        </w:rPr>
        <w:t>In the framework of the 2</w:t>
      </w:r>
      <w:r>
        <w:rPr>
          <w:vertAlign w:val="superscript"/>
          <w:lang w:val="en-GB"/>
        </w:rPr>
        <w:t>nd</w:t>
      </w:r>
      <w:r>
        <w:rPr>
          <w:lang w:val="en-GB"/>
        </w:rPr>
        <w:t xml:space="preserve"> Community Support Framework and the Operational Programme “Combating Exclusion from the labour market”, the Ministry of Health and Welfare, through the Directorate for the Protection of People with Disabilities, has implemented the programme “Ergonomic arrangements in places housing State and Municipal Services”, which has financed 13 Prefecture Authorities and 5 Regional Administrations in order to implement interventions in buildings of their competency so as to make them accessible to people with disabilities.</w:t>
      </w:r>
    </w:p>
    <w:p w:rsidR="00000000" w:rsidRDefault="00000000">
      <w:pPr>
        <w:pStyle w:val="18-8"/>
        <w:rPr>
          <w:lang w:val="en-GB"/>
        </w:rPr>
      </w:pPr>
      <w:r>
        <w:sym w:font="Symbol" w:char="F0B7"/>
      </w:r>
      <w:r>
        <w:tab/>
      </w:r>
      <w:r>
        <w:rPr>
          <w:lang w:val="en-US"/>
        </w:rPr>
        <w:t>In</w:t>
      </w:r>
      <w:r>
        <w:rPr>
          <w:lang w:val="en-GB"/>
        </w:rPr>
        <w:t xml:space="preserve"> </w:t>
      </w:r>
      <w:r>
        <w:rPr>
          <w:lang w:val="en-US"/>
        </w:rPr>
        <w:t>the</w:t>
      </w:r>
      <w:r>
        <w:rPr>
          <w:lang w:val="en-GB"/>
        </w:rPr>
        <w:t xml:space="preserve"> </w:t>
      </w:r>
      <w:r>
        <w:rPr>
          <w:lang w:val="en-US"/>
        </w:rPr>
        <w:t>framework</w:t>
      </w:r>
      <w:r>
        <w:rPr>
          <w:lang w:val="en-GB"/>
        </w:rPr>
        <w:t xml:space="preserve"> </w:t>
      </w:r>
      <w:r>
        <w:rPr>
          <w:lang w:val="en-US"/>
        </w:rPr>
        <w:t>of</w:t>
      </w:r>
      <w:r>
        <w:rPr>
          <w:lang w:val="en-GB"/>
        </w:rPr>
        <w:t xml:space="preserve"> </w:t>
      </w:r>
      <w:r>
        <w:rPr>
          <w:lang w:val="en-US"/>
        </w:rPr>
        <w:t>the</w:t>
      </w:r>
      <w:r>
        <w:rPr>
          <w:lang w:val="en-GB"/>
        </w:rPr>
        <w:t xml:space="preserve"> </w:t>
      </w:r>
      <w:r>
        <w:rPr>
          <w:lang w:val="en-US"/>
        </w:rPr>
        <w:t>same</w:t>
      </w:r>
      <w:r>
        <w:rPr>
          <w:lang w:val="en-GB"/>
        </w:rPr>
        <w:t xml:space="preserve"> </w:t>
      </w:r>
      <w:r>
        <w:rPr>
          <w:lang w:val="en-US"/>
        </w:rPr>
        <w:t>Operational</w:t>
      </w:r>
      <w:r>
        <w:rPr>
          <w:lang w:val="en-GB"/>
        </w:rPr>
        <w:t xml:space="preserve"> </w:t>
      </w:r>
      <w:r>
        <w:rPr>
          <w:lang w:val="en-US"/>
        </w:rPr>
        <w:t>Programme</w:t>
      </w:r>
      <w:r>
        <w:rPr>
          <w:lang w:val="en-GB"/>
        </w:rPr>
        <w:t xml:space="preserve">, </w:t>
      </w:r>
      <w:r>
        <w:rPr>
          <w:lang w:val="en-US"/>
        </w:rPr>
        <w:t>and</w:t>
      </w:r>
      <w:r>
        <w:rPr>
          <w:lang w:val="en-GB"/>
        </w:rPr>
        <w:t xml:space="preserve">, additionally </w:t>
      </w:r>
      <w:r>
        <w:rPr>
          <w:lang w:val="en-US"/>
        </w:rPr>
        <w:t>to</w:t>
      </w:r>
      <w:r>
        <w:rPr>
          <w:lang w:val="en-GB"/>
        </w:rPr>
        <w:t xml:space="preserve"> </w:t>
      </w:r>
      <w:r>
        <w:rPr>
          <w:lang w:val="en-US"/>
        </w:rPr>
        <w:t>the</w:t>
      </w:r>
      <w:r>
        <w:rPr>
          <w:lang w:val="en-GB"/>
        </w:rPr>
        <w:t xml:space="preserve"> </w:t>
      </w:r>
      <w:r>
        <w:rPr>
          <w:lang w:val="en-US"/>
        </w:rPr>
        <w:t>above</w:t>
      </w:r>
      <w:r>
        <w:rPr>
          <w:lang w:val="en-GB"/>
        </w:rPr>
        <w:t xml:space="preserve"> </w:t>
      </w:r>
      <w:r>
        <w:rPr>
          <w:lang w:val="en-US"/>
        </w:rPr>
        <w:t>mentioned</w:t>
      </w:r>
      <w:r>
        <w:rPr>
          <w:lang w:val="en-GB"/>
        </w:rPr>
        <w:t xml:space="preserve"> </w:t>
      </w:r>
      <w:r>
        <w:rPr>
          <w:lang w:val="en-US"/>
        </w:rPr>
        <w:t>programme</w:t>
      </w:r>
      <w:r>
        <w:rPr>
          <w:lang w:val="en-GB"/>
        </w:rPr>
        <w:t xml:space="preserve">, </w:t>
      </w:r>
      <w:r>
        <w:rPr>
          <w:lang w:val="en-US"/>
        </w:rPr>
        <w:t>the</w:t>
      </w:r>
      <w:r>
        <w:rPr>
          <w:lang w:val="en-GB"/>
        </w:rPr>
        <w:t xml:space="preserve"> </w:t>
      </w:r>
      <w:r>
        <w:rPr>
          <w:lang w:val="en-US"/>
        </w:rPr>
        <w:t>Directorate</w:t>
      </w:r>
      <w:r>
        <w:rPr>
          <w:lang w:val="en-GB"/>
        </w:rPr>
        <w:t xml:space="preserve"> </w:t>
      </w:r>
      <w:r>
        <w:rPr>
          <w:lang w:val="en-US"/>
        </w:rPr>
        <w:t>for</w:t>
      </w:r>
      <w:r>
        <w:rPr>
          <w:lang w:val="en-GB"/>
        </w:rPr>
        <w:t xml:space="preserve"> </w:t>
      </w:r>
      <w:r>
        <w:rPr>
          <w:lang w:val="en-US"/>
        </w:rPr>
        <w:t>Health</w:t>
      </w:r>
      <w:r>
        <w:rPr>
          <w:lang w:val="en-GB"/>
        </w:rPr>
        <w:t xml:space="preserve"> </w:t>
      </w:r>
      <w:r>
        <w:rPr>
          <w:lang w:val="en-US"/>
        </w:rPr>
        <w:t>Education and Information of the Ministry of Health and Welfare</w:t>
      </w:r>
      <w:r>
        <w:rPr>
          <w:lang w:val="en-GB"/>
        </w:rPr>
        <w:t xml:space="preserve"> has published a Special Guide, in printed and electronic form, containing the specifications necessary for a public building to be accessible and friendly to all citizens. The contents of the guide were presented during 2 one-day conferences that took place in Athens and Thessaloniki, and it has been included in the Ministry’s Web site: </w:t>
      </w:r>
      <w:hyperlink r:id="rId38" w:history="1">
        <w:r>
          <w:rPr>
            <w:rStyle w:val="Hyperlink"/>
            <w:color w:val="000000"/>
            <w:lang w:val="en-US"/>
          </w:rPr>
          <w:t>www</w:t>
        </w:r>
        <w:r>
          <w:rPr>
            <w:rStyle w:val="Hyperlink"/>
            <w:color w:val="000000"/>
            <w:lang w:val="en-GB"/>
          </w:rPr>
          <w:t>.</w:t>
        </w:r>
        <w:r>
          <w:rPr>
            <w:rStyle w:val="Hyperlink"/>
            <w:color w:val="000000"/>
            <w:lang w:val="en-US"/>
          </w:rPr>
          <w:t>moha</w:t>
        </w:r>
        <w:r>
          <w:rPr>
            <w:rStyle w:val="Hyperlink"/>
            <w:color w:val="000000"/>
            <w:lang w:val="en-US"/>
          </w:rPr>
          <w:t>w</w:t>
        </w:r>
        <w:r>
          <w:rPr>
            <w:rStyle w:val="Hyperlink"/>
            <w:color w:val="000000"/>
            <w:lang w:val="en-GB"/>
          </w:rPr>
          <w:t>.</w:t>
        </w:r>
        <w:r>
          <w:rPr>
            <w:rStyle w:val="Hyperlink"/>
            <w:color w:val="000000"/>
            <w:lang w:val="en-US"/>
          </w:rPr>
          <w:t>gr</w:t>
        </w:r>
      </w:hyperlink>
      <w:r>
        <w:rPr>
          <w:lang w:val="en-GB"/>
        </w:rPr>
        <w:t xml:space="preserve"> under the title “WELFARE”.</w:t>
      </w:r>
    </w:p>
    <w:p w:rsidR="00000000" w:rsidRDefault="00000000">
      <w:pPr>
        <w:pStyle w:val="18-8"/>
        <w:rPr>
          <w:lang w:val="en-GB"/>
        </w:rPr>
      </w:pPr>
      <w:r>
        <w:sym w:font="Symbol" w:char="F0B7"/>
      </w:r>
      <w:r>
        <w:tab/>
      </w:r>
      <w:r>
        <w:rPr>
          <w:lang w:val="en-GB"/>
        </w:rPr>
        <w:t>In the framework of the “</w:t>
      </w:r>
      <w:r>
        <w:rPr>
          <w:lang w:val="en-US"/>
        </w:rPr>
        <w:t>European</w:t>
      </w:r>
      <w:r>
        <w:rPr>
          <w:lang w:val="en-GB"/>
        </w:rPr>
        <w:t xml:space="preserve"> </w:t>
      </w:r>
      <w:r>
        <w:rPr>
          <w:lang w:val="en-US"/>
        </w:rPr>
        <w:t>Year</w:t>
      </w:r>
      <w:r>
        <w:rPr>
          <w:lang w:val="en-GB"/>
        </w:rPr>
        <w:t xml:space="preserve"> </w:t>
      </w:r>
      <w:r>
        <w:rPr>
          <w:lang w:val="en-US"/>
        </w:rPr>
        <w:t>for</w:t>
      </w:r>
      <w:r>
        <w:rPr>
          <w:lang w:val="en-GB"/>
        </w:rPr>
        <w:t xml:space="preserve"> People with Disabilities” 2003, </w:t>
      </w:r>
      <w:r>
        <w:rPr>
          <w:lang w:val="en-US"/>
        </w:rPr>
        <w:t>the</w:t>
      </w:r>
      <w:r>
        <w:rPr>
          <w:lang w:val="en-GB"/>
        </w:rPr>
        <w:t xml:space="preserve"> </w:t>
      </w:r>
      <w:r>
        <w:rPr>
          <w:lang w:val="en-US"/>
        </w:rPr>
        <w:t>Ministry</w:t>
      </w:r>
      <w:r>
        <w:rPr>
          <w:lang w:val="en-GB"/>
        </w:rPr>
        <w:t xml:space="preserve"> </w:t>
      </w:r>
      <w:r>
        <w:rPr>
          <w:lang w:val="en-US"/>
        </w:rPr>
        <w:t>of</w:t>
      </w:r>
      <w:r>
        <w:rPr>
          <w:lang w:val="en-GB"/>
        </w:rPr>
        <w:t xml:space="preserve"> </w:t>
      </w:r>
      <w:r>
        <w:rPr>
          <w:lang w:val="en-US"/>
        </w:rPr>
        <w:t>Health</w:t>
      </w:r>
      <w:r>
        <w:rPr>
          <w:lang w:val="en-GB"/>
        </w:rPr>
        <w:t xml:space="preserve"> </w:t>
      </w:r>
      <w:r>
        <w:rPr>
          <w:lang w:val="en-US"/>
        </w:rPr>
        <w:t>and</w:t>
      </w:r>
      <w:r>
        <w:rPr>
          <w:lang w:val="en-GB"/>
        </w:rPr>
        <w:t xml:space="preserve"> Welfare</w:t>
      </w:r>
      <w:r>
        <w:rPr>
          <w:lang w:val="en-US"/>
        </w:rPr>
        <w:t>,</w:t>
      </w:r>
      <w:r>
        <w:rPr>
          <w:lang w:val="en-GB"/>
        </w:rPr>
        <w:t xml:space="preserve"> </w:t>
      </w:r>
      <w:r>
        <w:rPr>
          <w:lang w:val="en-US"/>
        </w:rPr>
        <w:t>as National Managing Authority</w:t>
      </w:r>
      <w:r>
        <w:rPr>
          <w:lang w:val="en-GB"/>
        </w:rPr>
        <w:t xml:space="preserve"> </w:t>
      </w:r>
      <w:r>
        <w:rPr>
          <w:lang w:val="en-US"/>
        </w:rPr>
        <w:t>in Greece,</w:t>
      </w:r>
      <w:r>
        <w:rPr>
          <w:lang w:val="en-GB"/>
        </w:rPr>
        <w:t xml:space="preserve"> has announced activities that concern events, information campaigns, measures of diffusing examples of good practice, and, in general, actions connected to the Goals of the Year. Operators to implement activities that were adopted are Public Law Bodies, Private Law Bodies, Institutions, Associations, Leagues, Organisations of People with Disabilities and private bodies that promote or defend the rights of people with disabilities. </w:t>
      </w:r>
    </w:p>
    <w:p w:rsidR="00000000" w:rsidRDefault="00000000">
      <w:pPr>
        <w:pStyle w:val="18-8"/>
        <w:rPr>
          <w:lang w:val="en-GB"/>
        </w:rPr>
      </w:pPr>
      <w:r>
        <w:sym w:font="Symbol" w:char="F0B7"/>
      </w:r>
      <w:r>
        <w:tab/>
      </w:r>
      <w:r>
        <w:rPr>
          <w:lang w:val="en-US"/>
        </w:rPr>
        <w:t>Finally</w:t>
      </w:r>
      <w:r>
        <w:rPr>
          <w:lang w:val="en-GB"/>
        </w:rPr>
        <w:t xml:space="preserve">, </w:t>
      </w:r>
      <w:r>
        <w:rPr>
          <w:lang w:val="en-US"/>
        </w:rPr>
        <w:t>in</w:t>
      </w:r>
      <w:r>
        <w:rPr>
          <w:lang w:val="en-GB"/>
        </w:rPr>
        <w:t xml:space="preserve"> </w:t>
      </w:r>
      <w:r>
        <w:rPr>
          <w:lang w:val="en-US"/>
        </w:rPr>
        <w:t>the</w:t>
      </w:r>
      <w:r>
        <w:rPr>
          <w:lang w:val="en-GB"/>
        </w:rPr>
        <w:t xml:space="preserve"> </w:t>
      </w:r>
      <w:r>
        <w:rPr>
          <w:lang w:val="en-US"/>
        </w:rPr>
        <w:t>framework</w:t>
      </w:r>
      <w:r>
        <w:rPr>
          <w:lang w:val="en-GB"/>
        </w:rPr>
        <w:t xml:space="preserve"> </w:t>
      </w:r>
      <w:r>
        <w:rPr>
          <w:lang w:val="en-US"/>
        </w:rPr>
        <w:t>of</w:t>
      </w:r>
      <w:r>
        <w:rPr>
          <w:lang w:val="en-GB"/>
        </w:rPr>
        <w:t xml:space="preserve"> </w:t>
      </w:r>
      <w:r>
        <w:rPr>
          <w:lang w:val="en-US"/>
        </w:rPr>
        <w:t>the</w:t>
      </w:r>
      <w:r>
        <w:rPr>
          <w:lang w:val="en-GB"/>
        </w:rPr>
        <w:t xml:space="preserve"> </w:t>
      </w:r>
      <w:r>
        <w:rPr>
          <w:lang w:val="en-US"/>
        </w:rPr>
        <w:t>Programme</w:t>
      </w:r>
      <w:r>
        <w:rPr>
          <w:lang w:val="en-GB"/>
        </w:rPr>
        <w:t xml:space="preserve"> </w:t>
      </w:r>
      <w:r>
        <w:rPr>
          <w:lang w:val="en-US"/>
        </w:rPr>
        <w:t>of</w:t>
      </w:r>
      <w:r>
        <w:rPr>
          <w:lang w:val="en-GB"/>
        </w:rPr>
        <w:t xml:space="preserve"> </w:t>
      </w:r>
      <w:r>
        <w:rPr>
          <w:lang w:val="en-US"/>
        </w:rPr>
        <w:t>the</w:t>
      </w:r>
      <w:r>
        <w:rPr>
          <w:lang w:val="en-GB"/>
        </w:rPr>
        <w:t xml:space="preserve"> </w:t>
      </w:r>
      <w:r>
        <w:rPr>
          <w:lang w:val="en-US"/>
        </w:rPr>
        <w:t>Community</w:t>
      </w:r>
      <w:r>
        <w:rPr>
          <w:lang w:val="en-GB"/>
        </w:rPr>
        <w:t xml:space="preserve"> </w:t>
      </w:r>
      <w:r>
        <w:rPr>
          <w:lang w:val="en-US"/>
        </w:rPr>
        <w:t>Initiative</w:t>
      </w:r>
      <w:r>
        <w:rPr>
          <w:lang w:val="en-GB"/>
        </w:rPr>
        <w:t xml:space="preserve"> </w:t>
      </w:r>
      <w:r>
        <w:rPr>
          <w:lang w:val="en-US"/>
        </w:rPr>
        <w:t>EQUAL</w:t>
      </w:r>
      <w:r>
        <w:rPr>
          <w:lang w:val="en-GB"/>
        </w:rPr>
        <w:t xml:space="preserve">, </w:t>
      </w:r>
      <w:r>
        <w:rPr>
          <w:lang w:val="en-US"/>
        </w:rPr>
        <w:t>the National Confederation of People with Disabilities</w:t>
      </w:r>
      <w:r>
        <w:rPr>
          <w:lang w:val="en-GB"/>
        </w:rPr>
        <w:t xml:space="preserve"> </w:t>
      </w:r>
      <w:r>
        <w:rPr>
          <w:lang w:val="en-US"/>
        </w:rPr>
        <w:t xml:space="preserve">has undertaken the coordination of the Project </w:t>
      </w:r>
      <w:r>
        <w:rPr>
          <w:lang w:val="en-GB"/>
        </w:rPr>
        <w:t xml:space="preserve">“INVITATION – Identification and Elimination of Discriminations of a simple of multiple form that people with disabilities are subjected to, in the labour market” of the Development Partnership «PROKLISSI». The </w:t>
      </w:r>
      <w:r>
        <w:rPr>
          <w:lang w:val="en-US"/>
        </w:rPr>
        <w:t xml:space="preserve">goal </w:t>
      </w:r>
      <w:r>
        <w:rPr>
          <w:lang w:val="en-GB"/>
        </w:rPr>
        <w:t xml:space="preserve">of </w:t>
      </w:r>
      <w:r>
        <w:rPr>
          <w:lang w:val="en-US"/>
        </w:rPr>
        <w:t>the Project is to detect and combat difficulties faced by people with disabilities, who experience simple or multiple discrimination, in accessing and staying in the labour market</w:t>
      </w:r>
      <w:r>
        <w:rPr>
          <w:lang w:val="en-GB"/>
        </w:rPr>
        <w:t xml:space="preserve">. The Project puts particular emphasis </w:t>
      </w:r>
      <w:r>
        <w:rPr>
          <w:lang w:val="en-US"/>
        </w:rPr>
        <w:t>on the gender dimension</w:t>
      </w:r>
      <w:r>
        <w:rPr>
          <w:lang w:val="en-GB"/>
        </w:rPr>
        <w:t>, since</w:t>
      </w:r>
      <w:r>
        <w:rPr>
          <w:lang w:val="en-US"/>
        </w:rPr>
        <w:t xml:space="preserve"> its target groups include both mothers of disabled children, and disabled women as victims of multiple discrimination</w:t>
      </w:r>
      <w:r>
        <w:rPr>
          <w:lang w:val="en-GB"/>
        </w:rPr>
        <w:t>.</w:t>
      </w:r>
    </w:p>
    <w:p w:rsidR="00000000" w:rsidRDefault="00000000">
      <w:pPr>
        <w:pStyle w:val="Heading2"/>
        <w:spacing w:line="360" w:lineRule="auto"/>
        <w:rPr>
          <w:lang w:val="en-GB"/>
        </w:rPr>
      </w:pPr>
      <w:r>
        <w:rPr>
          <w:b/>
          <w:lang w:val="en-GB"/>
        </w:rPr>
        <w:t xml:space="preserve">ANNEX </w:t>
      </w:r>
      <w:r>
        <w:rPr>
          <w:b/>
          <w:lang w:val="en-US"/>
        </w:rPr>
        <w:t>G</w:t>
      </w:r>
      <w:r>
        <w:rPr>
          <w:lang w:val="en-US"/>
        </w:rPr>
        <w:br/>
      </w:r>
      <w:r>
        <w:rPr>
          <w:lang w:val="en-GB"/>
        </w:rPr>
        <w:t>(</w:t>
      </w:r>
      <w:r>
        <w:t>Α</w:t>
      </w:r>
      <w:r>
        <w:rPr>
          <w:lang w:val="en-US"/>
        </w:rPr>
        <w:t xml:space="preserve">RTICLE </w:t>
      </w:r>
      <w:r>
        <w:rPr>
          <w:lang w:val="en-GB"/>
        </w:rPr>
        <w:t>14)</w:t>
      </w:r>
    </w:p>
    <w:p w:rsidR="00000000" w:rsidRDefault="00000000">
      <w:pPr>
        <w:tabs>
          <w:tab w:val="left" w:pos="567"/>
          <w:tab w:val="left" w:pos="1021"/>
          <w:tab w:val="left" w:pos="1474"/>
          <w:tab w:val="left" w:pos="1928"/>
        </w:tabs>
        <w:jc w:val="center"/>
        <w:rPr>
          <w:b/>
          <w:lang w:val="en-US"/>
        </w:rPr>
      </w:pPr>
      <w:r>
        <w:rPr>
          <w:b/>
          <w:lang w:val="en-US"/>
        </w:rPr>
        <w:t>COMMUNITY PROGRAMMES FOR AGRICULTURE</w:t>
      </w:r>
    </w:p>
    <w:p w:rsidR="00000000" w:rsidRDefault="00000000">
      <w:pPr>
        <w:pStyle w:val="BodyText"/>
        <w:rPr>
          <w:i/>
          <w:lang w:val="en-GB"/>
        </w:rPr>
      </w:pPr>
      <w:r>
        <w:rPr>
          <w:i/>
          <w:lang w:val="en-US"/>
        </w:rPr>
        <w:tab/>
        <w:t>Measures</w:t>
      </w:r>
      <w:r>
        <w:rPr>
          <w:i/>
          <w:lang w:val="en-GB"/>
        </w:rPr>
        <w:t xml:space="preserve"> </w:t>
      </w:r>
      <w:r>
        <w:rPr>
          <w:i/>
          <w:lang w:val="en-US"/>
        </w:rPr>
        <w:t>and</w:t>
      </w:r>
      <w:r>
        <w:rPr>
          <w:i/>
          <w:lang w:val="en-GB"/>
        </w:rPr>
        <w:t xml:space="preserve"> </w:t>
      </w:r>
      <w:r>
        <w:rPr>
          <w:i/>
          <w:lang w:val="en-US"/>
        </w:rPr>
        <w:t>positive actions</w:t>
      </w:r>
      <w:r>
        <w:rPr>
          <w:i/>
          <w:lang w:val="en-GB"/>
        </w:rPr>
        <w:t xml:space="preserve"> </w:t>
      </w:r>
      <w:r>
        <w:rPr>
          <w:i/>
          <w:lang w:val="en-US"/>
        </w:rPr>
        <w:t>included in the 3rd Community Support Framework</w:t>
      </w:r>
      <w:r>
        <w:rPr>
          <w:i/>
          <w:lang w:val="en-GB"/>
        </w:rPr>
        <w:t xml:space="preserve"> (2000 – 2006)</w:t>
      </w:r>
    </w:p>
    <w:p w:rsidR="00000000" w:rsidRDefault="00000000">
      <w:pPr>
        <w:pStyle w:val="BodyText"/>
        <w:rPr>
          <w:lang w:val="en-GB"/>
        </w:rPr>
      </w:pPr>
      <w:r>
        <w:rPr>
          <w:lang w:val="en-US"/>
        </w:rPr>
        <w:tab/>
        <w:t>Aiming</w:t>
      </w:r>
      <w:r>
        <w:rPr>
          <w:lang w:val="en-GB"/>
        </w:rPr>
        <w:t xml:space="preserve"> </w:t>
      </w:r>
      <w:r>
        <w:rPr>
          <w:lang w:val="en-US"/>
        </w:rPr>
        <w:t>at</w:t>
      </w:r>
      <w:r>
        <w:rPr>
          <w:lang w:val="en-GB"/>
        </w:rPr>
        <w:t xml:space="preserve"> </w:t>
      </w:r>
      <w:r>
        <w:rPr>
          <w:lang w:val="en-US"/>
        </w:rPr>
        <w:t>reinforcing</w:t>
      </w:r>
      <w:r>
        <w:rPr>
          <w:lang w:val="en-GB"/>
        </w:rPr>
        <w:t xml:space="preserve"> </w:t>
      </w:r>
      <w:r>
        <w:rPr>
          <w:lang w:val="en-US"/>
        </w:rPr>
        <w:t>women</w:t>
      </w:r>
      <w:r>
        <w:rPr>
          <w:lang w:val="en-GB"/>
        </w:rPr>
        <w:t>’</w:t>
      </w:r>
      <w:r>
        <w:rPr>
          <w:lang w:val="en-US"/>
        </w:rPr>
        <w:t>s</w:t>
      </w:r>
      <w:r>
        <w:rPr>
          <w:lang w:val="en-GB"/>
        </w:rPr>
        <w:t xml:space="preserve"> </w:t>
      </w:r>
      <w:r>
        <w:rPr>
          <w:lang w:val="en-US"/>
        </w:rPr>
        <w:t>employment</w:t>
      </w:r>
      <w:r>
        <w:rPr>
          <w:lang w:val="en-GB"/>
        </w:rPr>
        <w:t xml:space="preserve"> </w:t>
      </w:r>
      <w:r>
        <w:rPr>
          <w:lang w:val="en-US"/>
        </w:rPr>
        <w:t>in</w:t>
      </w:r>
      <w:r>
        <w:rPr>
          <w:lang w:val="en-GB"/>
        </w:rPr>
        <w:t xml:space="preserve"> </w:t>
      </w:r>
      <w:r>
        <w:rPr>
          <w:lang w:val="en-US"/>
        </w:rPr>
        <w:t>agriculture</w:t>
      </w:r>
      <w:r>
        <w:rPr>
          <w:lang w:val="en-GB"/>
        </w:rPr>
        <w:t xml:space="preserve">, </w:t>
      </w:r>
      <w:r>
        <w:rPr>
          <w:lang w:val="en-US"/>
        </w:rPr>
        <w:t>and</w:t>
      </w:r>
      <w:r>
        <w:rPr>
          <w:lang w:val="en-GB"/>
        </w:rPr>
        <w:t xml:space="preserve">, </w:t>
      </w:r>
      <w:r>
        <w:rPr>
          <w:lang w:val="en-US"/>
        </w:rPr>
        <w:t>in</w:t>
      </w:r>
      <w:r>
        <w:rPr>
          <w:lang w:val="en-GB"/>
        </w:rPr>
        <w:t xml:space="preserve"> </w:t>
      </w:r>
      <w:r>
        <w:rPr>
          <w:lang w:val="en-US"/>
        </w:rPr>
        <w:t>general</w:t>
      </w:r>
      <w:r>
        <w:rPr>
          <w:lang w:val="en-GB"/>
        </w:rPr>
        <w:t xml:space="preserve">, </w:t>
      </w:r>
      <w:r>
        <w:rPr>
          <w:lang w:val="en-US"/>
        </w:rPr>
        <w:t>in</w:t>
      </w:r>
      <w:r>
        <w:rPr>
          <w:lang w:val="en-GB"/>
        </w:rPr>
        <w:t xml:space="preserve"> the </w:t>
      </w:r>
      <w:r>
        <w:rPr>
          <w:lang w:val="en-US"/>
        </w:rPr>
        <w:t>rural</w:t>
      </w:r>
      <w:r>
        <w:rPr>
          <w:lang w:val="en-GB"/>
        </w:rPr>
        <w:t xml:space="preserve"> </w:t>
      </w:r>
      <w:r>
        <w:rPr>
          <w:lang w:val="en-US"/>
        </w:rPr>
        <w:t>sector, certain motives for rural women have been created by the Operational Programmes of the 3</w:t>
      </w:r>
      <w:r>
        <w:rPr>
          <w:vertAlign w:val="superscript"/>
          <w:lang w:val="en-US"/>
        </w:rPr>
        <w:t>rd</w:t>
      </w:r>
      <w:r>
        <w:rPr>
          <w:lang w:val="en-US"/>
        </w:rPr>
        <w:t xml:space="preserve"> Community Support Framework</w:t>
      </w:r>
      <w:r>
        <w:rPr>
          <w:lang w:val="en-GB"/>
        </w:rPr>
        <w:t xml:space="preserve">. </w:t>
      </w:r>
    </w:p>
    <w:p w:rsidR="00000000" w:rsidRDefault="00000000">
      <w:pPr>
        <w:pStyle w:val="BodyText"/>
        <w:rPr>
          <w:lang w:val="en-GB"/>
        </w:rPr>
      </w:pPr>
      <w:r>
        <w:rPr>
          <w:lang w:val="en-US"/>
        </w:rPr>
        <w:tab/>
      </w:r>
      <w:r>
        <w:rPr>
          <w:lang w:val="en-US"/>
        </w:rPr>
        <w:tab/>
        <w:t>The</w:t>
      </w:r>
      <w:r>
        <w:rPr>
          <w:lang w:val="en-GB"/>
        </w:rPr>
        <w:t xml:space="preserve"> </w:t>
      </w:r>
      <w:r>
        <w:rPr>
          <w:lang w:val="en-US"/>
        </w:rPr>
        <w:t>General Secretariat for Gender Equality</w:t>
      </w:r>
      <w:r>
        <w:rPr>
          <w:lang w:val="en-GB"/>
        </w:rPr>
        <w:t xml:space="preserve">, </w:t>
      </w:r>
      <w:r>
        <w:rPr>
          <w:lang w:val="en-US"/>
        </w:rPr>
        <w:t>as</w:t>
      </w:r>
      <w:r>
        <w:rPr>
          <w:lang w:val="en-GB"/>
        </w:rPr>
        <w:t xml:space="preserve"> </w:t>
      </w:r>
      <w:r>
        <w:rPr>
          <w:lang w:val="en-US"/>
        </w:rPr>
        <w:t>the</w:t>
      </w:r>
      <w:r>
        <w:rPr>
          <w:lang w:val="en-GB"/>
        </w:rPr>
        <w:t xml:space="preserve"> </w:t>
      </w:r>
      <w:r>
        <w:rPr>
          <w:lang w:val="en-US"/>
        </w:rPr>
        <w:t>competent</w:t>
      </w:r>
      <w:r>
        <w:rPr>
          <w:lang w:val="en-GB"/>
        </w:rPr>
        <w:t xml:space="preserve"> </w:t>
      </w:r>
      <w:r>
        <w:rPr>
          <w:lang w:val="en-US"/>
        </w:rPr>
        <w:t>governmental</w:t>
      </w:r>
      <w:r>
        <w:rPr>
          <w:lang w:val="en-GB"/>
        </w:rPr>
        <w:t xml:space="preserve"> </w:t>
      </w:r>
      <w:r>
        <w:rPr>
          <w:lang w:val="en-US"/>
        </w:rPr>
        <w:t>body</w:t>
      </w:r>
      <w:r>
        <w:rPr>
          <w:lang w:val="en-GB"/>
        </w:rPr>
        <w:t xml:space="preserve">, </w:t>
      </w:r>
      <w:r>
        <w:rPr>
          <w:lang w:val="en-US"/>
        </w:rPr>
        <w:t>participates</w:t>
      </w:r>
      <w:r>
        <w:rPr>
          <w:lang w:val="en-GB"/>
        </w:rPr>
        <w:t xml:space="preserve"> </w:t>
      </w:r>
      <w:r>
        <w:rPr>
          <w:lang w:val="en-US"/>
        </w:rPr>
        <w:t>in planning actions on Equality</w:t>
      </w:r>
      <w:r>
        <w:rPr>
          <w:lang w:val="en-GB"/>
        </w:rPr>
        <w:t xml:space="preserve"> </w:t>
      </w:r>
      <w:r>
        <w:rPr>
          <w:i/>
          <w:lang w:val="en-US"/>
        </w:rPr>
        <w:t>in</w:t>
      </w:r>
      <w:r>
        <w:rPr>
          <w:i/>
          <w:lang w:val="en-GB"/>
        </w:rPr>
        <w:t xml:space="preserve"> the Operational Programme “Agricultural development- Restructuring the countryside”</w:t>
      </w:r>
      <w:r>
        <w:rPr>
          <w:lang w:val="en-GB"/>
        </w:rPr>
        <w:t xml:space="preserve">, as well as in the Operational Programme </w:t>
      </w:r>
      <w:r>
        <w:rPr>
          <w:i/>
          <w:lang w:val="en-GB"/>
        </w:rPr>
        <w:t>“Fishery”</w:t>
      </w:r>
      <w:r>
        <w:rPr>
          <w:lang w:val="en-GB"/>
        </w:rPr>
        <w:t xml:space="preserve"> of the Ministry of Agriculture. </w:t>
      </w:r>
    </w:p>
    <w:p w:rsidR="00000000" w:rsidRDefault="00000000">
      <w:pPr>
        <w:pStyle w:val="BodyText"/>
        <w:rPr>
          <w:lang w:val="en-GB"/>
        </w:rPr>
      </w:pPr>
      <w:r>
        <w:rPr>
          <w:lang w:val="en-US"/>
        </w:rPr>
        <w:tab/>
      </w:r>
      <w:r>
        <w:rPr>
          <w:lang w:val="en-US"/>
        </w:rPr>
        <w:tab/>
        <w:t>The</w:t>
      </w:r>
      <w:r>
        <w:rPr>
          <w:lang w:val="en-GB"/>
        </w:rPr>
        <w:t xml:space="preserve"> </w:t>
      </w:r>
      <w:r>
        <w:rPr>
          <w:lang w:val="en-US"/>
        </w:rPr>
        <w:t>above</w:t>
      </w:r>
      <w:r>
        <w:rPr>
          <w:lang w:val="en-GB"/>
        </w:rPr>
        <w:t xml:space="preserve">-mentioned </w:t>
      </w:r>
      <w:r>
        <w:rPr>
          <w:lang w:val="en-US"/>
        </w:rPr>
        <w:t>Operational</w:t>
      </w:r>
      <w:r>
        <w:rPr>
          <w:lang w:val="en-GB"/>
        </w:rPr>
        <w:t xml:space="preserve"> </w:t>
      </w:r>
      <w:r>
        <w:rPr>
          <w:lang w:val="en-US"/>
        </w:rPr>
        <w:t>Programmes, in the context of implementing gender</w:t>
      </w:r>
      <w:r>
        <w:rPr>
          <w:lang w:val="en-GB"/>
        </w:rPr>
        <w:t xml:space="preserve"> </w:t>
      </w:r>
      <w:r>
        <w:rPr>
          <w:lang w:val="en-US"/>
        </w:rPr>
        <w:t>mainstreaming, include actions or activities for the support of women farmers</w:t>
      </w:r>
      <w:r>
        <w:rPr>
          <w:lang w:val="en-GB"/>
        </w:rPr>
        <w:t>.</w:t>
      </w:r>
    </w:p>
    <w:p w:rsidR="00000000" w:rsidRDefault="00000000">
      <w:pPr>
        <w:pStyle w:val="BodyText"/>
        <w:rPr>
          <w:lang w:val="en-GB"/>
        </w:rPr>
      </w:pPr>
      <w:r>
        <w:rPr>
          <w:lang w:val="en-US"/>
        </w:rPr>
        <w:tab/>
      </w:r>
      <w:r>
        <w:tab/>
      </w:r>
      <w:r>
        <w:rPr>
          <w:lang w:val="en-US"/>
        </w:rPr>
        <w:t>More specifically</w:t>
      </w:r>
      <w:r>
        <w:rPr>
          <w:lang w:val="en-GB"/>
        </w:rPr>
        <w:t>:</w:t>
      </w:r>
    </w:p>
    <w:p w:rsidR="00000000" w:rsidRDefault="00000000">
      <w:pPr>
        <w:pStyle w:val="Web0"/>
        <w:tabs>
          <w:tab w:val="left" w:pos="567"/>
          <w:tab w:val="left" w:pos="1021"/>
          <w:tab w:val="left" w:pos="1474"/>
          <w:tab w:val="left" w:pos="1928"/>
        </w:tabs>
        <w:spacing w:before="0" w:after="240"/>
        <w:jc w:val="center"/>
        <w:rPr>
          <w:color w:val="000000"/>
          <w:sz w:val="22"/>
          <w:lang w:val="en-GB"/>
        </w:rPr>
      </w:pPr>
      <w:r>
        <w:rPr>
          <w:color w:val="000000"/>
          <w:sz w:val="22"/>
        </w:rPr>
        <w:t>Α</w:t>
      </w:r>
      <w:r>
        <w:rPr>
          <w:color w:val="000000"/>
          <w:sz w:val="22"/>
          <w:lang w:val="en-GB"/>
        </w:rPr>
        <w:t xml:space="preserve">. </w:t>
      </w:r>
      <w:r>
        <w:rPr>
          <w:color w:val="000000"/>
          <w:sz w:val="22"/>
          <w:lang w:val="en-US"/>
        </w:rPr>
        <w:t>OPERATIONAL PROGRAMME</w:t>
      </w:r>
      <w:r>
        <w:rPr>
          <w:color w:val="000000"/>
          <w:sz w:val="22"/>
          <w:lang w:val="en-GB"/>
        </w:rPr>
        <w:t xml:space="preserve"> “</w:t>
      </w:r>
      <w:r>
        <w:rPr>
          <w:color w:val="000000"/>
          <w:sz w:val="22"/>
          <w:lang w:val="en-US"/>
        </w:rPr>
        <w:t xml:space="preserve">AGRICULTURAL DEVELOPMENT – </w:t>
      </w:r>
      <w:r>
        <w:rPr>
          <w:color w:val="000000"/>
          <w:sz w:val="22"/>
          <w:lang w:val="en-US"/>
        </w:rPr>
        <w:br/>
        <w:t>RE-STRUCTURING THE COUNTRYSIDE</w:t>
      </w:r>
      <w:r>
        <w:rPr>
          <w:color w:val="000000"/>
          <w:sz w:val="22"/>
          <w:lang w:val="en-GB"/>
        </w:rPr>
        <w:t>”</w:t>
      </w:r>
    </w:p>
    <w:p w:rsidR="00000000" w:rsidRDefault="00000000">
      <w:pPr>
        <w:pStyle w:val="BodyText"/>
        <w:rPr>
          <w:lang w:val="en-GB"/>
        </w:rPr>
      </w:pPr>
      <w:r>
        <w:rPr>
          <w:lang w:val="en-US"/>
        </w:rPr>
        <w:tab/>
      </w:r>
      <w:r>
        <w:t>Τ</w:t>
      </w:r>
      <w:r>
        <w:rPr>
          <w:lang w:val="en-US"/>
        </w:rPr>
        <w:t>he</w:t>
      </w:r>
      <w:r>
        <w:rPr>
          <w:lang w:val="en-GB"/>
        </w:rPr>
        <w:t xml:space="preserve"> </w:t>
      </w:r>
      <w:r>
        <w:rPr>
          <w:lang w:val="en-US"/>
        </w:rPr>
        <w:t>Operational</w:t>
      </w:r>
      <w:r>
        <w:rPr>
          <w:lang w:val="en-GB"/>
        </w:rPr>
        <w:t xml:space="preserve"> </w:t>
      </w:r>
      <w:r>
        <w:rPr>
          <w:lang w:val="en-US"/>
        </w:rPr>
        <w:t>Programme</w:t>
      </w:r>
      <w:r>
        <w:rPr>
          <w:lang w:val="en-GB"/>
        </w:rPr>
        <w:t xml:space="preserve"> "</w:t>
      </w:r>
      <w:r>
        <w:rPr>
          <w:lang w:val="en-US"/>
        </w:rPr>
        <w:t>Agricultural Development</w:t>
      </w:r>
      <w:r>
        <w:rPr>
          <w:lang w:val="en-GB"/>
        </w:rPr>
        <w:t>-</w:t>
      </w:r>
      <w:r>
        <w:rPr>
          <w:lang w:val="en-US"/>
        </w:rPr>
        <w:t>Restructuring the countryside</w:t>
      </w:r>
      <w:r>
        <w:rPr>
          <w:lang w:val="en-GB"/>
        </w:rPr>
        <w:t xml:space="preserve"> 2000-2006" </w:t>
      </w:r>
      <w:r>
        <w:rPr>
          <w:lang w:val="en-US"/>
        </w:rPr>
        <w:t>is the programme of the National part of the 3</w:t>
      </w:r>
      <w:r>
        <w:rPr>
          <w:vertAlign w:val="superscript"/>
          <w:lang w:val="en-US"/>
        </w:rPr>
        <w:t>rd</w:t>
      </w:r>
      <w:r>
        <w:rPr>
          <w:lang w:val="en-US"/>
        </w:rPr>
        <w:t xml:space="preserve"> Community Support Framework. The</w:t>
      </w:r>
      <w:r>
        <w:rPr>
          <w:lang w:val="en-GB"/>
        </w:rPr>
        <w:t xml:space="preserve"> </w:t>
      </w:r>
      <w:r>
        <w:rPr>
          <w:lang w:val="en-US"/>
        </w:rPr>
        <w:t>Operational</w:t>
      </w:r>
      <w:r>
        <w:rPr>
          <w:lang w:val="en-GB"/>
        </w:rPr>
        <w:t xml:space="preserve"> </w:t>
      </w:r>
      <w:r>
        <w:rPr>
          <w:lang w:val="en-US"/>
        </w:rPr>
        <w:t>Programme</w:t>
      </w:r>
      <w:r>
        <w:rPr>
          <w:lang w:val="en-GB"/>
        </w:rPr>
        <w:t xml:space="preserve"> in question is structured </w:t>
      </w:r>
      <w:r>
        <w:rPr>
          <w:lang w:val="en-US"/>
        </w:rPr>
        <w:t>in seven</w:t>
      </w:r>
      <w:r>
        <w:rPr>
          <w:lang w:val="en-GB"/>
        </w:rPr>
        <w:t xml:space="preserve"> (7) </w:t>
      </w:r>
      <w:r>
        <w:rPr>
          <w:lang w:val="en-US"/>
        </w:rPr>
        <w:t>Axes</w:t>
      </w:r>
      <w:r>
        <w:rPr>
          <w:lang w:val="en-GB"/>
        </w:rPr>
        <w:t xml:space="preserve"> </w:t>
      </w:r>
      <w:r>
        <w:rPr>
          <w:lang w:val="en-US"/>
        </w:rPr>
        <w:t>and thirty-four</w:t>
      </w:r>
      <w:r>
        <w:rPr>
          <w:lang w:val="en-GB"/>
        </w:rPr>
        <w:t xml:space="preserve"> (34) </w:t>
      </w:r>
      <w:r>
        <w:t>Μ</w:t>
      </w:r>
      <w:r>
        <w:rPr>
          <w:lang w:val="en-US"/>
        </w:rPr>
        <w:t>easures</w:t>
      </w:r>
      <w:r>
        <w:rPr>
          <w:lang w:val="en-GB"/>
        </w:rPr>
        <w:t>.</w:t>
      </w:r>
    </w:p>
    <w:p w:rsidR="00000000" w:rsidRDefault="00000000">
      <w:pPr>
        <w:pStyle w:val="BodyText"/>
        <w:rPr>
          <w:lang w:val="en-GB"/>
        </w:rPr>
      </w:pPr>
      <w:r>
        <w:rPr>
          <w:lang w:val="en-US"/>
        </w:rPr>
        <w:tab/>
      </w:r>
      <w:r>
        <w:rPr>
          <w:lang w:val="en-US"/>
        </w:rPr>
        <w:tab/>
        <w:t>The strategic goals of the programme are</w:t>
      </w:r>
      <w:r>
        <w:rPr>
          <w:lang w:val="en-GB"/>
        </w:rPr>
        <w:t>:</w:t>
      </w:r>
    </w:p>
    <w:p w:rsidR="00000000" w:rsidRDefault="00000000">
      <w:pPr>
        <w:pStyle w:val="18-8"/>
        <w:rPr>
          <w:lang w:val="en-GB"/>
        </w:rPr>
      </w:pPr>
      <w:r>
        <w:rPr>
          <w:lang w:val="en-GB"/>
        </w:rPr>
        <w:t>–</w:t>
      </w:r>
      <w:r>
        <w:rPr>
          <w:lang w:val="en-GB"/>
        </w:rPr>
        <w:tab/>
      </w:r>
      <w:r>
        <w:rPr>
          <w:lang w:val="en-US"/>
        </w:rPr>
        <w:t>“Improvement of the competitiveness of Greek Agriculture”</w:t>
      </w:r>
      <w:r>
        <w:rPr>
          <w:lang w:val="en-GB"/>
        </w:rPr>
        <w:t xml:space="preserve"> </w:t>
      </w:r>
    </w:p>
    <w:p w:rsidR="00000000" w:rsidRDefault="00000000">
      <w:pPr>
        <w:pStyle w:val="18-8"/>
        <w:rPr>
          <w:lang w:val="en-GB"/>
        </w:rPr>
      </w:pPr>
      <w:r>
        <w:rPr>
          <w:lang w:val="en-US"/>
        </w:rPr>
        <w:t>–</w:t>
      </w:r>
      <w:r>
        <w:rPr>
          <w:lang w:val="en-US"/>
        </w:rPr>
        <w:tab/>
        <w:t>“Viable and integrated development of rural areas”</w:t>
      </w:r>
      <w:r>
        <w:rPr>
          <w:lang w:val="en-GB"/>
        </w:rPr>
        <w:t xml:space="preserve"> </w:t>
      </w:r>
    </w:p>
    <w:p w:rsidR="00000000" w:rsidRDefault="00000000">
      <w:pPr>
        <w:pStyle w:val="18-8"/>
        <w:spacing w:after="220"/>
        <w:rPr>
          <w:lang w:val="en-GB"/>
        </w:rPr>
      </w:pPr>
      <w:r>
        <w:rPr>
          <w:lang w:val="en-GB"/>
        </w:rPr>
        <w:t>–</w:t>
      </w:r>
      <w:r>
        <w:rPr>
          <w:lang w:val="en-GB"/>
        </w:rPr>
        <w:tab/>
        <w:t>“</w:t>
      </w:r>
      <w:r>
        <w:rPr>
          <w:lang w:val="en-US"/>
        </w:rPr>
        <w:t>M</w:t>
      </w:r>
      <w:r>
        <w:rPr>
          <w:lang w:val="en-GB"/>
        </w:rPr>
        <w:t xml:space="preserve">aintenance and improvement of the environment </w:t>
      </w:r>
      <w:r>
        <w:rPr>
          <w:lang w:val="en-US"/>
        </w:rPr>
        <w:t>and the natural resources of the countryside”</w:t>
      </w:r>
    </w:p>
    <w:p w:rsidR="00000000" w:rsidRDefault="00000000">
      <w:pPr>
        <w:pStyle w:val="BodyText"/>
        <w:spacing w:after="220"/>
        <w:rPr>
          <w:lang w:val="en-GB"/>
        </w:rPr>
      </w:pPr>
      <w:r>
        <w:rPr>
          <w:lang w:val="en-US"/>
        </w:rPr>
        <w:tab/>
      </w:r>
      <w:r>
        <w:rPr>
          <w:lang w:val="en-US"/>
        </w:rPr>
        <w:tab/>
        <w:t>In</w:t>
      </w:r>
      <w:r>
        <w:rPr>
          <w:lang w:val="en-GB"/>
        </w:rPr>
        <w:t xml:space="preserve"> </w:t>
      </w:r>
      <w:r>
        <w:rPr>
          <w:lang w:val="en-US"/>
        </w:rPr>
        <w:t>the</w:t>
      </w:r>
      <w:r>
        <w:rPr>
          <w:lang w:val="en-GB"/>
        </w:rPr>
        <w:t xml:space="preserve"> context </w:t>
      </w:r>
      <w:r>
        <w:rPr>
          <w:lang w:val="en-US"/>
        </w:rPr>
        <w:t>of</w:t>
      </w:r>
      <w:r>
        <w:rPr>
          <w:lang w:val="en-GB"/>
        </w:rPr>
        <w:t xml:space="preserve"> </w:t>
      </w:r>
      <w:r>
        <w:rPr>
          <w:lang w:val="en-US"/>
        </w:rPr>
        <w:t>the</w:t>
      </w:r>
      <w:r>
        <w:rPr>
          <w:lang w:val="en-GB"/>
        </w:rPr>
        <w:t xml:space="preserve"> </w:t>
      </w:r>
      <w:r>
        <w:rPr>
          <w:lang w:val="en-US"/>
        </w:rPr>
        <w:t>programme</w:t>
      </w:r>
      <w:r>
        <w:rPr>
          <w:lang w:val="en-GB"/>
        </w:rPr>
        <w:t xml:space="preserve">, </w:t>
      </w:r>
      <w:r>
        <w:rPr>
          <w:lang w:val="en-US"/>
        </w:rPr>
        <w:t>special regulations are provided for, regarding women farmers who undertake, as</w:t>
      </w:r>
      <w:r>
        <w:rPr>
          <w:lang w:val="en-GB"/>
        </w:rPr>
        <w:t xml:space="preserve"> owners of agricultural enterprises, to invest in agricultural enterprises (Common Ministerial Decision 532/2003).</w:t>
      </w:r>
    </w:p>
    <w:p w:rsidR="00000000" w:rsidRDefault="00000000">
      <w:pPr>
        <w:pStyle w:val="18-8"/>
        <w:spacing w:after="220"/>
        <w:rPr>
          <w:lang w:val="en-US"/>
        </w:rPr>
      </w:pPr>
      <w:r>
        <w:sym w:font="Symbol" w:char="F0B7"/>
      </w:r>
      <w:r>
        <w:tab/>
      </w:r>
      <w:r>
        <w:rPr>
          <w:b/>
          <w:lang w:val="en-US"/>
        </w:rPr>
        <w:t>Investments in agricultural enterprises</w:t>
      </w:r>
    </w:p>
    <w:p w:rsidR="00000000" w:rsidRDefault="00000000">
      <w:pPr>
        <w:tabs>
          <w:tab w:val="left" w:pos="567"/>
          <w:tab w:val="left" w:pos="1021"/>
          <w:tab w:val="left" w:pos="1474"/>
          <w:tab w:val="left" w:pos="1928"/>
        </w:tabs>
        <w:spacing w:after="220"/>
        <w:ind w:left="1418"/>
        <w:rPr>
          <w:lang w:val="en-GB"/>
        </w:rPr>
      </w:pPr>
      <w:r>
        <w:rPr>
          <w:lang w:val="en-US"/>
        </w:rPr>
        <w:t>To</w:t>
      </w:r>
      <w:r>
        <w:rPr>
          <w:lang w:val="en-GB"/>
        </w:rPr>
        <w:t xml:space="preserve"> </w:t>
      </w:r>
      <w:r>
        <w:rPr>
          <w:lang w:val="en-US"/>
        </w:rPr>
        <w:t>reinforce</w:t>
      </w:r>
      <w:r>
        <w:rPr>
          <w:lang w:val="en-GB"/>
        </w:rPr>
        <w:t xml:space="preserve"> </w:t>
      </w:r>
      <w:r>
        <w:rPr>
          <w:lang w:val="en-US"/>
        </w:rPr>
        <w:t>women</w:t>
      </w:r>
      <w:r>
        <w:rPr>
          <w:lang w:val="en-GB"/>
        </w:rPr>
        <w:t>’</w:t>
      </w:r>
      <w:r>
        <w:rPr>
          <w:lang w:val="en-US"/>
        </w:rPr>
        <w:t>s</w:t>
      </w:r>
      <w:r>
        <w:rPr>
          <w:lang w:val="en-GB"/>
        </w:rPr>
        <w:t xml:space="preserve"> </w:t>
      </w:r>
      <w:r>
        <w:rPr>
          <w:lang w:val="en-US"/>
        </w:rPr>
        <w:t>participation</w:t>
      </w:r>
      <w:r>
        <w:rPr>
          <w:lang w:val="en-GB"/>
        </w:rPr>
        <w:t xml:space="preserve">, </w:t>
      </w:r>
      <w:r>
        <w:rPr>
          <w:lang w:val="en-US"/>
        </w:rPr>
        <w:t>a</w:t>
      </w:r>
      <w:r>
        <w:rPr>
          <w:lang w:val="en-GB"/>
        </w:rPr>
        <w:t xml:space="preserve"> bonus of 4 </w:t>
      </w:r>
      <w:r>
        <w:rPr>
          <w:lang w:val="en-US"/>
        </w:rPr>
        <w:t>points</w:t>
      </w:r>
      <w:r>
        <w:rPr>
          <w:lang w:val="en-GB"/>
        </w:rPr>
        <w:t xml:space="preserve"> </w:t>
      </w:r>
      <w:r>
        <w:rPr>
          <w:lang w:val="en-US"/>
        </w:rPr>
        <w:t>was</w:t>
      </w:r>
      <w:r>
        <w:rPr>
          <w:lang w:val="en-GB"/>
        </w:rPr>
        <w:t xml:space="preserve"> </w:t>
      </w:r>
      <w:r>
        <w:rPr>
          <w:lang w:val="en-US"/>
        </w:rPr>
        <w:t>established</w:t>
      </w:r>
      <w:r>
        <w:rPr>
          <w:lang w:val="en-GB"/>
        </w:rPr>
        <w:t xml:space="preserve"> for the cases when </w:t>
      </w:r>
      <w:r>
        <w:rPr>
          <w:lang w:val="en-US"/>
        </w:rPr>
        <w:t>the</w:t>
      </w:r>
      <w:r>
        <w:rPr>
          <w:lang w:val="en-GB"/>
        </w:rPr>
        <w:t xml:space="preserve"> </w:t>
      </w:r>
      <w:r>
        <w:rPr>
          <w:lang w:val="en-US"/>
        </w:rPr>
        <w:t>application</w:t>
      </w:r>
      <w:r>
        <w:rPr>
          <w:lang w:val="en-GB"/>
        </w:rPr>
        <w:t xml:space="preserve"> </w:t>
      </w:r>
      <w:r>
        <w:rPr>
          <w:lang w:val="en-US"/>
        </w:rPr>
        <w:t>concerns</w:t>
      </w:r>
      <w:r>
        <w:rPr>
          <w:lang w:val="en-GB"/>
        </w:rPr>
        <w:t xml:space="preserve"> </w:t>
      </w:r>
      <w:r>
        <w:rPr>
          <w:lang w:val="en-US"/>
        </w:rPr>
        <w:t>a natural person</w:t>
      </w:r>
      <w:r>
        <w:rPr>
          <w:lang w:val="en-GB"/>
        </w:rPr>
        <w:t xml:space="preserve">, </w:t>
      </w:r>
      <w:r>
        <w:rPr>
          <w:lang w:val="en-US"/>
        </w:rPr>
        <w:t>and</w:t>
      </w:r>
      <w:r>
        <w:rPr>
          <w:lang w:val="en-GB"/>
        </w:rPr>
        <w:t xml:space="preserve"> </w:t>
      </w:r>
      <w:r>
        <w:rPr>
          <w:lang w:val="en-US"/>
        </w:rPr>
        <w:t>a</w:t>
      </w:r>
      <w:r>
        <w:rPr>
          <w:lang w:val="en-GB"/>
        </w:rPr>
        <w:t xml:space="preserve"> </w:t>
      </w:r>
      <w:r>
        <w:rPr>
          <w:lang w:val="en-US"/>
        </w:rPr>
        <w:t>bonus</w:t>
      </w:r>
      <w:r>
        <w:rPr>
          <w:lang w:val="en-GB"/>
        </w:rPr>
        <w:t xml:space="preserve"> </w:t>
      </w:r>
      <w:r>
        <w:rPr>
          <w:lang w:val="en-US"/>
        </w:rPr>
        <w:t>of</w:t>
      </w:r>
      <w:r>
        <w:rPr>
          <w:lang w:val="en-GB"/>
        </w:rPr>
        <w:t xml:space="preserve"> 10 </w:t>
      </w:r>
      <w:r>
        <w:rPr>
          <w:lang w:val="en-US"/>
        </w:rPr>
        <w:t>points</w:t>
      </w:r>
      <w:r>
        <w:rPr>
          <w:lang w:val="en-GB"/>
        </w:rPr>
        <w:t xml:space="preserve"> </w:t>
      </w:r>
      <w:r>
        <w:rPr>
          <w:lang w:val="en-US"/>
        </w:rPr>
        <w:t>when it concerns a legal entity,</w:t>
      </w:r>
      <w:r>
        <w:rPr>
          <w:lang w:val="en-GB"/>
        </w:rPr>
        <w:t xml:space="preserve"> the majority of the equity capital of which belongs to women. </w:t>
      </w:r>
    </w:p>
    <w:p w:rsidR="00000000" w:rsidRDefault="00000000">
      <w:pPr>
        <w:tabs>
          <w:tab w:val="left" w:pos="567"/>
          <w:tab w:val="left" w:pos="1021"/>
          <w:tab w:val="left" w:pos="1474"/>
        </w:tabs>
        <w:spacing w:after="220"/>
        <w:ind w:left="1418" w:firstLine="284"/>
        <w:rPr>
          <w:color w:val="000000"/>
          <w:lang w:val="en-GB"/>
        </w:rPr>
      </w:pPr>
      <w:r>
        <w:rPr>
          <w:color w:val="000000"/>
          <w:lang w:val="en-US"/>
        </w:rPr>
        <w:t>According</w:t>
      </w:r>
      <w:r>
        <w:rPr>
          <w:color w:val="000000"/>
          <w:lang w:val="en-GB"/>
        </w:rPr>
        <w:t xml:space="preserve"> </w:t>
      </w:r>
      <w:r>
        <w:rPr>
          <w:color w:val="000000"/>
          <w:lang w:val="en-US"/>
        </w:rPr>
        <w:t>to</w:t>
      </w:r>
      <w:r>
        <w:rPr>
          <w:color w:val="000000"/>
          <w:lang w:val="en-GB"/>
        </w:rPr>
        <w:t xml:space="preserve"> </w:t>
      </w:r>
      <w:r>
        <w:rPr>
          <w:color w:val="000000"/>
          <w:lang w:val="en-US"/>
        </w:rPr>
        <w:t>the</w:t>
      </w:r>
      <w:r>
        <w:rPr>
          <w:color w:val="000000"/>
          <w:lang w:val="en-GB"/>
        </w:rPr>
        <w:t xml:space="preserve"> </w:t>
      </w:r>
      <w:r>
        <w:rPr>
          <w:color w:val="000000"/>
          <w:lang w:val="en-US"/>
        </w:rPr>
        <w:t xml:space="preserve">Managing </w:t>
      </w:r>
      <w:r>
        <w:rPr>
          <w:color w:val="000000"/>
          <w:lang w:val="en-GB"/>
        </w:rPr>
        <w:t xml:space="preserve">Authority </w:t>
      </w:r>
      <w:r>
        <w:rPr>
          <w:color w:val="000000"/>
          <w:lang w:val="en-US"/>
        </w:rPr>
        <w:t>of</w:t>
      </w:r>
      <w:r>
        <w:rPr>
          <w:color w:val="000000"/>
          <w:lang w:val="en-GB"/>
        </w:rPr>
        <w:t xml:space="preserve"> </w:t>
      </w:r>
      <w:r>
        <w:rPr>
          <w:color w:val="000000"/>
          <w:lang w:val="en-US"/>
        </w:rPr>
        <w:t>the</w:t>
      </w:r>
      <w:r>
        <w:rPr>
          <w:color w:val="000000"/>
          <w:lang w:val="en-GB"/>
        </w:rPr>
        <w:t xml:space="preserve"> </w:t>
      </w:r>
      <w:r>
        <w:rPr>
          <w:color w:val="000000"/>
          <w:lang w:val="en-US"/>
        </w:rPr>
        <w:t>Operational</w:t>
      </w:r>
      <w:r>
        <w:rPr>
          <w:color w:val="000000"/>
          <w:lang w:val="en-GB"/>
        </w:rPr>
        <w:t xml:space="preserve"> </w:t>
      </w:r>
      <w:r>
        <w:rPr>
          <w:color w:val="000000"/>
          <w:lang w:val="en-US"/>
        </w:rPr>
        <w:t>Programme</w:t>
      </w:r>
      <w:r>
        <w:rPr>
          <w:color w:val="000000"/>
          <w:lang w:val="en-GB"/>
        </w:rPr>
        <w:t xml:space="preserve"> “</w:t>
      </w:r>
      <w:r>
        <w:rPr>
          <w:color w:val="000000"/>
          <w:lang w:val="en-US"/>
        </w:rPr>
        <w:t>Agricultural Development</w:t>
      </w:r>
      <w:r>
        <w:rPr>
          <w:color w:val="000000"/>
          <w:lang w:val="en-GB"/>
        </w:rPr>
        <w:t>-</w:t>
      </w:r>
      <w:r>
        <w:rPr>
          <w:color w:val="000000"/>
          <w:lang w:val="en-US"/>
        </w:rPr>
        <w:t>Restructuring the countryside</w:t>
      </w:r>
      <w:r>
        <w:rPr>
          <w:color w:val="000000"/>
          <w:lang w:val="en-GB"/>
        </w:rPr>
        <w:t xml:space="preserve"> 2000-2006”, </w:t>
      </w:r>
      <w:r>
        <w:rPr>
          <w:color w:val="000000"/>
          <w:lang w:val="en-US"/>
        </w:rPr>
        <w:t xml:space="preserve">the percentage of </w:t>
      </w:r>
      <w:r>
        <w:rPr>
          <w:color w:val="000000"/>
          <w:lang w:val="en-GB"/>
        </w:rPr>
        <w:t>approved plans of women in this measure has reached 22,6% after the last invitations for the above mentioned measures.</w:t>
      </w:r>
    </w:p>
    <w:p w:rsidR="00000000" w:rsidRDefault="00000000">
      <w:pPr>
        <w:pStyle w:val="18-8"/>
        <w:spacing w:after="220"/>
        <w:rPr>
          <w:lang w:val="en-US"/>
        </w:rPr>
      </w:pPr>
      <w:r>
        <w:sym w:font="Symbol" w:char="F0B7"/>
      </w:r>
      <w:r>
        <w:tab/>
      </w:r>
      <w:r>
        <w:rPr>
          <w:b/>
          <w:lang w:val="en-US"/>
        </w:rPr>
        <w:t>Investments</w:t>
      </w:r>
      <w:r>
        <w:rPr>
          <w:b/>
          <w:lang w:val="en-GB"/>
        </w:rPr>
        <w:t xml:space="preserve"> </w:t>
      </w:r>
      <w:r>
        <w:rPr>
          <w:b/>
          <w:lang w:val="en-US"/>
        </w:rPr>
        <w:t>in</w:t>
      </w:r>
      <w:r>
        <w:rPr>
          <w:b/>
          <w:lang w:val="en-GB"/>
        </w:rPr>
        <w:t xml:space="preserve"> </w:t>
      </w:r>
      <w:r>
        <w:rPr>
          <w:b/>
          <w:lang w:val="en-US"/>
        </w:rPr>
        <w:t>processing</w:t>
      </w:r>
      <w:r>
        <w:rPr>
          <w:b/>
          <w:lang w:val="en-GB"/>
        </w:rPr>
        <w:t xml:space="preserve"> </w:t>
      </w:r>
      <w:r>
        <w:rPr>
          <w:b/>
          <w:lang w:val="en-US"/>
        </w:rPr>
        <w:t>and</w:t>
      </w:r>
      <w:r>
        <w:rPr>
          <w:b/>
          <w:lang w:val="en-GB"/>
        </w:rPr>
        <w:t xml:space="preserve"> </w:t>
      </w:r>
      <w:r>
        <w:rPr>
          <w:b/>
          <w:lang w:val="en-US"/>
        </w:rPr>
        <w:t>trading</w:t>
      </w:r>
      <w:r>
        <w:rPr>
          <w:b/>
          <w:lang w:val="en-GB"/>
        </w:rPr>
        <w:t xml:space="preserve"> </w:t>
      </w:r>
      <w:r>
        <w:rPr>
          <w:b/>
          <w:lang w:val="en-US"/>
        </w:rPr>
        <w:t>products</w:t>
      </w:r>
      <w:r>
        <w:rPr>
          <w:b/>
          <w:lang w:val="en-GB"/>
        </w:rPr>
        <w:t xml:space="preserve"> </w:t>
      </w:r>
      <w:r>
        <w:rPr>
          <w:b/>
          <w:lang w:val="en-US"/>
        </w:rPr>
        <w:t>of Agriculture - Investments</w:t>
      </w:r>
      <w:r>
        <w:rPr>
          <w:b/>
          <w:lang w:val="en-GB"/>
        </w:rPr>
        <w:t xml:space="preserve"> </w:t>
      </w:r>
      <w:r>
        <w:rPr>
          <w:b/>
          <w:lang w:val="en-US"/>
        </w:rPr>
        <w:t>in</w:t>
      </w:r>
      <w:r>
        <w:rPr>
          <w:b/>
          <w:lang w:val="en-GB"/>
        </w:rPr>
        <w:t xml:space="preserve"> </w:t>
      </w:r>
      <w:r>
        <w:rPr>
          <w:b/>
          <w:lang w:val="en-US"/>
        </w:rPr>
        <w:t>processing</w:t>
      </w:r>
      <w:r>
        <w:rPr>
          <w:b/>
          <w:lang w:val="en-GB"/>
        </w:rPr>
        <w:t xml:space="preserve"> </w:t>
      </w:r>
      <w:r>
        <w:rPr>
          <w:b/>
          <w:lang w:val="en-US"/>
        </w:rPr>
        <w:t>and</w:t>
      </w:r>
      <w:r>
        <w:rPr>
          <w:b/>
          <w:lang w:val="en-GB"/>
        </w:rPr>
        <w:t xml:space="preserve"> </w:t>
      </w:r>
      <w:r>
        <w:rPr>
          <w:b/>
          <w:lang w:val="en-US"/>
        </w:rPr>
        <w:t>trading</w:t>
      </w:r>
      <w:r>
        <w:rPr>
          <w:b/>
          <w:lang w:val="en-GB"/>
        </w:rPr>
        <w:t xml:space="preserve"> </w:t>
      </w:r>
      <w:r>
        <w:rPr>
          <w:b/>
          <w:lang w:val="en-US"/>
        </w:rPr>
        <w:t>products</w:t>
      </w:r>
      <w:r>
        <w:rPr>
          <w:b/>
          <w:lang w:val="en-GB"/>
        </w:rPr>
        <w:t xml:space="preserve"> </w:t>
      </w:r>
      <w:r>
        <w:rPr>
          <w:b/>
          <w:lang w:val="en-US"/>
        </w:rPr>
        <w:t>of</w:t>
      </w:r>
      <w:r>
        <w:rPr>
          <w:b/>
          <w:lang w:val="en-GB"/>
        </w:rPr>
        <w:t xml:space="preserve"> </w:t>
      </w:r>
      <w:r>
        <w:rPr>
          <w:b/>
          <w:lang w:val="en-US"/>
        </w:rPr>
        <w:t>Forestry</w:t>
      </w:r>
    </w:p>
    <w:p w:rsidR="00000000" w:rsidRDefault="00000000">
      <w:pPr>
        <w:pStyle w:val="18-8"/>
        <w:tabs>
          <w:tab w:val="left" w:pos="1701"/>
        </w:tabs>
        <w:spacing w:after="220"/>
        <w:rPr>
          <w:lang w:val="en-GB"/>
        </w:rPr>
      </w:pPr>
      <w:r>
        <w:rPr>
          <w:lang w:val="en-US"/>
        </w:rPr>
        <w:tab/>
      </w:r>
      <w:r>
        <w:rPr>
          <w:lang w:val="en-US"/>
        </w:rPr>
        <w:tab/>
        <w:t>It concerns investments and investing plans of natural persons</w:t>
      </w:r>
      <w:r>
        <w:rPr>
          <w:lang w:val="en-GB"/>
        </w:rPr>
        <w:t xml:space="preserve"> (</w:t>
      </w:r>
      <w:r>
        <w:rPr>
          <w:lang w:val="en-US"/>
        </w:rPr>
        <w:t>Common Ministerial Decisions</w:t>
      </w:r>
      <w:r>
        <w:rPr>
          <w:lang w:val="en-GB"/>
        </w:rPr>
        <w:t xml:space="preserve"> 110850/4938/2001)</w:t>
      </w:r>
    </w:p>
    <w:p w:rsidR="00000000" w:rsidRDefault="00000000">
      <w:pPr>
        <w:pStyle w:val="18-8"/>
        <w:tabs>
          <w:tab w:val="left" w:pos="1701"/>
        </w:tabs>
        <w:spacing w:after="220"/>
        <w:rPr>
          <w:lang w:val="en-GB"/>
        </w:rPr>
      </w:pPr>
      <w:r>
        <w:rPr>
          <w:lang w:val="en-US"/>
        </w:rPr>
        <w:tab/>
      </w:r>
      <w:r>
        <w:rPr>
          <w:lang w:val="en-US"/>
        </w:rPr>
        <w:tab/>
        <w:t>In the above mentioned investment programmes, women’s participation is promoted by bonus awarding.</w:t>
      </w:r>
    </w:p>
    <w:p w:rsidR="00000000" w:rsidRDefault="00000000">
      <w:pPr>
        <w:pStyle w:val="18-8"/>
        <w:tabs>
          <w:tab w:val="left" w:pos="1701"/>
        </w:tabs>
        <w:spacing w:after="220"/>
        <w:rPr>
          <w:lang w:val="en-GB"/>
        </w:rPr>
      </w:pPr>
      <w:r>
        <w:rPr>
          <w:lang w:val="en-US"/>
        </w:rPr>
        <w:tab/>
      </w:r>
      <w:r>
        <w:rPr>
          <w:lang w:val="en-US"/>
        </w:rPr>
        <w:tab/>
        <w:t>We</w:t>
      </w:r>
      <w:r>
        <w:rPr>
          <w:lang w:val="en-GB"/>
        </w:rPr>
        <w:t xml:space="preserve"> </w:t>
      </w:r>
      <w:r>
        <w:rPr>
          <w:lang w:val="en-US"/>
        </w:rPr>
        <w:t>note</w:t>
      </w:r>
      <w:r>
        <w:rPr>
          <w:lang w:val="en-GB"/>
        </w:rPr>
        <w:t xml:space="preserve"> </w:t>
      </w:r>
      <w:r>
        <w:rPr>
          <w:lang w:val="en-US"/>
        </w:rPr>
        <w:t>that</w:t>
      </w:r>
      <w:r>
        <w:rPr>
          <w:lang w:val="en-GB"/>
        </w:rPr>
        <w:t xml:space="preserve"> </w:t>
      </w:r>
      <w:r>
        <w:rPr>
          <w:lang w:val="en-US"/>
        </w:rPr>
        <w:t xml:space="preserve">the percentage of women’s participation in approved plans, in this measure, has been </w:t>
      </w:r>
      <w:r>
        <w:rPr>
          <w:lang w:val="en-GB"/>
        </w:rPr>
        <w:t>11,5%.</w:t>
      </w:r>
    </w:p>
    <w:p w:rsidR="00000000" w:rsidRDefault="00000000">
      <w:pPr>
        <w:pStyle w:val="18-8"/>
        <w:spacing w:after="220"/>
        <w:rPr>
          <w:lang w:val="en-GB"/>
        </w:rPr>
      </w:pPr>
      <w:r>
        <w:sym w:font="Symbol" w:char="F0B7"/>
      </w:r>
      <w:r>
        <w:tab/>
      </w:r>
      <w:r>
        <w:rPr>
          <w:b/>
          <w:lang w:val="en-US"/>
        </w:rPr>
        <w:t>Improvement</w:t>
      </w:r>
      <w:r>
        <w:rPr>
          <w:b/>
          <w:lang w:val="en-GB"/>
        </w:rPr>
        <w:t xml:space="preserve"> </w:t>
      </w:r>
      <w:r>
        <w:rPr>
          <w:b/>
          <w:lang w:val="en-US"/>
        </w:rPr>
        <w:t>of</w:t>
      </w:r>
      <w:r>
        <w:rPr>
          <w:b/>
          <w:lang w:val="en-GB"/>
        </w:rPr>
        <w:t xml:space="preserve"> the age-related composition </w:t>
      </w:r>
      <w:r>
        <w:rPr>
          <w:b/>
          <w:lang w:val="en-US"/>
        </w:rPr>
        <w:t>of the Rural Population</w:t>
      </w:r>
      <w:r>
        <w:rPr>
          <w:b/>
          <w:lang w:val="en-GB"/>
        </w:rPr>
        <w:t>. (</w:t>
      </w:r>
      <w:r>
        <w:rPr>
          <w:b/>
          <w:lang w:val="en-US"/>
        </w:rPr>
        <w:t>Programme for Young Farmers</w:t>
      </w:r>
      <w:r>
        <w:rPr>
          <w:b/>
          <w:lang w:val="en-GB"/>
        </w:rPr>
        <w:t>)</w:t>
      </w:r>
    </w:p>
    <w:p w:rsidR="00000000" w:rsidRDefault="00000000">
      <w:pPr>
        <w:pStyle w:val="18-8"/>
        <w:spacing w:after="220"/>
        <w:ind w:left="1418" w:firstLine="284"/>
        <w:rPr>
          <w:lang w:val="en-GB"/>
        </w:rPr>
      </w:pPr>
      <w:r>
        <w:rPr>
          <w:i/>
          <w:lang w:val="en-GB"/>
        </w:rPr>
        <w:t>Non-recurring bonus for initial installation</w:t>
      </w:r>
      <w:r>
        <w:rPr>
          <w:lang w:val="en-GB"/>
        </w:rPr>
        <w:t xml:space="preserve"> (Common Ministerial Order 448/2001)</w:t>
      </w:r>
    </w:p>
    <w:p w:rsidR="00000000" w:rsidRDefault="00000000">
      <w:pPr>
        <w:pStyle w:val="26-8"/>
        <w:spacing w:after="220"/>
        <w:ind w:left="1418" w:firstLine="284"/>
        <w:rPr>
          <w:i/>
          <w:lang w:val="en-GB"/>
        </w:rPr>
      </w:pPr>
      <w:r>
        <w:rPr>
          <w:i/>
          <w:lang w:val="en-GB"/>
        </w:rPr>
        <w:t>Confrontation of the expenses of initial installation</w:t>
      </w:r>
    </w:p>
    <w:p w:rsidR="00000000" w:rsidRDefault="00000000">
      <w:pPr>
        <w:pStyle w:val="26-8"/>
        <w:spacing w:after="220"/>
        <w:ind w:left="1418" w:firstLine="284"/>
        <w:rPr>
          <w:lang w:val="en-GB"/>
        </w:rPr>
      </w:pPr>
      <w:r>
        <w:rPr>
          <w:lang w:val="en-US"/>
        </w:rPr>
        <w:t>The participation of women</w:t>
      </w:r>
      <w:r>
        <w:rPr>
          <w:lang w:val="en-GB"/>
        </w:rPr>
        <w:t xml:space="preserve"> </w:t>
      </w:r>
      <w:r>
        <w:rPr>
          <w:lang w:val="en-US"/>
        </w:rPr>
        <w:t xml:space="preserve">in the above mentioned programme is granted a bonus of </w:t>
      </w:r>
      <w:r>
        <w:rPr>
          <w:lang w:val="en-GB"/>
        </w:rPr>
        <w:t>5</w:t>
      </w:r>
      <w:r>
        <w:rPr>
          <w:lang w:val="en-US"/>
        </w:rPr>
        <w:t xml:space="preserve"> additional points</w:t>
      </w:r>
      <w:r>
        <w:rPr>
          <w:lang w:val="en-GB"/>
        </w:rPr>
        <w:t xml:space="preserve">. </w:t>
      </w:r>
    </w:p>
    <w:p w:rsidR="00000000" w:rsidRDefault="00000000">
      <w:pPr>
        <w:pStyle w:val="26-8"/>
        <w:spacing w:after="220"/>
        <w:ind w:left="1418" w:firstLine="284"/>
        <w:rPr>
          <w:lang w:val="en-GB"/>
        </w:rPr>
      </w:pPr>
      <w:r>
        <w:rPr>
          <w:lang w:val="en-US"/>
        </w:rPr>
        <w:t>We</w:t>
      </w:r>
      <w:r>
        <w:rPr>
          <w:lang w:val="en-GB"/>
        </w:rPr>
        <w:t xml:space="preserve"> </w:t>
      </w:r>
      <w:r>
        <w:rPr>
          <w:lang w:val="en-US"/>
        </w:rPr>
        <w:t>note</w:t>
      </w:r>
      <w:r>
        <w:rPr>
          <w:lang w:val="en-GB"/>
        </w:rPr>
        <w:t xml:space="preserve"> </w:t>
      </w:r>
      <w:r>
        <w:rPr>
          <w:lang w:val="en-US"/>
        </w:rPr>
        <w:t>that</w:t>
      </w:r>
      <w:r>
        <w:rPr>
          <w:lang w:val="en-GB"/>
        </w:rPr>
        <w:t xml:space="preserve"> </w:t>
      </w:r>
      <w:r>
        <w:rPr>
          <w:lang w:val="en-US"/>
        </w:rPr>
        <w:t>the</w:t>
      </w:r>
      <w:r>
        <w:rPr>
          <w:lang w:val="en-GB"/>
        </w:rPr>
        <w:t xml:space="preserve"> </w:t>
      </w:r>
      <w:r>
        <w:rPr>
          <w:lang w:val="en-US"/>
        </w:rPr>
        <w:t>percentage</w:t>
      </w:r>
      <w:r>
        <w:rPr>
          <w:lang w:val="en-GB"/>
        </w:rPr>
        <w:t xml:space="preserve"> </w:t>
      </w:r>
      <w:r>
        <w:rPr>
          <w:lang w:val="en-US"/>
        </w:rPr>
        <w:t>of</w:t>
      </w:r>
      <w:r>
        <w:rPr>
          <w:lang w:val="en-GB"/>
        </w:rPr>
        <w:t xml:space="preserve"> </w:t>
      </w:r>
      <w:r>
        <w:rPr>
          <w:lang w:val="en-US"/>
        </w:rPr>
        <w:t>approved</w:t>
      </w:r>
      <w:r>
        <w:rPr>
          <w:lang w:val="en-GB"/>
        </w:rPr>
        <w:t xml:space="preserve"> </w:t>
      </w:r>
      <w:r>
        <w:rPr>
          <w:lang w:val="en-US"/>
        </w:rPr>
        <w:t>plans</w:t>
      </w:r>
      <w:r>
        <w:rPr>
          <w:lang w:val="en-GB"/>
        </w:rPr>
        <w:t xml:space="preserve"> </w:t>
      </w:r>
      <w:r>
        <w:rPr>
          <w:lang w:val="en-US"/>
        </w:rPr>
        <w:t>that</w:t>
      </w:r>
      <w:r>
        <w:rPr>
          <w:lang w:val="en-GB"/>
        </w:rPr>
        <w:t xml:space="preserve"> </w:t>
      </w:r>
      <w:r>
        <w:rPr>
          <w:lang w:val="en-US"/>
        </w:rPr>
        <w:t xml:space="preserve">were submitted by women in the above mentioned measure was </w:t>
      </w:r>
      <w:r>
        <w:rPr>
          <w:lang w:val="en-GB"/>
        </w:rPr>
        <w:t>31%.</w:t>
      </w:r>
    </w:p>
    <w:p w:rsidR="00000000" w:rsidRDefault="00000000">
      <w:pPr>
        <w:pStyle w:val="18-8"/>
        <w:spacing w:after="220"/>
        <w:rPr>
          <w:lang w:val="en-GB"/>
        </w:rPr>
      </w:pPr>
      <w:r>
        <w:sym w:font="Symbol" w:char="F0B7"/>
      </w:r>
      <w:r>
        <w:tab/>
      </w:r>
      <w:r>
        <w:rPr>
          <w:b/>
          <w:lang w:val="en-US"/>
        </w:rPr>
        <w:t>Programme for the Development of Rural Areas</w:t>
      </w:r>
    </w:p>
    <w:p w:rsidR="00000000" w:rsidRDefault="00000000">
      <w:pPr>
        <w:pStyle w:val="18-8"/>
        <w:spacing w:after="220"/>
        <w:rPr>
          <w:lang w:val="en-GB"/>
        </w:rPr>
      </w:pPr>
      <w:r>
        <w:rPr>
          <w:lang w:val="en-US"/>
        </w:rPr>
        <w:tab/>
        <w:t>Actions concerning the following are included here:</w:t>
      </w:r>
      <w:r>
        <w:rPr>
          <w:lang w:val="en-GB"/>
        </w:rPr>
        <w:t xml:space="preserve"> </w:t>
      </w:r>
    </w:p>
    <w:p w:rsidR="00000000" w:rsidRDefault="00000000">
      <w:pPr>
        <w:pStyle w:val="26-8"/>
        <w:spacing w:after="220"/>
        <w:rPr>
          <w:lang w:val="en-GB"/>
        </w:rPr>
      </w:pPr>
      <w:r>
        <w:rPr>
          <w:lang w:val="en-GB"/>
        </w:rPr>
        <w:t>–</w:t>
      </w:r>
      <w:r>
        <w:rPr>
          <w:lang w:val="en-GB"/>
        </w:rPr>
        <w:tab/>
        <w:t>“</w:t>
      </w:r>
      <w:r>
        <w:rPr>
          <w:lang w:val="en-US"/>
        </w:rPr>
        <w:t>Basic services</w:t>
      </w:r>
      <w:r>
        <w:rPr>
          <w:lang w:val="en-GB"/>
        </w:rPr>
        <w:t xml:space="preserve"> </w:t>
      </w:r>
      <w:r>
        <w:rPr>
          <w:lang w:val="en-US"/>
        </w:rPr>
        <w:t>for agricultural economy</w:t>
      </w:r>
      <w:r>
        <w:rPr>
          <w:lang w:val="en-GB"/>
        </w:rPr>
        <w:t xml:space="preserve"> </w:t>
      </w:r>
      <w:r>
        <w:rPr>
          <w:lang w:val="en-US"/>
        </w:rPr>
        <w:t>and rural population</w:t>
      </w:r>
    </w:p>
    <w:p w:rsidR="00000000" w:rsidRDefault="00000000">
      <w:pPr>
        <w:pStyle w:val="26-8"/>
        <w:rPr>
          <w:lang w:val="en-GB"/>
        </w:rPr>
      </w:pPr>
      <w:r>
        <w:rPr>
          <w:lang w:val="en-GB"/>
        </w:rPr>
        <w:t>–</w:t>
      </w:r>
      <w:r>
        <w:rPr>
          <w:lang w:val="en-GB"/>
        </w:rPr>
        <w:tab/>
        <w:t xml:space="preserve">“Differentiation </w:t>
      </w:r>
      <w:r>
        <w:rPr>
          <w:lang w:val="en-US"/>
        </w:rPr>
        <w:t>of</w:t>
      </w:r>
      <w:r>
        <w:rPr>
          <w:lang w:val="en-GB"/>
        </w:rPr>
        <w:t xml:space="preserve"> the </w:t>
      </w:r>
      <w:r>
        <w:rPr>
          <w:lang w:val="en-US"/>
        </w:rPr>
        <w:t>agricultural</w:t>
      </w:r>
      <w:r>
        <w:rPr>
          <w:lang w:val="en-GB"/>
        </w:rPr>
        <w:t xml:space="preserve"> </w:t>
      </w:r>
      <w:r>
        <w:rPr>
          <w:lang w:val="en-US"/>
        </w:rPr>
        <w:t>activities</w:t>
      </w:r>
      <w:r>
        <w:rPr>
          <w:lang w:val="en-GB"/>
        </w:rPr>
        <w:t xml:space="preserve"> related </w:t>
      </w:r>
      <w:r>
        <w:rPr>
          <w:lang w:val="en-US"/>
        </w:rPr>
        <w:t>to</w:t>
      </w:r>
      <w:r>
        <w:rPr>
          <w:lang w:val="en-GB"/>
        </w:rPr>
        <w:t xml:space="preserve"> </w:t>
      </w:r>
      <w:r>
        <w:rPr>
          <w:lang w:val="en-US"/>
        </w:rPr>
        <w:t xml:space="preserve">agriculture for the creation of multiple activities and acquisition of </w:t>
      </w:r>
      <w:r>
        <w:rPr>
          <w:lang w:val="en-GB"/>
        </w:rPr>
        <w:t xml:space="preserve">alternative income </w:t>
      </w:r>
    </w:p>
    <w:p w:rsidR="00000000" w:rsidRDefault="00000000">
      <w:pPr>
        <w:pStyle w:val="26-8"/>
        <w:rPr>
          <w:lang w:val="en-GB"/>
        </w:rPr>
      </w:pPr>
      <w:r>
        <w:rPr>
          <w:lang w:val="en-GB"/>
        </w:rPr>
        <w:t>–</w:t>
      </w:r>
      <w:r>
        <w:rPr>
          <w:lang w:val="en-GB"/>
        </w:rPr>
        <w:tab/>
        <w:t>“</w:t>
      </w:r>
      <w:r>
        <w:rPr>
          <w:lang w:val="en-US"/>
        </w:rPr>
        <w:t>Encouragement of tourist and manufacturing</w:t>
      </w:r>
      <w:r>
        <w:rPr>
          <w:lang w:val="en-GB"/>
        </w:rPr>
        <w:t xml:space="preserve"> activities</w:t>
      </w:r>
    </w:p>
    <w:p w:rsidR="00000000" w:rsidRDefault="00000000">
      <w:pPr>
        <w:pStyle w:val="26-8"/>
        <w:rPr>
          <w:lang w:val="en-GB"/>
        </w:rPr>
      </w:pPr>
      <w:r>
        <w:rPr>
          <w:lang w:val="en-GB"/>
        </w:rPr>
        <w:t>–</w:t>
      </w:r>
      <w:r>
        <w:rPr>
          <w:lang w:val="en-GB"/>
        </w:rPr>
        <w:tab/>
        <w:t>“</w:t>
      </w:r>
      <w:r>
        <w:rPr>
          <w:lang w:val="en-US"/>
        </w:rPr>
        <w:t>Improvement of competitiveness</w:t>
      </w:r>
      <w:r>
        <w:rPr>
          <w:lang w:val="en-GB"/>
        </w:rPr>
        <w:t xml:space="preserve"> </w:t>
      </w:r>
      <w:r>
        <w:rPr>
          <w:lang w:val="en-US"/>
        </w:rPr>
        <w:t>of agricultural enterprises”</w:t>
      </w:r>
    </w:p>
    <w:p w:rsidR="00000000" w:rsidRDefault="00000000">
      <w:pPr>
        <w:pStyle w:val="BodyText"/>
        <w:rPr>
          <w:lang w:val="en-GB"/>
        </w:rPr>
      </w:pPr>
      <w:r>
        <w:rPr>
          <w:lang w:val="en-US"/>
        </w:rPr>
        <w:tab/>
      </w:r>
      <w:r>
        <w:rPr>
          <w:lang w:val="en-US"/>
        </w:rPr>
        <w:tab/>
        <w:t>All</w:t>
      </w:r>
      <w:r>
        <w:rPr>
          <w:lang w:val="en-GB"/>
        </w:rPr>
        <w:t xml:space="preserve"> </w:t>
      </w:r>
      <w:r>
        <w:rPr>
          <w:lang w:val="en-US"/>
        </w:rPr>
        <w:t xml:space="preserve">activities involve a bonus of additional points for women ranging from </w:t>
      </w:r>
      <w:r>
        <w:rPr>
          <w:lang w:val="en-GB"/>
        </w:rPr>
        <w:t xml:space="preserve">1 </w:t>
      </w:r>
      <w:r>
        <w:rPr>
          <w:lang w:val="en-US"/>
        </w:rPr>
        <w:t>to</w:t>
      </w:r>
      <w:r>
        <w:rPr>
          <w:lang w:val="en-GB"/>
        </w:rPr>
        <w:t xml:space="preserve"> 5 points. The measures are considered to have contributed </w:t>
      </w:r>
      <w:r>
        <w:rPr>
          <w:lang w:val="en-US"/>
        </w:rPr>
        <w:t>to creation of jobs</w:t>
      </w:r>
      <w:r>
        <w:rPr>
          <w:lang w:val="en-GB"/>
        </w:rPr>
        <w:t xml:space="preserve"> </w:t>
      </w:r>
      <w:r>
        <w:rPr>
          <w:lang w:val="en-US"/>
        </w:rPr>
        <w:t>in rural areas</w:t>
      </w:r>
      <w:r>
        <w:rPr>
          <w:lang w:val="en-GB"/>
        </w:rPr>
        <w:t xml:space="preserve">. </w:t>
      </w:r>
    </w:p>
    <w:p w:rsidR="00000000" w:rsidRDefault="00000000">
      <w:pPr>
        <w:pStyle w:val="BodyText"/>
        <w:rPr>
          <w:lang w:val="en-GB"/>
        </w:rPr>
      </w:pPr>
      <w:r>
        <w:rPr>
          <w:lang w:val="en-US"/>
        </w:rPr>
        <w:tab/>
      </w:r>
      <w:r>
        <w:rPr>
          <w:lang w:val="en-US"/>
        </w:rPr>
        <w:tab/>
        <w:t>For instance, we</w:t>
      </w:r>
      <w:r>
        <w:rPr>
          <w:lang w:val="en-GB"/>
        </w:rPr>
        <w:t xml:space="preserve"> </w:t>
      </w:r>
      <w:r>
        <w:rPr>
          <w:lang w:val="en-US"/>
        </w:rPr>
        <w:t>note</w:t>
      </w:r>
      <w:r>
        <w:rPr>
          <w:lang w:val="en-GB"/>
        </w:rPr>
        <w:t xml:space="preserve"> </w:t>
      </w:r>
      <w:r>
        <w:rPr>
          <w:lang w:val="en-US"/>
        </w:rPr>
        <w:t>that the percentage of women’s participation reached 23,47%, while, in distant areas as Southern and Northern Aegean</w:t>
      </w:r>
      <w:r>
        <w:rPr>
          <w:lang w:val="en-GB"/>
        </w:rPr>
        <w:t>, Attica-</w:t>
      </w:r>
      <w:r>
        <w:t>Κ</w:t>
      </w:r>
      <w:r>
        <w:rPr>
          <w:lang w:val="en-US"/>
        </w:rPr>
        <w:t>ythira</w:t>
      </w:r>
      <w:r>
        <w:rPr>
          <w:lang w:val="en-GB"/>
        </w:rPr>
        <w:t xml:space="preserve">, it reached 37,84%. </w:t>
      </w:r>
    </w:p>
    <w:p w:rsidR="00000000" w:rsidRDefault="00000000">
      <w:pPr>
        <w:pStyle w:val="BodyText"/>
        <w:rPr>
          <w:lang w:val="en-GB"/>
        </w:rPr>
      </w:pPr>
      <w:r>
        <w:rPr>
          <w:lang w:val="en-GB"/>
        </w:rPr>
        <w:tab/>
      </w:r>
      <w:r>
        <w:rPr>
          <w:lang w:val="en-GB"/>
        </w:rPr>
        <w:tab/>
      </w:r>
      <w:r>
        <w:rPr>
          <w:lang w:val="en-US"/>
        </w:rPr>
        <w:t>In</w:t>
      </w:r>
      <w:r>
        <w:rPr>
          <w:lang w:val="en-GB"/>
        </w:rPr>
        <w:t xml:space="preserve"> </w:t>
      </w:r>
      <w:r>
        <w:rPr>
          <w:lang w:val="en-US"/>
        </w:rPr>
        <w:t>similar</w:t>
      </w:r>
      <w:r>
        <w:rPr>
          <w:lang w:val="en-GB"/>
        </w:rPr>
        <w:t xml:space="preserve"> </w:t>
      </w:r>
      <w:r>
        <w:rPr>
          <w:lang w:val="en-US"/>
        </w:rPr>
        <w:t>programmes</w:t>
      </w:r>
      <w:r>
        <w:rPr>
          <w:lang w:val="en-GB"/>
        </w:rPr>
        <w:t xml:space="preserve"> </w:t>
      </w:r>
      <w:r>
        <w:rPr>
          <w:lang w:val="en-US"/>
        </w:rPr>
        <w:t>of</w:t>
      </w:r>
      <w:r>
        <w:rPr>
          <w:lang w:val="en-GB"/>
        </w:rPr>
        <w:t xml:space="preserve"> the </w:t>
      </w:r>
      <w:r>
        <w:rPr>
          <w:lang w:val="en-US"/>
        </w:rPr>
        <w:t>Regions</w:t>
      </w:r>
      <w:r>
        <w:rPr>
          <w:lang w:val="en-GB"/>
        </w:rPr>
        <w:t xml:space="preserve">, </w:t>
      </w:r>
      <w:r>
        <w:rPr>
          <w:lang w:val="en-US"/>
        </w:rPr>
        <w:t>women’s participation in Thessaly</w:t>
      </w:r>
      <w:r>
        <w:rPr>
          <w:lang w:val="en-GB"/>
        </w:rPr>
        <w:t xml:space="preserve"> </w:t>
      </w:r>
      <w:r>
        <w:rPr>
          <w:lang w:val="en-US"/>
        </w:rPr>
        <w:t xml:space="preserve">has reached a percentage of </w:t>
      </w:r>
      <w:r>
        <w:rPr>
          <w:lang w:val="en-GB"/>
        </w:rPr>
        <w:t xml:space="preserve">27,95%, </w:t>
      </w:r>
      <w:r>
        <w:rPr>
          <w:lang w:val="en-US"/>
        </w:rPr>
        <w:t xml:space="preserve">in Western Greece </w:t>
      </w:r>
      <w:r>
        <w:rPr>
          <w:lang w:val="en-GB"/>
        </w:rPr>
        <w:t xml:space="preserve">26,37%, </w:t>
      </w:r>
      <w:r>
        <w:rPr>
          <w:lang w:val="en-US"/>
        </w:rPr>
        <w:t xml:space="preserve">in Epirus the percentage was </w:t>
      </w:r>
      <w:r>
        <w:rPr>
          <w:lang w:val="en-GB"/>
        </w:rPr>
        <w:t>20,75%</w:t>
      </w:r>
      <w:r>
        <w:rPr>
          <w:lang w:val="en-US"/>
        </w:rPr>
        <w:t xml:space="preserve">, and in Central Macedonia </w:t>
      </w:r>
      <w:r>
        <w:rPr>
          <w:lang w:val="en-GB"/>
        </w:rPr>
        <w:t xml:space="preserve">18,50%. </w:t>
      </w:r>
    </w:p>
    <w:p w:rsidR="00000000" w:rsidRDefault="00000000">
      <w:pPr>
        <w:pStyle w:val="BodyText"/>
        <w:rPr>
          <w:lang w:val="en-GB"/>
        </w:rPr>
      </w:pPr>
      <w:r>
        <w:rPr>
          <w:lang w:val="en-GB"/>
        </w:rPr>
        <w:tab/>
      </w:r>
      <w:r>
        <w:rPr>
          <w:lang w:val="en-GB"/>
        </w:rPr>
        <w:tab/>
        <w:t>As concerns this axis, women’s interest mainly</w:t>
      </w:r>
      <w:r>
        <w:rPr>
          <w:lang w:val="en-US"/>
        </w:rPr>
        <w:t xml:space="preserve"> focused to measures </w:t>
      </w:r>
      <w:r>
        <w:rPr>
          <w:lang w:val="en-GB"/>
        </w:rPr>
        <w:t xml:space="preserve">7.6 </w:t>
      </w:r>
      <w:r>
        <w:rPr>
          <w:lang w:val="en-US"/>
        </w:rPr>
        <w:t>and</w:t>
      </w:r>
      <w:r>
        <w:rPr>
          <w:lang w:val="en-GB"/>
        </w:rPr>
        <w:t xml:space="preserve"> 7.9 (</w:t>
      </w:r>
      <w:r>
        <w:rPr>
          <w:lang w:val="en-US"/>
        </w:rPr>
        <w:t>agro-tourist</w:t>
      </w:r>
      <w:r>
        <w:rPr>
          <w:lang w:val="en-GB"/>
        </w:rPr>
        <w:t xml:space="preserve">) </w:t>
      </w:r>
      <w:r>
        <w:rPr>
          <w:lang w:val="en-US"/>
        </w:rPr>
        <w:t>where their participation’s percentages reached</w:t>
      </w:r>
      <w:r>
        <w:rPr>
          <w:lang w:val="en-GB"/>
        </w:rPr>
        <w:t xml:space="preserve"> 37%. </w:t>
      </w:r>
    </w:p>
    <w:p w:rsidR="00000000" w:rsidRDefault="00000000">
      <w:pPr>
        <w:tabs>
          <w:tab w:val="left" w:pos="567"/>
          <w:tab w:val="left" w:pos="1021"/>
          <w:tab w:val="left" w:pos="1474"/>
          <w:tab w:val="left" w:pos="1928"/>
        </w:tabs>
        <w:jc w:val="center"/>
        <w:rPr>
          <w:color w:val="000000"/>
          <w:lang w:val="en-GB"/>
        </w:rPr>
      </w:pPr>
      <w:r>
        <w:rPr>
          <w:color w:val="000000"/>
        </w:rPr>
        <w:t>Β</w:t>
      </w:r>
      <w:r>
        <w:rPr>
          <w:color w:val="000000"/>
          <w:lang w:val="en-GB"/>
        </w:rPr>
        <w:t xml:space="preserve">. </w:t>
      </w:r>
      <w:r>
        <w:rPr>
          <w:color w:val="000000"/>
          <w:lang w:val="en-US"/>
        </w:rPr>
        <w:t>OPERATIONAL</w:t>
      </w:r>
      <w:r>
        <w:rPr>
          <w:color w:val="000000"/>
          <w:lang w:val="en-GB"/>
        </w:rPr>
        <w:t xml:space="preserve"> </w:t>
      </w:r>
      <w:r>
        <w:rPr>
          <w:color w:val="000000"/>
          <w:lang w:val="en-US"/>
        </w:rPr>
        <w:t>PROGRAMME</w:t>
      </w:r>
      <w:r>
        <w:rPr>
          <w:color w:val="000000"/>
          <w:lang w:val="en-GB"/>
        </w:rPr>
        <w:t xml:space="preserve"> “</w:t>
      </w:r>
      <w:r>
        <w:rPr>
          <w:color w:val="000000"/>
          <w:lang w:val="en-US"/>
        </w:rPr>
        <w:t>FISHERY”</w:t>
      </w:r>
    </w:p>
    <w:p w:rsidR="00000000" w:rsidRDefault="00000000">
      <w:pPr>
        <w:pStyle w:val="BodyText"/>
        <w:rPr>
          <w:lang w:val="en-GB"/>
        </w:rPr>
      </w:pPr>
      <w:r>
        <w:rPr>
          <w:lang w:val="en-US"/>
        </w:rPr>
        <w:tab/>
        <w:t>We</w:t>
      </w:r>
      <w:r>
        <w:rPr>
          <w:lang w:val="en-GB"/>
        </w:rPr>
        <w:t xml:space="preserve"> </w:t>
      </w:r>
      <w:r>
        <w:rPr>
          <w:lang w:val="en-US"/>
        </w:rPr>
        <w:t>note</w:t>
      </w:r>
      <w:r>
        <w:rPr>
          <w:lang w:val="en-GB"/>
        </w:rPr>
        <w:t xml:space="preserve"> </w:t>
      </w:r>
      <w:r>
        <w:rPr>
          <w:lang w:val="en-US"/>
        </w:rPr>
        <w:t>that</w:t>
      </w:r>
      <w:r>
        <w:rPr>
          <w:lang w:val="en-GB"/>
        </w:rPr>
        <w:t xml:space="preserve"> </w:t>
      </w:r>
      <w:r>
        <w:rPr>
          <w:lang w:val="en-US"/>
        </w:rPr>
        <w:t>the</w:t>
      </w:r>
      <w:r>
        <w:rPr>
          <w:lang w:val="en-GB"/>
        </w:rPr>
        <w:t xml:space="preserve"> </w:t>
      </w:r>
      <w:r>
        <w:rPr>
          <w:lang w:val="en-US"/>
        </w:rPr>
        <w:t>operational</w:t>
      </w:r>
      <w:r>
        <w:rPr>
          <w:lang w:val="en-GB"/>
        </w:rPr>
        <w:t xml:space="preserve"> </w:t>
      </w:r>
      <w:r>
        <w:rPr>
          <w:lang w:val="en-US"/>
        </w:rPr>
        <w:t>programme for fishery, due to nature of the sector</w:t>
      </w:r>
      <w:r>
        <w:rPr>
          <w:lang w:val="en-GB"/>
        </w:rPr>
        <w:t>, does not offer</w:t>
      </w:r>
      <w:r>
        <w:rPr>
          <w:lang w:val="en-US"/>
        </w:rPr>
        <w:t xml:space="preserve"> special motives to women but it does not exclude them either.</w:t>
      </w:r>
      <w:r>
        <w:rPr>
          <w:lang w:val="en-GB"/>
        </w:rPr>
        <w:t xml:space="preserve"> </w:t>
      </w:r>
    </w:p>
    <w:p w:rsidR="00000000" w:rsidRDefault="00000000">
      <w:pPr>
        <w:tabs>
          <w:tab w:val="left" w:pos="567"/>
          <w:tab w:val="left" w:pos="1021"/>
          <w:tab w:val="left" w:pos="1474"/>
          <w:tab w:val="left" w:pos="1928"/>
        </w:tabs>
        <w:jc w:val="center"/>
        <w:rPr>
          <w:color w:val="000000"/>
          <w:lang w:val="en-GB"/>
        </w:rPr>
      </w:pPr>
      <w:r>
        <w:rPr>
          <w:color w:val="000000"/>
          <w:lang w:val="en-US"/>
        </w:rPr>
        <w:t>C</w:t>
      </w:r>
      <w:r>
        <w:rPr>
          <w:color w:val="000000"/>
          <w:lang w:val="en-GB"/>
        </w:rPr>
        <w:t xml:space="preserve">. </w:t>
      </w:r>
      <w:r>
        <w:rPr>
          <w:color w:val="000000"/>
          <w:lang w:val="en-US"/>
        </w:rPr>
        <w:t>COMMUNITY INITIATIVES</w:t>
      </w:r>
    </w:p>
    <w:p w:rsidR="00000000" w:rsidRDefault="00000000">
      <w:pPr>
        <w:pStyle w:val="BodyText"/>
        <w:rPr>
          <w:lang w:val="en-GB"/>
        </w:rPr>
      </w:pPr>
      <w:r>
        <w:rPr>
          <w:lang w:val="en-US"/>
        </w:rPr>
        <w:tab/>
        <w:t>The Community Initiative</w:t>
      </w:r>
      <w:r>
        <w:rPr>
          <w:lang w:val="en-GB"/>
        </w:rPr>
        <w:t xml:space="preserve"> </w:t>
      </w:r>
      <w:r>
        <w:rPr>
          <w:lang w:val="en-US"/>
        </w:rPr>
        <w:t>Leader</w:t>
      </w:r>
      <w:r>
        <w:rPr>
          <w:lang w:val="en-GB"/>
        </w:rPr>
        <w:t xml:space="preserve">+ (2000-2006) </w:t>
      </w:r>
      <w:r>
        <w:rPr>
          <w:lang w:val="en-US"/>
        </w:rPr>
        <w:t>is being implemented all over Greece</w:t>
      </w:r>
      <w:r>
        <w:rPr>
          <w:lang w:val="en-GB"/>
        </w:rPr>
        <w:t xml:space="preserve"> through forty (40) Local Programmes.</w:t>
      </w:r>
    </w:p>
    <w:p w:rsidR="00000000" w:rsidRDefault="00000000">
      <w:pPr>
        <w:pStyle w:val="18-8"/>
        <w:rPr>
          <w:lang w:val="en-US"/>
        </w:rPr>
      </w:pPr>
      <w:r>
        <w:sym w:font="Symbol" w:char="F0B7"/>
      </w:r>
      <w:r>
        <w:tab/>
      </w:r>
      <w:r>
        <w:rPr>
          <w:lang w:val="en-US"/>
        </w:rPr>
        <w:t>One</w:t>
      </w:r>
      <w:r>
        <w:rPr>
          <w:lang w:val="en-GB"/>
        </w:rPr>
        <w:t xml:space="preserve"> </w:t>
      </w:r>
      <w:r>
        <w:rPr>
          <w:lang w:val="en-US"/>
        </w:rPr>
        <w:t>of</w:t>
      </w:r>
      <w:r>
        <w:rPr>
          <w:lang w:val="en-GB"/>
        </w:rPr>
        <w:t xml:space="preserve"> </w:t>
      </w:r>
      <w:r>
        <w:rPr>
          <w:lang w:val="en-US"/>
        </w:rPr>
        <w:t>the special goals</w:t>
      </w:r>
      <w:r>
        <w:rPr>
          <w:lang w:val="en-GB"/>
        </w:rPr>
        <w:t xml:space="preserve"> </w:t>
      </w:r>
      <w:r>
        <w:rPr>
          <w:lang w:val="en-US"/>
        </w:rPr>
        <w:t>of the programme</w:t>
      </w:r>
      <w:r>
        <w:rPr>
          <w:lang w:val="en-GB"/>
        </w:rPr>
        <w:t xml:space="preserve"> </w:t>
      </w:r>
      <w:r>
        <w:rPr>
          <w:lang w:val="en-US"/>
        </w:rPr>
        <w:t>is the promotion of equal opportunities for women</w:t>
      </w:r>
      <w:r>
        <w:rPr>
          <w:lang w:val="en-GB"/>
        </w:rPr>
        <w:t>. It</w:t>
      </w:r>
      <w:r>
        <w:rPr>
          <w:lang w:val="en-US"/>
        </w:rPr>
        <w:t xml:space="preserve"> </w:t>
      </w:r>
      <w:r>
        <w:rPr>
          <w:lang w:val="en-GB"/>
        </w:rPr>
        <w:t>is</w:t>
      </w:r>
      <w:r>
        <w:rPr>
          <w:lang w:val="en-US"/>
        </w:rPr>
        <w:t xml:space="preserve"> </w:t>
      </w:r>
      <w:r>
        <w:rPr>
          <w:lang w:val="en-GB"/>
        </w:rPr>
        <w:t>expected</w:t>
      </w:r>
      <w:r>
        <w:rPr>
          <w:lang w:val="en-US"/>
        </w:rPr>
        <w:t xml:space="preserve"> that 1,400 women will benefit from the programme.</w:t>
      </w:r>
    </w:p>
    <w:p w:rsidR="00000000" w:rsidRDefault="00000000">
      <w:pPr>
        <w:pStyle w:val="BodyText"/>
        <w:rPr>
          <w:lang w:val="en-GB"/>
        </w:rPr>
      </w:pPr>
      <w:r>
        <w:tab/>
      </w:r>
      <w:r>
        <w:tab/>
      </w:r>
      <w:r>
        <w:rPr>
          <w:lang w:val="en-US"/>
        </w:rPr>
        <w:t>Final</w:t>
      </w:r>
      <w:r>
        <w:rPr>
          <w:lang w:val="en-GB"/>
        </w:rPr>
        <w:t xml:space="preserve"> </w:t>
      </w:r>
      <w:r>
        <w:rPr>
          <w:lang w:val="en-US"/>
        </w:rPr>
        <w:t>beneficiaries</w:t>
      </w:r>
      <w:r>
        <w:rPr>
          <w:lang w:val="en-GB"/>
        </w:rPr>
        <w:t xml:space="preserve"> </w:t>
      </w:r>
      <w:r>
        <w:rPr>
          <w:lang w:val="en-US"/>
        </w:rPr>
        <w:t>of</w:t>
      </w:r>
      <w:r>
        <w:rPr>
          <w:lang w:val="en-GB"/>
        </w:rPr>
        <w:t xml:space="preserve"> </w:t>
      </w:r>
      <w:r>
        <w:rPr>
          <w:lang w:val="en-US"/>
        </w:rPr>
        <w:t>these</w:t>
      </w:r>
      <w:r>
        <w:rPr>
          <w:lang w:val="en-GB"/>
        </w:rPr>
        <w:t xml:space="preserve"> </w:t>
      </w:r>
      <w:r>
        <w:rPr>
          <w:lang w:val="en-US"/>
        </w:rPr>
        <w:t>interventions</w:t>
      </w:r>
      <w:r>
        <w:rPr>
          <w:lang w:val="en-GB"/>
        </w:rPr>
        <w:t xml:space="preserve"> </w:t>
      </w:r>
      <w:r>
        <w:rPr>
          <w:lang w:val="en-US"/>
        </w:rPr>
        <w:t>are Local</w:t>
      </w:r>
      <w:r>
        <w:rPr>
          <w:lang w:val="en-GB"/>
        </w:rPr>
        <w:t xml:space="preserve"> </w:t>
      </w:r>
      <w:r>
        <w:rPr>
          <w:lang w:val="en-US"/>
        </w:rPr>
        <w:t>Action Groups</w:t>
      </w:r>
      <w:r>
        <w:rPr>
          <w:lang w:val="en-GB"/>
        </w:rPr>
        <w:t xml:space="preserve">, </w:t>
      </w:r>
      <w:r>
        <w:rPr>
          <w:lang w:val="en-US"/>
        </w:rPr>
        <w:t>which</w:t>
      </w:r>
      <w:r>
        <w:rPr>
          <w:lang w:val="en-GB"/>
        </w:rPr>
        <w:t xml:space="preserve"> </w:t>
      </w:r>
      <w:r>
        <w:rPr>
          <w:lang w:val="en-US"/>
        </w:rPr>
        <w:t>are</w:t>
      </w:r>
      <w:r>
        <w:rPr>
          <w:lang w:val="en-GB"/>
        </w:rPr>
        <w:t xml:space="preserve"> </w:t>
      </w:r>
      <w:r>
        <w:rPr>
          <w:lang w:val="en-US"/>
        </w:rPr>
        <w:t>public</w:t>
      </w:r>
      <w:r>
        <w:rPr>
          <w:lang w:val="en-GB"/>
        </w:rPr>
        <w:t xml:space="preserve"> </w:t>
      </w:r>
      <w:r>
        <w:rPr>
          <w:lang w:val="en-US"/>
        </w:rPr>
        <w:t>limited</w:t>
      </w:r>
      <w:r>
        <w:rPr>
          <w:lang w:val="en-GB"/>
        </w:rPr>
        <w:t xml:space="preserve"> </w:t>
      </w:r>
      <w:r>
        <w:rPr>
          <w:lang w:val="en-US"/>
        </w:rPr>
        <w:t>companies</w:t>
      </w:r>
      <w:r>
        <w:rPr>
          <w:lang w:val="en-GB"/>
        </w:rPr>
        <w:t xml:space="preserve"> </w:t>
      </w:r>
      <w:r>
        <w:rPr>
          <w:lang w:val="en-US"/>
        </w:rPr>
        <w:t>whose</w:t>
      </w:r>
      <w:r>
        <w:rPr>
          <w:lang w:val="en-GB"/>
        </w:rPr>
        <w:t xml:space="preserve"> </w:t>
      </w:r>
      <w:r>
        <w:rPr>
          <w:lang w:val="en-US"/>
        </w:rPr>
        <w:t>main</w:t>
      </w:r>
      <w:r>
        <w:rPr>
          <w:lang w:val="en-GB"/>
        </w:rPr>
        <w:t xml:space="preserve"> statutory aim </w:t>
      </w:r>
      <w:r>
        <w:rPr>
          <w:lang w:val="en-US"/>
        </w:rPr>
        <w:t>and</w:t>
      </w:r>
      <w:r>
        <w:rPr>
          <w:lang w:val="en-GB"/>
        </w:rPr>
        <w:t xml:space="preserve"> </w:t>
      </w:r>
      <w:r>
        <w:rPr>
          <w:lang w:val="en-US"/>
        </w:rPr>
        <w:t>object of activities is the development of their area</w:t>
      </w:r>
      <w:r>
        <w:rPr>
          <w:lang w:val="en-GB"/>
        </w:rPr>
        <w:t xml:space="preserve"> </w:t>
      </w:r>
      <w:r>
        <w:rPr>
          <w:lang w:val="en-US"/>
        </w:rPr>
        <w:t>and their members are mainly bodies of collective interests from the greater Public and Private sector</w:t>
      </w:r>
      <w:r>
        <w:rPr>
          <w:lang w:val="en-GB"/>
        </w:rPr>
        <w:t xml:space="preserve">. </w:t>
      </w:r>
    </w:p>
    <w:p w:rsidR="00000000" w:rsidRDefault="00000000">
      <w:pPr>
        <w:pStyle w:val="BodyText"/>
        <w:rPr>
          <w:lang w:val="en-GB"/>
        </w:rPr>
      </w:pPr>
      <w:r>
        <w:tab/>
      </w:r>
      <w:r>
        <w:tab/>
      </w:r>
      <w:r>
        <w:rPr>
          <w:lang w:val="en-US"/>
        </w:rPr>
        <w:t>During</w:t>
      </w:r>
      <w:r>
        <w:rPr>
          <w:lang w:val="en-GB"/>
        </w:rPr>
        <w:t xml:space="preserve"> the </w:t>
      </w:r>
      <w:r>
        <w:rPr>
          <w:lang w:val="en-US"/>
        </w:rPr>
        <w:t>planning</w:t>
      </w:r>
      <w:r>
        <w:rPr>
          <w:lang w:val="en-GB"/>
        </w:rPr>
        <w:t xml:space="preserve"> </w:t>
      </w:r>
      <w:r>
        <w:rPr>
          <w:lang w:val="en-US"/>
        </w:rPr>
        <w:t>of</w:t>
      </w:r>
      <w:r>
        <w:rPr>
          <w:lang w:val="en-GB"/>
        </w:rPr>
        <w:t xml:space="preserve"> </w:t>
      </w:r>
      <w:r>
        <w:rPr>
          <w:lang w:val="en-US"/>
        </w:rPr>
        <w:t>local</w:t>
      </w:r>
      <w:r>
        <w:rPr>
          <w:lang w:val="en-GB"/>
        </w:rPr>
        <w:t xml:space="preserve"> </w:t>
      </w:r>
      <w:r>
        <w:rPr>
          <w:lang w:val="en-US"/>
        </w:rPr>
        <w:t>programmes</w:t>
      </w:r>
      <w:r>
        <w:rPr>
          <w:lang w:val="en-GB"/>
        </w:rPr>
        <w:t xml:space="preserve"> </w:t>
      </w:r>
      <w:r>
        <w:rPr>
          <w:lang w:val="en-US"/>
        </w:rPr>
        <w:t>Leader</w:t>
      </w:r>
      <w:r>
        <w:rPr>
          <w:lang w:val="en-GB"/>
        </w:rPr>
        <w:t xml:space="preserve">+, </w:t>
      </w:r>
      <w:r>
        <w:rPr>
          <w:lang w:val="en-US"/>
        </w:rPr>
        <w:t>initiatives</w:t>
      </w:r>
      <w:r>
        <w:rPr>
          <w:lang w:val="en-GB"/>
        </w:rPr>
        <w:t xml:space="preserve"> </w:t>
      </w:r>
      <w:r>
        <w:rPr>
          <w:lang w:val="en-US"/>
        </w:rPr>
        <w:t>were</w:t>
      </w:r>
      <w:r>
        <w:rPr>
          <w:lang w:val="en-GB"/>
        </w:rPr>
        <w:t xml:space="preserve"> </w:t>
      </w:r>
      <w:r>
        <w:rPr>
          <w:lang w:val="en-US"/>
        </w:rPr>
        <w:t>undertaken</w:t>
      </w:r>
      <w:r>
        <w:rPr>
          <w:lang w:val="en-GB"/>
        </w:rPr>
        <w:t xml:space="preserve"> </w:t>
      </w:r>
      <w:r>
        <w:rPr>
          <w:lang w:val="en-US"/>
        </w:rPr>
        <w:t>by</w:t>
      </w:r>
      <w:r>
        <w:rPr>
          <w:lang w:val="en-GB"/>
        </w:rPr>
        <w:t xml:space="preserve"> </w:t>
      </w:r>
      <w:r>
        <w:rPr>
          <w:lang w:val="en-US"/>
        </w:rPr>
        <w:t>Local</w:t>
      </w:r>
      <w:r>
        <w:rPr>
          <w:lang w:val="en-GB"/>
        </w:rPr>
        <w:t xml:space="preserve"> </w:t>
      </w:r>
      <w:r>
        <w:rPr>
          <w:lang w:val="en-US"/>
        </w:rPr>
        <w:t>Action Groups, aiming at, on the one hand, a better definition of women’s needs, and, on the other, encouraging women to participate in the programme</w:t>
      </w:r>
      <w:r>
        <w:rPr>
          <w:lang w:val="en-GB"/>
        </w:rPr>
        <w:t xml:space="preserve">. </w:t>
      </w:r>
    </w:p>
    <w:p w:rsidR="00000000" w:rsidRDefault="00000000">
      <w:pPr>
        <w:pStyle w:val="BodyText"/>
        <w:rPr>
          <w:lang w:val="en-GB"/>
        </w:rPr>
      </w:pPr>
      <w:r>
        <w:tab/>
      </w:r>
      <w:r>
        <w:tab/>
      </w:r>
      <w:r>
        <w:rPr>
          <w:lang w:val="en-US"/>
        </w:rPr>
        <w:t>Ministerial</w:t>
      </w:r>
      <w:r>
        <w:rPr>
          <w:lang w:val="en-GB"/>
        </w:rPr>
        <w:t xml:space="preserve"> Order 430/18-2-2003 </w:t>
      </w:r>
      <w:r>
        <w:rPr>
          <w:lang w:val="en-US"/>
        </w:rPr>
        <w:t>defines the details for the implementation of the Initiative, as well as an evaluation criterion</w:t>
      </w:r>
      <w:r>
        <w:rPr>
          <w:lang w:val="en-GB"/>
        </w:rPr>
        <w:t xml:space="preserve"> which grants bonus credits to women candidate investors. </w:t>
      </w:r>
    </w:p>
    <w:p w:rsidR="00000000" w:rsidRDefault="00000000">
      <w:pPr>
        <w:pStyle w:val="BodyText"/>
        <w:rPr>
          <w:lang w:val="en-GB"/>
        </w:rPr>
      </w:pPr>
      <w:r>
        <w:tab/>
      </w:r>
      <w:r>
        <w:tab/>
      </w:r>
      <w:r>
        <w:rPr>
          <w:lang w:val="en-US"/>
        </w:rPr>
        <w:t>To</w:t>
      </w:r>
      <w:r>
        <w:rPr>
          <w:lang w:val="en-GB"/>
        </w:rPr>
        <w:t xml:space="preserve"> </w:t>
      </w:r>
      <w:r>
        <w:rPr>
          <w:lang w:val="en-US"/>
        </w:rPr>
        <w:t>evaluate</w:t>
      </w:r>
      <w:r>
        <w:rPr>
          <w:lang w:val="en-GB"/>
        </w:rPr>
        <w:t xml:space="preserve"> </w:t>
      </w:r>
      <w:r>
        <w:rPr>
          <w:lang w:val="en-US"/>
        </w:rPr>
        <w:t>and</w:t>
      </w:r>
      <w:r>
        <w:rPr>
          <w:lang w:val="en-GB"/>
        </w:rPr>
        <w:t xml:space="preserve"> </w:t>
      </w:r>
      <w:r>
        <w:rPr>
          <w:lang w:val="en-US"/>
        </w:rPr>
        <w:t>include</w:t>
      </w:r>
      <w:r>
        <w:rPr>
          <w:lang w:val="en-GB"/>
        </w:rPr>
        <w:t xml:space="preserve"> investment </w:t>
      </w:r>
      <w:r>
        <w:rPr>
          <w:lang w:val="en-US"/>
        </w:rPr>
        <w:t>projects</w:t>
      </w:r>
      <w:r>
        <w:rPr>
          <w:lang w:val="en-GB"/>
        </w:rPr>
        <w:t xml:space="preserve"> </w:t>
      </w:r>
      <w:r>
        <w:rPr>
          <w:lang w:val="en-US"/>
        </w:rPr>
        <w:t>in local Leader</w:t>
      </w:r>
      <w:r>
        <w:rPr>
          <w:lang w:val="en-GB"/>
        </w:rPr>
        <w:t>+ programmes, the following practices of a point- prim for candidate women investors have been adopted:</w:t>
      </w:r>
    </w:p>
    <w:p w:rsidR="00000000" w:rsidRDefault="00000000">
      <w:pPr>
        <w:pStyle w:val="BodyText"/>
        <w:rPr>
          <w:lang w:val="en-GB"/>
        </w:rPr>
      </w:pPr>
      <w:r>
        <w:tab/>
      </w:r>
      <w:r>
        <w:tab/>
      </w:r>
      <w:r>
        <w:rPr>
          <w:lang w:val="en-GB"/>
        </w:rPr>
        <w:t>The Measure concerning the reinforcement of enterprising actions (agro-tourism, small enterprises in agricultural and other sectors of economy and investments related to modern technology), which are of larger financing significance, asks for, evaluates, and grades jobs created by women, in the Candidate Potential Investors File, the Expected Impact on Employment Chapter. In the implementation of this measure, it is expected that 40% of the beneficiaries will be women.</w:t>
      </w:r>
    </w:p>
    <w:p w:rsidR="00000000" w:rsidRDefault="00000000">
      <w:pPr>
        <w:pStyle w:val="BodyText"/>
        <w:rPr>
          <w:color w:val="000000"/>
          <w:lang w:val="en-GB"/>
        </w:rPr>
      </w:pPr>
      <w:r>
        <w:rPr>
          <w:color w:val="000000"/>
        </w:rPr>
        <w:tab/>
      </w:r>
      <w:r>
        <w:rPr>
          <w:color w:val="000000"/>
        </w:rPr>
        <w:tab/>
      </w:r>
      <w:r>
        <w:rPr>
          <w:color w:val="000000"/>
          <w:lang w:val="en-GB"/>
        </w:rPr>
        <w:t xml:space="preserve">The same measure provides for additional points in the evaluation criteria for investment proposals, if the candidate investor is a woman. In the case of companies, co-operatives and associations, the highest number of credits are given, when the percentage of women’s investment in equity capital is higher or equal to 75% and the management is exercised by a woman. </w:t>
      </w:r>
    </w:p>
    <w:p w:rsidR="00000000" w:rsidRDefault="00000000">
      <w:pPr>
        <w:tabs>
          <w:tab w:val="left" w:pos="567"/>
          <w:tab w:val="left" w:pos="1021"/>
          <w:tab w:val="left" w:pos="1474"/>
          <w:tab w:val="left" w:pos="1928"/>
        </w:tabs>
        <w:jc w:val="center"/>
        <w:rPr>
          <w:caps/>
          <w:color w:val="000000"/>
          <w:lang w:val="en-GB"/>
        </w:rPr>
      </w:pPr>
      <w:r>
        <w:rPr>
          <w:caps/>
          <w:color w:val="000000"/>
          <w:lang w:val="en-US"/>
        </w:rPr>
        <w:t>D</w:t>
      </w:r>
      <w:r>
        <w:rPr>
          <w:caps/>
          <w:color w:val="000000"/>
          <w:lang w:val="en-GB"/>
        </w:rPr>
        <w:t xml:space="preserve">. </w:t>
      </w:r>
      <w:r>
        <w:rPr>
          <w:caps/>
          <w:color w:val="000000"/>
          <w:lang w:val="en-US"/>
        </w:rPr>
        <w:t>Measures</w:t>
      </w:r>
      <w:r>
        <w:rPr>
          <w:caps/>
          <w:color w:val="000000"/>
          <w:lang w:val="en-GB"/>
        </w:rPr>
        <w:t>-</w:t>
      </w:r>
      <w:r>
        <w:rPr>
          <w:caps/>
          <w:color w:val="000000"/>
          <w:lang w:val="en-US"/>
        </w:rPr>
        <w:t>Actions</w:t>
      </w:r>
      <w:r>
        <w:rPr>
          <w:caps/>
          <w:color w:val="000000"/>
          <w:lang w:val="en-GB"/>
        </w:rPr>
        <w:t xml:space="preserve"> </w:t>
      </w:r>
      <w:r>
        <w:rPr>
          <w:caps/>
          <w:color w:val="000000"/>
          <w:lang w:val="en-US"/>
        </w:rPr>
        <w:t>in the context of National Programmes</w:t>
      </w:r>
    </w:p>
    <w:p w:rsidR="00000000" w:rsidRDefault="00000000">
      <w:pPr>
        <w:pStyle w:val="BodyText"/>
        <w:rPr>
          <w:lang w:val="en-GB"/>
        </w:rPr>
      </w:pPr>
      <w:r>
        <w:tab/>
      </w:r>
      <w:r>
        <w:rPr>
          <w:lang w:val="en-US"/>
        </w:rPr>
        <w:t>The</w:t>
      </w:r>
      <w:r>
        <w:rPr>
          <w:lang w:val="en-GB"/>
        </w:rPr>
        <w:t xml:space="preserve"> Document </w:t>
      </w:r>
      <w:r>
        <w:rPr>
          <w:lang w:val="en-US"/>
        </w:rPr>
        <w:t>of</w:t>
      </w:r>
      <w:r>
        <w:rPr>
          <w:lang w:val="en-GB"/>
        </w:rPr>
        <w:t xml:space="preserve"> </w:t>
      </w:r>
      <w:r>
        <w:rPr>
          <w:lang w:val="en-US"/>
        </w:rPr>
        <w:t>Agricultural</w:t>
      </w:r>
      <w:r>
        <w:rPr>
          <w:lang w:val="en-GB"/>
        </w:rPr>
        <w:t xml:space="preserve"> </w:t>
      </w:r>
      <w:r>
        <w:rPr>
          <w:lang w:val="en-US"/>
        </w:rPr>
        <w:t>Development</w:t>
      </w:r>
      <w:r>
        <w:rPr>
          <w:lang w:val="en-GB"/>
        </w:rPr>
        <w:t xml:space="preserve"> Planning </w:t>
      </w:r>
      <w:r>
        <w:rPr>
          <w:lang w:val="en-US"/>
        </w:rPr>
        <w:t>for the Environment</w:t>
      </w:r>
      <w:r>
        <w:rPr>
          <w:lang w:val="en-GB"/>
        </w:rPr>
        <w:t xml:space="preserve"> 2000-2006 (</w:t>
      </w:r>
      <w:r>
        <w:rPr>
          <w:lang w:val="en-US"/>
        </w:rPr>
        <w:t>European Commission Decision</w:t>
      </w:r>
      <w:r>
        <w:rPr>
          <w:lang w:val="en-GB"/>
        </w:rPr>
        <w:t xml:space="preserve"> </w:t>
      </w:r>
      <w:r>
        <w:t>Ε</w:t>
      </w:r>
      <w:r>
        <w:rPr>
          <w:lang w:val="en-GB"/>
        </w:rPr>
        <w:t xml:space="preserve"> (2000) 2733/27-9-2003) </w:t>
      </w:r>
      <w:r>
        <w:rPr>
          <w:lang w:val="en-US"/>
        </w:rPr>
        <w:t>offers a bonus of 3 credits to the participation of women,</w:t>
      </w:r>
      <w:r>
        <w:rPr>
          <w:lang w:val="en-GB"/>
        </w:rPr>
        <w:t xml:space="preserve"> who: </w:t>
      </w:r>
    </w:p>
    <w:p w:rsidR="00000000" w:rsidRDefault="00000000">
      <w:pPr>
        <w:pStyle w:val="18-8"/>
        <w:rPr>
          <w:lang w:val="en-GB"/>
        </w:rPr>
      </w:pPr>
      <w:r>
        <w:sym w:font="Symbol" w:char="F0B7"/>
      </w:r>
      <w:r>
        <w:tab/>
      </w:r>
      <w:r>
        <w:rPr>
          <w:lang w:val="en-US"/>
        </w:rPr>
        <w:t>undertake</w:t>
      </w:r>
      <w:r>
        <w:rPr>
          <w:lang w:val="en-GB"/>
        </w:rPr>
        <w:t xml:space="preserve"> </w:t>
      </w:r>
      <w:r>
        <w:rPr>
          <w:lang w:val="en-US"/>
        </w:rPr>
        <w:t>the</w:t>
      </w:r>
      <w:r>
        <w:rPr>
          <w:lang w:val="en-GB"/>
        </w:rPr>
        <w:t xml:space="preserve"> </w:t>
      </w:r>
      <w:r>
        <w:rPr>
          <w:lang w:val="en-US"/>
        </w:rPr>
        <w:t>obligation</w:t>
      </w:r>
      <w:r>
        <w:rPr>
          <w:lang w:val="en-GB"/>
        </w:rPr>
        <w:t xml:space="preserve"> </w:t>
      </w:r>
      <w:r>
        <w:rPr>
          <w:lang w:val="en-US"/>
        </w:rPr>
        <w:t>to</w:t>
      </w:r>
      <w:r>
        <w:rPr>
          <w:lang w:val="en-GB"/>
        </w:rPr>
        <w:t xml:space="preserve"> </w:t>
      </w:r>
      <w:r>
        <w:rPr>
          <w:lang w:val="en-US"/>
        </w:rPr>
        <w:t>reduce</w:t>
      </w:r>
      <w:r>
        <w:rPr>
          <w:lang w:val="en-GB"/>
        </w:rPr>
        <w:t xml:space="preserve"> </w:t>
      </w:r>
      <w:r>
        <w:rPr>
          <w:lang w:val="en-US"/>
        </w:rPr>
        <w:t>the</w:t>
      </w:r>
      <w:r>
        <w:rPr>
          <w:lang w:val="en-GB"/>
        </w:rPr>
        <w:t xml:space="preserve"> </w:t>
      </w:r>
      <w:r>
        <w:rPr>
          <w:lang w:val="en-US"/>
        </w:rPr>
        <w:t>applied</w:t>
      </w:r>
      <w:r>
        <w:rPr>
          <w:lang w:val="en-GB"/>
        </w:rPr>
        <w:t xml:space="preserve"> </w:t>
      </w:r>
      <w:r>
        <w:rPr>
          <w:lang w:val="en-US"/>
        </w:rPr>
        <w:t>quantity</w:t>
      </w:r>
      <w:r>
        <w:rPr>
          <w:lang w:val="en-GB"/>
        </w:rPr>
        <w:t xml:space="preserve"> </w:t>
      </w:r>
      <w:r>
        <w:rPr>
          <w:lang w:val="en-US"/>
        </w:rPr>
        <w:t>of</w:t>
      </w:r>
      <w:r>
        <w:rPr>
          <w:lang w:val="en-GB"/>
        </w:rPr>
        <w:t xml:space="preserve"> </w:t>
      </w:r>
      <w:r>
        <w:rPr>
          <w:lang w:val="en-US"/>
        </w:rPr>
        <w:t>water</w:t>
      </w:r>
      <w:r>
        <w:rPr>
          <w:lang w:val="en-GB"/>
        </w:rPr>
        <w:t xml:space="preserve"> </w:t>
      </w:r>
      <w:r>
        <w:rPr>
          <w:lang w:val="en-US"/>
        </w:rPr>
        <w:t>or</w:t>
      </w:r>
      <w:r>
        <w:rPr>
          <w:lang w:val="en-GB"/>
        </w:rPr>
        <w:t xml:space="preserve"> </w:t>
      </w:r>
      <w:r>
        <w:rPr>
          <w:lang w:val="en-US"/>
        </w:rPr>
        <w:t>nitrate</w:t>
      </w:r>
      <w:r>
        <w:rPr>
          <w:lang w:val="en-GB"/>
        </w:rPr>
        <w:t xml:space="preserve"> from 20% -50%, by means of fallow or crop rotation, or participate in the implementation of programmes as </w:t>
      </w:r>
    </w:p>
    <w:p w:rsidR="00000000" w:rsidRDefault="00000000">
      <w:pPr>
        <w:pStyle w:val="26-8"/>
        <w:rPr>
          <w:lang w:val="en-GB"/>
        </w:rPr>
      </w:pPr>
      <w:r>
        <w:rPr>
          <w:lang w:val="en-GB"/>
        </w:rPr>
        <w:t>–</w:t>
      </w:r>
      <w:r>
        <w:rPr>
          <w:lang w:val="en-GB"/>
        </w:rPr>
        <w:tab/>
        <w:t>“</w:t>
      </w:r>
      <w:r>
        <w:rPr>
          <w:lang w:val="en-US"/>
        </w:rPr>
        <w:t xml:space="preserve">Programme of managing lakes and </w:t>
      </w:r>
      <w:r>
        <w:rPr>
          <w:lang w:val="en-GB"/>
        </w:rPr>
        <w:t xml:space="preserve">lagoons in Thrace. Areas of the </w:t>
      </w:r>
      <w:r>
        <w:rPr>
          <w:lang w:val="en-US"/>
        </w:rPr>
        <w:t>NATURA</w:t>
      </w:r>
      <w:r>
        <w:rPr>
          <w:lang w:val="en-GB"/>
        </w:rPr>
        <w:t xml:space="preserve"> Network 2000: </w:t>
      </w:r>
      <w:r>
        <w:rPr>
          <w:lang w:val="en-US"/>
        </w:rPr>
        <w:t>The river</w:t>
      </w:r>
      <w:r>
        <w:rPr>
          <w:lang w:val="en-GB"/>
        </w:rPr>
        <w:t xml:space="preserve"> </w:t>
      </w:r>
      <w:r>
        <w:rPr>
          <w:lang w:val="en-US"/>
        </w:rPr>
        <w:t>Nestos delta</w:t>
      </w:r>
      <w:r>
        <w:rPr>
          <w:lang w:val="en-GB"/>
        </w:rPr>
        <w:t xml:space="preserve"> and Keramoti lagoon (</w:t>
      </w:r>
      <w:r>
        <w:t>Α</w:t>
      </w:r>
      <w:r>
        <w:rPr>
          <w:lang w:val="en-GB"/>
        </w:rPr>
        <w:t>11500010)” and “Lakes and lagoons of Thrace (A11300009)</w:t>
      </w:r>
    </w:p>
    <w:p w:rsidR="00000000" w:rsidRDefault="00000000">
      <w:pPr>
        <w:pStyle w:val="26-8"/>
        <w:rPr>
          <w:lang w:val="en-GB"/>
        </w:rPr>
      </w:pPr>
      <w:r>
        <w:rPr>
          <w:lang w:val="en-GB"/>
        </w:rPr>
        <w:t>–</w:t>
      </w:r>
      <w:r>
        <w:rPr>
          <w:lang w:val="en-GB"/>
        </w:rPr>
        <w:tab/>
        <w:t>“</w:t>
      </w:r>
      <w:r>
        <w:rPr>
          <w:lang w:val="en-US"/>
        </w:rPr>
        <w:t>Programme</w:t>
      </w:r>
      <w:r>
        <w:rPr>
          <w:lang w:val="en-GB"/>
        </w:rPr>
        <w:t xml:space="preserve"> </w:t>
      </w:r>
      <w:r>
        <w:rPr>
          <w:lang w:val="en-US"/>
        </w:rPr>
        <w:t>of</w:t>
      </w:r>
      <w:r>
        <w:rPr>
          <w:lang w:val="en-GB"/>
        </w:rPr>
        <w:t xml:space="preserve"> </w:t>
      </w:r>
      <w:r>
        <w:rPr>
          <w:lang w:val="en-US"/>
        </w:rPr>
        <w:t>managing</w:t>
      </w:r>
      <w:r>
        <w:rPr>
          <w:lang w:val="en-GB"/>
        </w:rPr>
        <w:t xml:space="preserve"> </w:t>
      </w:r>
      <w:r>
        <w:rPr>
          <w:lang w:val="en-US"/>
        </w:rPr>
        <w:t>lakeside</w:t>
      </w:r>
      <w:r>
        <w:rPr>
          <w:lang w:val="en-GB"/>
        </w:rPr>
        <w:t xml:space="preserve"> </w:t>
      </w:r>
      <w:r>
        <w:rPr>
          <w:lang w:val="en-US"/>
        </w:rPr>
        <w:t>grounds in the area of the NATURA</w:t>
      </w:r>
      <w:r>
        <w:rPr>
          <w:lang w:val="en-GB"/>
        </w:rPr>
        <w:t xml:space="preserve"> </w:t>
      </w:r>
      <w:r>
        <w:rPr>
          <w:lang w:val="en-US"/>
        </w:rPr>
        <w:t>Network</w:t>
      </w:r>
      <w:r>
        <w:rPr>
          <w:lang w:val="en-GB"/>
        </w:rPr>
        <w:t xml:space="preserve"> 2000: “Volvi – Koroneia lakes (</w:t>
      </w:r>
      <w:r>
        <w:t>Α</w:t>
      </w:r>
      <w:r>
        <w:rPr>
          <w:lang w:val="en-GB"/>
        </w:rPr>
        <w:t xml:space="preserve"> 12200001)”.</w:t>
      </w:r>
    </w:p>
    <w:p w:rsidR="00000000" w:rsidRDefault="00000000">
      <w:pPr>
        <w:tabs>
          <w:tab w:val="left" w:pos="567"/>
          <w:tab w:val="left" w:pos="1021"/>
          <w:tab w:val="left" w:pos="1474"/>
          <w:tab w:val="left" w:pos="1928"/>
        </w:tabs>
        <w:jc w:val="center"/>
        <w:rPr>
          <w:b/>
          <w:i/>
          <w:lang w:val="en-GB"/>
        </w:rPr>
      </w:pPr>
      <w:r>
        <w:rPr>
          <w:color w:val="000000"/>
          <w:lang w:val="en-GB"/>
        </w:rPr>
        <w:br w:type="page"/>
      </w:r>
      <w:r>
        <w:rPr>
          <w:b/>
          <w:i/>
          <w:lang w:val="en-US"/>
        </w:rPr>
        <w:t>APPENDIX</w:t>
      </w:r>
    </w:p>
    <w:p w:rsidR="00000000" w:rsidRDefault="00000000">
      <w:pPr>
        <w:tabs>
          <w:tab w:val="left" w:pos="567"/>
          <w:tab w:val="left" w:pos="1021"/>
          <w:tab w:val="left" w:pos="1474"/>
          <w:tab w:val="left" w:pos="1928"/>
        </w:tabs>
        <w:jc w:val="center"/>
        <w:rPr>
          <w:b/>
          <w:lang w:val="en-US"/>
        </w:rPr>
      </w:pPr>
      <w:r>
        <w:rPr>
          <w:b/>
          <w:lang w:val="en-US"/>
        </w:rPr>
        <w:t>LIST OF INSTITUTIONS THAT PROVIDED DATA FOR THE 6</w:t>
      </w:r>
      <w:r>
        <w:rPr>
          <w:b/>
          <w:vertAlign w:val="superscript"/>
          <w:lang w:val="en-US"/>
        </w:rPr>
        <w:t>TH</w:t>
      </w:r>
      <w:r>
        <w:rPr>
          <w:b/>
          <w:lang w:val="en-US"/>
        </w:rPr>
        <w:t xml:space="preserve"> NATIONAL REPORT TO THE COMMITTEE ON THE ELIMINATION OF DISCRIMINATION AGAINST WOMEN</w:t>
      </w:r>
    </w:p>
    <w:p w:rsidR="00000000" w:rsidRDefault="00000000">
      <w:pPr>
        <w:numPr>
          <w:ilvl w:val="0"/>
          <w:numId w:val="385"/>
        </w:numPr>
        <w:tabs>
          <w:tab w:val="clear" w:pos="360"/>
          <w:tab w:val="left" w:pos="567"/>
          <w:tab w:val="left" w:pos="1021"/>
          <w:tab w:val="left" w:pos="1474"/>
          <w:tab w:val="left" w:pos="1928"/>
        </w:tabs>
        <w:ind w:left="567" w:hanging="567"/>
        <w:jc w:val="left"/>
        <w:rPr>
          <w:lang w:val="en-US"/>
        </w:rPr>
      </w:pPr>
      <w:r>
        <w:rPr>
          <w:lang w:val="en-US"/>
        </w:rPr>
        <w:t>MINISTRY OF THE INTERIOR, PUBLIC ADMINISTRATION AND DECENTRALIZATION</w:t>
      </w:r>
    </w:p>
    <w:p w:rsidR="00000000" w:rsidRDefault="00000000">
      <w:pPr>
        <w:numPr>
          <w:ilvl w:val="0"/>
          <w:numId w:val="385"/>
        </w:numPr>
        <w:tabs>
          <w:tab w:val="clear" w:pos="360"/>
          <w:tab w:val="left" w:pos="567"/>
          <w:tab w:val="left" w:pos="1021"/>
          <w:tab w:val="left" w:pos="1474"/>
          <w:tab w:val="left" w:pos="1928"/>
        </w:tabs>
        <w:ind w:left="567" w:hanging="567"/>
        <w:jc w:val="left"/>
        <w:rPr>
          <w:lang w:val="en-US"/>
        </w:rPr>
      </w:pPr>
      <w:r>
        <w:rPr>
          <w:lang w:val="en-US"/>
        </w:rPr>
        <w:t>MINISTRY OF FOREIGN AFFAIRS</w:t>
      </w:r>
    </w:p>
    <w:p w:rsidR="00000000" w:rsidRDefault="00000000">
      <w:pPr>
        <w:numPr>
          <w:ilvl w:val="0"/>
          <w:numId w:val="385"/>
        </w:numPr>
        <w:tabs>
          <w:tab w:val="clear" w:pos="360"/>
          <w:tab w:val="left" w:pos="567"/>
          <w:tab w:val="left" w:pos="1021"/>
          <w:tab w:val="left" w:pos="1474"/>
          <w:tab w:val="left" w:pos="1928"/>
        </w:tabs>
        <w:ind w:left="567" w:hanging="567"/>
        <w:jc w:val="left"/>
        <w:rPr>
          <w:lang w:val="en-US"/>
        </w:rPr>
      </w:pPr>
      <w:r>
        <w:rPr>
          <w:lang w:val="en-US"/>
        </w:rPr>
        <w:t>MINISTRY OF NATIONAL DEFENSE</w:t>
      </w:r>
    </w:p>
    <w:p w:rsidR="00000000" w:rsidRDefault="00000000">
      <w:pPr>
        <w:numPr>
          <w:ilvl w:val="0"/>
          <w:numId w:val="385"/>
        </w:numPr>
        <w:tabs>
          <w:tab w:val="clear" w:pos="360"/>
          <w:tab w:val="left" w:pos="567"/>
          <w:tab w:val="left" w:pos="1021"/>
          <w:tab w:val="left" w:pos="1474"/>
          <w:tab w:val="left" w:pos="1928"/>
        </w:tabs>
        <w:ind w:left="567" w:hanging="567"/>
        <w:jc w:val="left"/>
        <w:rPr>
          <w:lang w:val="en-US"/>
        </w:rPr>
      </w:pPr>
      <w:r>
        <w:rPr>
          <w:lang w:val="en-US"/>
        </w:rPr>
        <w:t>MINISTRY FOR THE ENVIRONMENT, PHYSICAL PLANNING AND PUBLIC WORKS</w:t>
      </w:r>
    </w:p>
    <w:p w:rsidR="00000000" w:rsidRDefault="00000000">
      <w:pPr>
        <w:numPr>
          <w:ilvl w:val="0"/>
          <w:numId w:val="385"/>
        </w:numPr>
        <w:tabs>
          <w:tab w:val="clear" w:pos="360"/>
          <w:tab w:val="left" w:pos="567"/>
          <w:tab w:val="left" w:pos="1021"/>
          <w:tab w:val="left" w:pos="1474"/>
          <w:tab w:val="left" w:pos="1928"/>
        </w:tabs>
        <w:ind w:left="567" w:hanging="567"/>
        <w:jc w:val="left"/>
        <w:rPr>
          <w:lang w:val="en-US"/>
        </w:rPr>
      </w:pPr>
      <w:r>
        <w:rPr>
          <w:lang w:val="en-US"/>
        </w:rPr>
        <w:t>MINISTRY FOR NATIONAL EDUCATION AND RELIGIOUS AFFAIRS</w:t>
      </w:r>
    </w:p>
    <w:p w:rsidR="00000000" w:rsidRDefault="00000000">
      <w:pPr>
        <w:numPr>
          <w:ilvl w:val="0"/>
          <w:numId w:val="385"/>
        </w:numPr>
        <w:tabs>
          <w:tab w:val="clear" w:pos="360"/>
          <w:tab w:val="left" w:pos="567"/>
          <w:tab w:val="left" w:pos="1021"/>
          <w:tab w:val="left" w:pos="1474"/>
          <w:tab w:val="left" w:pos="1928"/>
        </w:tabs>
        <w:ind w:left="567" w:hanging="567"/>
        <w:jc w:val="left"/>
        <w:rPr>
          <w:lang w:val="en-US"/>
        </w:rPr>
      </w:pPr>
      <w:r>
        <w:rPr>
          <w:lang w:val="en-US"/>
        </w:rPr>
        <w:t>MINISTRY OF EMPLOYMENT AND SOCIAL PROTECTION</w:t>
      </w:r>
    </w:p>
    <w:p w:rsidR="00000000" w:rsidRDefault="00000000">
      <w:pPr>
        <w:numPr>
          <w:ilvl w:val="0"/>
          <w:numId w:val="385"/>
        </w:numPr>
        <w:tabs>
          <w:tab w:val="clear" w:pos="360"/>
          <w:tab w:val="left" w:pos="567"/>
          <w:tab w:val="left" w:pos="1021"/>
          <w:tab w:val="left" w:pos="1474"/>
          <w:tab w:val="left" w:pos="1928"/>
        </w:tabs>
        <w:ind w:left="567" w:hanging="567"/>
        <w:jc w:val="left"/>
        <w:rPr>
          <w:lang w:val="en-US"/>
        </w:rPr>
      </w:pPr>
      <w:r>
        <w:rPr>
          <w:lang w:val="en-US"/>
        </w:rPr>
        <w:t>MINISTRY OF HEALTH AND WELFARE</w:t>
      </w:r>
    </w:p>
    <w:p w:rsidR="00000000" w:rsidRDefault="00000000">
      <w:pPr>
        <w:numPr>
          <w:ilvl w:val="0"/>
          <w:numId w:val="385"/>
        </w:numPr>
        <w:tabs>
          <w:tab w:val="clear" w:pos="360"/>
          <w:tab w:val="left" w:pos="567"/>
          <w:tab w:val="left" w:pos="1021"/>
          <w:tab w:val="left" w:pos="1474"/>
          <w:tab w:val="left" w:pos="1928"/>
        </w:tabs>
        <w:ind w:left="567" w:hanging="567"/>
        <w:jc w:val="left"/>
        <w:rPr>
          <w:lang w:val="en-US"/>
        </w:rPr>
      </w:pPr>
      <w:r>
        <w:rPr>
          <w:lang w:val="en-US"/>
        </w:rPr>
        <w:t>MINISTRY OF RURAL DEVELOPMENT AND FOOD</w:t>
      </w:r>
    </w:p>
    <w:p w:rsidR="00000000" w:rsidRDefault="00000000">
      <w:pPr>
        <w:numPr>
          <w:ilvl w:val="0"/>
          <w:numId w:val="385"/>
        </w:numPr>
        <w:tabs>
          <w:tab w:val="clear" w:pos="360"/>
          <w:tab w:val="left" w:pos="567"/>
          <w:tab w:val="left" w:pos="1021"/>
          <w:tab w:val="left" w:pos="1474"/>
          <w:tab w:val="left" w:pos="1928"/>
        </w:tabs>
        <w:ind w:left="567" w:hanging="567"/>
        <w:jc w:val="left"/>
        <w:rPr>
          <w:lang w:val="en-US"/>
        </w:rPr>
      </w:pPr>
      <w:r>
        <w:rPr>
          <w:lang w:val="en-US"/>
        </w:rPr>
        <w:t>MINISTRY OF JUSTICE</w:t>
      </w:r>
    </w:p>
    <w:p w:rsidR="00000000" w:rsidRDefault="00000000">
      <w:pPr>
        <w:numPr>
          <w:ilvl w:val="0"/>
          <w:numId w:val="385"/>
        </w:numPr>
        <w:tabs>
          <w:tab w:val="clear" w:pos="360"/>
          <w:tab w:val="left" w:pos="567"/>
          <w:tab w:val="left" w:pos="1021"/>
          <w:tab w:val="left" w:pos="1474"/>
          <w:tab w:val="left" w:pos="1928"/>
        </w:tabs>
        <w:ind w:left="567" w:hanging="567"/>
        <w:jc w:val="left"/>
        <w:rPr>
          <w:lang w:val="en-US"/>
        </w:rPr>
      </w:pPr>
      <w:r>
        <w:rPr>
          <w:lang w:val="en-US"/>
        </w:rPr>
        <w:t>MINISTRY OF PUBLIC ORDER</w:t>
      </w:r>
    </w:p>
    <w:p w:rsidR="00000000" w:rsidRDefault="00000000">
      <w:pPr>
        <w:numPr>
          <w:ilvl w:val="0"/>
          <w:numId w:val="385"/>
        </w:numPr>
        <w:tabs>
          <w:tab w:val="clear" w:pos="360"/>
          <w:tab w:val="left" w:pos="567"/>
          <w:tab w:val="left" w:pos="1021"/>
          <w:tab w:val="left" w:pos="1474"/>
          <w:tab w:val="left" w:pos="1928"/>
        </w:tabs>
        <w:ind w:left="567" w:hanging="567"/>
        <w:jc w:val="left"/>
        <w:rPr>
          <w:lang w:val="en-US"/>
        </w:rPr>
      </w:pPr>
      <w:r>
        <w:rPr>
          <w:lang w:val="en-US"/>
        </w:rPr>
        <w:t>GENERAL SECRETARIAT FOR COMMUNICATION</w:t>
      </w:r>
    </w:p>
    <w:p w:rsidR="00000000" w:rsidRDefault="00000000">
      <w:pPr>
        <w:numPr>
          <w:ilvl w:val="0"/>
          <w:numId w:val="385"/>
        </w:numPr>
        <w:tabs>
          <w:tab w:val="clear" w:pos="360"/>
          <w:tab w:val="left" w:pos="567"/>
          <w:tab w:val="left" w:pos="1021"/>
          <w:tab w:val="left" w:pos="1474"/>
          <w:tab w:val="left" w:pos="1928"/>
        </w:tabs>
        <w:ind w:left="567" w:hanging="567"/>
        <w:jc w:val="left"/>
        <w:rPr>
          <w:lang w:val="en-US"/>
        </w:rPr>
      </w:pPr>
      <w:r>
        <w:rPr>
          <w:lang w:val="en-US"/>
        </w:rPr>
        <w:t>GENERAL SECRETARIAT OF NATIONAL STATISTICAL SERVICE OF GREECE</w:t>
      </w:r>
    </w:p>
    <w:p w:rsidR="00000000" w:rsidRDefault="00000000">
      <w:pPr>
        <w:numPr>
          <w:ilvl w:val="0"/>
          <w:numId w:val="385"/>
        </w:numPr>
        <w:tabs>
          <w:tab w:val="clear" w:pos="360"/>
          <w:tab w:val="left" w:pos="567"/>
          <w:tab w:val="left" w:pos="1021"/>
          <w:tab w:val="left" w:pos="1474"/>
          <w:tab w:val="left" w:pos="1928"/>
        </w:tabs>
        <w:ind w:left="567" w:hanging="567"/>
        <w:jc w:val="left"/>
        <w:rPr>
          <w:lang w:val="en-US"/>
        </w:rPr>
      </w:pPr>
      <w:r>
        <w:rPr>
          <w:lang w:val="en-US"/>
        </w:rPr>
        <w:t>GENERAL SECRETARIAT FOR YOUTH</w:t>
      </w:r>
    </w:p>
    <w:p w:rsidR="00000000" w:rsidRDefault="00000000">
      <w:pPr>
        <w:numPr>
          <w:ilvl w:val="0"/>
          <w:numId w:val="385"/>
        </w:numPr>
        <w:tabs>
          <w:tab w:val="clear" w:pos="360"/>
          <w:tab w:val="left" w:pos="567"/>
          <w:tab w:val="left" w:pos="1021"/>
          <w:tab w:val="left" w:pos="1474"/>
          <w:tab w:val="left" w:pos="1928"/>
        </w:tabs>
        <w:ind w:left="567" w:hanging="567"/>
        <w:jc w:val="left"/>
        <w:rPr>
          <w:lang w:val="en-US"/>
        </w:rPr>
      </w:pPr>
      <w:r>
        <w:rPr>
          <w:lang w:val="en-US"/>
        </w:rPr>
        <w:t>GENERAL SECRETARIAT FOR ADULT EDUCATION</w:t>
      </w:r>
    </w:p>
    <w:p w:rsidR="00000000" w:rsidRDefault="00000000">
      <w:pPr>
        <w:numPr>
          <w:ilvl w:val="0"/>
          <w:numId w:val="385"/>
        </w:numPr>
        <w:tabs>
          <w:tab w:val="clear" w:pos="360"/>
          <w:tab w:val="left" w:pos="567"/>
          <w:tab w:val="left" w:pos="1021"/>
          <w:tab w:val="left" w:pos="1474"/>
          <w:tab w:val="left" w:pos="1928"/>
        </w:tabs>
        <w:ind w:left="567" w:hanging="567"/>
        <w:jc w:val="left"/>
        <w:rPr>
          <w:lang w:val="en-US"/>
        </w:rPr>
      </w:pPr>
      <w:r>
        <w:rPr>
          <w:lang w:val="en-US"/>
        </w:rPr>
        <w:t>AGRICULTURAL INSURANCE ORGANIZATION</w:t>
      </w:r>
    </w:p>
    <w:p w:rsidR="00000000" w:rsidRDefault="00000000">
      <w:pPr>
        <w:numPr>
          <w:ilvl w:val="0"/>
          <w:numId w:val="385"/>
        </w:numPr>
        <w:tabs>
          <w:tab w:val="clear" w:pos="360"/>
          <w:tab w:val="left" w:pos="567"/>
          <w:tab w:val="left" w:pos="1021"/>
          <w:tab w:val="left" w:pos="1474"/>
          <w:tab w:val="left" w:pos="1928"/>
        </w:tabs>
        <w:ind w:left="567" w:hanging="567"/>
        <w:jc w:val="left"/>
        <w:rPr>
          <w:lang w:val="en-US"/>
        </w:rPr>
      </w:pPr>
      <w:r>
        <w:rPr>
          <w:lang w:val="en-US"/>
        </w:rPr>
        <w:t>AGRICULTURAL VOCATIONAL EDUCATION, TRAINING AND EMPLOYMENT ORGANIZATION “DIMITRA”</w:t>
      </w:r>
    </w:p>
    <w:p w:rsidR="00000000" w:rsidRDefault="00000000">
      <w:pPr>
        <w:numPr>
          <w:ilvl w:val="0"/>
          <w:numId w:val="385"/>
        </w:numPr>
        <w:tabs>
          <w:tab w:val="clear" w:pos="360"/>
          <w:tab w:val="left" w:pos="567"/>
          <w:tab w:val="left" w:pos="1021"/>
          <w:tab w:val="left" w:pos="1474"/>
          <w:tab w:val="left" w:pos="1928"/>
        </w:tabs>
        <w:ind w:left="567" w:hanging="567"/>
        <w:jc w:val="left"/>
        <w:rPr>
          <w:caps/>
          <w:lang w:val="en-US"/>
        </w:rPr>
      </w:pPr>
      <w:r>
        <w:rPr>
          <w:caps/>
          <w:lang w:val="en-US"/>
        </w:rPr>
        <w:t>areteion hospital</w:t>
      </w:r>
    </w:p>
    <w:p w:rsidR="00000000" w:rsidRDefault="00000000">
      <w:pPr>
        <w:numPr>
          <w:ilvl w:val="0"/>
          <w:numId w:val="385"/>
        </w:numPr>
        <w:tabs>
          <w:tab w:val="clear" w:pos="360"/>
          <w:tab w:val="left" w:pos="567"/>
          <w:tab w:val="left" w:pos="1021"/>
          <w:tab w:val="left" w:pos="1474"/>
          <w:tab w:val="left" w:pos="1928"/>
        </w:tabs>
        <w:ind w:left="567" w:hanging="567"/>
        <w:jc w:val="left"/>
        <w:rPr>
          <w:caps/>
          <w:lang w:val="en-US"/>
        </w:rPr>
      </w:pPr>
      <w:r>
        <w:rPr>
          <w:caps/>
          <w:lang w:val="en-US"/>
        </w:rPr>
        <w:t>athens news agency</w:t>
      </w:r>
    </w:p>
    <w:p w:rsidR="00000000" w:rsidRDefault="00000000">
      <w:pPr>
        <w:numPr>
          <w:ilvl w:val="0"/>
          <w:numId w:val="385"/>
        </w:numPr>
        <w:tabs>
          <w:tab w:val="clear" w:pos="360"/>
          <w:tab w:val="left" w:pos="567"/>
          <w:tab w:val="left" w:pos="1021"/>
          <w:tab w:val="left" w:pos="1474"/>
          <w:tab w:val="left" w:pos="1928"/>
        </w:tabs>
        <w:ind w:left="567" w:hanging="567"/>
        <w:jc w:val="left"/>
        <w:rPr>
          <w:lang w:val="en-US"/>
        </w:rPr>
      </w:pPr>
      <w:r>
        <w:rPr>
          <w:lang w:val="en-US"/>
        </w:rPr>
        <w:t>ECONOMIC AND SOCIAL COUNCIL OF GREECE</w:t>
      </w:r>
    </w:p>
    <w:p w:rsidR="00000000" w:rsidRDefault="00000000">
      <w:pPr>
        <w:numPr>
          <w:ilvl w:val="0"/>
          <w:numId w:val="385"/>
        </w:numPr>
        <w:tabs>
          <w:tab w:val="clear" w:pos="360"/>
          <w:tab w:val="left" w:pos="567"/>
          <w:tab w:val="left" w:pos="1021"/>
          <w:tab w:val="left" w:pos="1474"/>
          <w:tab w:val="left" w:pos="1928"/>
        </w:tabs>
        <w:ind w:left="567" w:hanging="567"/>
        <w:jc w:val="left"/>
        <w:rPr>
          <w:lang w:val="en-US"/>
        </w:rPr>
      </w:pPr>
      <w:r>
        <w:rPr>
          <w:lang w:val="en-US"/>
        </w:rPr>
        <w:t>HELLENIC AUDIOVISUAL INSTITUTE</w:t>
      </w:r>
    </w:p>
    <w:p w:rsidR="00000000" w:rsidRDefault="00000000">
      <w:pPr>
        <w:numPr>
          <w:ilvl w:val="0"/>
          <w:numId w:val="385"/>
        </w:numPr>
        <w:tabs>
          <w:tab w:val="clear" w:pos="360"/>
          <w:tab w:val="left" w:pos="567"/>
          <w:tab w:val="left" w:pos="1021"/>
          <w:tab w:val="left" w:pos="1474"/>
          <w:tab w:val="left" w:pos="1928"/>
        </w:tabs>
        <w:ind w:left="567" w:hanging="567"/>
        <w:jc w:val="left"/>
        <w:rPr>
          <w:caps/>
          <w:lang w:val="en-US"/>
        </w:rPr>
      </w:pPr>
      <w:r>
        <w:rPr>
          <w:caps/>
          <w:lang w:val="en-US"/>
        </w:rPr>
        <w:t>hellenic broadcasting corporation</w:t>
      </w:r>
    </w:p>
    <w:p w:rsidR="00000000" w:rsidRDefault="00000000">
      <w:pPr>
        <w:numPr>
          <w:ilvl w:val="0"/>
          <w:numId w:val="385"/>
        </w:numPr>
        <w:tabs>
          <w:tab w:val="clear" w:pos="360"/>
          <w:tab w:val="left" w:pos="567"/>
          <w:tab w:val="left" w:pos="1021"/>
          <w:tab w:val="left" w:pos="1474"/>
          <w:tab w:val="left" w:pos="1928"/>
        </w:tabs>
        <w:ind w:left="567" w:hanging="567"/>
        <w:jc w:val="left"/>
        <w:rPr>
          <w:lang w:val="en-US"/>
        </w:rPr>
      </w:pPr>
      <w:r>
        <w:rPr>
          <w:lang w:val="en-US"/>
        </w:rPr>
        <w:t>HELLENIC CENTRE FOR INFECTIOUS DISEASES CONTROL</w:t>
      </w:r>
    </w:p>
    <w:p w:rsidR="00000000" w:rsidRDefault="00000000">
      <w:pPr>
        <w:numPr>
          <w:ilvl w:val="0"/>
          <w:numId w:val="385"/>
        </w:numPr>
        <w:tabs>
          <w:tab w:val="clear" w:pos="360"/>
          <w:tab w:val="left" w:pos="567"/>
          <w:tab w:val="left" w:pos="1021"/>
          <w:tab w:val="left" w:pos="1474"/>
          <w:tab w:val="left" w:pos="1928"/>
        </w:tabs>
        <w:ind w:left="567" w:hanging="567"/>
        <w:jc w:val="left"/>
        <w:rPr>
          <w:lang w:val="en-US"/>
        </w:rPr>
      </w:pPr>
      <w:r>
        <w:rPr>
          <w:lang w:val="en-US"/>
        </w:rPr>
        <w:t>INSTITUTE OF CONTINUOUS ADULT EDUCATION</w:t>
      </w:r>
    </w:p>
    <w:p w:rsidR="00000000" w:rsidRDefault="00000000">
      <w:pPr>
        <w:numPr>
          <w:ilvl w:val="0"/>
          <w:numId w:val="385"/>
        </w:numPr>
        <w:tabs>
          <w:tab w:val="clear" w:pos="360"/>
          <w:tab w:val="left" w:pos="567"/>
          <w:tab w:val="left" w:pos="1021"/>
          <w:tab w:val="left" w:pos="1474"/>
          <w:tab w:val="left" w:pos="1928"/>
        </w:tabs>
        <w:ind w:left="567" w:hanging="567"/>
        <w:jc w:val="left"/>
        <w:rPr>
          <w:caps/>
          <w:lang w:val="en-US"/>
        </w:rPr>
      </w:pPr>
      <w:r>
        <w:rPr>
          <w:caps/>
          <w:lang w:val="en-US"/>
        </w:rPr>
        <w:t>medical school of athens – centre for research and prevention of injuries among the young</w:t>
      </w:r>
    </w:p>
    <w:p w:rsidR="00000000" w:rsidRDefault="00000000">
      <w:pPr>
        <w:numPr>
          <w:ilvl w:val="0"/>
          <w:numId w:val="385"/>
        </w:numPr>
        <w:tabs>
          <w:tab w:val="clear" w:pos="360"/>
          <w:tab w:val="left" w:pos="567"/>
          <w:tab w:val="left" w:pos="1021"/>
          <w:tab w:val="left" w:pos="1474"/>
          <w:tab w:val="left" w:pos="1928"/>
        </w:tabs>
        <w:ind w:left="567" w:hanging="567"/>
        <w:jc w:val="left"/>
        <w:rPr>
          <w:caps/>
          <w:lang w:val="en-US"/>
        </w:rPr>
      </w:pPr>
      <w:r>
        <w:rPr>
          <w:caps/>
          <w:lang w:val="en-US"/>
        </w:rPr>
        <w:t>municipality of athens – office for gender equality</w:t>
      </w:r>
    </w:p>
    <w:p w:rsidR="00000000" w:rsidRDefault="00000000">
      <w:pPr>
        <w:numPr>
          <w:ilvl w:val="0"/>
          <w:numId w:val="385"/>
        </w:numPr>
        <w:tabs>
          <w:tab w:val="clear" w:pos="360"/>
          <w:tab w:val="left" w:pos="567"/>
          <w:tab w:val="left" w:pos="1021"/>
          <w:tab w:val="left" w:pos="1474"/>
          <w:tab w:val="left" w:pos="1928"/>
        </w:tabs>
        <w:ind w:left="567" w:hanging="567"/>
        <w:jc w:val="left"/>
        <w:rPr>
          <w:caps/>
          <w:lang w:val="en-US"/>
        </w:rPr>
      </w:pPr>
      <w:r>
        <w:rPr>
          <w:caps/>
          <w:lang w:val="en-US"/>
        </w:rPr>
        <w:t>municipality of chios – office for women’s issues</w:t>
      </w:r>
    </w:p>
    <w:p w:rsidR="00000000" w:rsidRDefault="00000000">
      <w:pPr>
        <w:numPr>
          <w:ilvl w:val="0"/>
          <w:numId w:val="385"/>
        </w:numPr>
        <w:tabs>
          <w:tab w:val="clear" w:pos="360"/>
          <w:tab w:val="left" w:pos="567"/>
          <w:tab w:val="left" w:pos="1021"/>
          <w:tab w:val="left" w:pos="1474"/>
          <w:tab w:val="left" w:pos="1928"/>
        </w:tabs>
        <w:ind w:left="567" w:hanging="567"/>
        <w:jc w:val="left"/>
        <w:rPr>
          <w:lang w:val="en-US"/>
        </w:rPr>
      </w:pPr>
      <w:r>
        <w:rPr>
          <w:lang w:val="en-US"/>
        </w:rPr>
        <w:t>NATIONAL CENTRE FOR PUBLIC ADMINISTRATION</w:t>
      </w:r>
    </w:p>
    <w:p w:rsidR="00000000" w:rsidRDefault="00000000">
      <w:pPr>
        <w:numPr>
          <w:ilvl w:val="0"/>
          <w:numId w:val="385"/>
        </w:numPr>
        <w:tabs>
          <w:tab w:val="clear" w:pos="360"/>
          <w:tab w:val="left" w:pos="567"/>
          <w:tab w:val="left" w:pos="1021"/>
          <w:tab w:val="left" w:pos="1474"/>
          <w:tab w:val="left" w:pos="1928"/>
        </w:tabs>
        <w:ind w:left="567" w:hanging="567"/>
        <w:jc w:val="left"/>
        <w:rPr>
          <w:lang w:val="en-US"/>
        </w:rPr>
      </w:pPr>
      <w:r>
        <w:rPr>
          <w:lang w:val="en-US"/>
        </w:rPr>
        <w:t>NATIONAL CENTRE OF EMERGENCY SOCIAL CARE</w:t>
      </w:r>
    </w:p>
    <w:p w:rsidR="00000000" w:rsidRDefault="00000000">
      <w:pPr>
        <w:numPr>
          <w:ilvl w:val="0"/>
          <w:numId w:val="385"/>
        </w:numPr>
        <w:tabs>
          <w:tab w:val="clear" w:pos="360"/>
          <w:tab w:val="left" w:pos="567"/>
          <w:tab w:val="left" w:pos="1021"/>
          <w:tab w:val="left" w:pos="1474"/>
          <w:tab w:val="left" w:pos="1928"/>
        </w:tabs>
        <w:ind w:left="567" w:hanging="567"/>
        <w:jc w:val="left"/>
        <w:rPr>
          <w:lang w:val="en-US"/>
        </w:rPr>
      </w:pPr>
      <w:r>
        <w:rPr>
          <w:lang w:val="en-US"/>
        </w:rPr>
        <w:t>NATIONAL SCHOOL OF PUBLIC HEALTH</w:t>
      </w:r>
    </w:p>
    <w:p w:rsidR="00000000" w:rsidRDefault="00000000">
      <w:pPr>
        <w:numPr>
          <w:ilvl w:val="0"/>
          <w:numId w:val="385"/>
        </w:numPr>
        <w:tabs>
          <w:tab w:val="clear" w:pos="360"/>
          <w:tab w:val="left" w:pos="567"/>
          <w:tab w:val="left" w:pos="1021"/>
          <w:tab w:val="left" w:pos="1474"/>
          <w:tab w:val="left" w:pos="1928"/>
        </w:tabs>
        <w:ind w:left="567" w:hanging="567"/>
        <w:jc w:val="left"/>
        <w:rPr>
          <w:lang w:val="en-US"/>
        </w:rPr>
      </w:pPr>
      <w:r>
        <w:rPr>
          <w:lang w:val="en-US"/>
        </w:rPr>
        <w:t>ORGANIZATION FOR VOCATIONAL EDUCATION AND TRAINING</w:t>
      </w:r>
    </w:p>
    <w:p w:rsidR="00000000" w:rsidRDefault="00000000">
      <w:pPr>
        <w:numPr>
          <w:ilvl w:val="0"/>
          <w:numId w:val="385"/>
        </w:numPr>
        <w:tabs>
          <w:tab w:val="clear" w:pos="360"/>
          <w:tab w:val="left" w:pos="567"/>
          <w:tab w:val="left" w:pos="1021"/>
          <w:tab w:val="left" w:pos="1474"/>
          <w:tab w:val="left" w:pos="1928"/>
        </w:tabs>
        <w:ind w:left="567" w:hanging="567"/>
        <w:jc w:val="left"/>
        <w:rPr>
          <w:caps/>
          <w:lang w:val="en-US"/>
        </w:rPr>
      </w:pPr>
      <w:r>
        <w:rPr>
          <w:caps/>
          <w:lang w:val="en-US"/>
        </w:rPr>
        <w:t>panteion university – department of communication, media and culture</w:t>
      </w:r>
    </w:p>
    <w:p w:rsidR="00000000" w:rsidRDefault="00000000">
      <w:pPr>
        <w:numPr>
          <w:ilvl w:val="0"/>
          <w:numId w:val="385"/>
        </w:numPr>
        <w:tabs>
          <w:tab w:val="clear" w:pos="360"/>
          <w:tab w:val="left" w:pos="567"/>
          <w:tab w:val="left" w:pos="1021"/>
          <w:tab w:val="left" w:pos="1474"/>
          <w:tab w:val="left" w:pos="1928"/>
        </w:tabs>
        <w:ind w:left="567" w:hanging="567"/>
        <w:jc w:val="left"/>
        <w:rPr>
          <w:lang w:val="en-US"/>
        </w:rPr>
      </w:pPr>
      <w:r>
        <w:rPr>
          <w:lang w:val="en-US"/>
        </w:rPr>
        <w:t>PEDAGOGICAL INSTITUTE</w:t>
      </w:r>
    </w:p>
    <w:p w:rsidR="00000000" w:rsidRDefault="00000000">
      <w:pPr>
        <w:numPr>
          <w:ilvl w:val="0"/>
          <w:numId w:val="385"/>
        </w:numPr>
        <w:tabs>
          <w:tab w:val="clear" w:pos="360"/>
          <w:tab w:val="left" w:pos="567"/>
          <w:tab w:val="left" w:pos="1021"/>
          <w:tab w:val="left" w:pos="1474"/>
          <w:tab w:val="left" w:pos="1928"/>
        </w:tabs>
        <w:ind w:left="567" w:hanging="567"/>
        <w:jc w:val="left"/>
        <w:rPr>
          <w:lang w:val="en-US"/>
        </w:rPr>
      </w:pPr>
      <w:r>
        <w:rPr>
          <w:lang w:val="en-US"/>
        </w:rPr>
        <w:t>RESEARCH CENTRE FOR GENDER EQUALITY</w:t>
      </w:r>
    </w:p>
    <w:p w:rsidR="00000000" w:rsidRDefault="00000000">
      <w:pPr>
        <w:numPr>
          <w:ilvl w:val="0"/>
          <w:numId w:val="385"/>
        </w:numPr>
        <w:tabs>
          <w:tab w:val="clear" w:pos="360"/>
          <w:tab w:val="left" w:pos="567"/>
          <w:tab w:val="left" w:pos="1021"/>
          <w:tab w:val="left" w:pos="1474"/>
          <w:tab w:val="left" w:pos="1928"/>
        </w:tabs>
        <w:ind w:left="567" w:hanging="567"/>
        <w:jc w:val="left"/>
        <w:rPr>
          <w:lang w:val="en-US"/>
        </w:rPr>
      </w:pPr>
      <w:r>
        <w:rPr>
          <w:lang w:val="en-US"/>
        </w:rPr>
        <w:t>SPECIAL MANAGING AUTHORITY OF THE OPERATIONAL PROGRAMME “EDUCATION AND INITIAL VOCATIONAL TRAINING”</w:t>
      </w:r>
    </w:p>
    <w:p w:rsidR="00000000" w:rsidRDefault="00000000">
      <w:pPr>
        <w:numPr>
          <w:ilvl w:val="0"/>
          <w:numId w:val="385"/>
        </w:numPr>
        <w:tabs>
          <w:tab w:val="clear" w:pos="360"/>
          <w:tab w:val="left" w:pos="567"/>
          <w:tab w:val="left" w:pos="1021"/>
          <w:tab w:val="left" w:pos="1474"/>
          <w:tab w:val="left" w:pos="1928"/>
        </w:tabs>
        <w:ind w:left="567" w:hanging="567"/>
        <w:jc w:val="left"/>
        <w:rPr>
          <w:caps/>
          <w:lang w:val="en-US"/>
        </w:rPr>
      </w:pPr>
      <w:r>
        <w:rPr>
          <w:caps/>
          <w:lang w:val="en-US"/>
        </w:rPr>
        <w:t>Special service for the coordination and monitoring of actions of the european social fund</w:t>
      </w:r>
    </w:p>
    <w:p w:rsidR="00000000" w:rsidRDefault="00000000">
      <w:pPr>
        <w:numPr>
          <w:ilvl w:val="0"/>
          <w:numId w:val="385"/>
        </w:numPr>
        <w:tabs>
          <w:tab w:val="clear" w:pos="360"/>
          <w:tab w:val="left" w:pos="567"/>
          <w:tab w:val="left" w:pos="1021"/>
          <w:tab w:val="left" w:pos="1474"/>
          <w:tab w:val="left" w:pos="1928"/>
        </w:tabs>
        <w:ind w:left="567" w:hanging="567"/>
        <w:jc w:val="left"/>
        <w:rPr>
          <w:caps/>
          <w:lang w:val="en-US"/>
        </w:rPr>
      </w:pPr>
      <w:r>
        <w:rPr>
          <w:caps/>
          <w:lang w:val="en-US"/>
        </w:rPr>
        <w:t>special service for the management of the operational programme “employment and vocational training”</w:t>
      </w:r>
    </w:p>
    <w:p w:rsidR="00000000" w:rsidRDefault="00000000">
      <w:pPr>
        <w:numPr>
          <w:ilvl w:val="0"/>
          <w:numId w:val="385"/>
        </w:numPr>
        <w:tabs>
          <w:tab w:val="clear" w:pos="360"/>
          <w:tab w:val="left" w:pos="567"/>
          <w:tab w:val="left" w:pos="1021"/>
          <w:tab w:val="left" w:pos="1474"/>
          <w:tab w:val="left" w:pos="1928"/>
        </w:tabs>
        <w:ind w:left="567" w:hanging="567"/>
        <w:jc w:val="left"/>
        <w:rPr>
          <w:caps/>
          <w:lang w:val="en-US"/>
        </w:rPr>
      </w:pPr>
      <w:r>
        <w:rPr>
          <w:caps/>
          <w:lang w:val="en-US"/>
        </w:rPr>
        <w:t>unesco national commission</w:t>
      </w:r>
    </w:p>
    <w:p w:rsidR="00000000" w:rsidRDefault="00000000">
      <w:pPr>
        <w:pStyle w:val="Heading1"/>
        <w:tabs>
          <w:tab w:val="left" w:pos="567"/>
          <w:tab w:val="left" w:pos="1021"/>
          <w:tab w:val="left" w:pos="1474"/>
          <w:tab w:val="left" w:pos="1928"/>
        </w:tabs>
        <w:spacing w:before="0"/>
        <w:ind w:left="567" w:hanging="567"/>
        <w:jc w:val="left"/>
        <w:rPr>
          <w:smallCaps/>
          <w:sz w:val="22"/>
          <w:u w:val="single"/>
          <w:lang w:val="en-US"/>
        </w:rPr>
      </w:pPr>
      <w:r>
        <w:rPr>
          <w:smallCaps/>
          <w:sz w:val="22"/>
          <w:u w:val="single"/>
          <w:lang w:val="en-US"/>
        </w:rPr>
        <w:t>non governmental institutions and organizations (in alphabetical order)</w:t>
      </w:r>
    </w:p>
    <w:p w:rsidR="00000000" w:rsidRDefault="00000000">
      <w:pPr>
        <w:numPr>
          <w:ilvl w:val="0"/>
          <w:numId w:val="386"/>
        </w:numPr>
        <w:tabs>
          <w:tab w:val="clear" w:pos="360"/>
          <w:tab w:val="left" w:pos="567"/>
          <w:tab w:val="left" w:pos="1021"/>
          <w:tab w:val="left" w:pos="1474"/>
          <w:tab w:val="left" w:pos="1928"/>
        </w:tabs>
        <w:ind w:left="567" w:hanging="567"/>
        <w:jc w:val="left"/>
        <w:rPr>
          <w:caps/>
          <w:lang w:val="en-US"/>
        </w:rPr>
      </w:pPr>
      <w:r>
        <w:rPr>
          <w:caps/>
          <w:lang w:val="en-US"/>
        </w:rPr>
        <w:t>association of greek women in legal professions</w:t>
      </w:r>
    </w:p>
    <w:p w:rsidR="00000000" w:rsidRDefault="00000000">
      <w:pPr>
        <w:numPr>
          <w:ilvl w:val="0"/>
          <w:numId w:val="386"/>
        </w:numPr>
        <w:tabs>
          <w:tab w:val="clear" w:pos="360"/>
          <w:tab w:val="left" w:pos="567"/>
          <w:tab w:val="left" w:pos="1021"/>
          <w:tab w:val="left" w:pos="1474"/>
          <w:tab w:val="left" w:pos="1928"/>
        </w:tabs>
        <w:ind w:left="567" w:hanging="567"/>
        <w:jc w:val="left"/>
        <w:rPr>
          <w:caps/>
          <w:lang w:val="en-US"/>
        </w:rPr>
      </w:pPr>
      <w:r>
        <w:rPr>
          <w:caps/>
          <w:lang w:val="en-US"/>
        </w:rPr>
        <w:t>association of greek women scientists</w:t>
      </w:r>
    </w:p>
    <w:p w:rsidR="00000000" w:rsidRDefault="00000000">
      <w:pPr>
        <w:numPr>
          <w:ilvl w:val="0"/>
          <w:numId w:val="386"/>
        </w:numPr>
        <w:tabs>
          <w:tab w:val="clear" w:pos="360"/>
          <w:tab w:val="left" w:pos="567"/>
          <w:tab w:val="left" w:pos="1021"/>
          <w:tab w:val="left" w:pos="1474"/>
          <w:tab w:val="left" w:pos="1928"/>
        </w:tabs>
        <w:ind w:left="567" w:hanging="567"/>
        <w:jc w:val="left"/>
        <w:rPr>
          <w:caps/>
          <w:lang w:val="en-US"/>
        </w:rPr>
      </w:pPr>
      <w:r>
        <w:rPr>
          <w:caps/>
          <w:lang w:val="en-US"/>
        </w:rPr>
        <w:t>Athens Daily Newspaper Publishers’ Association</w:t>
      </w:r>
    </w:p>
    <w:p w:rsidR="00000000" w:rsidRDefault="00000000">
      <w:pPr>
        <w:numPr>
          <w:ilvl w:val="0"/>
          <w:numId w:val="386"/>
        </w:numPr>
        <w:tabs>
          <w:tab w:val="clear" w:pos="360"/>
          <w:tab w:val="left" w:pos="567"/>
          <w:tab w:val="left" w:pos="1021"/>
          <w:tab w:val="left" w:pos="1474"/>
          <w:tab w:val="left" w:pos="1928"/>
        </w:tabs>
        <w:ind w:left="567" w:hanging="567"/>
        <w:jc w:val="left"/>
        <w:rPr>
          <w:caps/>
          <w:lang w:val="en-US"/>
        </w:rPr>
      </w:pPr>
      <w:r>
        <w:rPr>
          <w:caps/>
          <w:lang w:val="en-US"/>
        </w:rPr>
        <w:t>centre for women studies and research</w:t>
      </w:r>
    </w:p>
    <w:p w:rsidR="00000000" w:rsidRDefault="00000000">
      <w:pPr>
        <w:numPr>
          <w:ilvl w:val="0"/>
          <w:numId w:val="386"/>
        </w:numPr>
        <w:tabs>
          <w:tab w:val="clear" w:pos="360"/>
          <w:tab w:val="left" w:pos="567"/>
          <w:tab w:val="left" w:pos="1021"/>
          <w:tab w:val="left" w:pos="1474"/>
          <w:tab w:val="left" w:pos="1928"/>
        </w:tabs>
        <w:ind w:left="567" w:hanging="567"/>
        <w:jc w:val="left"/>
        <w:rPr>
          <w:caps/>
          <w:lang w:val="en-US"/>
        </w:rPr>
      </w:pPr>
      <w:r>
        <w:rPr>
          <w:caps/>
          <w:lang w:val="en-US"/>
        </w:rPr>
        <w:t>centre of research and action on peace</w:t>
      </w:r>
    </w:p>
    <w:p w:rsidR="00000000" w:rsidRDefault="00000000">
      <w:pPr>
        <w:numPr>
          <w:ilvl w:val="0"/>
          <w:numId w:val="386"/>
        </w:numPr>
        <w:tabs>
          <w:tab w:val="clear" w:pos="360"/>
          <w:tab w:val="left" w:pos="567"/>
          <w:tab w:val="left" w:pos="1021"/>
          <w:tab w:val="left" w:pos="1474"/>
          <w:tab w:val="left" w:pos="1928"/>
        </w:tabs>
        <w:ind w:left="567" w:hanging="567"/>
        <w:jc w:val="left"/>
        <w:rPr>
          <w:caps/>
          <w:lang w:val="en-US"/>
        </w:rPr>
      </w:pPr>
      <w:r>
        <w:rPr>
          <w:caps/>
          <w:lang w:val="en-US"/>
        </w:rPr>
        <w:t>coordination of greek women ngo</w:t>
      </w:r>
      <w:r>
        <w:rPr>
          <w:lang w:val="en-US"/>
        </w:rPr>
        <w:t>s</w:t>
      </w:r>
      <w:r>
        <w:rPr>
          <w:caps/>
          <w:lang w:val="en-US"/>
        </w:rPr>
        <w:t xml:space="preserve"> for the european women lobby</w:t>
      </w:r>
    </w:p>
    <w:p w:rsidR="00000000" w:rsidRDefault="00000000">
      <w:pPr>
        <w:numPr>
          <w:ilvl w:val="0"/>
          <w:numId w:val="386"/>
        </w:numPr>
        <w:tabs>
          <w:tab w:val="clear" w:pos="360"/>
          <w:tab w:val="left" w:pos="567"/>
          <w:tab w:val="left" w:pos="1021"/>
          <w:tab w:val="left" w:pos="1474"/>
          <w:tab w:val="left" w:pos="1928"/>
        </w:tabs>
        <w:ind w:left="567" w:hanging="567"/>
        <w:jc w:val="left"/>
        <w:rPr>
          <w:caps/>
          <w:lang w:val="en-US"/>
        </w:rPr>
      </w:pPr>
      <w:r>
        <w:rPr>
          <w:caps/>
          <w:lang w:val="en-US"/>
        </w:rPr>
        <w:t>democratic women’s movement</w:t>
      </w:r>
    </w:p>
    <w:p w:rsidR="00000000" w:rsidRDefault="00000000">
      <w:pPr>
        <w:numPr>
          <w:ilvl w:val="0"/>
          <w:numId w:val="386"/>
        </w:numPr>
        <w:tabs>
          <w:tab w:val="clear" w:pos="360"/>
          <w:tab w:val="left" w:pos="567"/>
          <w:tab w:val="left" w:pos="1021"/>
          <w:tab w:val="left" w:pos="1474"/>
          <w:tab w:val="left" w:pos="1928"/>
        </w:tabs>
        <w:ind w:left="567" w:hanging="567"/>
        <w:jc w:val="left"/>
        <w:rPr>
          <w:caps/>
          <w:lang w:val="en-US"/>
        </w:rPr>
      </w:pPr>
      <w:r>
        <w:rPr>
          <w:caps/>
          <w:lang w:val="en-US"/>
        </w:rPr>
        <w:t>doctors of the world</w:t>
      </w:r>
    </w:p>
    <w:p w:rsidR="00000000" w:rsidRDefault="00000000">
      <w:pPr>
        <w:numPr>
          <w:ilvl w:val="0"/>
          <w:numId w:val="386"/>
        </w:numPr>
        <w:tabs>
          <w:tab w:val="clear" w:pos="360"/>
          <w:tab w:val="left" w:pos="567"/>
          <w:tab w:val="left" w:pos="1021"/>
          <w:tab w:val="left" w:pos="1474"/>
          <w:tab w:val="left" w:pos="1928"/>
        </w:tabs>
        <w:ind w:left="567" w:hanging="567"/>
        <w:jc w:val="left"/>
        <w:rPr>
          <w:caps/>
          <w:lang w:val="en-US"/>
        </w:rPr>
      </w:pPr>
      <w:r>
        <w:rPr>
          <w:caps/>
          <w:lang w:val="en-US"/>
        </w:rPr>
        <w:t>European network of greek women journalists</w:t>
      </w:r>
    </w:p>
    <w:p w:rsidR="00000000" w:rsidRDefault="00000000">
      <w:pPr>
        <w:numPr>
          <w:ilvl w:val="0"/>
          <w:numId w:val="386"/>
        </w:numPr>
        <w:tabs>
          <w:tab w:val="clear" w:pos="360"/>
          <w:tab w:val="left" w:pos="567"/>
          <w:tab w:val="left" w:pos="1021"/>
          <w:tab w:val="left" w:pos="1474"/>
          <w:tab w:val="left" w:pos="1928"/>
        </w:tabs>
        <w:ind w:left="567" w:hanging="567"/>
        <w:jc w:val="left"/>
        <w:rPr>
          <w:caps/>
          <w:lang w:val="en-US"/>
        </w:rPr>
      </w:pPr>
      <w:r>
        <w:rPr>
          <w:caps/>
          <w:lang w:val="en-US"/>
        </w:rPr>
        <w:t>european network of women, greek department</w:t>
      </w:r>
    </w:p>
    <w:p w:rsidR="00000000" w:rsidRDefault="00000000">
      <w:pPr>
        <w:numPr>
          <w:ilvl w:val="0"/>
          <w:numId w:val="386"/>
        </w:numPr>
        <w:tabs>
          <w:tab w:val="clear" w:pos="360"/>
          <w:tab w:val="left" w:pos="567"/>
          <w:tab w:val="left" w:pos="1021"/>
          <w:tab w:val="left" w:pos="1474"/>
          <w:tab w:val="left" w:pos="1928"/>
        </w:tabs>
        <w:ind w:left="567" w:hanging="567"/>
        <w:jc w:val="left"/>
        <w:rPr>
          <w:caps/>
          <w:lang w:val="en-US"/>
        </w:rPr>
      </w:pPr>
      <w:r>
        <w:rPr>
          <w:caps/>
          <w:lang w:val="en-US"/>
        </w:rPr>
        <w:t>family and child support centre</w:t>
      </w:r>
    </w:p>
    <w:p w:rsidR="00000000" w:rsidRDefault="00000000">
      <w:pPr>
        <w:numPr>
          <w:ilvl w:val="0"/>
          <w:numId w:val="386"/>
        </w:numPr>
        <w:tabs>
          <w:tab w:val="clear" w:pos="360"/>
          <w:tab w:val="left" w:pos="567"/>
          <w:tab w:val="left" w:pos="1021"/>
          <w:tab w:val="left" w:pos="1474"/>
          <w:tab w:val="left" w:pos="1928"/>
        </w:tabs>
        <w:ind w:left="567" w:hanging="567"/>
        <w:jc w:val="left"/>
        <w:rPr>
          <w:caps/>
          <w:lang w:val="en-US"/>
        </w:rPr>
      </w:pPr>
      <w:r>
        <w:rPr>
          <w:caps/>
          <w:lang w:val="en-US"/>
        </w:rPr>
        <w:t>family support centre of the athens archdiocese</w:t>
      </w:r>
    </w:p>
    <w:p w:rsidR="00000000" w:rsidRDefault="00000000">
      <w:pPr>
        <w:numPr>
          <w:ilvl w:val="0"/>
          <w:numId w:val="386"/>
        </w:numPr>
        <w:tabs>
          <w:tab w:val="clear" w:pos="360"/>
          <w:tab w:val="left" w:pos="567"/>
          <w:tab w:val="left" w:pos="1021"/>
          <w:tab w:val="left" w:pos="1474"/>
          <w:tab w:val="left" w:pos="1928"/>
        </w:tabs>
        <w:ind w:left="567" w:hanging="567"/>
        <w:jc w:val="left"/>
        <w:rPr>
          <w:caps/>
          <w:lang w:val="en-US"/>
        </w:rPr>
      </w:pPr>
      <w:r>
        <w:rPr>
          <w:caps/>
          <w:lang w:val="en-US"/>
        </w:rPr>
        <w:t>federation of greek women</w:t>
      </w:r>
    </w:p>
    <w:p w:rsidR="00000000" w:rsidRDefault="00000000">
      <w:pPr>
        <w:numPr>
          <w:ilvl w:val="0"/>
          <w:numId w:val="386"/>
        </w:numPr>
        <w:tabs>
          <w:tab w:val="clear" w:pos="360"/>
          <w:tab w:val="left" w:pos="567"/>
          <w:tab w:val="left" w:pos="1021"/>
          <w:tab w:val="left" w:pos="1474"/>
          <w:tab w:val="left" w:pos="1928"/>
        </w:tabs>
        <w:ind w:left="567" w:hanging="567"/>
        <w:jc w:val="left"/>
        <w:rPr>
          <w:caps/>
          <w:lang w:val="en-US"/>
        </w:rPr>
      </w:pPr>
      <w:r>
        <w:rPr>
          <w:caps/>
          <w:lang w:val="en-US"/>
        </w:rPr>
        <w:t>greek anticancer society</w:t>
      </w:r>
    </w:p>
    <w:p w:rsidR="00000000" w:rsidRDefault="00000000">
      <w:pPr>
        <w:numPr>
          <w:ilvl w:val="0"/>
          <w:numId w:val="386"/>
        </w:numPr>
        <w:tabs>
          <w:tab w:val="clear" w:pos="360"/>
          <w:tab w:val="left" w:pos="567"/>
          <w:tab w:val="left" w:pos="1021"/>
          <w:tab w:val="left" w:pos="1474"/>
          <w:tab w:val="left" w:pos="1928"/>
        </w:tabs>
        <w:ind w:left="567" w:hanging="567"/>
        <w:jc w:val="left"/>
        <w:rPr>
          <w:caps/>
          <w:lang w:val="en-US"/>
        </w:rPr>
      </w:pPr>
      <w:r>
        <w:rPr>
          <w:caps/>
          <w:lang w:val="en-US"/>
        </w:rPr>
        <w:t>inter-balkan women’s cooperation society unesco</w:t>
      </w:r>
    </w:p>
    <w:p w:rsidR="00000000" w:rsidRDefault="00000000">
      <w:pPr>
        <w:numPr>
          <w:ilvl w:val="0"/>
          <w:numId w:val="386"/>
        </w:numPr>
        <w:tabs>
          <w:tab w:val="clear" w:pos="360"/>
          <w:tab w:val="left" w:pos="567"/>
          <w:tab w:val="left" w:pos="1021"/>
          <w:tab w:val="left" w:pos="1474"/>
          <w:tab w:val="left" w:pos="1928"/>
        </w:tabs>
        <w:ind w:left="567" w:hanging="567"/>
        <w:jc w:val="left"/>
        <w:rPr>
          <w:caps/>
          <w:lang w:val="en-US"/>
        </w:rPr>
      </w:pPr>
      <w:r>
        <w:rPr>
          <w:caps/>
          <w:lang w:val="en-US"/>
        </w:rPr>
        <w:t>journalists’ union of athens daily newspapers</w:t>
      </w:r>
    </w:p>
    <w:p w:rsidR="00000000" w:rsidRDefault="00000000">
      <w:pPr>
        <w:numPr>
          <w:ilvl w:val="0"/>
          <w:numId w:val="386"/>
        </w:numPr>
        <w:tabs>
          <w:tab w:val="clear" w:pos="360"/>
          <w:tab w:val="left" w:pos="567"/>
          <w:tab w:val="left" w:pos="1021"/>
          <w:tab w:val="left" w:pos="1474"/>
          <w:tab w:val="left" w:pos="1928"/>
        </w:tabs>
        <w:ind w:left="567" w:hanging="567"/>
        <w:jc w:val="left"/>
        <w:rPr>
          <w:caps/>
          <w:lang w:val="en-US"/>
        </w:rPr>
      </w:pPr>
      <w:r>
        <w:rPr>
          <w:caps/>
          <w:lang w:val="en-US"/>
        </w:rPr>
        <w:t>macedonian institute – women support centre</w:t>
      </w:r>
    </w:p>
    <w:p w:rsidR="00000000" w:rsidRDefault="00000000">
      <w:pPr>
        <w:numPr>
          <w:ilvl w:val="0"/>
          <w:numId w:val="386"/>
        </w:numPr>
        <w:tabs>
          <w:tab w:val="clear" w:pos="360"/>
          <w:tab w:val="left" w:pos="567"/>
          <w:tab w:val="left" w:pos="1021"/>
          <w:tab w:val="left" w:pos="1474"/>
          <w:tab w:val="left" w:pos="1928"/>
        </w:tabs>
        <w:ind w:left="567" w:hanging="567"/>
        <w:jc w:val="left"/>
        <w:rPr>
          <w:caps/>
          <w:lang w:val="en-US"/>
        </w:rPr>
      </w:pPr>
      <w:r>
        <w:rPr>
          <w:caps/>
          <w:lang w:val="en-US"/>
        </w:rPr>
        <w:t>maragopoulos institute for human rights</w:t>
      </w:r>
    </w:p>
    <w:p w:rsidR="00000000" w:rsidRDefault="00000000">
      <w:pPr>
        <w:numPr>
          <w:ilvl w:val="0"/>
          <w:numId w:val="386"/>
        </w:numPr>
        <w:tabs>
          <w:tab w:val="clear" w:pos="360"/>
          <w:tab w:val="left" w:pos="567"/>
          <w:tab w:val="left" w:pos="1021"/>
          <w:tab w:val="left" w:pos="1474"/>
          <w:tab w:val="left" w:pos="1928"/>
        </w:tabs>
        <w:ind w:left="567" w:hanging="567"/>
        <w:jc w:val="left"/>
        <w:rPr>
          <w:caps/>
          <w:lang w:val="en-US"/>
        </w:rPr>
      </w:pPr>
      <w:r>
        <w:rPr>
          <w:caps/>
          <w:lang w:val="en-US"/>
        </w:rPr>
        <w:t>medecins sans frontieres</w:t>
      </w:r>
    </w:p>
    <w:p w:rsidR="00000000" w:rsidRDefault="00000000">
      <w:pPr>
        <w:numPr>
          <w:ilvl w:val="0"/>
          <w:numId w:val="386"/>
        </w:numPr>
        <w:tabs>
          <w:tab w:val="clear" w:pos="360"/>
          <w:tab w:val="left" w:pos="567"/>
          <w:tab w:val="left" w:pos="1021"/>
          <w:tab w:val="left" w:pos="1474"/>
          <w:tab w:val="left" w:pos="1928"/>
        </w:tabs>
        <w:ind w:left="567" w:hanging="567"/>
        <w:jc w:val="left"/>
        <w:rPr>
          <w:caps/>
          <w:lang w:val="en-US"/>
        </w:rPr>
      </w:pPr>
      <w:r>
        <w:rPr>
          <w:caps/>
          <w:lang w:val="en-US"/>
        </w:rPr>
        <w:t>national confederAtion of people with special needs</w:t>
      </w:r>
    </w:p>
    <w:p w:rsidR="00000000" w:rsidRDefault="00000000">
      <w:pPr>
        <w:numPr>
          <w:ilvl w:val="0"/>
          <w:numId w:val="386"/>
        </w:numPr>
        <w:tabs>
          <w:tab w:val="clear" w:pos="360"/>
          <w:tab w:val="left" w:pos="567"/>
          <w:tab w:val="left" w:pos="1021"/>
          <w:tab w:val="left" w:pos="1474"/>
          <w:tab w:val="left" w:pos="1928"/>
        </w:tabs>
        <w:ind w:left="567" w:hanging="567"/>
        <w:jc w:val="left"/>
        <w:rPr>
          <w:caps/>
          <w:lang w:val="en-US"/>
        </w:rPr>
      </w:pPr>
      <w:r>
        <w:rPr>
          <w:caps/>
          <w:lang w:val="en-US"/>
        </w:rPr>
        <w:t>national council of greek women</w:t>
      </w:r>
    </w:p>
    <w:p w:rsidR="00000000" w:rsidRDefault="00000000">
      <w:pPr>
        <w:numPr>
          <w:ilvl w:val="0"/>
          <w:numId w:val="386"/>
        </w:numPr>
        <w:tabs>
          <w:tab w:val="clear" w:pos="360"/>
          <w:tab w:val="left" w:pos="567"/>
          <w:tab w:val="left" w:pos="1021"/>
          <w:tab w:val="left" w:pos="1474"/>
          <w:tab w:val="left" w:pos="1928"/>
        </w:tabs>
        <w:ind w:left="567" w:hanging="567"/>
        <w:jc w:val="left"/>
        <w:rPr>
          <w:caps/>
          <w:color w:val="000000"/>
          <w:lang w:val="en-US"/>
        </w:rPr>
      </w:pPr>
      <w:r>
        <w:rPr>
          <w:caps/>
          <w:color w:val="000000"/>
          <w:lang w:val="en-US"/>
        </w:rPr>
        <w:t>network of elected women in local authorities</w:t>
      </w:r>
    </w:p>
    <w:p w:rsidR="00000000" w:rsidRDefault="00000000">
      <w:pPr>
        <w:numPr>
          <w:ilvl w:val="0"/>
          <w:numId w:val="386"/>
        </w:numPr>
        <w:tabs>
          <w:tab w:val="clear" w:pos="360"/>
          <w:tab w:val="left" w:pos="567"/>
          <w:tab w:val="left" w:pos="1021"/>
          <w:tab w:val="left" w:pos="1474"/>
          <w:tab w:val="left" w:pos="1928"/>
        </w:tabs>
        <w:ind w:left="567" w:hanging="567"/>
        <w:jc w:val="left"/>
        <w:rPr>
          <w:caps/>
          <w:lang w:val="en-US"/>
        </w:rPr>
      </w:pPr>
      <w:r>
        <w:rPr>
          <w:caps/>
          <w:lang w:val="en-US"/>
        </w:rPr>
        <w:t>network of women of athens</w:t>
      </w:r>
    </w:p>
    <w:p w:rsidR="00000000" w:rsidRDefault="00000000">
      <w:pPr>
        <w:numPr>
          <w:ilvl w:val="0"/>
          <w:numId w:val="386"/>
        </w:numPr>
        <w:tabs>
          <w:tab w:val="clear" w:pos="360"/>
          <w:tab w:val="left" w:pos="567"/>
          <w:tab w:val="left" w:pos="1021"/>
          <w:tab w:val="left" w:pos="1474"/>
          <w:tab w:val="left" w:pos="1928"/>
        </w:tabs>
        <w:ind w:left="567" w:hanging="567"/>
        <w:jc w:val="left"/>
        <w:rPr>
          <w:caps/>
          <w:color w:val="000000"/>
          <w:lang w:val="en-US"/>
        </w:rPr>
      </w:pPr>
      <w:r>
        <w:rPr>
          <w:caps/>
          <w:color w:val="000000"/>
          <w:lang w:val="en-US"/>
        </w:rPr>
        <w:t>pan-cretan union of cretan women</w:t>
      </w:r>
    </w:p>
    <w:p w:rsidR="00000000" w:rsidRDefault="00000000">
      <w:pPr>
        <w:numPr>
          <w:ilvl w:val="0"/>
          <w:numId w:val="386"/>
        </w:numPr>
        <w:tabs>
          <w:tab w:val="clear" w:pos="360"/>
          <w:tab w:val="left" w:pos="567"/>
          <w:tab w:val="left" w:pos="1021"/>
          <w:tab w:val="left" w:pos="1474"/>
          <w:tab w:val="left" w:pos="1928"/>
        </w:tabs>
        <w:ind w:left="567" w:hanging="567"/>
        <w:jc w:val="left"/>
        <w:rPr>
          <w:caps/>
          <w:lang w:val="en-US"/>
        </w:rPr>
      </w:pPr>
      <w:r>
        <w:rPr>
          <w:caps/>
          <w:lang w:val="en-US"/>
        </w:rPr>
        <w:t>panhellenic women’s organization “panathinaiki”</w:t>
      </w:r>
    </w:p>
    <w:p w:rsidR="00000000" w:rsidRDefault="00000000">
      <w:pPr>
        <w:numPr>
          <w:ilvl w:val="0"/>
          <w:numId w:val="386"/>
        </w:numPr>
        <w:tabs>
          <w:tab w:val="clear" w:pos="360"/>
          <w:tab w:val="left" w:pos="567"/>
          <w:tab w:val="left" w:pos="1021"/>
          <w:tab w:val="left" w:pos="1474"/>
          <w:tab w:val="left" w:pos="1928"/>
        </w:tabs>
        <w:ind w:left="567" w:hanging="567"/>
        <w:jc w:val="left"/>
        <w:rPr>
          <w:caps/>
          <w:lang w:val="en-US"/>
        </w:rPr>
      </w:pPr>
      <w:r>
        <w:rPr>
          <w:caps/>
          <w:lang w:val="en-US"/>
        </w:rPr>
        <w:t>research and support centre for victims of maltreatment and social exclusion of the ioannina prefecture</w:t>
      </w:r>
    </w:p>
    <w:p w:rsidR="00000000" w:rsidRDefault="00000000">
      <w:pPr>
        <w:numPr>
          <w:ilvl w:val="0"/>
          <w:numId w:val="386"/>
        </w:numPr>
        <w:tabs>
          <w:tab w:val="clear" w:pos="360"/>
          <w:tab w:val="left" w:pos="567"/>
          <w:tab w:val="left" w:pos="1021"/>
          <w:tab w:val="left" w:pos="1474"/>
          <w:tab w:val="left" w:pos="1928"/>
        </w:tabs>
        <w:ind w:left="567" w:hanging="567"/>
        <w:jc w:val="left"/>
        <w:rPr>
          <w:caps/>
          <w:lang w:val="en-US"/>
        </w:rPr>
      </w:pPr>
      <w:r>
        <w:rPr>
          <w:caps/>
          <w:lang w:val="en-US"/>
        </w:rPr>
        <w:t>research and support centre for victims of maltreatment coming from vulnerable groups and for protection of single parent families of the preveza prefecture</w:t>
      </w:r>
    </w:p>
    <w:p w:rsidR="00000000" w:rsidRDefault="00000000">
      <w:pPr>
        <w:numPr>
          <w:ilvl w:val="0"/>
          <w:numId w:val="386"/>
        </w:numPr>
        <w:tabs>
          <w:tab w:val="clear" w:pos="360"/>
          <w:tab w:val="left" w:pos="567"/>
          <w:tab w:val="left" w:pos="1021"/>
          <w:tab w:val="left" w:pos="1474"/>
          <w:tab w:val="left" w:pos="1928"/>
        </w:tabs>
        <w:ind w:left="567" w:hanging="567"/>
        <w:jc w:val="left"/>
        <w:rPr>
          <w:caps/>
          <w:color w:val="000000"/>
          <w:lang w:val="en-US"/>
        </w:rPr>
      </w:pPr>
      <w:r>
        <w:rPr>
          <w:caps/>
          <w:color w:val="000000"/>
          <w:lang w:val="en-US"/>
        </w:rPr>
        <w:t>social assistance of greece</w:t>
      </w:r>
    </w:p>
    <w:p w:rsidR="00000000" w:rsidRDefault="00000000">
      <w:pPr>
        <w:numPr>
          <w:ilvl w:val="0"/>
          <w:numId w:val="386"/>
        </w:numPr>
        <w:tabs>
          <w:tab w:val="clear" w:pos="360"/>
          <w:tab w:val="left" w:pos="567"/>
          <w:tab w:val="left" w:pos="1021"/>
          <w:tab w:val="left" w:pos="1474"/>
          <w:tab w:val="left" w:pos="1928"/>
        </w:tabs>
        <w:ind w:left="567" w:hanging="567"/>
        <w:jc w:val="left"/>
        <w:rPr>
          <w:caps/>
          <w:lang w:val="en-US"/>
        </w:rPr>
      </w:pPr>
      <w:r>
        <w:rPr>
          <w:caps/>
          <w:lang w:val="en-US"/>
        </w:rPr>
        <w:t>soroptimistic Union of greece</w:t>
      </w:r>
    </w:p>
    <w:p w:rsidR="00000000" w:rsidRDefault="00000000">
      <w:pPr>
        <w:numPr>
          <w:ilvl w:val="0"/>
          <w:numId w:val="386"/>
        </w:numPr>
        <w:tabs>
          <w:tab w:val="clear" w:pos="360"/>
          <w:tab w:val="left" w:pos="567"/>
          <w:tab w:val="left" w:pos="1021"/>
          <w:tab w:val="left" w:pos="1474"/>
          <w:tab w:val="left" w:pos="1928"/>
        </w:tabs>
        <w:ind w:left="567" w:hanging="567"/>
        <w:jc w:val="left"/>
        <w:rPr>
          <w:caps/>
          <w:lang w:val="en-US"/>
        </w:rPr>
      </w:pPr>
      <w:r>
        <w:rPr>
          <w:caps/>
          <w:lang w:val="en-US"/>
        </w:rPr>
        <w:t>union of cretan women</w:t>
      </w:r>
    </w:p>
    <w:p w:rsidR="00000000" w:rsidRDefault="00000000">
      <w:pPr>
        <w:numPr>
          <w:ilvl w:val="0"/>
          <w:numId w:val="386"/>
        </w:numPr>
        <w:tabs>
          <w:tab w:val="clear" w:pos="360"/>
          <w:tab w:val="left" w:pos="567"/>
          <w:tab w:val="left" w:pos="1021"/>
          <w:tab w:val="left" w:pos="1474"/>
          <w:tab w:val="left" w:pos="1928"/>
        </w:tabs>
        <w:ind w:left="567" w:hanging="567"/>
        <w:jc w:val="left"/>
        <w:rPr>
          <w:caps/>
          <w:lang w:val="en-US"/>
        </w:rPr>
      </w:pPr>
      <w:r>
        <w:rPr>
          <w:caps/>
          <w:lang w:val="en-US"/>
        </w:rPr>
        <w:t>vocational training centre “Ergon”</w:t>
      </w:r>
    </w:p>
    <w:p w:rsidR="00000000" w:rsidRDefault="00000000">
      <w:pPr>
        <w:numPr>
          <w:ilvl w:val="0"/>
          <w:numId w:val="386"/>
        </w:numPr>
        <w:tabs>
          <w:tab w:val="clear" w:pos="360"/>
          <w:tab w:val="left" w:pos="567"/>
          <w:tab w:val="left" w:pos="1021"/>
          <w:tab w:val="left" w:pos="1474"/>
          <w:tab w:val="left" w:pos="1928"/>
        </w:tabs>
        <w:ind w:left="567" w:hanging="567"/>
        <w:jc w:val="left"/>
        <w:rPr>
          <w:caps/>
          <w:lang w:val="en-US"/>
        </w:rPr>
      </w:pPr>
      <w:r>
        <w:rPr>
          <w:caps/>
          <w:lang w:val="en-US"/>
        </w:rPr>
        <w:t>women’s rights association</w:t>
      </w:r>
    </w:p>
    <w:p w:rsidR="00000000" w:rsidRDefault="00000000">
      <w:pPr>
        <w:numPr>
          <w:ilvl w:val="0"/>
          <w:numId w:val="386"/>
        </w:numPr>
        <w:tabs>
          <w:tab w:val="clear" w:pos="360"/>
          <w:tab w:val="left" w:pos="567"/>
          <w:tab w:val="left" w:pos="1021"/>
          <w:tab w:val="left" w:pos="1474"/>
          <w:tab w:val="left" w:pos="1928"/>
        </w:tabs>
        <w:ind w:left="567" w:hanging="567"/>
        <w:jc w:val="left"/>
        <w:rPr>
          <w:caps/>
          <w:lang w:val="en-US"/>
        </w:rPr>
      </w:pPr>
      <w:r>
        <w:rPr>
          <w:caps/>
          <w:lang w:val="en-US"/>
        </w:rPr>
        <w:t>women’s union of greece</w:t>
      </w:r>
    </w:p>
    <w:p w:rsidR="00000000" w:rsidRDefault="00000000">
      <w:pPr>
        <w:pStyle w:val="Heading2"/>
        <w:tabs>
          <w:tab w:val="left" w:pos="567"/>
          <w:tab w:val="left" w:pos="1021"/>
          <w:tab w:val="left" w:pos="1474"/>
          <w:tab w:val="left" w:pos="1928"/>
        </w:tabs>
        <w:ind w:left="567" w:hanging="567"/>
        <w:jc w:val="left"/>
        <w:rPr>
          <w:b/>
          <w:caps w:val="0"/>
          <w:smallCaps/>
          <w:sz w:val="22"/>
          <w:u w:val="single"/>
          <w:lang w:val="en-US"/>
        </w:rPr>
      </w:pPr>
      <w:r>
        <w:rPr>
          <w:b/>
          <w:caps w:val="0"/>
          <w:smallCaps/>
          <w:sz w:val="22"/>
          <w:u w:val="single"/>
          <w:lang w:val="en-US"/>
        </w:rPr>
        <w:t>independent administrative authorities</w:t>
      </w:r>
    </w:p>
    <w:p w:rsidR="00000000" w:rsidRDefault="00000000">
      <w:pPr>
        <w:numPr>
          <w:ilvl w:val="0"/>
          <w:numId w:val="387"/>
        </w:numPr>
        <w:tabs>
          <w:tab w:val="clear" w:pos="360"/>
          <w:tab w:val="left" w:pos="567"/>
          <w:tab w:val="left" w:pos="1021"/>
          <w:tab w:val="left" w:pos="1474"/>
          <w:tab w:val="left" w:pos="1928"/>
        </w:tabs>
        <w:ind w:left="567" w:hanging="567"/>
        <w:jc w:val="left"/>
        <w:rPr>
          <w:caps/>
          <w:color w:val="000000"/>
          <w:lang w:val="en-US"/>
        </w:rPr>
      </w:pPr>
      <w:r>
        <w:rPr>
          <w:caps/>
          <w:color w:val="000000"/>
          <w:lang w:val="en-US"/>
        </w:rPr>
        <w:t>greek national council for radio and television</w:t>
      </w:r>
    </w:p>
    <w:p w:rsidR="00000000" w:rsidRDefault="00000000">
      <w:pPr>
        <w:numPr>
          <w:ilvl w:val="0"/>
          <w:numId w:val="387"/>
        </w:numPr>
        <w:tabs>
          <w:tab w:val="clear" w:pos="360"/>
          <w:tab w:val="left" w:pos="567"/>
          <w:tab w:val="left" w:pos="1021"/>
          <w:tab w:val="left" w:pos="1474"/>
          <w:tab w:val="left" w:pos="1928"/>
        </w:tabs>
        <w:ind w:left="567" w:hanging="567"/>
        <w:jc w:val="left"/>
        <w:rPr>
          <w:caps/>
          <w:color w:val="000000"/>
          <w:lang w:val="en-US"/>
        </w:rPr>
      </w:pPr>
      <w:r>
        <w:rPr>
          <w:caps/>
          <w:color w:val="000000"/>
          <w:lang w:val="en-US"/>
        </w:rPr>
        <w:t>national ombudsman</w:t>
      </w:r>
    </w:p>
    <w:p w:rsidR="00000000" w:rsidRDefault="00000000">
      <w:pPr>
        <w:pStyle w:val="Heading2"/>
        <w:tabs>
          <w:tab w:val="left" w:pos="567"/>
          <w:tab w:val="left" w:pos="1021"/>
          <w:tab w:val="left" w:pos="1474"/>
          <w:tab w:val="left" w:pos="1928"/>
        </w:tabs>
        <w:ind w:left="567" w:hanging="567"/>
        <w:jc w:val="left"/>
        <w:rPr>
          <w:b/>
          <w:caps w:val="0"/>
          <w:smallCaps/>
          <w:sz w:val="22"/>
          <w:u w:val="single"/>
          <w:lang w:val="en-US"/>
        </w:rPr>
      </w:pPr>
      <w:r>
        <w:rPr>
          <w:b/>
          <w:caps w:val="0"/>
          <w:smallCaps/>
          <w:sz w:val="22"/>
          <w:u w:val="single"/>
          <w:lang w:val="en-US"/>
        </w:rPr>
        <w:t>international institutions</w:t>
      </w:r>
    </w:p>
    <w:p w:rsidR="00000000" w:rsidRDefault="00000000">
      <w:pPr>
        <w:tabs>
          <w:tab w:val="left" w:pos="567"/>
          <w:tab w:val="left" w:pos="1021"/>
          <w:tab w:val="left" w:pos="1474"/>
          <w:tab w:val="left" w:pos="1928"/>
        </w:tabs>
        <w:jc w:val="left"/>
        <w:rPr>
          <w:caps/>
          <w:color w:val="000000"/>
          <w:lang w:val="en-US"/>
        </w:rPr>
      </w:pPr>
      <w:r>
        <w:rPr>
          <w:caps/>
          <w:color w:val="000000"/>
          <w:lang w:val="en-US"/>
        </w:rPr>
        <w:t>1.</w:t>
      </w:r>
      <w:r>
        <w:rPr>
          <w:caps/>
          <w:color w:val="000000"/>
          <w:lang w:val="en-US"/>
        </w:rPr>
        <w:tab/>
        <w:t>council of europe</w:t>
      </w:r>
    </w:p>
    <w:p w:rsidR="00000000" w:rsidRDefault="00000000">
      <w:pPr>
        <w:tabs>
          <w:tab w:val="left" w:pos="567"/>
          <w:tab w:val="left" w:pos="1021"/>
          <w:tab w:val="left" w:pos="1474"/>
          <w:tab w:val="left" w:pos="1928"/>
        </w:tabs>
        <w:jc w:val="left"/>
        <w:rPr>
          <w:caps/>
          <w:color w:val="000000"/>
          <w:lang w:val="en-US"/>
        </w:rPr>
      </w:pPr>
      <w:r>
        <w:rPr>
          <w:caps/>
          <w:color w:val="000000"/>
          <w:lang w:val="en-US"/>
        </w:rPr>
        <w:t>2.</w:t>
      </w:r>
      <w:r>
        <w:rPr>
          <w:caps/>
          <w:color w:val="000000"/>
          <w:lang w:val="en-US"/>
        </w:rPr>
        <w:tab/>
        <w:t>THE european union statistical office eurostat</w:t>
      </w:r>
    </w:p>
    <w:p w:rsidR="00000000" w:rsidRDefault="00000000">
      <w:pPr>
        <w:tabs>
          <w:tab w:val="left" w:pos="567"/>
          <w:tab w:val="left" w:pos="1021"/>
          <w:tab w:val="left" w:pos="1474"/>
          <w:tab w:val="left" w:pos="1928"/>
        </w:tabs>
        <w:jc w:val="left"/>
        <w:rPr>
          <w:caps/>
          <w:color w:val="000000"/>
          <w:lang w:val="en-US"/>
        </w:rPr>
      </w:pPr>
      <w:r>
        <w:rPr>
          <w:caps/>
          <w:color w:val="000000"/>
          <w:lang w:val="en-US"/>
        </w:rPr>
        <w:t>3.</w:t>
      </w:r>
      <w:r>
        <w:rPr>
          <w:caps/>
          <w:color w:val="000000"/>
          <w:lang w:val="en-US"/>
        </w:rPr>
        <w:tab/>
        <w:t>international federation of journalists</w:t>
      </w:r>
    </w:p>
    <w:p w:rsidR="00000000" w:rsidRDefault="00000000">
      <w:pPr>
        <w:tabs>
          <w:tab w:val="left" w:pos="567"/>
          <w:tab w:val="left" w:pos="1021"/>
          <w:tab w:val="left" w:pos="1474"/>
          <w:tab w:val="left" w:pos="1928"/>
        </w:tabs>
        <w:jc w:val="left"/>
        <w:rPr>
          <w:caps/>
          <w:color w:val="000000"/>
          <w:lang w:val="en-US"/>
        </w:rPr>
      </w:pPr>
      <w:r>
        <w:rPr>
          <w:caps/>
          <w:color w:val="000000"/>
          <w:lang w:val="en-US"/>
        </w:rPr>
        <w:t>4.</w:t>
      </w:r>
      <w:r>
        <w:rPr>
          <w:caps/>
          <w:color w:val="000000"/>
          <w:lang w:val="en-US"/>
        </w:rPr>
        <w:tab/>
        <w:t>the office of the united nations high commissioner for refugees</w:t>
      </w:r>
    </w:p>
    <w:p w:rsidR="00000000" w:rsidRDefault="00000000">
      <w:pPr>
        <w:pStyle w:val="BodyText"/>
        <w:tabs>
          <w:tab w:val="left" w:pos="567"/>
          <w:tab w:val="left" w:pos="1021"/>
          <w:tab w:val="left" w:pos="1474"/>
          <w:tab w:val="left" w:pos="1928"/>
        </w:tabs>
        <w:spacing w:after="0"/>
        <w:jc w:val="center"/>
      </w:pPr>
      <w:r>
        <w:t>_________</w:t>
      </w:r>
    </w:p>
    <w:sectPr w:rsidR="00000000">
      <w:footerReference w:type="even" r:id="rId39"/>
      <w:pgSz w:w="12242" w:h="15842" w:code="1"/>
      <w:pgMar w:top="1418" w:right="1418" w:bottom="1701" w:left="1418" w:header="0" w:footer="851" w:gutter="0"/>
      <w:cols w:space="72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Larisa.Sokolova" w:initials="LS">
    <w:p w:rsidR="00000000" w:rsidRDefault="00000000">
      <w:pPr>
        <w:pStyle w:val="CommentText"/>
        <w:spacing w:after="0" w:line="240" w:lineRule="exac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NO&gt;&gt;N05</w:t>
      </w:r>
      <w:r>
        <w:rPr>
          <w:lang w:val="en-US"/>
        </w:rPr>
        <w:t>40581</w:t>
      </w:r>
      <w:r>
        <w:t>R&lt;&lt;ODS JOB NO&gt;&gt;</w:t>
      </w:r>
    </w:p>
    <w:p w:rsidR="00000000" w:rsidRDefault="00000000">
      <w:pPr>
        <w:pStyle w:val="CommentText"/>
        <w:spacing w:after="0" w:line="240" w:lineRule="exact"/>
      </w:pPr>
      <w:r>
        <w:t>&lt;&lt;ODS DOC SYMBOL1&gt;&gt;</w:t>
      </w:r>
      <w:r>
        <w:rPr>
          <w:lang w:val="en-US"/>
        </w:rPr>
        <w:t>CEDAW/C/GRC/6</w:t>
      </w:r>
      <w:r>
        <w:t>&lt;&lt;ODS DOC SYMBOL1&gt;&gt;</w:t>
      </w:r>
    </w:p>
    <w:p w:rsidR="00000000" w:rsidRDefault="00000000">
      <w:pPr>
        <w:pStyle w:val="CommentText"/>
        <w:spacing w:after="0" w:line="240" w:lineRule="exac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MS Roman 12pt">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000000" w:rsidRDefault="0000000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after="0"/>
    </w:pPr>
  </w:p>
  <w:p w:rsidR="00000000" w:rsidRDefault="00000000">
    <w:pPr>
      <w:pStyle w:val="Footer"/>
      <w:spacing w:after="0"/>
    </w:pPr>
  </w:p>
  <w:p w:rsidR="00000000" w:rsidRDefault="00000000">
    <w:pPr>
      <w:pStyle w:val="Footer"/>
      <w:spacing w:after="0"/>
    </w:pPr>
    <w:r>
      <w:t>05-40581.</w:t>
    </w:r>
    <w:r>
      <w:rPr>
        <w:lang w:val="en-US"/>
      </w:rPr>
      <w:t>R</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right" w:y="1"/>
      <w:rPr>
        <w:rStyle w:val="PageNumber"/>
        <w:sz w:val="19"/>
      </w:rPr>
    </w:pPr>
    <w:r>
      <w:rPr>
        <w:rStyle w:val="PageNumber"/>
        <w:sz w:val="19"/>
      </w:rPr>
      <w:fldChar w:fldCharType="begin"/>
    </w:r>
    <w:r>
      <w:rPr>
        <w:rStyle w:val="PageNumber"/>
        <w:sz w:val="19"/>
      </w:rPr>
      <w:instrText xml:space="preserve">PAGE  </w:instrText>
    </w:r>
    <w:r>
      <w:rPr>
        <w:rStyle w:val="PageNumber"/>
        <w:sz w:val="19"/>
      </w:rPr>
      <w:fldChar w:fldCharType="end"/>
    </w:r>
  </w:p>
  <w:p w:rsidR="00000000" w:rsidRDefault="00000000">
    <w:pPr>
      <w:pStyle w:val="Footer"/>
      <w:ind w:right="360"/>
      <w:rPr>
        <w:sz w:val="19"/>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20"/>
      </w:pPr>
      <w:r>
        <w:separator/>
      </w:r>
    </w:p>
  </w:footnote>
  <w:footnote w:type="continuationSeparator" w:id="0">
    <w:p w:rsidR="00000000" w:rsidRDefault="00000000">
      <w:r>
        <w:continuationSeparator/>
      </w:r>
    </w:p>
  </w:footnote>
  <w:footnote w:id="1">
    <w:p w:rsidR="00000000" w:rsidRDefault="00000000">
      <w:pPr>
        <w:pStyle w:val="FootnoteText"/>
        <w:tabs>
          <w:tab w:val="left" w:pos="454"/>
        </w:tabs>
        <w:rPr>
          <w:sz w:val="19"/>
        </w:rPr>
      </w:pPr>
      <w:r>
        <w:rPr>
          <w:rStyle w:val="FootnoteReference"/>
          <w:vertAlign w:val="baseline"/>
        </w:rPr>
        <w:t>*</w:t>
      </w:r>
      <w:r>
        <w:tab/>
      </w:r>
      <w:r>
        <w:rPr>
          <w:sz w:val="19"/>
        </w:rPr>
        <w:t>Настоящий доклад издается без официального редактирования.</w:t>
      </w:r>
    </w:p>
    <w:p w:rsidR="00000000" w:rsidRDefault="00000000">
      <w:pPr>
        <w:pStyle w:val="FootnoteText"/>
        <w:tabs>
          <w:tab w:val="left" w:pos="454"/>
        </w:tabs>
        <w:rPr>
          <w:rStyle w:val="FootnoteReference"/>
          <w:vertAlign w:val="baseline"/>
        </w:rPr>
      </w:pPr>
      <w:r>
        <w:rPr>
          <w:sz w:val="19"/>
        </w:rPr>
        <w:tab/>
      </w:r>
      <w:r>
        <w:rPr>
          <w:spacing w:val="-1"/>
          <w:sz w:val="19"/>
        </w:rPr>
        <w:t>Первоначальный доклад, представленный правительством Греции, см. в документе CEDAW/C/5/Add.28,</w:t>
      </w:r>
      <w:r>
        <w:rPr>
          <w:sz w:val="19"/>
        </w:rPr>
        <w:t xml:space="preserve"> который был рассмотрен Комитетом на его шестой сессии. Объединенный второй и третий периодический доклад, представленный правительством Греции, см. в документе CEDAW/C/</w:t>
      </w:r>
      <w:r>
        <w:rPr>
          <w:sz w:val="19"/>
          <w:lang w:val="en-US"/>
        </w:rPr>
        <w:t>GRC</w:t>
      </w:r>
      <w:r>
        <w:rPr>
          <w:sz w:val="19"/>
        </w:rPr>
        <w:t>/2</w:t>
      </w:r>
      <w:r>
        <w:rPr>
          <w:sz w:val="19"/>
        </w:rPr>
        <w:noBreakHyphen/>
        <w:t>3, который был рассмотрен Комитетом на его двадцатой сессии. Объединенный четвертый и пятый периодический доклад, представленный правительством Греции, см. в документе CEDAW/C/</w:t>
      </w:r>
      <w:r>
        <w:rPr>
          <w:sz w:val="19"/>
          <w:lang w:val="en-US"/>
        </w:rPr>
        <w:t>GRC</w:t>
      </w:r>
      <w:r>
        <w:rPr>
          <w:sz w:val="19"/>
        </w:rPr>
        <w:t>/4-5, который был рассмотрен Комитетом на его специальной сессии.</w:t>
      </w:r>
    </w:p>
  </w:footnote>
  <w:footnote w:id="2">
    <w:p w:rsidR="00000000" w:rsidRDefault="00000000">
      <w:pPr>
        <w:pStyle w:val="FootnoteText"/>
      </w:pPr>
      <w:r>
        <w:rPr>
          <w:rStyle w:val="FootnoteReference"/>
        </w:rPr>
        <w:footnoteRef/>
      </w:r>
      <w:r>
        <w:t xml:space="preserve"> См. пункты 3 и 4 статей 2 и 3 настоящего доклада.</w:t>
      </w:r>
    </w:p>
  </w:footnote>
  <w:footnote w:id="3">
    <w:p w:rsidR="00000000" w:rsidRDefault="00000000">
      <w:pPr>
        <w:pStyle w:val="FootnoteText"/>
      </w:pPr>
      <w:r>
        <w:rPr>
          <w:rStyle w:val="FootnoteReference"/>
        </w:rPr>
        <w:footnoteRef/>
      </w:r>
      <w:r>
        <w:t xml:space="preserve"> См. пункты 2, 3 и 4 статьи 4 настоящего доклада.</w:t>
      </w:r>
    </w:p>
  </w:footnote>
  <w:footnote w:id="4">
    <w:p w:rsidR="00000000" w:rsidRDefault="00000000">
      <w:pPr>
        <w:pStyle w:val="FootnoteText"/>
      </w:pPr>
      <w:r>
        <w:rPr>
          <w:rStyle w:val="FootnoteReference"/>
        </w:rPr>
        <w:footnoteRef/>
      </w:r>
      <w:r>
        <w:t xml:space="preserve"> См. пункт 1 статьи 4 настоящего доклада.</w:t>
      </w:r>
    </w:p>
  </w:footnote>
  <w:footnote w:id="5">
    <w:p w:rsidR="00000000" w:rsidRDefault="00000000">
      <w:pPr>
        <w:pStyle w:val="FootnoteText"/>
      </w:pPr>
      <w:r>
        <w:rPr>
          <w:rStyle w:val="FootnoteReference"/>
        </w:rPr>
        <w:footnoteRef/>
      </w:r>
      <w:r>
        <w:t xml:space="preserve"> В статье 31 Конституции предусматривается: "Президентом Республики может быть избран гражданин Греции, пребывающий в этом гражданстве не менее пяти лет, имеющий отца или мать гражданина Греции, достигший сорокалетнего возраста и обладающий правом избирать".</w:t>
      </w:r>
    </w:p>
  </w:footnote>
  <w:footnote w:id="6">
    <w:p w:rsidR="00000000" w:rsidRDefault="00000000">
      <w:pPr>
        <w:pStyle w:val="FootnoteText"/>
      </w:pPr>
      <w:r>
        <w:rPr>
          <w:rStyle w:val="FootnoteReference"/>
        </w:rPr>
        <w:footnoteRef/>
      </w:r>
      <w:r>
        <w:t xml:space="preserve"> Государственный совет (Третий отдел) 2905/2003, 2906/2003, 2907/2003, 2908/2003 и 2909/2003.</w:t>
      </w:r>
    </w:p>
  </w:footnote>
  <w:footnote w:id="7">
    <w:p w:rsidR="00000000" w:rsidRDefault="00000000">
      <w:pPr>
        <w:pStyle w:val="FootnoteText"/>
      </w:pPr>
      <w:r>
        <w:rPr>
          <w:rStyle w:val="FootnoteReference"/>
        </w:rPr>
        <w:footnoteRef/>
      </w:r>
      <w:r>
        <w:t xml:space="preserve"> Министерский указ № 2/190/0094 (Greek Official Gazette, F.E.K. В' 323/11-2-2004).</w:t>
      </w:r>
    </w:p>
  </w:footnote>
  <w:footnote w:id="8">
    <w:p w:rsidR="00000000" w:rsidRDefault="00000000">
      <w:pPr>
        <w:pStyle w:val="FootnoteText"/>
      </w:pPr>
      <w:r>
        <w:rPr>
          <w:rStyle w:val="FootnoteReference"/>
        </w:rPr>
        <w:footnoteRef/>
      </w:r>
      <w:r>
        <w:t xml:space="preserve"> См. пункт 13 статьи 6 настоящего доклада.</w:t>
      </w:r>
    </w:p>
  </w:footnote>
  <w:footnote w:id="9">
    <w:p w:rsidR="00000000" w:rsidRDefault="00000000">
      <w:pPr>
        <w:pStyle w:val="FootnoteText"/>
      </w:pPr>
      <w:r>
        <w:rPr>
          <w:rStyle w:val="FootnoteReference"/>
        </w:rPr>
        <w:footnoteRef/>
      </w:r>
      <w:r>
        <w:t xml:space="preserve"> См. пункт 3 статьи 6 настоящего доклада.</w:t>
      </w:r>
    </w:p>
  </w:footnote>
  <w:footnote w:id="10">
    <w:p w:rsidR="00000000" w:rsidRDefault="00000000">
      <w:pPr>
        <w:pStyle w:val="FootnoteText"/>
      </w:pPr>
      <w:r>
        <w:rPr>
          <w:rStyle w:val="FootnoteReference"/>
        </w:rPr>
        <w:footnoteRef/>
      </w:r>
      <w:r>
        <w:t xml:space="preserve"> См. пункт 3 статьи 6 настоящего доклада.</w:t>
      </w:r>
    </w:p>
  </w:footnote>
  <w:footnote w:id="11">
    <w:p w:rsidR="00000000" w:rsidRDefault="00000000">
      <w:pPr>
        <w:pStyle w:val="FootnoteText"/>
      </w:pPr>
      <w:r>
        <w:rPr>
          <w:rStyle w:val="FootnoteReference"/>
        </w:rPr>
        <w:footnoteRef/>
      </w:r>
      <w:r>
        <w:t xml:space="preserve"> См. пункты 3, 4 статьи 7 настоящего доклада.</w:t>
      </w:r>
    </w:p>
  </w:footnote>
  <w:footnote w:id="12">
    <w:p w:rsidR="00000000" w:rsidRDefault="00000000">
      <w:pPr>
        <w:pStyle w:val="FootnoteText"/>
      </w:pPr>
      <w:r>
        <w:rPr>
          <w:rStyle w:val="FootnoteReference"/>
        </w:rPr>
        <w:footnoteRef/>
      </w:r>
      <w:r>
        <w:t xml:space="preserve"> См. пункт 3, 4 и 5 статьи 4 настоящего доклада.</w:t>
      </w:r>
    </w:p>
  </w:footnote>
  <w:footnote w:id="13">
    <w:p w:rsidR="00000000" w:rsidRDefault="00000000">
      <w:pPr>
        <w:pStyle w:val="FootnoteText"/>
      </w:pPr>
      <w:r>
        <w:rPr>
          <w:rStyle w:val="FootnoteReference"/>
        </w:rPr>
        <w:footnoteRef/>
      </w:r>
      <w:r>
        <w:t xml:space="preserve"> См. статью 9 настоящего доклада.</w:t>
      </w:r>
    </w:p>
  </w:footnote>
  <w:footnote w:id="14">
    <w:p w:rsidR="00000000" w:rsidRDefault="00000000">
      <w:pPr>
        <w:pStyle w:val="FootnoteText"/>
      </w:pPr>
      <w:r>
        <w:rPr>
          <w:rStyle w:val="FootnoteReference"/>
        </w:rPr>
        <w:footnoteRef/>
      </w:r>
      <w:r>
        <w:t xml:space="preserve"> Указ 316/14-7-2000. См. пункт 5 статьи 7 настоящего доклада.</w:t>
      </w:r>
    </w:p>
  </w:footnote>
  <w:footnote w:id="15">
    <w:p w:rsidR="00000000" w:rsidRDefault="00000000">
      <w:pPr>
        <w:pStyle w:val="FootnoteText"/>
      </w:pPr>
      <w:r>
        <w:rPr>
          <w:rStyle w:val="FootnoteReference"/>
        </w:rPr>
        <w:footnoteRef/>
      </w:r>
      <w:r>
        <w:t xml:space="preserve"> Статья 43А новых Правил процедуры парламента (январь 2002 года). См. пункт 6 статьи 7 настоящего доклада.</w:t>
      </w:r>
    </w:p>
  </w:footnote>
  <w:footnote w:id="16">
    <w:p w:rsidR="00000000" w:rsidRDefault="00000000">
      <w:pPr>
        <w:pStyle w:val="FootnoteText"/>
        <w:rPr>
          <w:lang w:val="en-US"/>
        </w:rPr>
      </w:pPr>
      <w:r>
        <w:rPr>
          <w:rStyle w:val="FootnoteReference"/>
        </w:rPr>
        <w:footnoteRef/>
      </w:r>
      <w:r>
        <w:rPr>
          <w:lang w:val="en-US"/>
        </w:rPr>
        <w:t xml:space="preserve"> Greek Official Gazette F.E.K. A' 36/09.02.2004.</w:t>
      </w:r>
    </w:p>
  </w:footnote>
  <w:footnote w:id="17">
    <w:p w:rsidR="00000000" w:rsidRDefault="00000000">
      <w:pPr>
        <w:pStyle w:val="FootnoteText"/>
      </w:pPr>
      <w:r>
        <w:rPr>
          <w:rStyle w:val="FootnoteReference"/>
        </w:rPr>
        <w:footnoteRef/>
      </w:r>
      <w:r>
        <w:t xml:space="preserve"> См. пункт 13 статьи 14 настоящего доклада.</w:t>
      </w:r>
    </w:p>
  </w:footnote>
  <w:footnote w:id="18">
    <w:p w:rsidR="00000000" w:rsidRDefault="00000000">
      <w:pPr>
        <w:pStyle w:val="FootnoteText"/>
      </w:pPr>
      <w:r>
        <w:rPr>
          <w:rStyle w:val="FootnoteReference"/>
        </w:rPr>
        <w:footnoteRef/>
      </w:r>
      <w:r>
        <w:t xml:space="preserve"> См. пункт 4 статьи 14 настоящего доклада.</w:t>
      </w:r>
    </w:p>
  </w:footnote>
  <w:footnote w:id="19">
    <w:p w:rsidR="00000000" w:rsidRDefault="00000000">
      <w:pPr>
        <w:pStyle w:val="FootnoteText"/>
      </w:pPr>
      <w:r>
        <w:rPr>
          <w:rStyle w:val="FootnoteReference"/>
        </w:rPr>
        <w:footnoteRef/>
      </w:r>
      <w:r>
        <w:t xml:space="preserve"> См. также пункт 1 статей 2 и 3 настоящего доклада.</w:t>
      </w:r>
    </w:p>
  </w:footnote>
  <w:footnote w:id="20">
    <w:p w:rsidR="00000000" w:rsidRDefault="00000000">
      <w:pPr>
        <w:pStyle w:val="FootnoteText"/>
      </w:pPr>
      <w:r>
        <w:rPr>
          <w:rStyle w:val="FootnoteReference"/>
        </w:rPr>
        <w:footnoteRef/>
      </w:r>
      <w:r>
        <w:t xml:space="preserve"> Государственный совет, 192/2004, 3189/2003, 3188/2003, 3187/2003, 3185/2003, 3098/2003, 3027/2003, 2833/2003, 2832/2003.</w:t>
      </w:r>
    </w:p>
  </w:footnote>
  <w:footnote w:id="21">
    <w:p w:rsidR="00000000" w:rsidRDefault="00000000">
      <w:pPr>
        <w:pStyle w:val="FootnoteText"/>
      </w:pPr>
      <w:r>
        <w:rPr>
          <w:rStyle w:val="FootnoteReference"/>
        </w:rPr>
        <w:footnoteRef/>
      </w:r>
      <w:r>
        <w:t xml:space="preserve"> См. Приложение А к настоящему докладу.</w:t>
      </w:r>
    </w:p>
  </w:footnote>
  <w:footnote w:id="22">
    <w:p w:rsidR="00000000" w:rsidRDefault="00000000">
      <w:pPr>
        <w:pStyle w:val="FootnoteText"/>
      </w:pPr>
      <w:r>
        <w:rPr>
          <w:rStyle w:val="FootnoteReference"/>
        </w:rPr>
        <w:footnoteRef/>
      </w:r>
      <w:r>
        <w:t xml:space="preserve"> Пункт 1 статьи 4 Президентского указа 77/2003 (</w:t>
      </w:r>
      <w:r>
        <w:rPr>
          <w:lang w:val="en-US"/>
        </w:rPr>
        <w:t>Greek</w:t>
      </w:r>
      <w:r>
        <w:t xml:space="preserve"> </w:t>
      </w:r>
      <w:r>
        <w:rPr>
          <w:lang w:val="en-US"/>
        </w:rPr>
        <w:t>Official</w:t>
      </w:r>
      <w:r>
        <w:t xml:space="preserve"> </w:t>
      </w:r>
      <w:r>
        <w:rPr>
          <w:lang w:val="en-US"/>
        </w:rPr>
        <w:t>gazette</w:t>
      </w:r>
      <w:r>
        <w:t xml:space="preserve">, </w:t>
      </w:r>
      <w:r>
        <w:rPr>
          <w:lang w:val="en-US"/>
        </w:rPr>
        <w:t>F</w:t>
      </w:r>
      <w:r>
        <w:t>.</w:t>
      </w:r>
      <w:r>
        <w:rPr>
          <w:lang w:val="en-US"/>
        </w:rPr>
        <w:t>E</w:t>
      </w:r>
      <w:r>
        <w:t>.</w:t>
      </w:r>
      <w:r>
        <w:rPr>
          <w:lang w:val="en-US"/>
        </w:rPr>
        <w:t>K</w:t>
      </w:r>
      <w:r>
        <w:t>.</w:t>
      </w:r>
      <w:r>
        <w:rPr>
          <w:lang w:val="en-US"/>
        </w:rPr>
        <w:t>A</w:t>
      </w:r>
      <w:r>
        <w:t>.' 752003).</w:t>
      </w:r>
    </w:p>
  </w:footnote>
  <w:footnote w:id="23">
    <w:p w:rsidR="00000000" w:rsidRDefault="00000000">
      <w:pPr>
        <w:pStyle w:val="FootnoteText"/>
        <w:rPr>
          <w:lang w:val="en-US"/>
        </w:rPr>
      </w:pPr>
      <w:r>
        <w:rPr>
          <w:rStyle w:val="FootnoteReference"/>
        </w:rPr>
        <w:footnoteRef/>
      </w:r>
      <w:r>
        <w:rPr>
          <w:lang w:val="en-US"/>
        </w:rPr>
        <w:t xml:space="preserve"> </w:t>
      </w:r>
      <w:r>
        <w:t>Министерский</w:t>
      </w:r>
      <w:r>
        <w:rPr>
          <w:lang w:val="en-US"/>
        </w:rPr>
        <w:t xml:space="preserve"> </w:t>
      </w:r>
      <w:r>
        <w:t>указ</w:t>
      </w:r>
      <w:r>
        <w:rPr>
          <w:lang w:val="en-US"/>
        </w:rPr>
        <w:t xml:space="preserve"> № 2/37645/0020/2002.</w:t>
      </w:r>
    </w:p>
  </w:footnote>
  <w:footnote w:id="24">
    <w:p w:rsidR="00000000" w:rsidRDefault="00000000">
      <w:pPr>
        <w:pStyle w:val="FootnoteText"/>
        <w:rPr>
          <w:lang w:val="en-US"/>
        </w:rPr>
      </w:pPr>
      <w:r>
        <w:rPr>
          <w:rStyle w:val="FootnoteReference"/>
        </w:rPr>
        <w:footnoteRef/>
      </w:r>
      <w:r>
        <w:rPr>
          <w:lang w:val="en-US"/>
        </w:rPr>
        <w:t xml:space="preserve"> Greek Official Gazette F.E.K.A' 15/2004.</w:t>
      </w:r>
    </w:p>
  </w:footnote>
  <w:footnote w:id="25">
    <w:p w:rsidR="00000000" w:rsidRDefault="00000000">
      <w:pPr>
        <w:pStyle w:val="FootnoteText"/>
      </w:pPr>
      <w:r>
        <w:rPr>
          <w:rStyle w:val="FootnoteReference"/>
        </w:rPr>
        <w:footnoteRef/>
      </w:r>
      <w:r>
        <w:t xml:space="preserve"> О мерах см. приложение </w:t>
      </w:r>
      <w:r>
        <w:rPr>
          <w:lang w:val="en-US"/>
        </w:rPr>
        <w:t>C</w:t>
      </w:r>
      <w:r>
        <w:t xml:space="preserve"> в конце настоящего доклада.</w:t>
      </w:r>
    </w:p>
  </w:footnote>
  <w:footnote w:id="26">
    <w:p w:rsidR="00000000" w:rsidRDefault="00000000">
      <w:pPr>
        <w:pStyle w:val="FootnoteText"/>
      </w:pPr>
      <w:r>
        <w:rPr>
          <w:rStyle w:val="FootnoteReference"/>
        </w:rPr>
        <w:footnoteRef/>
      </w:r>
      <w:r>
        <w:t xml:space="preserve"> См. пункты 2, 3 и 4 статьи 4 настоящего доклада.</w:t>
      </w:r>
    </w:p>
  </w:footnote>
  <w:footnote w:id="27">
    <w:p w:rsidR="00000000" w:rsidRDefault="00000000">
      <w:pPr>
        <w:pStyle w:val="FootnoteText"/>
      </w:pPr>
      <w:r>
        <w:rPr>
          <w:rStyle w:val="FootnoteReference"/>
        </w:rPr>
        <w:footnoteRef/>
      </w:r>
      <w:r>
        <w:t xml:space="preserve"> См. пункт 21 статей 2 и 3 настоящего доклада.</w:t>
      </w:r>
    </w:p>
  </w:footnote>
  <w:footnote w:id="28">
    <w:p w:rsidR="00000000" w:rsidRDefault="00000000">
      <w:pPr>
        <w:pStyle w:val="FootnoteText"/>
      </w:pPr>
      <w:r>
        <w:rPr>
          <w:rStyle w:val="FootnoteReference"/>
        </w:rPr>
        <w:footnoteRef/>
      </w:r>
      <w:r>
        <w:t xml:space="preserve"> См. пункт 22 статей 2 и 3 настоящего доклада.</w:t>
      </w:r>
    </w:p>
  </w:footnote>
  <w:footnote w:id="29">
    <w:p w:rsidR="00000000" w:rsidRDefault="00000000">
      <w:pPr>
        <w:pStyle w:val="FootnoteText"/>
      </w:pPr>
      <w:r>
        <w:rPr>
          <w:rStyle w:val="FootnoteReference"/>
        </w:rPr>
        <w:footnoteRef/>
      </w:r>
      <w:r>
        <w:t xml:space="preserve"> См. также пункт 5 статьи 69 закона 2910/2001.</w:t>
      </w:r>
    </w:p>
  </w:footnote>
  <w:footnote w:id="30">
    <w:p w:rsidR="00000000" w:rsidRDefault="00000000">
      <w:pPr>
        <w:pStyle w:val="FootnoteText"/>
      </w:pPr>
      <w:r>
        <w:rPr>
          <w:rStyle w:val="FootnoteReference"/>
        </w:rPr>
        <w:footnoteRef/>
      </w:r>
      <w:r>
        <w:t xml:space="preserve"> См. также пункт 4 статьи 69 закона 2910/2001.</w:t>
      </w:r>
    </w:p>
  </w:footnote>
  <w:footnote w:id="31">
    <w:p w:rsidR="00000000" w:rsidRDefault="00000000">
      <w:pPr>
        <w:pStyle w:val="FootnoteText"/>
      </w:pPr>
      <w:r>
        <w:rPr>
          <w:rStyle w:val="FootnoteReference"/>
        </w:rPr>
        <w:footnoteRef/>
      </w:r>
      <w:r>
        <w:t xml:space="preserve"> См. также пункт 6 статьи 69 закона 2910/2001.</w:t>
      </w:r>
    </w:p>
  </w:footnote>
  <w:footnote w:id="32">
    <w:p w:rsidR="00000000" w:rsidRDefault="00000000">
      <w:pPr>
        <w:pStyle w:val="FootnoteText"/>
      </w:pPr>
      <w:r>
        <w:rPr>
          <w:rStyle w:val="FootnoteReference"/>
        </w:rPr>
        <w:footnoteRef/>
      </w:r>
      <w:r>
        <w:t xml:space="preserve"> См. также пункт 7 статьи 69 закона 2910/2001.</w:t>
      </w:r>
    </w:p>
  </w:footnote>
  <w:footnote w:id="33">
    <w:p w:rsidR="00000000" w:rsidRDefault="00000000">
      <w:pPr>
        <w:pStyle w:val="FootnoteText"/>
      </w:pPr>
      <w:r>
        <w:rPr>
          <w:rStyle w:val="FootnoteReference"/>
        </w:rPr>
        <w:footnoteRef/>
      </w:r>
      <w:r>
        <w:t xml:space="preserve"> См. также пункт 8 статьи 69 закона 2910/2001.</w:t>
      </w:r>
    </w:p>
  </w:footnote>
  <w:footnote w:id="34">
    <w:p w:rsidR="00000000" w:rsidRDefault="00000000">
      <w:pPr>
        <w:pStyle w:val="FootnoteText"/>
      </w:pPr>
      <w:r>
        <w:rPr>
          <w:rStyle w:val="FootnoteReference"/>
        </w:rPr>
        <w:footnoteRef/>
      </w:r>
      <w:r>
        <w:t xml:space="preserve"> Источник: </w:t>
      </w:r>
      <w:r>
        <w:rPr>
          <w:lang w:val="fr-FR"/>
        </w:rPr>
        <w:t>http://www.ypepth.gr/el_ec_page70.htm</w:t>
      </w:r>
      <w:r>
        <w:t>.</w:t>
      </w:r>
    </w:p>
  </w:footnote>
  <w:footnote w:id="35">
    <w:p w:rsidR="00000000" w:rsidRDefault="00000000">
      <w:pPr>
        <w:pStyle w:val="FootnoteText"/>
      </w:pPr>
      <w:r>
        <w:rPr>
          <w:rStyle w:val="FootnoteReference"/>
        </w:rPr>
        <w:footnoteRef/>
      </w:r>
      <w:r>
        <w:t xml:space="preserve"> См. также статью 5 настоящего доклада.</w:t>
      </w:r>
    </w:p>
  </w:footnote>
  <w:footnote w:id="36">
    <w:p w:rsidR="00000000" w:rsidRDefault="00000000">
      <w:pPr>
        <w:pStyle w:val="FootnoteText"/>
      </w:pPr>
      <w:r>
        <w:rPr>
          <w:rStyle w:val="FootnoteReference"/>
        </w:rPr>
        <w:footnoteRef/>
      </w:r>
      <w:r>
        <w:t xml:space="preserve"> См также первую часть статьи 12 настоящего доклада.</w:t>
      </w:r>
    </w:p>
  </w:footnote>
  <w:footnote w:id="37">
    <w:p w:rsidR="00000000" w:rsidRDefault="00000000">
      <w:pPr>
        <w:pStyle w:val="FootnoteText"/>
        <w:rPr>
          <w:sz w:val="19"/>
          <w:lang w:val="en-US"/>
        </w:rPr>
      </w:pPr>
      <w:r>
        <w:rPr>
          <w:rStyle w:val="FootnoteReference"/>
          <w:sz w:val="19"/>
        </w:rPr>
        <w:footnoteRef/>
      </w:r>
      <w:r>
        <w:rPr>
          <w:sz w:val="19"/>
          <w:lang w:val="en-US"/>
        </w:rPr>
        <w:t xml:space="preserve"> See Walker L., «When love kills», transl. by Moschopoulou P., Fytrakis Publications, Athens, 1997, p. 148</w:t>
      </w:r>
    </w:p>
  </w:footnote>
  <w:footnote w:id="38">
    <w:p w:rsidR="00000000" w:rsidRDefault="00000000">
      <w:pPr>
        <w:spacing w:before="120" w:after="0"/>
        <w:rPr>
          <w:i/>
          <w:sz w:val="19"/>
          <w:lang w:val="en-GB"/>
        </w:rPr>
      </w:pPr>
      <w:r>
        <w:rPr>
          <w:rStyle w:val="FootnoteReference"/>
          <w:sz w:val="19"/>
        </w:rPr>
        <w:footnoteRef/>
      </w:r>
      <w:r>
        <w:rPr>
          <w:sz w:val="19"/>
          <w:lang w:val="en-GB"/>
        </w:rPr>
        <w:t xml:space="preserve"> See </w:t>
      </w:r>
      <w:r>
        <w:rPr>
          <w:sz w:val="19"/>
          <w:lang w:val="en-US"/>
        </w:rPr>
        <w:t>European Commission, Eurobarometer 51.0, “Europeans and Their views on domestic</w:t>
      </w:r>
      <w:r>
        <w:rPr>
          <w:sz w:val="19"/>
          <w:lang w:val="en-GB"/>
        </w:rPr>
        <w:t xml:space="preserve"> </w:t>
      </w:r>
      <w:r>
        <w:rPr>
          <w:sz w:val="19"/>
          <w:lang w:val="en-US"/>
        </w:rPr>
        <w:t>violence against women”, June 1999, p</w:t>
      </w:r>
      <w:r>
        <w:rPr>
          <w:sz w:val="19"/>
          <w:lang w:val="en-GB"/>
        </w:rPr>
        <w:t xml:space="preserve">. 32. </w:t>
      </w:r>
      <w:r>
        <w:rPr>
          <w:sz w:val="19"/>
          <w:lang w:val="en-US"/>
        </w:rPr>
        <w:t>It is noted that</w:t>
      </w:r>
      <w:r>
        <w:rPr>
          <w:sz w:val="19"/>
          <w:lang w:val="en-GB"/>
        </w:rPr>
        <w:t xml:space="preserve"> 84,5% </w:t>
      </w:r>
      <w:r>
        <w:rPr>
          <w:sz w:val="19"/>
          <w:lang w:val="en-US"/>
        </w:rPr>
        <w:t>is the highest percentage among the total European population</w:t>
      </w:r>
      <w:r>
        <w:rPr>
          <w:sz w:val="19"/>
          <w:lang w:val="en-GB"/>
        </w:rPr>
        <w:t>.</w:t>
      </w:r>
    </w:p>
  </w:footnote>
  <w:footnote w:id="39">
    <w:p w:rsidR="00000000" w:rsidRDefault="00000000">
      <w:pPr>
        <w:pStyle w:val="FootnoteText"/>
        <w:rPr>
          <w:sz w:val="19"/>
          <w:lang w:val="en-GB"/>
        </w:rPr>
      </w:pPr>
      <w:r>
        <w:rPr>
          <w:rStyle w:val="FootnoteReference"/>
          <w:sz w:val="19"/>
        </w:rPr>
        <w:footnoteRef/>
      </w:r>
      <w:r>
        <w:rPr>
          <w:sz w:val="19"/>
          <w:lang w:val="en-GB"/>
        </w:rPr>
        <w:t xml:space="preserve"> See European Commission, ibid, p.p. 24-25</w:t>
      </w:r>
    </w:p>
  </w:footnote>
  <w:footnote w:id="40">
    <w:p w:rsidR="00000000" w:rsidRDefault="00000000">
      <w:pPr>
        <w:pStyle w:val="FootnoteText"/>
        <w:rPr>
          <w:sz w:val="19"/>
        </w:rPr>
      </w:pPr>
      <w:r>
        <w:rPr>
          <w:rStyle w:val="FootnoteReference"/>
          <w:sz w:val="19"/>
        </w:rPr>
        <w:footnoteRef/>
      </w:r>
      <w:r>
        <w:rPr>
          <w:sz w:val="19"/>
          <w:lang w:val="en-GB"/>
        </w:rPr>
        <w:t xml:space="preserve"> See European Commission, ibid, p.p.  </w:t>
      </w:r>
      <w:r>
        <w:rPr>
          <w:sz w:val="19"/>
        </w:rPr>
        <w:t>20-22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84</w:t>
    </w:r>
    <w:r>
      <w:rPr>
        <w:rStyle w:val="PageNumber"/>
      </w:rPr>
      <w:fldChar w:fldCharType="end"/>
    </w:r>
  </w:p>
  <w:p w:rsidR="00000000" w:rsidRDefault="00000000">
    <w:pPr>
      <w:pStyle w:val="Header"/>
      <w:ind w:right="360"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right="360"/>
      <w:rPr>
        <w:lang w:val="en-U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6742A12"/>
    <w:lvl w:ilvl="0">
      <w:start w:val="1"/>
      <w:numFmt w:val="decimal"/>
      <w:lvlText w:val="%1."/>
      <w:lvlJc w:val="left"/>
      <w:pPr>
        <w:tabs>
          <w:tab w:val="num" w:pos="1492"/>
        </w:tabs>
        <w:ind w:left="1492" w:hanging="360"/>
      </w:pPr>
    </w:lvl>
  </w:abstractNum>
  <w:abstractNum w:abstractNumId="1">
    <w:nsid w:val="FFFFFF7D"/>
    <w:multiLevelType w:val="singleLevel"/>
    <w:tmpl w:val="22800FE8"/>
    <w:lvl w:ilvl="0">
      <w:start w:val="1"/>
      <w:numFmt w:val="decimal"/>
      <w:lvlText w:val="%1."/>
      <w:lvlJc w:val="left"/>
      <w:pPr>
        <w:tabs>
          <w:tab w:val="num" w:pos="1209"/>
        </w:tabs>
        <w:ind w:left="1209" w:hanging="360"/>
      </w:pPr>
    </w:lvl>
  </w:abstractNum>
  <w:abstractNum w:abstractNumId="2">
    <w:nsid w:val="FFFFFF7E"/>
    <w:multiLevelType w:val="singleLevel"/>
    <w:tmpl w:val="9374620E"/>
    <w:lvl w:ilvl="0">
      <w:start w:val="1"/>
      <w:numFmt w:val="decimal"/>
      <w:lvlText w:val="%1."/>
      <w:lvlJc w:val="left"/>
      <w:pPr>
        <w:tabs>
          <w:tab w:val="num" w:pos="926"/>
        </w:tabs>
        <w:ind w:left="926" w:hanging="360"/>
      </w:pPr>
    </w:lvl>
  </w:abstractNum>
  <w:abstractNum w:abstractNumId="3">
    <w:nsid w:val="FFFFFF7F"/>
    <w:multiLevelType w:val="singleLevel"/>
    <w:tmpl w:val="EC9CB8A8"/>
    <w:lvl w:ilvl="0">
      <w:start w:val="1"/>
      <w:numFmt w:val="decimal"/>
      <w:lvlText w:val="%1."/>
      <w:lvlJc w:val="left"/>
      <w:pPr>
        <w:tabs>
          <w:tab w:val="num" w:pos="643"/>
        </w:tabs>
        <w:ind w:left="643" w:hanging="360"/>
      </w:pPr>
    </w:lvl>
  </w:abstractNum>
  <w:abstractNum w:abstractNumId="4">
    <w:nsid w:val="FFFFFF80"/>
    <w:multiLevelType w:val="singleLevel"/>
    <w:tmpl w:val="A150EC22"/>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A25874D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22448B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4D831E2"/>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786C52E"/>
    <w:lvl w:ilvl="0">
      <w:start w:val="1"/>
      <w:numFmt w:val="decimal"/>
      <w:lvlText w:val="%1."/>
      <w:lvlJc w:val="left"/>
      <w:pPr>
        <w:tabs>
          <w:tab w:val="num" w:pos="360"/>
        </w:tabs>
        <w:ind w:left="360" w:hanging="360"/>
      </w:pPr>
    </w:lvl>
  </w:abstractNum>
  <w:abstractNum w:abstractNumId="9">
    <w:nsid w:val="FFFFFF89"/>
    <w:multiLevelType w:val="singleLevel"/>
    <w:tmpl w:val="21FC2F94"/>
    <w:lvl w:ilvl="0">
      <w:start w:val="1"/>
      <w:numFmt w:val="bullet"/>
      <w:pStyle w:val="ListBullet"/>
      <w:lvlText w:val=""/>
      <w:lvlJc w:val="left"/>
      <w:pPr>
        <w:tabs>
          <w:tab w:val="num" w:pos="907"/>
        </w:tabs>
        <w:ind w:left="907" w:hanging="340"/>
      </w:pPr>
      <w:rPr>
        <w:rFonts w:ascii="Symbol" w:hAnsi="Symbol" w:hint="default"/>
        <w:b w:val="0"/>
        <w:i w:val="0"/>
        <w:sz w:val="22"/>
        <w:szCs w:val="22"/>
      </w:rPr>
    </w:lvl>
  </w:abstractNum>
  <w:abstractNum w:abstractNumId="10">
    <w:nsid w:val="005C042C"/>
    <w:multiLevelType w:val="hybridMultilevel"/>
    <w:tmpl w:val="9906DF48"/>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
    <w:nsid w:val="00ED4058"/>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2">
    <w:nsid w:val="01345AED"/>
    <w:multiLevelType w:val="hybridMultilevel"/>
    <w:tmpl w:val="0C58048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3">
    <w:nsid w:val="018A2E53"/>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4">
    <w:nsid w:val="01A84649"/>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5">
    <w:nsid w:val="01F36869"/>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6">
    <w:nsid w:val="027916D1"/>
    <w:multiLevelType w:val="singleLevel"/>
    <w:tmpl w:val="04080017"/>
    <w:lvl w:ilvl="0">
      <w:start w:val="1"/>
      <w:numFmt w:val="lowerLetter"/>
      <w:lvlText w:val="%1)"/>
      <w:lvlJc w:val="left"/>
      <w:pPr>
        <w:tabs>
          <w:tab w:val="num" w:pos="360"/>
        </w:tabs>
        <w:ind w:left="360" w:hanging="360"/>
      </w:pPr>
      <w:rPr>
        <w:rFonts w:hint="default"/>
      </w:rPr>
    </w:lvl>
  </w:abstractNum>
  <w:abstractNum w:abstractNumId="17">
    <w:nsid w:val="03295D29"/>
    <w:multiLevelType w:val="singleLevel"/>
    <w:tmpl w:val="558A0D0A"/>
    <w:lvl w:ilvl="0">
      <w:start w:val="1"/>
      <w:numFmt w:val="decimal"/>
      <w:lvlText w:val="%1."/>
      <w:lvlJc w:val="left"/>
      <w:pPr>
        <w:tabs>
          <w:tab w:val="num" w:pos="360"/>
        </w:tabs>
        <w:ind w:left="360" w:hanging="360"/>
      </w:pPr>
      <w:rPr>
        <w:b/>
        <w:i w:val="0"/>
      </w:rPr>
    </w:lvl>
  </w:abstractNum>
  <w:abstractNum w:abstractNumId="18">
    <w:nsid w:val="03894B6B"/>
    <w:multiLevelType w:val="hybridMultilevel"/>
    <w:tmpl w:val="BFDCFB04"/>
    <w:lvl w:ilvl="0">
      <w:start w:val="1"/>
      <w:numFmt w:val="bullet"/>
      <w:lvlText w:val=""/>
      <w:lvlJc w:val="left"/>
      <w:pPr>
        <w:tabs>
          <w:tab w:val="num" w:pos="1080"/>
        </w:tabs>
        <w:ind w:left="1080" w:hanging="360"/>
      </w:pPr>
      <w:rPr>
        <w:rFonts w:ascii="Symbol" w:hAnsi="Symbol" w:hint="default"/>
      </w:rPr>
    </w:lvl>
    <w:lvl w:ilvl="1">
      <w:start w:val="1"/>
      <w:numFmt w:val="upperRoman"/>
      <w:lvlText w:val="%2."/>
      <w:lvlJc w:val="left"/>
      <w:pPr>
        <w:tabs>
          <w:tab w:val="num" w:pos="2160"/>
        </w:tabs>
        <w:ind w:left="2160" w:hanging="720"/>
      </w:pPr>
      <w:rPr>
        <w:rFonts w:ascii="Times" w:hAnsi="Times" w:hint="default"/>
      </w:rPr>
    </w:lvl>
    <w:lvl w:ilvl="2">
      <w:start w:val="3"/>
      <w:numFmt w:val="bullet"/>
      <w:lvlText w:val="-"/>
      <w:lvlJc w:val="left"/>
      <w:pPr>
        <w:tabs>
          <w:tab w:val="num" w:pos="2700"/>
        </w:tabs>
        <w:ind w:left="2700" w:hanging="360"/>
      </w:pPr>
      <w:rPr>
        <w:rFonts w:ascii="Times New Roman" w:eastAsia="Times" w:hAnsi="Times New Roman" w:hint="default"/>
      </w:rPr>
    </w:lvl>
    <w:lvl w:ilvl="3">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19">
    <w:nsid w:val="03F62D22"/>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0">
    <w:nsid w:val="041422EC"/>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1">
    <w:nsid w:val="045E336D"/>
    <w:multiLevelType w:val="hybridMultilevel"/>
    <w:tmpl w:val="3FB217FC"/>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cs="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22">
    <w:nsid w:val="046C609E"/>
    <w:multiLevelType w:val="hybridMultilevel"/>
    <w:tmpl w:val="94DE8878"/>
    <w:lvl w:ilvl="0">
      <w:start w:val="1"/>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3">
    <w:nsid w:val="04F31884"/>
    <w:multiLevelType w:val="hybridMultilevel"/>
    <w:tmpl w:val="8A70553C"/>
    <w:lvl w:ilvl="0">
      <w:start w:val="1"/>
      <w:numFmt w:val="upperLetter"/>
      <w:lvlText w:val="%1."/>
      <w:lvlJc w:val="left"/>
      <w:pPr>
        <w:tabs>
          <w:tab w:val="num" w:pos="1080"/>
        </w:tabs>
        <w:ind w:left="1080" w:hanging="36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24">
    <w:nsid w:val="04F43564"/>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5">
    <w:nsid w:val="057161D8"/>
    <w:multiLevelType w:val="hybridMultilevel"/>
    <w:tmpl w:val="BDC47D4C"/>
    <w:lvl w:ilvl="0">
      <w:start w:val="1"/>
      <w:numFmt w:val="bullet"/>
      <w:lvlText w:val=""/>
      <w:lvlJc w:val="left"/>
      <w:pPr>
        <w:tabs>
          <w:tab w:val="num" w:pos="1428"/>
        </w:tabs>
        <w:ind w:left="1428" w:hanging="360"/>
      </w:pPr>
      <w:rPr>
        <w:rFonts w:ascii="Symbol" w:hAnsi="Symbol" w:hint="default"/>
      </w:rPr>
    </w:lvl>
    <w:lvl w:ilvl="1" w:tentative="1">
      <w:start w:val="1"/>
      <w:numFmt w:val="bullet"/>
      <w:lvlText w:val="o"/>
      <w:lvlJc w:val="left"/>
      <w:pPr>
        <w:tabs>
          <w:tab w:val="num" w:pos="2148"/>
        </w:tabs>
        <w:ind w:left="2148" w:hanging="360"/>
      </w:pPr>
      <w:rPr>
        <w:rFonts w:ascii="Courier New" w:hAnsi="Courier New" w:cs="Courier New" w:hint="default"/>
      </w:rPr>
    </w:lvl>
    <w:lvl w:ilvl="2" w:tentative="1">
      <w:start w:val="1"/>
      <w:numFmt w:val="bullet"/>
      <w:lvlText w:val=""/>
      <w:lvlJc w:val="left"/>
      <w:pPr>
        <w:tabs>
          <w:tab w:val="num" w:pos="2868"/>
        </w:tabs>
        <w:ind w:left="2868" w:hanging="360"/>
      </w:pPr>
      <w:rPr>
        <w:rFonts w:ascii="Wingdings" w:hAnsi="Wingdings" w:hint="default"/>
      </w:rPr>
    </w:lvl>
    <w:lvl w:ilvl="3" w:tentative="1">
      <w:start w:val="1"/>
      <w:numFmt w:val="bullet"/>
      <w:lvlText w:val=""/>
      <w:lvlJc w:val="left"/>
      <w:pPr>
        <w:tabs>
          <w:tab w:val="num" w:pos="3588"/>
        </w:tabs>
        <w:ind w:left="3588" w:hanging="360"/>
      </w:pPr>
      <w:rPr>
        <w:rFonts w:ascii="Symbol" w:hAnsi="Symbol" w:hint="default"/>
      </w:rPr>
    </w:lvl>
    <w:lvl w:ilvl="4" w:tentative="1">
      <w:start w:val="1"/>
      <w:numFmt w:val="bullet"/>
      <w:lvlText w:val="o"/>
      <w:lvlJc w:val="left"/>
      <w:pPr>
        <w:tabs>
          <w:tab w:val="num" w:pos="4308"/>
        </w:tabs>
        <w:ind w:left="4308" w:hanging="360"/>
      </w:pPr>
      <w:rPr>
        <w:rFonts w:ascii="Courier New" w:hAnsi="Courier New" w:cs="Courier New" w:hint="default"/>
      </w:rPr>
    </w:lvl>
    <w:lvl w:ilvl="5" w:tentative="1">
      <w:start w:val="1"/>
      <w:numFmt w:val="bullet"/>
      <w:lvlText w:val=""/>
      <w:lvlJc w:val="left"/>
      <w:pPr>
        <w:tabs>
          <w:tab w:val="num" w:pos="5028"/>
        </w:tabs>
        <w:ind w:left="5028" w:hanging="360"/>
      </w:pPr>
      <w:rPr>
        <w:rFonts w:ascii="Wingdings" w:hAnsi="Wingdings" w:hint="default"/>
      </w:rPr>
    </w:lvl>
    <w:lvl w:ilvl="6" w:tentative="1">
      <w:start w:val="1"/>
      <w:numFmt w:val="bullet"/>
      <w:lvlText w:val=""/>
      <w:lvlJc w:val="left"/>
      <w:pPr>
        <w:tabs>
          <w:tab w:val="num" w:pos="5748"/>
        </w:tabs>
        <w:ind w:left="5748" w:hanging="360"/>
      </w:pPr>
      <w:rPr>
        <w:rFonts w:ascii="Symbol" w:hAnsi="Symbol" w:hint="default"/>
      </w:rPr>
    </w:lvl>
    <w:lvl w:ilvl="7" w:tentative="1">
      <w:start w:val="1"/>
      <w:numFmt w:val="bullet"/>
      <w:lvlText w:val="o"/>
      <w:lvlJc w:val="left"/>
      <w:pPr>
        <w:tabs>
          <w:tab w:val="num" w:pos="6468"/>
        </w:tabs>
        <w:ind w:left="6468" w:hanging="360"/>
      </w:pPr>
      <w:rPr>
        <w:rFonts w:ascii="Courier New" w:hAnsi="Courier New" w:cs="Courier New" w:hint="default"/>
      </w:rPr>
    </w:lvl>
    <w:lvl w:ilvl="8" w:tentative="1">
      <w:start w:val="1"/>
      <w:numFmt w:val="bullet"/>
      <w:lvlText w:val=""/>
      <w:lvlJc w:val="left"/>
      <w:pPr>
        <w:tabs>
          <w:tab w:val="num" w:pos="7188"/>
        </w:tabs>
        <w:ind w:left="7188" w:hanging="360"/>
      </w:pPr>
      <w:rPr>
        <w:rFonts w:ascii="Wingdings" w:hAnsi="Wingdings" w:hint="default"/>
      </w:rPr>
    </w:lvl>
  </w:abstractNum>
  <w:abstractNum w:abstractNumId="26">
    <w:nsid w:val="05ED7C37"/>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7">
    <w:nsid w:val="0605166C"/>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8">
    <w:nsid w:val="06482F99"/>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9">
    <w:nsid w:val="06494354"/>
    <w:multiLevelType w:val="singleLevel"/>
    <w:tmpl w:val="4F5E2CF4"/>
    <w:lvl w:ilvl="0">
      <w:start w:val="9"/>
      <w:numFmt w:val="decimal"/>
      <w:lvlText w:val="%1."/>
      <w:lvlJc w:val="left"/>
      <w:pPr>
        <w:tabs>
          <w:tab w:val="num" w:pos="360"/>
        </w:tabs>
        <w:ind w:left="360" w:hanging="360"/>
      </w:pPr>
      <w:rPr>
        <w:b/>
        <w:i w:val="0"/>
      </w:rPr>
    </w:lvl>
  </w:abstractNum>
  <w:abstractNum w:abstractNumId="30">
    <w:nsid w:val="069D53AC"/>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31">
    <w:nsid w:val="06C3119D"/>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32">
    <w:nsid w:val="06F46B67"/>
    <w:multiLevelType w:val="singleLevel"/>
    <w:tmpl w:val="74206C58"/>
    <w:lvl w:ilvl="0">
      <w:start w:val="21"/>
      <w:numFmt w:val="decimal"/>
      <w:lvlText w:val="%1."/>
      <w:lvlJc w:val="left"/>
      <w:pPr>
        <w:tabs>
          <w:tab w:val="num" w:pos="360"/>
        </w:tabs>
        <w:ind w:left="360" w:hanging="360"/>
      </w:pPr>
      <w:rPr>
        <w:b/>
        <w:i w:val="0"/>
      </w:rPr>
    </w:lvl>
  </w:abstractNum>
  <w:abstractNum w:abstractNumId="33">
    <w:nsid w:val="06FA5BD9"/>
    <w:multiLevelType w:val="hybridMultilevel"/>
    <w:tmpl w:val="C7881E5A"/>
    <w:lvl w:ilvl="0">
      <w:start w:val="3"/>
      <w:numFmt w:val="bullet"/>
      <w:lvlText w:val="-"/>
      <w:lvlJc w:val="left"/>
      <w:pPr>
        <w:tabs>
          <w:tab w:val="num" w:pos="2700"/>
        </w:tabs>
        <w:ind w:left="2700" w:hanging="360"/>
      </w:pPr>
      <w:rPr>
        <w:rFonts w:ascii="Times New Roman" w:eastAsia="Times" w:hAnsi="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4">
    <w:nsid w:val="070D3252"/>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35">
    <w:nsid w:val="089A3B1F"/>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36">
    <w:nsid w:val="0A3723D4"/>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37">
    <w:nsid w:val="0A7D0C93"/>
    <w:multiLevelType w:val="singleLevel"/>
    <w:tmpl w:val="16FC27B2"/>
    <w:lvl w:ilvl="0">
      <w:start w:val="1"/>
      <w:numFmt w:val="decimal"/>
      <w:lvlText w:val="%1."/>
      <w:lvlJc w:val="left"/>
      <w:pPr>
        <w:tabs>
          <w:tab w:val="num" w:pos="1980"/>
        </w:tabs>
        <w:ind w:left="1980" w:hanging="360"/>
      </w:pPr>
      <w:rPr>
        <w:rFonts w:hint="default"/>
      </w:rPr>
    </w:lvl>
  </w:abstractNum>
  <w:abstractNum w:abstractNumId="38">
    <w:nsid w:val="0B404BCA"/>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39">
    <w:nsid w:val="0B6964E8"/>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40">
    <w:nsid w:val="0B7C4A9A"/>
    <w:multiLevelType w:val="hybridMultilevel"/>
    <w:tmpl w:val="8BFE2E7E"/>
    <w:lvl w:ilvl="0">
      <w:start w:val="1"/>
      <w:numFmt w:val="bullet"/>
      <w:lvlText w:val=""/>
      <w:lvlJc w:val="left"/>
      <w:pPr>
        <w:tabs>
          <w:tab w:val="num" w:pos="1425"/>
        </w:tabs>
        <w:ind w:left="1425" w:hanging="360"/>
      </w:pPr>
      <w:rPr>
        <w:rFonts w:ascii="Symbol" w:hAnsi="Symbol" w:hint="default"/>
      </w:rPr>
    </w:lvl>
    <w:lvl w:ilvl="1" w:tentative="1">
      <w:start w:val="1"/>
      <w:numFmt w:val="bullet"/>
      <w:lvlText w:val="o"/>
      <w:lvlJc w:val="left"/>
      <w:pPr>
        <w:tabs>
          <w:tab w:val="num" w:pos="2145"/>
        </w:tabs>
        <w:ind w:left="2145" w:hanging="360"/>
      </w:pPr>
      <w:rPr>
        <w:rFonts w:ascii="Courier New" w:hAnsi="Courier New" w:cs="Courier New" w:hint="default"/>
      </w:rPr>
    </w:lvl>
    <w:lvl w:ilvl="2" w:tentative="1">
      <w:start w:val="1"/>
      <w:numFmt w:val="bullet"/>
      <w:lvlText w:val=""/>
      <w:lvlJc w:val="left"/>
      <w:pPr>
        <w:tabs>
          <w:tab w:val="num" w:pos="2865"/>
        </w:tabs>
        <w:ind w:left="2865" w:hanging="360"/>
      </w:pPr>
      <w:rPr>
        <w:rFonts w:ascii="Wingdings" w:hAnsi="Wingdings" w:hint="default"/>
      </w:rPr>
    </w:lvl>
    <w:lvl w:ilvl="3" w:tentative="1">
      <w:start w:val="1"/>
      <w:numFmt w:val="bullet"/>
      <w:lvlText w:val=""/>
      <w:lvlJc w:val="left"/>
      <w:pPr>
        <w:tabs>
          <w:tab w:val="num" w:pos="3585"/>
        </w:tabs>
        <w:ind w:left="3585" w:hanging="360"/>
      </w:pPr>
      <w:rPr>
        <w:rFonts w:ascii="Symbol" w:hAnsi="Symbol" w:hint="default"/>
      </w:rPr>
    </w:lvl>
    <w:lvl w:ilvl="4" w:tentative="1">
      <w:start w:val="1"/>
      <w:numFmt w:val="bullet"/>
      <w:lvlText w:val="o"/>
      <w:lvlJc w:val="left"/>
      <w:pPr>
        <w:tabs>
          <w:tab w:val="num" w:pos="4305"/>
        </w:tabs>
        <w:ind w:left="4305" w:hanging="360"/>
      </w:pPr>
      <w:rPr>
        <w:rFonts w:ascii="Courier New" w:hAnsi="Courier New" w:cs="Courier New" w:hint="default"/>
      </w:rPr>
    </w:lvl>
    <w:lvl w:ilvl="5" w:tentative="1">
      <w:start w:val="1"/>
      <w:numFmt w:val="bullet"/>
      <w:lvlText w:val=""/>
      <w:lvlJc w:val="left"/>
      <w:pPr>
        <w:tabs>
          <w:tab w:val="num" w:pos="5025"/>
        </w:tabs>
        <w:ind w:left="5025" w:hanging="360"/>
      </w:pPr>
      <w:rPr>
        <w:rFonts w:ascii="Wingdings" w:hAnsi="Wingdings" w:hint="default"/>
      </w:rPr>
    </w:lvl>
    <w:lvl w:ilvl="6" w:tentative="1">
      <w:start w:val="1"/>
      <w:numFmt w:val="bullet"/>
      <w:lvlText w:val=""/>
      <w:lvlJc w:val="left"/>
      <w:pPr>
        <w:tabs>
          <w:tab w:val="num" w:pos="5745"/>
        </w:tabs>
        <w:ind w:left="5745" w:hanging="360"/>
      </w:pPr>
      <w:rPr>
        <w:rFonts w:ascii="Symbol" w:hAnsi="Symbol" w:hint="default"/>
      </w:rPr>
    </w:lvl>
    <w:lvl w:ilvl="7" w:tentative="1">
      <w:start w:val="1"/>
      <w:numFmt w:val="bullet"/>
      <w:lvlText w:val="o"/>
      <w:lvlJc w:val="left"/>
      <w:pPr>
        <w:tabs>
          <w:tab w:val="num" w:pos="6465"/>
        </w:tabs>
        <w:ind w:left="6465" w:hanging="360"/>
      </w:pPr>
      <w:rPr>
        <w:rFonts w:ascii="Courier New" w:hAnsi="Courier New" w:cs="Courier New" w:hint="default"/>
      </w:rPr>
    </w:lvl>
    <w:lvl w:ilvl="8" w:tentative="1">
      <w:start w:val="1"/>
      <w:numFmt w:val="bullet"/>
      <w:lvlText w:val=""/>
      <w:lvlJc w:val="left"/>
      <w:pPr>
        <w:tabs>
          <w:tab w:val="num" w:pos="7185"/>
        </w:tabs>
        <w:ind w:left="7185" w:hanging="360"/>
      </w:pPr>
      <w:rPr>
        <w:rFonts w:ascii="Wingdings" w:hAnsi="Wingdings" w:hint="default"/>
      </w:rPr>
    </w:lvl>
  </w:abstractNum>
  <w:abstractNum w:abstractNumId="41">
    <w:nsid w:val="0B8C33C0"/>
    <w:multiLevelType w:val="hybridMultilevel"/>
    <w:tmpl w:val="1F8A709E"/>
    <w:lvl w:ilvl="0">
      <w:start w:val="1"/>
      <w:numFmt w:val="upperRoman"/>
      <w:lvlText w:val="%1."/>
      <w:lvlJc w:val="left"/>
      <w:pPr>
        <w:tabs>
          <w:tab w:val="num" w:pos="2880"/>
        </w:tabs>
        <w:ind w:left="2880" w:hanging="720"/>
      </w:pPr>
      <w:rPr>
        <w:rFonts w:ascii="Times" w:hAnsi="Times" w:hint="default"/>
      </w:rPr>
    </w:lvl>
    <w:lvl w:ilvl="1">
      <w:start w:val="1"/>
      <w:numFmt w:val="lowerLetter"/>
      <w:lvlText w:val="%2."/>
      <w:lvlJc w:val="left"/>
      <w:pPr>
        <w:tabs>
          <w:tab w:val="num" w:pos="2160"/>
        </w:tabs>
        <w:ind w:left="2160" w:hanging="360"/>
      </w:p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42">
    <w:nsid w:val="0C5C5650"/>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43">
    <w:nsid w:val="0C972A7D"/>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44">
    <w:nsid w:val="0CD91F2C"/>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45">
    <w:nsid w:val="0D577909"/>
    <w:multiLevelType w:val="singleLevel"/>
    <w:tmpl w:val="8780E480"/>
    <w:lvl w:ilvl="0">
      <w:start w:val="1"/>
      <w:numFmt w:val="decimal"/>
      <w:lvlText w:val="%1."/>
      <w:lvlJc w:val="left"/>
      <w:pPr>
        <w:tabs>
          <w:tab w:val="num" w:pos="360"/>
        </w:tabs>
        <w:ind w:left="360" w:hanging="360"/>
      </w:pPr>
      <w:rPr>
        <w:b/>
        <w:i w:val="0"/>
      </w:rPr>
    </w:lvl>
  </w:abstractNum>
  <w:abstractNum w:abstractNumId="46">
    <w:nsid w:val="0D580E5C"/>
    <w:multiLevelType w:val="hybridMultilevel"/>
    <w:tmpl w:val="060078C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7">
    <w:nsid w:val="0D5A7073"/>
    <w:multiLevelType w:val="singleLevel"/>
    <w:tmpl w:val="869C7B8A"/>
    <w:lvl w:ilvl="0">
      <w:start w:val="1"/>
      <w:numFmt w:val="lowerLetter"/>
      <w:lvlText w:val="%1)"/>
      <w:lvlJc w:val="left"/>
      <w:pPr>
        <w:tabs>
          <w:tab w:val="num" w:pos="1800"/>
        </w:tabs>
        <w:ind w:left="1800" w:hanging="360"/>
      </w:pPr>
      <w:rPr>
        <w:rFonts w:hint="default"/>
      </w:rPr>
    </w:lvl>
  </w:abstractNum>
  <w:abstractNum w:abstractNumId="48">
    <w:nsid w:val="0D9713FC"/>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49">
    <w:nsid w:val="0DCF6105"/>
    <w:multiLevelType w:val="hybridMultilevel"/>
    <w:tmpl w:val="7812E8A6"/>
    <w:lvl w:ilvl="0">
      <w:start w:val="1"/>
      <w:numFmt w:val="bullet"/>
      <w:lvlText w:val=""/>
      <w:lvlJc w:val="left"/>
      <w:pPr>
        <w:tabs>
          <w:tab w:val="num" w:pos="1581"/>
        </w:tabs>
        <w:ind w:left="1581" w:hanging="360"/>
      </w:pPr>
      <w:rPr>
        <w:rFonts w:ascii="Symbol" w:hAnsi="Symbol" w:hint="default"/>
      </w:rPr>
    </w:lvl>
    <w:lvl w:ilvl="1">
      <w:start w:val="1"/>
      <w:numFmt w:val="bullet"/>
      <w:lvlText w:val="o"/>
      <w:lvlJc w:val="left"/>
      <w:pPr>
        <w:tabs>
          <w:tab w:val="num" w:pos="2301"/>
        </w:tabs>
        <w:ind w:left="2301" w:hanging="360"/>
      </w:pPr>
      <w:rPr>
        <w:rFonts w:ascii="Courier New" w:hAnsi="Courier New" w:cs="Courier New" w:hint="default"/>
      </w:rPr>
    </w:lvl>
    <w:lvl w:ilvl="2" w:tentative="1">
      <w:start w:val="1"/>
      <w:numFmt w:val="bullet"/>
      <w:lvlText w:val=""/>
      <w:lvlJc w:val="left"/>
      <w:pPr>
        <w:tabs>
          <w:tab w:val="num" w:pos="3021"/>
        </w:tabs>
        <w:ind w:left="3021" w:hanging="360"/>
      </w:pPr>
      <w:rPr>
        <w:rFonts w:ascii="Wingdings" w:hAnsi="Wingdings" w:hint="default"/>
      </w:rPr>
    </w:lvl>
    <w:lvl w:ilvl="3" w:tentative="1">
      <w:start w:val="1"/>
      <w:numFmt w:val="bullet"/>
      <w:lvlText w:val=""/>
      <w:lvlJc w:val="left"/>
      <w:pPr>
        <w:tabs>
          <w:tab w:val="num" w:pos="3741"/>
        </w:tabs>
        <w:ind w:left="3741" w:hanging="360"/>
      </w:pPr>
      <w:rPr>
        <w:rFonts w:ascii="Symbol" w:hAnsi="Symbol" w:hint="default"/>
      </w:rPr>
    </w:lvl>
    <w:lvl w:ilvl="4" w:tentative="1">
      <w:start w:val="1"/>
      <w:numFmt w:val="bullet"/>
      <w:lvlText w:val="o"/>
      <w:lvlJc w:val="left"/>
      <w:pPr>
        <w:tabs>
          <w:tab w:val="num" w:pos="4461"/>
        </w:tabs>
        <w:ind w:left="4461" w:hanging="360"/>
      </w:pPr>
      <w:rPr>
        <w:rFonts w:ascii="Courier New" w:hAnsi="Courier New" w:cs="Courier New" w:hint="default"/>
      </w:rPr>
    </w:lvl>
    <w:lvl w:ilvl="5" w:tentative="1">
      <w:start w:val="1"/>
      <w:numFmt w:val="bullet"/>
      <w:lvlText w:val=""/>
      <w:lvlJc w:val="left"/>
      <w:pPr>
        <w:tabs>
          <w:tab w:val="num" w:pos="5181"/>
        </w:tabs>
        <w:ind w:left="5181" w:hanging="360"/>
      </w:pPr>
      <w:rPr>
        <w:rFonts w:ascii="Wingdings" w:hAnsi="Wingdings" w:hint="default"/>
      </w:rPr>
    </w:lvl>
    <w:lvl w:ilvl="6" w:tentative="1">
      <w:start w:val="1"/>
      <w:numFmt w:val="bullet"/>
      <w:lvlText w:val=""/>
      <w:lvlJc w:val="left"/>
      <w:pPr>
        <w:tabs>
          <w:tab w:val="num" w:pos="5901"/>
        </w:tabs>
        <w:ind w:left="5901" w:hanging="360"/>
      </w:pPr>
      <w:rPr>
        <w:rFonts w:ascii="Symbol" w:hAnsi="Symbol" w:hint="default"/>
      </w:rPr>
    </w:lvl>
    <w:lvl w:ilvl="7" w:tentative="1">
      <w:start w:val="1"/>
      <w:numFmt w:val="bullet"/>
      <w:lvlText w:val="o"/>
      <w:lvlJc w:val="left"/>
      <w:pPr>
        <w:tabs>
          <w:tab w:val="num" w:pos="6621"/>
        </w:tabs>
        <w:ind w:left="6621" w:hanging="360"/>
      </w:pPr>
      <w:rPr>
        <w:rFonts w:ascii="Courier New" w:hAnsi="Courier New" w:cs="Courier New" w:hint="default"/>
      </w:rPr>
    </w:lvl>
    <w:lvl w:ilvl="8" w:tentative="1">
      <w:start w:val="1"/>
      <w:numFmt w:val="bullet"/>
      <w:lvlText w:val=""/>
      <w:lvlJc w:val="left"/>
      <w:pPr>
        <w:tabs>
          <w:tab w:val="num" w:pos="7341"/>
        </w:tabs>
        <w:ind w:left="7341" w:hanging="360"/>
      </w:pPr>
      <w:rPr>
        <w:rFonts w:ascii="Wingdings" w:hAnsi="Wingdings" w:hint="default"/>
      </w:rPr>
    </w:lvl>
  </w:abstractNum>
  <w:abstractNum w:abstractNumId="50">
    <w:nsid w:val="0DD6731A"/>
    <w:multiLevelType w:val="hybridMultilevel"/>
    <w:tmpl w:val="0688FBCA"/>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1">
    <w:nsid w:val="0E3B2014"/>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52">
    <w:nsid w:val="0E4E7561"/>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53">
    <w:nsid w:val="0EEC320F"/>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54">
    <w:nsid w:val="0F69665E"/>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55">
    <w:nsid w:val="0F764C61"/>
    <w:multiLevelType w:val="singleLevel"/>
    <w:tmpl w:val="558A0D0A"/>
    <w:lvl w:ilvl="0">
      <w:start w:val="1"/>
      <w:numFmt w:val="decimal"/>
      <w:lvlText w:val="%1."/>
      <w:lvlJc w:val="left"/>
      <w:pPr>
        <w:tabs>
          <w:tab w:val="num" w:pos="360"/>
        </w:tabs>
        <w:ind w:left="360" w:hanging="360"/>
      </w:pPr>
      <w:rPr>
        <w:b/>
        <w:i w:val="0"/>
      </w:rPr>
    </w:lvl>
  </w:abstractNum>
  <w:abstractNum w:abstractNumId="56">
    <w:nsid w:val="0F8E7E48"/>
    <w:multiLevelType w:val="hybridMultilevel"/>
    <w:tmpl w:val="F3189452"/>
    <w:lvl w:ilvl="0">
      <w:start w:val="14"/>
      <w:numFmt w:val="decimal"/>
      <w:lvlText w:val="%1."/>
      <w:lvlJc w:val="left"/>
      <w:pPr>
        <w:tabs>
          <w:tab w:val="num" w:pos="996"/>
        </w:tabs>
        <w:ind w:left="996" w:hanging="636"/>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7">
    <w:nsid w:val="0FA55FCE"/>
    <w:multiLevelType w:val="singleLevel"/>
    <w:tmpl w:val="0408000B"/>
    <w:lvl w:ilvl="0">
      <w:start w:val="1"/>
      <w:numFmt w:val="bullet"/>
      <w:lvlText w:val=""/>
      <w:lvlJc w:val="left"/>
      <w:pPr>
        <w:tabs>
          <w:tab w:val="num" w:pos="360"/>
        </w:tabs>
        <w:ind w:left="360" w:hanging="360"/>
      </w:pPr>
      <w:rPr>
        <w:rFonts w:ascii="Wingdings" w:hAnsi="Wingdings" w:hint="default"/>
      </w:rPr>
    </w:lvl>
  </w:abstractNum>
  <w:abstractNum w:abstractNumId="58">
    <w:nsid w:val="10106F09"/>
    <w:multiLevelType w:val="singleLevel"/>
    <w:tmpl w:val="F7E0F80C"/>
    <w:lvl w:ilvl="0">
      <w:start w:val="6"/>
      <w:numFmt w:val="decimal"/>
      <w:lvlText w:val="%1."/>
      <w:lvlJc w:val="left"/>
      <w:pPr>
        <w:tabs>
          <w:tab w:val="num" w:pos="360"/>
        </w:tabs>
        <w:ind w:left="360" w:hanging="360"/>
      </w:pPr>
      <w:rPr>
        <w:b/>
        <w:i w:val="0"/>
      </w:rPr>
    </w:lvl>
  </w:abstractNum>
  <w:abstractNum w:abstractNumId="59">
    <w:nsid w:val="10E27174"/>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60">
    <w:nsid w:val="11300634"/>
    <w:multiLevelType w:val="hybridMultilevel"/>
    <w:tmpl w:val="5610FD24"/>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1">
    <w:nsid w:val="114703AF"/>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62">
    <w:nsid w:val="114E121E"/>
    <w:multiLevelType w:val="hybridMultilevel"/>
    <w:tmpl w:val="B23E8594"/>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3">
    <w:nsid w:val="118D7707"/>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64">
    <w:nsid w:val="126722F7"/>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65">
    <w:nsid w:val="12DD6366"/>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66">
    <w:nsid w:val="12E46285"/>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67">
    <w:nsid w:val="12E875E9"/>
    <w:multiLevelType w:val="hybridMultilevel"/>
    <w:tmpl w:val="74B84010"/>
    <w:lvl w:ilvl="0">
      <w:start w:val="1"/>
      <w:numFmt w:val="bullet"/>
      <w:lvlText w:val=""/>
      <w:lvlJc w:val="left"/>
      <w:pPr>
        <w:tabs>
          <w:tab w:val="num" w:pos="1425"/>
        </w:tabs>
        <w:ind w:left="1425" w:hanging="360"/>
      </w:pPr>
      <w:rPr>
        <w:rFonts w:ascii="Symbol" w:hAnsi="Symbol" w:hint="default"/>
      </w:rPr>
    </w:lvl>
    <w:lvl w:ilvl="1" w:tentative="1">
      <w:start w:val="1"/>
      <w:numFmt w:val="bullet"/>
      <w:lvlText w:val="o"/>
      <w:lvlJc w:val="left"/>
      <w:pPr>
        <w:tabs>
          <w:tab w:val="num" w:pos="2145"/>
        </w:tabs>
        <w:ind w:left="2145" w:hanging="360"/>
      </w:pPr>
      <w:rPr>
        <w:rFonts w:ascii="Courier New" w:hAnsi="Courier New" w:cs="Courier New" w:hint="default"/>
      </w:rPr>
    </w:lvl>
    <w:lvl w:ilvl="2" w:tentative="1">
      <w:start w:val="1"/>
      <w:numFmt w:val="bullet"/>
      <w:lvlText w:val=""/>
      <w:lvlJc w:val="left"/>
      <w:pPr>
        <w:tabs>
          <w:tab w:val="num" w:pos="2865"/>
        </w:tabs>
        <w:ind w:left="2865" w:hanging="360"/>
      </w:pPr>
      <w:rPr>
        <w:rFonts w:ascii="Wingdings" w:hAnsi="Wingdings" w:hint="default"/>
      </w:rPr>
    </w:lvl>
    <w:lvl w:ilvl="3" w:tentative="1">
      <w:start w:val="1"/>
      <w:numFmt w:val="bullet"/>
      <w:lvlText w:val=""/>
      <w:lvlJc w:val="left"/>
      <w:pPr>
        <w:tabs>
          <w:tab w:val="num" w:pos="3585"/>
        </w:tabs>
        <w:ind w:left="3585" w:hanging="360"/>
      </w:pPr>
      <w:rPr>
        <w:rFonts w:ascii="Symbol" w:hAnsi="Symbol" w:hint="default"/>
      </w:rPr>
    </w:lvl>
    <w:lvl w:ilvl="4" w:tentative="1">
      <w:start w:val="1"/>
      <w:numFmt w:val="bullet"/>
      <w:lvlText w:val="o"/>
      <w:lvlJc w:val="left"/>
      <w:pPr>
        <w:tabs>
          <w:tab w:val="num" w:pos="4305"/>
        </w:tabs>
        <w:ind w:left="4305" w:hanging="360"/>
      </w:pPr>
      <w:rPr>
        <w:rFonts w:ascii="Courier New" w:hAnsi="Courier New" w:cs="Courier New" w:hint="default"/>
      </w:rPr>
    </w:lvl>
    <w:lvl w:ilvl="5" w:tentative="1">
      <w:start w:val="1"/>
      <w:numFmt w:val="bullet"/>
      <w:lvlText w:val=""/>
      <w:lvlJc w:val="left"/>
      <w:pPr>
        <w:tabs>
          <w:tab w:val="num" w:pos="5025"/>
        </w:tabs>
        <w:ind w:left="5025" w:hanging="360"/>
      </w:pPr>
      <w:rPr>
        <w:rFonts w:ascii="Wingdings" w:hAnsi="Wingdings" w:hint="default"/>
      </w:rPr>
    </w:lvl>
    <w:lvl w:ilvl="6" w:tentative="1">
      <w:start w:val="1"/>
      <w:numFmt w:val="bullet"/>
      <w:lvlText w:val=""/>
      <w:lvlJc w:val="left"/>
      <w:pPr>
        <w:tabs>
          <w:tab w:val="num" w:pos="5745"/>
        </w:tabs>
        <w:ind w:left="5745" w:hanging="360"/>
      </w:pPr>
      <w:rPr>
        <w:rFonts w:ascii="Symbol" w:hAnsi="Symbol" w:hint="default"/>
      </w:rPr>
    </w:lvl>
    <w:lvl w:ilvl="7" w:tentative="1">
      <w:start w:val="1"/>
      <w:numFmt w:val="bullet"/>
      <w:lvlText w:val="o"/>
      <w:lvlJc w:val="left"/>
      <w:pPr>
        <w:tabs>
          <w:tab w:val="num" w:pos="6465"/>
        </w:tabs>
        <w:ind w:left="6465" w:hanging="360"/>
      </w:pPr>
      <w:rPr>
        <w:rFonts w:ascii="Courier New" w:hAnsi="Courier New" w:cs="Courier New" w:hint="default"/>
      </w:rPr>
    </w:lvl>
    <w:lvl w:ilvl="8" w:tentative="1">
      <w:start w:val="1"/>
      <w:numFmt w:val="bullet"/>
      <w:lvlText w:val=""/>
      <w:lvlJc w:val="left"/>
      <w:pPr>
        <w:tabs>
          <w:tab w:val="num" w:pos="7185"/>
        </w:tabs>
        <w:ind w:left="7185" w:hanging="360"/>
      </w:pPr>
      <w:rPr>
        <w:rFonts w:ascii="Wingdings" w:hAnsi="Wingdings" w:hint="default"/>
      </w:rPr>
    </w:lvl>
  </w:abstractNum>
  <w:abstractNum w:abstractNumId="68">
    <w:nsid w:val="13C47359"/>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69">
    <w:nsid w:val="147B6C01"/>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70">
    <w:nsid w:val="155B7119"/>
    <w:multiLevelType w:val="hybridMultilevel"/>
    <w:tmpl w:val="C892469C"/>
    <w:lvl w:ilvl="0">
      <w:start w:val="1"/>
      <w:numFmt w:val="bullet"/>
      <w:lvlText w:val=""/>
      <w:lvlJc w:val="left"/>
      <w:pPr>
        <w:tabs>
          <w:tab w:val="num" w:pos="1440"/>
        </w:tabs>
        <w:ind w:left="1440" w:hanging="360"/>
      </w:pPr>
      <w:rPr>
        <w:rFonts w:ascii="Symbol" w:hAnsi="Symbol" w:hint="default"/>
      </w:rPr>
    </w:lvl>
    <w:lvl w:ilvl="1">
      <w:start w:val="1"/>
      <w:numFmt w:val="decimal"/>
      <w:lvlText w:val="%2."/>
      <w:lvlJc w:val="left"/>
      <w:pPr>
        <w:tabs>
          <w:tab w:val="num" w:pos="2600"/>
        </w:tabs>
        <w:ind w:left="2600" w:hanging="800"/>
      </w:pPr>
      <w:rPr>
        <w:rFonts w:hint="default"/>
      </w:rPr>
    </w:lvl>
    <w:lvl w:ilvl="2">
      <w:start w:val="1"/>
      <w:numFmt w:val="decimal"/>
      <w:lvlText w:val="(%3)"/>
      <w:lvlJc w:val="left"/>
      <w:pPr>
        <w:tabs>
          <w:tab w:val="num" w:pos="3240"/>
        </w:tabs>
        <w:ind w:left="3240" w:hanging="720"/>
      </w:pPr>
      <w:rPr>
        <w:rFont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71">
    <w:nsid w:val="159106E4"/>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72">
    <w:nsid w:val="15D837B6"/>
    <w:multiLevelType w:val="hybridMultilevel"/>
    <w:tmpl w:val="0D28249E"/>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cs="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73">
    <w:nsid w:val="163E0CD2"/>
    <w:multiLevelType w:val="hybridMultilevel"/>
    <w:tmpl w:val="EB3C097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4">
    <w:nsid w:val="165E3AFB"/>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75">
    <w:nsid w:val="16880B14"/>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76">
    <w:nsid w:val="16E8737E"/>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77">
    <w:nsid w:val="1718203D"/>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78">
    <w:nsid w:val="18664627"/>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79">
    <w:nsid w:val="18702F7C"/>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80">
    <w:nsid w:val="187C0668"/>
    <w:multiLevelType w:val="hybridMultilevel"/>
    <w:tmpl w:val="CF2AF54A"/>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81">
    <w:nsid w:val="18885F46"/>
    <w:multiLevelType w:val="hybridMultilevel"/>
    <w:tmpl w:val="07E41C96"/>
    <w:lvl w:ilvl="0">
      <w:start w:val="1"/>
      <w:numFmt w:val="decimal"/>
      <w:lvlText w:val="%1."/>
      <w:lvlJc w:val="left"/>
      <w:pPr>
        <w:tabs>
          <w:tab w:val="num" w:pos="720"/>
        </w:tabs>
        <w:ind w:left="720" w:hanging="360"/>
      </w:pPr>
    </w:lvl>
    <w:lvl w:ilvl="1">
      <w:start w:val="6"/>
      <w:numFmt w:val="bullet"/>
      <w:lvlText w:val="–"/>
      <w:lvlJc w:val="left"/>
      <w:pPr>
        <w:tabs>
          <w:tab w:val="num" w:pos="1788"/>
        </w:tabs>
        <w:ind w:left="1788" w:hanging="708"/>
      </w:pPr>
      <w:rPr>
        <w:rFonts w:ascii="Times New Roman" w:eastAsia="Times New Roman" w:hAnsi="Times New Roman" w:cs="Times New Roman" w:hint="default"/>
      </w:rPr>
    </w:lvl>
    <w:lvl w:ilvl="2">
      <w:start w:val="7"/>
      <w:numFmt w:val="bullet"/>
      <w:lvlText w:val="-"/>
      <w:lvlJc w:val="left"/>
      <w:pPr>
        <w:tabs>
          <w:tab w:val="num" w:pos="2340"/>
        </w:tabs>
        <w:ind w:left="2340" w:hanging="360"/>
      </w:pPr>
      <w:rPr>
        <w:rFonts w:ascii="Times New Roman" w:eastAsia="Times New Roman" w:hAnsi="Times New Roman" w:cs="Times New Roman" w:hint="default"/>
      </w:rPr>
    </w:lvl>
    <w:lvl w:ilvl="3">
      <w:start w:val="6"/>
      <w:numFmt w:val="lowerLetter"/>
      <w:lvlText w:val="%4)"/>
      <w:lvlJc w:val="left"/>
      <w:pPr>
        <w:tabs>
          <w:tab w:val="num" w:pos="2880"/>
        </w:tabs>
        <w:ind w:left="2880" w:hanging="360"/>
      </w:pPr>
      <w:rPr>
        <w:rFonts w:hint="default"/>
        <w:i/>
      </w:rPr>
    </w:lvl>
    <w:lvl w:ilvl="4">
      <w:start w:val="1"/>
      <w:numFmt w:val="upperRoman"/>
      <w:lvlText w:val="%5."/>
      <w:lvlJc w:val="left"/>
      <w:pPr>
        <w:tabs>
          <w:tab w:val="num" w:pos="3960"/>
        </w:tabs>
        <w:ind w:left="3960" w:hanging="720"/>
      </w:pPr>
      <w:rPr>
        <w:rFonts w:hint="default"/>
      </w:r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2">
    <w:nsid w:val="18BF7F35"/>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83">
    <w:nsid w:val="18F345BC"/>
    <w:multiLevelType w:val="hybridMultilevel"/>
    <w:tmpl w:val="1DD86F50"/>
    <w:lvl w:ilvl="0">
      <w:start w:val="1"/>
      <w:numFmt w:val="bullet"/>
      <w:lvlText w:val=""/>
      <w:lvlJc w:val="left"/>
      <w:pPr>
        <w:tabs>
          <w:tab w:val="num" w:pos="1080"/>
        </w:tabs>
        <w:ind w:left="1080" w:hanging="360"/>
      </w:pPr>
      <w:rPr>
        <w:rFonts w:ascii="Symbol" w:hAnsi="Symbol" w:hint="default"/>
      </w:rPr>
    </w:lvl>
    <w:lvl w:ilvl="1">
      <w:start w:val="1"/>
      <w:numFmt w:val="bullet"/>
      <w:lvlText w:val="o"/>
      <w:lvlJc w:val="left"/>
      <w:pPr>
        <w:tabs>
          <w:tab w:val="num" w:pos="1800"/>
        </w:tabs>
        <w:ind w:left="1800" w:hanging="360"/>
      </w:pPr>
      <w:rPr>
        <w:rFonts w:ascii="Courier New" w:hAnsi="Courier New" w:cs="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84">
    <w:nsid w:val="197853CA"/>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85">
    <w:nsid w:val="198B1FEB"/>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86">
    <w:nsid w:val="1AD47142"/>
    <w:multiLevelType w:val="hybridMultilevel"/>
    <w:tmpl w:val="849019AE"/>
    <w:lvl w:ilvl="0">
      <w:start w:val="1"/>
      <w:numFmt w:val="decimal"/>
      <w:lvlText w:val="%1."/>
      <w:lvlJc w:val="left"/>
      <w:pPr>
        <w:tabs>
          <w:tab w:val="num" w:pos="1260"/>
        </w:tabs>
        <w:ind w:left="1260" w:hanging="360"/>
      </w:pPr>
      <w:rPr>
        <w:rFonts w:hint="default"/>
      </w:rPr>
    </w:lvl>
    <w:lvl w:ilvl="1" w:tentative="1">
      <w:start w:val="1"/>
      <w:numFmt w:val="lowerLetter"/>
      <w:lvlText w:val="%2."/>
      <w:lvlJc w:val="left"/>
      <w:pPr>
        <w:tabs>
          <w:tab w:val="num" w:pos="1980"/>
        </w:tabs>
        <w:ind w:left="1980" w:hanging="360"/>
      </w:pPr>
    </w:lvl>
    <w:lvl w:ilvl="2" w:tentative="1">
      <w:start w:val="1"/>
      <w:numFmt w:val="lowerRoman"/>
      <w:lvlText w:val="%3."/>
      <w:lvlJc w:val="right"/>
      <w:pPr>
        <w:tabs>
          <w:tab w:val="num" w:pos="2700"/>
        </w:tabs>
        <w:ind w:left="2700" w:hanging="180"/>
      </w:pPr>
    </w:lvl>
    <w:lvl w:ilvl="3" w:tentative="1">
      <w:start w:val="1"/>
      <w:numFmt w:val="decimal"/>
      <w:lvlText w:val="%4."/>
      <w:lvlJc w:val="left"/>
      <w:pPr>
        <w:tabs>
          <w:tab w:val="num" w:pos="3420"/>
        </w:tabs>
        <w:ind w:left="3420" w:hanging="360"/>
      </w:pPr>
    </w:lvl>
    <w:lvl w:ilvl="4" w:tentative="1">
      <w:start w:val="1"/>
      <w:numFmt w:val="lowerLetter"/>
      <w:lvlText w:val="%5."/>
      <w:lvlJc w:val="left"/>
      <w:pPr>
        <w:tabs>
          <w:tab w:val="num" w:pos="4140"/>
        </w:tabs>
        <w:ind w:left="4140" w:hanging="360"/>
      </w:pPr>
    </w:lvl>
    <w:lvl w:ilvl="5" w:tentative="1">
      <w:start w:val="1"/>
      <w:numFmt w:val="lowerRoman"/>
      <w:lvlText w:val="%6."/>
      <w:lvlJc w:val="right"/>
      <w:pPr>
        <w:tabs>
          <w:tab w:val="num" w:pos="4860"/>
        </w:tabs>
        <w:ind w:left="4860" w:hanging="180"/>
      </w:pPr>
    </w:lvl>
    <w:lvl w:ilvl="6" w:tentative="1">
      <w:start w:val="1"/>
      <w:numFmt w:val="decimal"/>
      <w:lvlText w:val="%7."/>
      <w:lvlJc w:val="left"/>
      <w:pPr>
        <w:tabs>
          <w:tab w:val="num" w:pos="5580"/>
        </w:tabs>
        <w:ind w:left="5580" w:hanging="360"/>
      </w:pPr>
    </w:lvl>
    <w:lvl w:ilvl="7" w:tentative="1">
      <w:start w:val="1"/>
      <w:numFmt w:val="lowerLetter"/>
      <w:lvlText w:val="%8."/>
      <w:lvlJc w:val="left"/>
      <w:pPr>
        <w:tabs>
          <w:tab w:val="num" w:pos="6300"/>
        </w:tabs>
        <w:ind w:left="6300" w:hanging="360"/>
      </w:pPr>
    </w:lvl>
    <w:lvl w:ilvl="8" w:tentative="1">
      <w:start w:val="1"/>
      <w:numFmt w:val="lowerRoman"/>
      <w:lvlText w:val="%9."/>
      <w:lvlJc w:val="right"/>
      <w:pPr>
        <w:tabs>
          <w:tab w:val="num" w:pos="7020"/>
        </w:tabs>
        <w:ind w:left="7020" w:hanging="180"/>
      </w:pPr>
    </w:lvl>
  </w:abstractNum>
  <w:abstractNum w:abstractNumId="87">
    <w:nsid w:val="1B3578CD"/>
    <w:multiLevelType w:val="singleLevel"/>
    <w:tmpl w:val="5F3CD900"/>
    <w:lvl w:ilvl="0">
      <w:start w:val="17"/>
      <w:numFmt w:val="decimal"/>
      <w:lvlText w:val="%1."/>
      <w:lvlJc w:val="left"/>
      <w:pPr>
        <w:tabs>
          <w:tab w:val="num" w:pos="360"/>
        </w:tabs>
        <w:ind w:left="360" w:hanging="360"/>
      </w:pPr>
      <w:rPr>
        <w:b/>
        <w:i w:val="0"/>
      </w:rPr>
    </w:lvl>
  </w:abstractNum>
  <w:abstractNum w:abstractNumId="88">
    <w:nsid w:val="1BA000FA"/>
    <w:multiLevelType w:val="singleLevel"/>
    <w:tmpl w:val="69F2C6EA"/>
    <w:lvl w:ilvl="0">
      <w:start w:val="1"/>
      <w:numFmt w:val="lowerLetter"/>
      <w:lvlText w:val="%1)"/>
      <w:lvlJc w:val="left"/>
      <w:pPr>
        <w:tabs>
          <w:tab w:val="num" w:pos="900"/>
        </w:tabs>
        <w:ind w:left="900" w:hanging="360"/>
      </w:pPr>
      <w:rPr>
        <w:rFonts w:hint="default"/>
      </w:rPr>
    </w:lvl>
  </w:abstractNum>
  <w:abstractNum w:abstractNumId="89">
    <w:nsid w:val="1BF84086"/>
    <w:multiLevelType w:val="hybridMultilevel"/>
    <w:tmpl w:val="17DA4A9A"/>
    <w:lvl w:ilvl="0">
      <w:start w:val="1"/>
      <w:numFmt w:val="bullet"/>
      <w:lvlText w:val=""/>
      <w:lvlJc w:val="left"/>
      <w:pPr>
        <w:tabs>
          <w:tab w:val="num" w:pos="1003"/>
        </w:tabs>
        <w:ind w:left="1003" w:hanging="360"/>
      </w:pPr>
      <w:rPr>
        <w:rFonts w:ascii="Symbol" w:hAnsi="Symbol" w:hint="default"/>
      </w:rPr>
    </w:lvl>
    <w:lvl w:ilvl="1" w:tentative="1">
      <w:start w:val="1"/>
      <w:numFmt w:val="bullet"/>
      <w:lvlText w:val="o"/>
      <w:lvlJc w:val="left"/>
      <w:pPr>
        <w:tabs>
          <w:tab w:val="num" w:pos="1723"/>
        </w:tabs>
        <w:ind w:left="1723" w:hanging="360"/>
      </w:pPr>
      <w:rPr>
        <w:rFonts w:ascii="Courier New" w:hAnsi="Courier New" w:cs="Courier New" w:hint="default"/>
      </w:rPr>
    </w:lvl>
    <w:lvl w:ilvl="2" w:tentative="1">
      <w:start w:val="1"/>
      <w:numFmt w:val="bullet"/>
      <w:lvlText w:val=""/>
      <w:lvlJc w:val="left"/>
      <w:pPr>
        <w:tabs>
          <w:tab w:val="num" w:pos="2443"/>
        </w:tabs>
        <w:ind w:left="2443" w:hanging="360"/>
      </w:pPr>
      <w:rPr>
        <w:rFonts w:ascii="Wingdings" w:hAnsi="Wingdings" w:hint="default"/>
      </w:rPr>
    </w:lvl>
    <w:lvl w:ilvl="3" w:tentative="1">
      <w:start w:val="1"/>
      <w:numFmt w:val="bullet"/>
      <w:lvlText w:val=""/>
      <w:lvlJc w:val="left"/>
      <w:pPr>
        <w:tabs>
          <w:tab w:val="num" w:pos="3163"/>
        </w:tabs>
        <w:ind w:left="3163" w:hanging="360"/>
      </w:pPr>
      <w:rPr>
        <w:rFonts w:ascii="Symbol" w:hAnsi="Symbol" w:hint="default"/>
      </w:rPr>
    </w:lvl>
    <w:lvl w:ilvl="4" w:tentative="1">
      <w:start w:val="1"/>
      <w:numFmt w:val="bullet"/>
      <w:lvlText w:val="o"/>
      <w:lvlJc w:val="left"/>
      <w:pPr>
        <w:tabs>
          <w:tab w:val="num" w:pos="3883"/>
        </w:tabs>
        <w:ind w:left="3883" w:hanging="360"/>
      </w:pPr>
      <w:rPr>
        <w:rFonts w:ascii="Courier New" w:hAnsi="Courier New" w:cs="Courier New" w:hint="default"/>
      </w:rPr>
    </w:lvl>
    <w:lvl w:ilvl="5" w:tentative="1">
      <w:start w:val="1"/>
      <w:numFmt w:val="bullet"/>
      <w:lvlText w:val=""/>
      <w:lvlJc w:val="left"/>
      <w:pPr>
        <w:tabs>
          <w:tab w:val="num" w:pos="4603"/>
        </w:tabs>
        <w:ind w:left="4603" w:hanging="360"/>
      </w:pPr>
      <w:rPr>
        <w:rFonts w:ascii="Wingdings" w:hAnsi="Wingdings" w:hint="default"/>
      </w:rPr>
    </w:lvl>
    <w:lvl w:ilvl="6" w:tentative="1">
      <w:start w:val="1"/>
      <w:numFmt w:val="bullet"/>
      <w:lvlText w:val=""/>
      <w:lvlJc w:val="left"/>
      <w:pPr>
        <w:tabs>
          <w:tab w:val="num" w:pos="5323"/>
        </w:tabs>
        <w:ind w:left="5323" w:hanging="360"/>
      </w:pPr>
      <w:rPr>
        <w:rFonts w:ascii="Symbol" w:hAnsi="Symbol" w:hint="default"/>
      </w:rPr>
    </w:lvl>
    <w:lvl w:ilvl="7" w:tentative="1">
      <w:start w:val="1"/>
      <w:numFmt w:val="bullet"/>
      <w:lvlText w:val="o"/>
      <w:lvlJc w:val="left"/>
      <w:pPr>
        <w:tabs>
          <w:tab w:val="num" w:pos="6043"/>
        </w:tabs>
        <w:ind w:left="6043" w:hanging="360"/>
      </w:pPr>
      <w:rPr>
        <w:rFonts w:ascii="Courier New" w:hAnsi="Courier New" w:cs="Courier New" w:hint="default"/>
      </w:rPr>
    </w:lvl>
    <w:lvl w:ilvl="8" w:tentative="1">
      <w:start w:val="1"/>
      <w:numFmt w:val="bullet"/>
      <w:lvlText w:val=""/>
      <w:lvlJc w:val="left"/>
      <w:pPr>
        <w:tabs>
          <w:tab w:val="num" w:pos="6763"/>
        </w:tabs>
        <w:ind w:left="6763" w:hanging="360"/>
      </w:pPr>
      <w:rPr>
        <w:rFonts w:ascii="Wingdings" w:hAnsi="Wingdings" w:hint="default"/>
      </w:rPr>
    </w:lvl>
  </w:abstractNum>
  <w:abstractNum w:abstractNumId="90">
    <w:nsid w:val="1C0776EF"/>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91">
    <w:nsid w:val="1C3850C4"/>
    <w:multiLevelType w:val="singleLevel"/>
    <w:tmpl w:val="75F0EE58"/>
    <w:lvl w:ilvl="0">
      <w:start w:val="1"/>
      <w:numFmt w:val="decimal"/>
      <w:lvlText w:val="%1."/>
      <w:lvlJc w:val="left"/>
      <w:pPr>
        <w:tabs>
          <w:tab w:val="num" w:pos="360"/>
        </w:tabs>
        <w:ind w:left="360" w:hanging="360"/>
      </w:pPr>
      <w:rPr>
        <w:b/>
        <w:i w:val="0"/>
      </w:rPr>
    </w:lvl>
  </w:abstractNum>
  <w:abstractNum w:abstractNumId="92">
    <w:nsid w:val="1C6628EF"/>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93">
    <w:nsid w:val="1CF807A2"/>
    <w:multiLevelType w:val="hybridMultilevel"/>
    <w:tmpl w:val="B1766BAA"/>
    <w:lvl w:ilvl="0">
      <w:start w:val="1"/>
      <w:numFmt w:val="bullet"/>
      <w:lvlText w:val=""/>
      <w:lvlJc w:val="left"/>
      <w:pPr>
        <w:tabs>
          <w:tab w:val="num" w:pos="1080"/>
        </w:tabs>
        <w:ind w:left="1080" w:hanging="360"/>
      </w:pPr>
      <w:rPr>
        <w:rFonts w:ascii="Symbol" w:hAnsi="Symbol" w:hint="default"/>
      </w:rPr>
    </w:lvl>
    <w:lvl w:ilvl="1">
      <w:start w:val="1"/>
      <w:numFmt w:val="upperRoman"/>
      <w:lvlText w:val="%2."/>
      <w:lvlJc w:val="left"/>
      <w:pPr>
        <w:tabs>
          <w:tab w:val="num" w:pos="2160"/>
        </w:tabs>
        <w:ind w:left="2160" w:hanging="720"/>
      </w:pPr>
      <w:rPr>
        <w:rFonts w:ascii="Times" w:hAnsi="Times" w:hint="default"/>
      </w:r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94">
    <w:nsid w:val="1DC84264"/>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95">
    <w:nsid w:val="1E706DD7"/>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96">
    <w:nsid w:val="1ED579DA"/>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97">
    <w:nsid w:val="1EEA1FAE"/>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98">
    <w:nsid w:val="1F1C38BD"/>
    <w:multiLevelType w:val="singleLevel"/>
    <w:tmpl w:val="558A0D0A"/>
    <w:lvl w:ilvl="0">
      <w:start w:val="1"/>
      <w:numFmt w:val="decimal"/>
      <w:lvlText w:val="%1."/>
      <w:lvlJc w:val="left"/>
      <w:pPr>
        <w:tabs>
          <w:tab w:val="num" w:pos="360"/>
        </w:tabs>
        <w:ind w:left="360" w:hanging="360"/>
      </w:pPr>
      <w:rPr>
        <w:b/>
        <w:i w:val="0"/>
      </w:rPr>
    </w:lvl>
  </w:abstractNum>
  <w:abstractNum w:abstractNumId="99">
    <w:nsid w:val="1F2B5919"/>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00">
    <w:nsid w:val="1F791D1F"/>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01">
    <w:nsid w:val="1FD26336"/>
    <w:multiLevelType w:val="hybridMultilevel"/>
    <w:tmpl w:val="D42C402C"/>
    <w:lvl w:ilvl="0">
      <w:start w:val="1"/>
      <w:numFmt w:val="bullet"/>
      <w:lvlText w:val=""/>
      <w:lvlJc w:val="left"/>
      <w:pPr>
        <w:tabs>
          <w:tab w:val="num" w:pos="2850"/>
        </w:tabs>
        <w:ind w:left="2850" w:hanging="360"/>
      </w:pPr>
      <w:rPr>
        <w:rFonts w:ascii="Symbol" w:hAnsi="Symbol" w:hint="default"/>
      </w:rPr>
    </w:lvl>
    <w:lvl w:ilvl="1" w:tentative="1">
      <w:start w:val="1"/>
      <w:numFmt w:val="bullet"/>
      <w:lvlText w:val="o"/>
      <w:lvlJc w:val="left"/>
      <w:pPr>
        <w:tabs>
          <w:tab w:val="num" w:pos="3570"/>
        </w:tabs>
        <w:ind w:left="3570" w:hanging="360"/>
      </w:pPr>
      <w:rPr>
        <w:rFonts w:ascii="Courier New" w:hAnsi="Courier New" w:cs="Courier New" w:hint="default"/>
      </w:rPr>
    </w:lvl>
    <w:lvl w:ilvl="2" w:tentative="1">
      <w:start w:val="1"/>
      <w:numFmt w:val="bullet"/>
      <w:lvlText w:val=""/>
      <w:lvlJc w:val="left"/>
      <w:pPr>
        <w:tabs>
          <w:tab w:val="num" w:pos="4290"/>
        </w:tabs>
        <w:ind w:left="4290" w:hanging="360"/>
      </w:pPr>
      <w:rPr>
        <w:rFonts w:ascii="Wingdings" w:hAnsi="Wingdings" w:hint="default"/>
      </w:rPr>
    </w:lvl>
    <w:lvl w:ilvl="3" w:tentative="1">
      <w:start w:val="1"/>
      <w:numFmt w:val="bullet"/>
      <w:lvlText w:val=""/>
      <w:lvlJc w:val="left"/>
      <w:pPr>
        <w:tabs>
          <w:tab w:val="num" w:pos="5010"/>
        </w:tabs>
        <w:ind w:left="5010" w:hanging="360"/>
      </w:pPr>
      <w:rPr>
        <w:rFonts w:ascii="Symbol" w:hAnsi="Symbol" w:hint="default"/>
      </w:rPr>
    </w:lvl>
    <w:lvl w:ilvl="4" w:tentative="1">
      <w:start w:val="1"/>
      <w:numFmt w:val="bullet"/>
      <w:lvlText w:val="o"/>
      <w:lvlJc w:val="left"/>
      <w:pPr>
        <w:tabs>
          <w:tab w:val="num" w:pos="5730"/>
        </w:tabs>
        <w:ind w:left="5730" w:hanging="360"/>
      </w:pPr>
      <w:rPr>
        <w:rFonts w:ascii="Courier New" w:hAnsi="Courier New" w:cs="Courier New" w:hint="default"/>
      </w:rPr>
    </w:lvl>
    <w:lvl w:ilvl="5" w:tentative="1">
      <w:start w:val="1"/>
      <w:numFmt w:val="bullet"/>
      <w:lvlText w:val=""/>
      <w:lvlJc w:val="left"/>
      <w:pPr>
        <w:tabs>
          <w:tab w:val="num" w:pos="6450"/>
        </w:tabs>
        <w:ind w:left="6450" w:hanging="360"/>
      </w:pPr>
      <w:rPr>
        <w:rFonts w:ascii="Wingdings" w:hAnsi="Wingdings" w:hint="default"/>
      </w:rPr>
    </w:lvl>
    <w:lvl w:ilvl="6" w:tentative="1">
      <w:start w:val="1"/>
      <w:numFmt w:val="bullet"/>
      <w:lvlText w:val=""/>
      <w:lvlJc w:val="left"/>
      <w:pPr>
        <w:tabs>
          <w:tab w:val="num" w:pos="7170"/>
        </w:tabs>
        <w:ind w:left="7170" w:hanging="360"/>
      </w:pPr>
      <w:rPr>
        <w:rFonts w:ascii="Symbol" w:hAnsi="Symbol" w:hint="default"/>
      </w:rPr>
    </w:lvl>
    <w:lvl w:ilvl="7" w:tentative="1">
      <w:start w:val="1"/>
      <w:numFmt w:val="bullet"/>
      <w:lvlText w:val="o"/>
      <w:lvlJc w:val="left"/>
      <w:pPr>
        <w:tabs>
          <w:tab w:val="num" w:pos="7890"/>
        </w:tabs>
        <w:ind w:left="7890" w:hanging="360"/>
      </w:pPr>
      <w:rPr>
        <w:rFonts w:ascii="Courier New" w:hAnsi="Courier New" w:cs="Courier New" w:hint="default"/>
      </w:rPr>
    </w:lvl>
    <w:lvl w:ilvl="8" w:tentative="1">
      <w:start w:val="1"/>
      <w:numFmt w:val="bullet"/>
      <w:lvlText w:val=""/>
      <w:lvlJc w:val="left"/>
      <w:pPr>
        <w:tabs>
          <w:tab w:val="num" w:pos="8610"/>
        </w:tabs>
        <w:ind w:left="8610" w:hanging="360"/>
      </w:pPr>
      <w:rPr>
        <w:rFonts w:ascii="Wingdings" w:hAnsi="Wingdings" w:hint="default"/>
      </w:rPr>
    </w:lvl>
  </w:abstractNum>
  <w:abstractNum w:abstractNumId="102">
    <w:nsid w:val="1FED71E4"/>
    <w:multiLevelType w:val="hybridMultilevel"/>
    <w:tmpl w:val="F54CF5CC"/>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03">
    <w:nsid w:val="202E4AC6"/>
    <w:multiLevelType w:val="hybridMultilevel"/>
    <w:tmpl w:val="FD2AE9B6"/>
    <w:lvl w:ilvl="0">
      <w:start w:val="15"/>
      <w:numFmt w:val="decimal"/>
      <w:lvlText w:val="%1."/>
      <w:lvlJc w:val="left"/>
      <w:pPr>
        <w:tabs>
          <w:tab w:val="num" w:pos="720"/>
        </w:tabs>
        <w:ind w:left="720" w:hanging="360"/>
      </w:pPr>
      <w:rPr>
        <w:rFonts w:hint="default"/>
        <w:b/>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4">
    <w:nsid w:val="205637B2"/>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05">
    <w:nsid w:val="20616624"/>
    <w:multiLevelType w:val="hybridMultilevel"/>
    <w:tmpl w:val="F2381518"/>
    <w:lvl w:ilvl="0">
      <w:start w:val="1"/>
      <w:numFmt w:val="lowerRoman"/>
      <w:lvlText w:val="%1."/>
      <w:lvlJc w:val="right"/>
      <w:pPr>
        <w:tabs>
          <w:tab w:val="num" w:pos="900"/>
        </w:tabs>
        <w:ind w:left="900" w:hanging="180"/>
      </w:pPr>
    </w:lvl>
    <w:lvl w:ilvl="1">
      <w:start w:val="1"/>
      <w:numFmt w:val="bullet"/>
      <w:lvlText w:val=""/>
      <w:lvlJc w:val="left"/>
      <w:pPr>
        <w:tabs>
          <w:tab w:val="num" w:pos="1980"/>
        </w:tabs>
        <w:ind w:left="1980" w:hanging="360"/>
      </w:pPr>
      <w:rPr>
        <w:rFonts w:ascii="Symbol" w:hAnsi="Symbol" w:hint="default"/>
      </w:rPr>
    </w:lvl>
    <w:lvl w:ilvl="2">
      <w:numFmt w:val="bullet"/>
      <w:lvlText w:val="-"/>
      <w:lvlJc w:val="left"/>
      <w:pPr>
        <w:tabs>
          <w:tab w:val="num" w:pos="2880"/>
        </w:tabs>
        <w:ind w:left="2880" w:hanging="360"/>
      </w:pPr>
      <w:rPr>
        <w:rFonts w:ascii="Times New Roman" w:eastAsia="Times New Roman" w:hAnsi="Times New Roman" w:cs="Times New Roman" w:hint="default"/>
      </w:rPr>
    </w:lvl>
    <w:lvl w:ilvl="3" w:tentative="1">
      <w:start w:val="1"/>
      <w:numFmt w:val="decimal"/>
      <w:lvlText w:val="%4."/>
      <w:lvlJc w:val="left"/>
      <w:pPr>
        <w:tabs>
          <w:tab w:val="num" w:pos="3420"/>
        </w:tabs>
        <w:ind w:left="3420" w:hanging="360"/>
      </w:pPr>
    </w:lvl>
    <w:lvl w:ilvl="4" w:tentative="1">
      <w:start w:val="1"/>
      <w:numFmt w:val="lowerLetter"/>
      <w:lvlText w:val="%5."/>
      <w:lvlJc w:val="left"/>
      <w:pPr>
        <w:tabs>
          <w:tab w:val="num" w:pos="4140"/>
        </w:tabs>
        <w:ind w:left="4140" w:hanging="360"/>
      </w:pPr>
    </w:lvl>
    <w:lvl w:ilvl="5" w:tentative="1">
      <w:start w:val="1"/>
      <w:numFmt w:val="lowerRoman"/>
      <w:lvlText w:val="%6."/>
      <w:lvlJc w:val="right"/>
      <w:pPr>
        <w:tabs>
          <w:tab w:val="num" w:pos="4860"/>
        </w:tabs>
        <w:ind w:left="4860" w:hanging="180"/>
      </w:pPr>
    </w:lvl>
    <w:lvl w:ilvl="6" w:tentative="1">
      <w:start w:val="1"/>
      <w:numFmt w:val="decimal"/>
      <w:lvlText w:val="%7."/>
      <w:lvlJc w:val="left"/>
      <w:pPr>
        <w:tabs>
          <w:tab w:val="num" w:pos="5580"/>
        </w:tabs>
        <w:ind w:left="5580" w:hanging="360"/>
      </w:pPr>
    </w:lvl>
    <w:lvl w:ilvl="7" w:tentative="1">
      <w:start w:val="1"/>
      <w:numFmt w:val="lowerLetter"/>
      <w:lvlText w:val="%8."/>
      <w:lvlJc w:val="left"/>
      <w:pPr>
        <w:tabs>
          <w:tab w:val="num" w:pos="6300"/>
        </w:tabs>
        <w:ind w:left="6300" w:hanging="360"/>
      </w:pPr>
    </w:lvl>
    <w:lvl w:ilvl="8" w:tentative="1">
      <w:start w:val="1"/>
      <w:numFmt w:val="lowerRoman"/>
      <w:lvlText w:val="%9."/>
      <w:lvlJc w:val="right"/>
      <w:pPr>
        <w:tabs>
          <w:tab w:val="num" w:pos="7020"/>
        </w:tabs>
        <w:ind w:left="7020" w:hanging="180"/>
      </w:pPr>
    </w:lvl>
  </w:abstractNum>
  <w:abstractNum w:abstractNumId="106">
    <w:nsid w:val="208136AF"/>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07">
    <w:nsid w:val="20C0142C"/>
    <w:multiLevelType w:val="hybridMultilevel"/>
    <w:tmpl w:val="97F2B0A6"/>
    <w:lvl w:ilvl="0">
      <w:start w:val="1"/>
      <w:numFmt w:val="decimal"/>
      <w:lvlText w:val="%1."/>
      <w:lvlJc w:val="left"/>
      <w:pPr>
        <w:tabs>
          <w:tab w:val="num" w:pos="180"/>
        </w:tabs>
        <w:ind w:left="180" w:hanging="360"/>
      </w:pPr>
      <w:rPr>
        <w:rFonts w:hint="default"/>
      </w:rPr>
    </w:lvl>
    <w:lvl w:ilvl="1">
      <w:start w:val="2"/>
      <w:numFmt w:val="upperLetter"/>
      <w:lvlText w:val="%2."/>
      <w:lvlJc w:val="left"/>
      <w:pPr>
        <w:tabs>
          <w:tab w:val="num" w:pos="900"/>
        </w:tabs>
        <w:ind w:left="900" w:hanging="360"/>
      </w:pPr>
      <w:rPr>
        <w:rFonts w:hint="default"/>
        <w:sz w:val="28"/>
      </w:rPr>
    </w:lvl>
    <w:lvl w:ilvl="2" w:tentative="1">
      <w:start w:val="1"/>
      <w:numFmt w:val="lowerRoman"/>
      <w:lvlText w:val="%3."/>
      <w:lvlJc w:val="right"/>
      <w:pPr>
        <w:tabs>
          <w:tab w:val="num" w:pos="1620"/>
        </w:tabs>
        <w:ind w:left="1620" w:hanging="180"/>
      </w:pPr>
    </w:lvl>
    <w:lvl w:ilvl="3" w:tentative="1">
      <w:start w:val="1"/>
      <w:numFmt w:val="decimal"/>
      <w:lvlText w:val="%4."/>
      <w:lvlJc w:val="left"/>
      <w:pPr>
        <w:tabs>
          <w:tab w:val="num" w:pos="2340"/>
        </w:tabs>
        <w:ind w:left="2340" w:hanging="360"/>
      </w:pPr>
    </w:lvl>
    <w:lvl w:ilvl="4" w:tentative="1">
      <w:start w:val="1"/>
      <w:numFmt w:val="lowerLetter"/>
      <w:lvlText w:val="%5."/>
      <w:lvlJc w:val="left"/>
      <w:pPr>
        <w:tabs>
          <w:tab w:val="num" w:pos="3060"/>
        </w:tabs>
        <w:ind w:left="3060" w:hanging="360"/>
      </w:pPr>
    </w:lvl>
    <w:lvl w:ilvl="5" w:tentative="1">
      <w:start w:val="1"/>
      <w:numFmt w:val="lowerRoman"/>
      <w:lvlText w:val="%6."/>
      <w:lvlJc w:val="right"/>
      <w:pPr>
        <w:tabs>
          <w:tab w:val="num" w:pos="3780"/>
        </w:tabs>
        <w:ind w:left="3780" w:hanging="180"/>
      </w:pPr>
    </w:lvl>
    <w:lvl w:ilvl="6" w:tentative="1">
      <w:start w:val="1"/>
      <w:numFmt w:val="decimal"/>
      <w:lvlText w:val="%7."/>
      <w:lvlJc w:val="left"/>
      <w:pPr>
        <w:tabs>
          <w:tab w:val="num" w:pos="4500"/>
        </w:tabs>
        <w:ind w:left="4500" w:hanging="360"/>
      </w:pPr>
    </w:lvl>
    <w:lvl w:ilvl="7" w:tentative="1">
      <w:start w:val="1"/>
      <w:numFmt w:val="lowerLetter"/>
      <w:lvlText w:val="%8."/>
      <w:lvlJc w:val="left"/>
      <w:pPr>
        <w:tabs>
          <w:tab w:val="num" w:pos="5220"/>
        </w:tabs>
        <w:ind w:left="5220" w:hanging="360"/>
      </w:pPr>
    </w:lvl>
    <w:lvl w:ilvl="8" w:tentative="1">
      <w:start w:val="1"/>
      <w:numFmt w:val="lowerRoman"/>
      <w:lvlText w:val="%9."/>
      <w:lvlJc w:val="right"/>
      <w:pPr>
        <w:tabs>
          <w:tab w:val="num" w:pos="5940"/>
        </w:tabs>
        <w:ind w:left="5940" w:hanging="180"/>
      </w:pPr>
    </w:lvl>
  </w:abstractNum>
  <w:abstractNum w:abstractNumId="108">
    <w:nsid w:val="21D1169A"/>
    <w:multiLevelType w:val="hybridMultilevel"/>
    <w:tmpl w:val="82206708"/>
    <w:lvl w:ilvl="0">
      <w:start w:val="1"/>
      <w:numFmt w:val="bullet"/>
      <w:lvlText w:val=""/>
      <w:lvlJc w:val="left"/>
      <w:pPr>
        <w:tabs>
          <w:tab w:val="num" w:pos="1140"/>
        </w:tabs>
        <w:ind w:left="1140" w:hanging="360"/>
      </w:pPr>
      <w:rPr>
        <w:rFonts w:ascii="Symbol" w:hAnsi="Symbol" w:hint="default"/>
      </w:rPr>
    </w:lvl>
    <w:lvl w:ilvl="1" w:tentative="1">
      <w:start w:val="1"/>
      <w:numFmt w:val="bullet"/>
      <w:lvlText w:val="o"/>
      <w:lvlJc w:val="left"/>
      <w:pPr>
        <w:tabs>
          <w:tab w:val="num" w:pos="1860"/>
        </w:tabs>
        <w:ind w:left="1860" w:hanging="360"/>
      </w:pPr>
      <w:rPr>
        <w:rFonts w:ascii="Courier New" w:hAnsi="Courier New" w:cs="Courier New" w:hint="default"/>
      </w:rPr>
    </w:lvl>
    <w:lvl w:ilvl="2" w:tentative="1">
      <w:start w:val="1"/>
      <w:numFmt w:val="bullet"/>
      <w:lvlText w:val=""/>
      <w:lvlJc w:val="left"/>
      <w:pPr>
        <w:tabs>
          <w:tab w:val="num" w:pos="2580"/>
        </w:tabs>
        <w:ind w:left="2580" w:hanging="360"/>
      </w:pPr>
      <w:rPr>
        <w:rFonts w:ascii="Wingdings" w:hAnsi="Wingdings" w:hint="default"/>
      </w:rPr>
    </w:lvl>
    <w:lvl w:ilvl="3" w:tentative="1">
      <w:start w:val="1"/>
      <w:numFmt w:val="bullet"/>
      <w:lvlText w:val=""/>
      <w:lvlJc w:val="left"/>
      <w:pPr>
        <w:tabs>
          <w:tab w:val="num" w:pos="3300"/>
        </w:tabs>
        <w:ind w:left="3300" w:hanging="360"/>
      </w:pPr>
      <w:rPr>
        <w:rFonts w:ascii="Symbol" w:hAnsi="Symbol" w:hint="default"/>
      </w:rPr>
    </w:lvl>
    <w:lvl w:ilvl="4" w:tentative="1">
      <w:start w:val="1"/>
      <w:numFmt w:val="bullet"/>
      <w:lvlText w:val="o"/>
      <w:lvlJc w:val="left"/>
      <w:pPr>
        <w:tabs>
          <w:tab w:val="num" w:pos="4020"/>
        </w:tabs>
        <w:ind w:left="4020" w:hanging="360"/>
      </w:pPr>
      <w:rPr>
        <w:rFonts w:ascii="Courier New" w:hAnsi="Courier New" w:cs="Courier New" w:hint="default"/>
      </w:rPr>
    </w:lvl>
    <w:lvl w:ilvl="5" w:tentative="1">
      <w:start w:val="1"/>
      <w:numFmt w:val="bullet"/>
      <w:lvlText w:val=""/>
      <w:lvlJc w:val="left"/>
      <w:pPr>
        <w:tabs>
          <w:tab w:val="num" w:pos="4740"/>
        </w:tabs>
        <w:ind w:left="4740" w:hanging="360"/>
      </w:pPr>
      <w:rPr>
        <w:rFonts w:ascii="Wingdings" w:hAnsi="Wingdings" w:hint="default"/>
      </w:rPr>
    </w:lvl>
    <w:lvl w:ilvl="6" w:tentative="1">
      <w:start w:val="1"/>
      <w:numFmt w:val="bullet"/>
      <w:lvlText w:val=""/>
      <w:lvlJc w:val="left"/>
      <w:pPr>
        <w:tabs>
          <w:tab w:val="num" w:pos="5460"/>
        </w:tabs>
        <w:ind w:left="5460" w:hanging="360"/>
      </w:pPr>
      <w:rPr>
        <w:rFonts w:ascii="Symbol" w:hAnsi="Symbol" w:hint="default"/>
      </w:rPr>
    </w:lvl>
    <w:lvl w:ilvl="7" w:tentative="1">
      <w:start w:val="1"/>
      <w:numFmt w:val="bullet"/>
      <w:lvlText w:val="o"/>
      <w:lvlJc w:val="left"/>
      <w:pPr>
        <w:tabs>
          <w:tab w:val="num" w:pos="6180"/>
        </w:tabs>
        <w:ind w:left="6180" w:hanging="360"/>
      </w:pPr>
      <w:rPr>
        <w:rFonts w:ascii="Courier New" w:hAnsi="Courier New" w:cs="Courier New" w:hint="default"/>
      </w:rPr>
    </w:lvl>
    <w:lvl w:ilvl="8" w:tentative="1">
      <w:start w:val="1"/>
      <w:numFmt w:val="bullet"/>
      <w:lvlText w:val=""/>
      <w:lvlJc w:val="left"/>
      <w:pPr>
        <w:tabs>
          <w:tab w:val="num" w:pos="6900"/>
        </w:tabs>
        <w:ind w:left="6900" w:hanging="360"/>
      </w:pPr>
      <w:rPr>
        <w:rFonts w:ascii="Wingdings" w:hAnsi="Wingdings" w:hint="default"/>
      </w:rPr>
    </w:lvl>
  </w:abstractNum>
  <w:abstractNum w:abstractNumId="109">
    <w:nsid w:val="21EE571A"/>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10">
    <w:nsid w:val="22123FB9"/>
    <w:multiLevelType w:val="hybridMultilevel"/>
    <w:tmpl w:val="B8F2A780"/>
    <w:lvl w:ilvl="0">
      <w:start w:val="1"/>
      <w:numFmt w:val="bullet"/>
      <w:lvlText w:val=""/>
      <w:lvlJc w:val="left"/>
      <w:pPr>
        <w:tabs>
          <w:tab w:val="num" w:pos="1428"/>
        </w:tabs>
        <w:ind w:left="1428" w:hanging="360"/>
      </w:pPr>
      <w:rPr>
        <w:rFonts w:ascii="Symbol" w:hAnsi="Symbol" w:hint="default"/>
      </w:rPr>
    </w:lvl>
    <w:lvl w:ilvl="1" w:tentative="1">
      <w:start w:val="1"/>
      <w:numFmt w:val="bullet"/>
      <w:lvlText w:val="o"/>
      <w:lvlJc w:val="left"/>
      <w:pPr>
        <w:tabs>
          <w:tab w:val="num" w:pos="2148"/>
        </w:tabs>
        <w:ind w:left="2148" w:hanging="360"/>
      </w:pPr>
      <w:rPr>
        <w:rFonts w:ascii="Courier New" w:hAnsi="Courier New" w:cs="Courier New" w:hint="default"/>
      </w:rPr>
    </w:lvl>
    <w:lvl w:ilvl="2" w:tentative="1">
      <w:start w:val="1"/>
      <w:numFmt w:val="bullet"/>
      <w:lvlText w:val=""/>
      <w:lvlJc w:val="left"/>
      <w:pPr>
        <w:tabs>
          <w:tab w:val="num" w:pos="2868"/>
        </w:tabs>
        <w:ind w:left="2868" w:hanging="360"/>
      </w:pPr>
      <w:rPr>
        <w:rFonts w:ascii="Wingdings" w:hAnsi="Wingdings" w:hint="default"/>
      </w:rPr>
    </w:lvl>
    <w:lvl w:ilvl="3" w:tentative="1">
      <w:start w:val="1"/>
      <w:numFmt w:val="bullet"/>
      <w:lvlText w:val=""/>
      <w:lvlJc w:val="left"/>
      <w:pPr>
        <w:tabs>
          <w:tab w:val="num" w:pos="3588"/>
        </w:tabs>
        <w:ind w:left="3588" w:hanging="360"/>
      </w:pPr>
      <w:rPr>
        <w:rFonts w:ascii="Symbol" w:hAnsi="Symbol" w:hint="default"/>
      </w:rPr>
    </w:lvl>
    <w:lvl w:ilvl="4" w:tentative="1">
      <w:start w:val="1"/>
      <w:numFmt w:val="bullet"/>
      <w:lvlText w:val="o"/>
      <w:lvlJc w:val="left"/>
      <w:pPr>
        <w:tabs>
          <w:tab w:val="num" w:pos="4308"/>
        </w:tabs>
        <w:ind w:left="4308" w:hanging="360"/>
      </w:pPr>
      <w:rPr>
        <w:rFonts w:ascii="Courier New" w:hAnsi="Courier New" w:cs="Courier New" w:hint="default"/>
      </w:rPr>
    </w:lvl>
    <w:lvl w:ilvl="5" w:tentative="1">
      <w:start w:val="1"/>
      <w:numFmt w:val="bullet"/>
      <w:lvlText w:val=""/>
      <w:lvlJc w:val="left"/>
      <w:pPr>
        <w:tabs>
          <w:tab w:val="num" w:pos="5028"/>
        </w:tabs>
        <w:ind w:left="5028" w:hanging="360"/>
      </w:pPr>
      <w:rPr>
        <w:rFonts w:ascii="Wingdings" w:hAnsi="Wingdings" w:hint="default"/>
      </w:rPr>
    </w:lvl>
    <w:lvl w:ilvl="6" w:tentative="1">
      <w:start w:val="1"/>
      <w:numFmt w:val="bullet"/>
      <w:lvlText w:val=""/>
      <w:lvlJc w:val="left"/>
      <w:pPr>
        <w:tabs>
          <w:tab w:val="num" w:pos="5748"/>
        </w:tabs>
        <w:ind w:left="5748" w:hanging="360"/>
      </w:pPr>
      <w:rPr>
        <w:rFonts w:ascii="Symbol" w:hAnsi="Symbol" w:hint="default"/>
      </w:rPr>
    </w:lvl>
    <w:lvl w:ilvl="7" w:tentative="1">
      <w:start w:val="1"/>
      <w:numFmt w:val="bullet"/>
      <w:lvlText w:val="o"/>
      <w:lvlJc w:val="left"/>
      <w:pPr>
        <w:tabs>
          <w:tab w:val="num" w:pos="6468"/>
        </w:tabs>
        <w:ind w:left="6468" w:hanging="360"/>
      </w:pPr>
      <w:rPr>
        <w:rFonts w:ascii="Courier New" w:hAnsi="Courier New" w:cs="Courier New" w:hint="default"/>
      </w:rPr>
    </w:lvl>
    <w:lvl w:ilvl="8" w:tentative="1">
      <w:start w:val="1"/>
      <w:numFmt w:val="bullet"/>
      <w:lvlText w:val=""/>
      <w:lvlJc w:val="left"/>
      <w:pPr>
        <w:tabs>
          <w:tab w:val="num" w:pos="7188"/>
        </w:tabs>
        <w:ind w:left="7188" w:hanging="360"/>
      </w:pPr>
      <w:rPr>
        <w:rFonts w:ascii="Wingdings" w:hAnsi="Wingdings" w:hint="default"/>
      </w:rPr>
    </w:lvl>
  </w:abstractNum>
  <w:abstractNum w:abstractNumId="111">
    <w:nsid w:val="230C4182"/>
    <w:multiLevelType w:val="singleLevel"/>
    <w:tmpl w:val="3BB85204"/>
    <w:lvl w:ilvl="0">
      <w:start w:val="1"/>
      <w:numFmt w:val="lowerLetter"/>
      <w:lvlText w:val="(%1)"/>
      <w:lvlJc w:val="left"/>
      <w:pPr>
        <w:tabs>
          <w:tab w:val="num" w:pos="375"/>
        </w:tabs>
        <w:ind w:left="375" w:hanging="375"/>
      </w:pPr>
      <w:rPr>
        <w:rFonts w:ascii="Verdana" w:hAnsi="Verdana" w:hint="default"/>
        <w:sz w:val="20"/>
      </w:rPr>
    </w:lvl>
  </w:abstractNum>
  <w:abstractNum w:abstractNumId="112">
    <w:nsid w:val="239C42F1"/>
    <w:multiLevelType w:val="hybridMultilevel"/>
    <w:tmpl w:val="8AE04A76"/>
    <w:lvl w:ilvl="0">
      <w:start w:val="6"/>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8"/>
      <w:numFmt w:val="decimal"/>
      <w:lvlText w:val="(%3)"/>
      <w:lvlJc w:val="left"/>
      <w:pPr>
        <w:tabs>
          <w:tab w:val="num" w:pos="2415"/>
        </w:tabs>
        <w:ind w:left="2415" w:hanging="435"/>
      </w:pPr>
      <w:rPr>
        <w:rFont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3">
    <w:nsid w:val="23F238C4"/>
    <w:multiLevelType w:val="singleLevel"/>
    <w:tmpl w:val="8BD85864"/>
    <w:lvl w:ilvl="0">
      <w:start w:val="24"/>
      <w:numFmt w:val="decimal"/>
      <w:lvlText w:val="%1."/>
      <w:lvlJc w:val="left"/>
      <w:pPr>
        <w:tabs>
          <w:tab w:val="num" w:pos="360"/>
        </w:tabs>
        <w:ind w:left="360" w:hanging="360"/>
      </w:pPr>
      <w:rPr>
        <w:b/>
        <w:i w:val="0"/>
      </w:rPr>
    </w:lvl>
  </w:abstractNum>
  <w:abstractNum w:abstractNumId="114">
    <w:nsid w:val="24395E10"/>
    <w:multiLevelType w:val="singleLevel"/>
    <w:tmpl w:val="70668E3E"/>
    <w:lvl w:ilvl="0">
      <w:start w:val="19"/>
      <w:numFmt w:val="decimal"/>
      <w:lvlText w:val="%1."/>
      <w:lvlJc w:val="left"/>
      <w:pPr>
        <w:tabs>
          <w:tab w:val="num" w:pos="360"/>
        </w:tabs>
        <w:ind w:left="360" w:hanging="360"/>
      </w:pPr>
      <w:rPr>
        <w:b/>
        <w:i w:val="0"/>
      </w:rPr>
    </w:lvl>
  </w:abstractNum>
  <w:abstractNum w:abstractNumId="115">
    <w:nsid w:val="24ED3E9C"/>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16">
    <w:nsid w:val="250A307F"/>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17">
    <w:nsid w:val="25253F23"/>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18">
    <w:nsid w:val="256C5D1A"/>
    <w:multiLevelType w:val="singleLevel"/>
    <w:tmpl w:val="8780E480"/>
    <w:lvl w:ilvl="0">
      <w:start w:val="1"/>
      <w:numFmt w:val="decimal"/>
      <w:lvlText w:val="%1."/>
      <w:lvlJc w:val="left"/>
      <w:pPr>
        <w:tabs>
          <w:tab w:val="num" w:pos="360"/>
        </w:tabs>
        <w:ind w:left="360" w:hanging="360"/>
      </w:pPr>
      <w:rPr>
        <w:b/>
        <w:i w:val="0"/>
      </w:rPr>
    </w:lvl>
  </w:abstractNum>
  <w:abstractNum w:abstractNumId="119">
    <w:nsid w:val="25BB4145"/>
    <w:multiLevelType w:val="singleLevel"/>
    <w:tmpl w:val="0408000B"/>
    <w:lvl w:ilvl="0">
      <w:start w:val="1"/>
      <w:numFmt w:val="bullet"/>
      <w:lvlText w:val=""/>
      <w:lvlJc w:val="left"/>
      <w:pPr>
        <w:tabs>
          <w:tab w:val="num" w:pos="360"/>
        </w:tabs>
        <w:ind w:left="360" w:hanging="360"/>
      </w:pPr>
      <w:rPr>
        <w:rFonts w:ascii="Wingdings" w:hAnsi="Wingdings" w:hint="default"/>
      </w:rPr>
    </w:lvl>
  </w:abstractNum>
  <w:abstractNum w:abstractNumId="120">
    <w:nsid w:val="25F55E8A"/>
    <w:multiLevelType w:val="singleLevel"/>
    <w:tmpl w:val="A56A7B70"/>
    <w:lvl w:ilvl="0">
      <w:start w:val="1"/>
      <w:numFmt w:val="decimal"/>
      <w:lvlText w:val="%1."/>
      <w:lvlJc w:val="left"/>
      <w:pPr>
        <w:tabs>
          <w:tab w:val="num" w:pos="360"/>
        </w:tabs>
        <w:ind w:left="360" w:hanging="360"/>
      </w:pPr>
      <w:rPr>
        <w:b/>
        <w:i w:val="0"/>
      </w:rPr>
    </w:lvl>
  </w:abstractNum>
  <w:abstractNum w:abstractNumId="121">
    <w:nsid w:val="260C59D9"/>
    <w:multiLevelType w:val="hybridMultilevel"/>
    <w:tmpl w:val="4EAC965E"/>
    <w:lvl w:ilvl="0">
      <w:start w:val="3"/>
      <w:numFmt w:val="bullet"/>
      <w:lvlText w:val="-"/>
      <w:lvlJc w:val="left"/>
      <w:pPr>
        <w:tabs>
          <w:tab w:val="num" w:pos="2700"/>
        </w:tabs>
        <w:ind w:left="2700" w:hanging="360"/>
      </w:pPr>
      <w:rPr>
        <w:rFonts w:ascii="Times New Roman" w:eastAsia="Times" w:hAnsi="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22">
    <w:nsid w:val="265D06C4"/>
    <w:multiLevelType w:val="singleLevel"/>
    <w:tmpl w:val="0408000F"/>
    <w:lvl w:ilvl="0">
      <w:start w:val="1"/>
      <w:numFmt w:val="decimal"/>
      <w:lvlText w:val="%1."/>
      <w:lvlJc w:val="left"/>
      <w:pPr>
        <w:tabs>
          <w:tab w:val="num" w:pos="360"/>
        </w:tabs>
        <w:ind w:left="360" w:hanging="360"/>
      </w:pPr>
    </w:lvl>
  </w:abstractNum>
  <w:abstractNum w:abstractNumId="123">
    <w:nsid w:val="26747C8D"/>
    <w:multiLevelType w:val="hybridMultilevel"/>
    <w:tmpl w:val="08EEDA0C"/>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24">
    <w:nsid w:val="26A94DBC"/>
    <w:multiLevelType w:val="hybridMultilevel"/>
    <w:tmpl w:val="62061952"/>
    <w:lvl w:ilvl="0">
      <w:start w:val="4"/>
      <w:numFmt w:val="decimal"/>
      <w:lvlText w:val="%1."/>
      <w:lvlJc w:val="left"/>
      <w:pPr>
        <w:tabs>
          <w:tab w:val="num" w:pos="720"/>
        </w:tabs>
        <w:ind w:left="720" w:hanging="360"/>
      </w:pPr>
      <w:rPr>
        <w:rFonts w:hint="default"/>
        <w:b/>
        <w:sz w:val="28"/>
      </w:rPr>
    </w:lvl>
    <w:lvl w:ilvl="1">
      <w:start w:val="1"/>
      <w:numFmt w:val="bullet"/>
      <w:lvlText w:val=""/>
      <w:lvlJc w:val="left"/>
      <w:pPr>
        <w:tabs>
          <w:tab w:val="num" w:pos="1440"/>
        </w:tabs>
        <w:ind w:left="1440" w:hanging="360"/>
      </w:pPr>
      <w:rPr>
        <w:rFonts w:ascii="Symbol" w:hAnsi="Symbol" w:hint="default"/>
        <w:b/>
        <w:sz w:val="28"/>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5">
    <w:nsid w:val="26D03D43"/>
    <w:multiLevelType w:val="hybridMultilevel"/>
    <w:tmpl w:val="7C309B88"/>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cs="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126">
    <w:nsid w:val="26EC6D20"/>
    <w:multiLevelType w:val="hybridMultilevel"/>
    <w:tmpl w:val="483A320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27">
    <w:nsid w:val="27064897"/>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28">
    <w:nsid w:val="27A23730"/>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29">
    <w:nsid w:val="28032F69"/>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30">
    <w:nsid w:val="281A2C4C"/>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31">
    <w:nsid w:val="28B84BD8"/>
    <w:multiLevelType w:val="hybridMultilevel"/>
    <w:tmpl w:val="B5783AD4"/>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2">
    <w:nsid w:val="28BF6889"/>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33">
    <w:nsid w:val="28F325EE"/>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34">
    <w:nsid w:val="29682275"/>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35">
    <w:nsid w:val="2A6E7CDB"/>
    <w:multiLevelType w:val="hybridMultilevel"/>
    <w:tmpl w:val="E796F192"/>
    <w:lvl w:ilvl="0">
      <w:start w:val="1"/>
      <w:numFmt w:val="decimal"/>
      <w:lvlText w:val="%1."/>
      <w:lvlJc w:val="left"/>
      <w:pPr>
        <w:tabs>
          <w:tab w:val="num" w:pos="720"/>
        </w:tabs>
        <w:ind w:left="720" w:hanging="360"/>
      </w:pPr>
    </w:lvl>
    <w:lvl w:ilvl="1">
      <w:start w:val="16"/>
      <w:numFmt w:val="bullet"/>
      <w:lvlText w:val="–"/>
      <w:lvlJc w:val="left"/>
      <w:pPr>
        <w:tabs>
          <w:tab w:val="num" w:pos="1440"/>
        </w:tabs>
        <w:ind w:left="1440" w:hanging="360"/>
      </w:pPr>
      <w:rPr>
        <w:rFonts w:ascii="Times New Roman" w:eastAsia="Times New Roman" w:hAnsi="Times New Roman" w:cs="Times New Roman"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6">
    <w:nsid w:val="2B7D088A"/>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37">
    <w:nsid w:val="2BBD3FA7"/>
    <w:multiLevelType w:val="singleLevel"/>
    <w:tmpl w:val="0408000F"/>
    <w:lvl w:ilvl="0">
      <w:start w:val="1"/>
      <w:numFmt w:val="decimal"/>
      <w:lvlText w:val="%1."/>
      <w:lvlJc w:val="left"/>
      <w:pPr>
        <w:tabs>
          <w:tab w:val="num" w:pos="360"/>
        </w:tabs>
        <w:ind w:left="360" w:hanging="360"/>
      </w:pPr>
    </w:lvl>
  </w:abstractNum>
  <w:abstractNum w:abstractNumId="138">
    <w:nsid w:val="2BC2631F"/>
    <w:multiLevelType w:val="hybridMultilevel"/>
    <w:tmpl w:val="F41465AA"/>
    <w:lvl w:ilvl="0">
      <w:start w:val="27"/>
      <w:numFmt w:val="decimal"/>
      <w:lvlText w:val="%1."/>
      <w:lvlJc w:val="left"/>
      <w:pPr>
        <w:tabs>
          <w:tab w:val="num" w:pos="720"/>
        </w:tabs>
        <w:ind w:left="720" w:hanging="720"/>
      </w:pPr>
      <w:rPr>
        <w:rFonts w:hint="default"/>
        <w:b/>
        <w:i w:val="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9">
    <w:nsid w:val="2BD55003"/>
    <w:multiLevelType w:val="singleLevel"/>
    <w:tmpl w:val="B3A8E510"/>
    <w:lvl w:ilvl="0">
      <w:start w:val="1"/>
      <w:numFmt w:val="lowerLetter"/>
      <w:lvlText w:val="%1)"/>
      <w:lvlJc w:val="left"/>
      <w:pPr>
        <w:tabs>
          <w:tab w:val="num" w:pos="1800"/>
        </w:tabs>
        <w:ind w:left="1800" w:hanging="360"/>
      </w:pPr>
      <w:rPr>
        <w:rFonts w:hint="default"/>
      </w:rPr>
    </w:lvl>
  </w:abstractNum>
  <w:abstractNum w:abstractNumId="140">
    <w:nsid w:val="2C2D70CF"/>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41">
    <w:nsid w:val="2C7B13F4"/>
    <w:multiLevelType w:val="hybridMultilevel"/>
    <w:tmpl w:val="346EE4CC"/>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2">
    <w:nsid w:val="2D000A42"/>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43">
    <w:nsid w:val="2D142482"/>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44">
    <w:nsid w:val="2D392290"/>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45">
    <w:nsid w:val="2D4141A4"/>
    <w:multiLevelType w:val="singleLevel"/>
    <w:tmpl w:val="0AA4AAB0"/>
    <w:lvl w:ilvl="0">
      <w:start w:val="1"/>
      <w:numFmt w:val="lowerLetter"/>
      <w:lvlText w:val="(%1)"/>
      <w:lvlJc w:val="left"/>
      <w:pPr>
        <w:tabs>
          <w:tab w:val="num" w:pos="1995"/>
        </w:tabs>
        <w:ind w:left="1995" w:hanging="375"/>
      </w:pPr>
      <w:rPr>
        <w:rFonts w:hint="default"/>
      </w:rPr>
    </w:lvl>
  </w:abstractNum>
  <w:abstractNum w:abstractNumId="146">
    <w:nsid w:val="2D695BE7"/>
    <w:multiLevelType w:val="hybridMultilevel"/>
    <w:tmpl w:val="F0CA02F8"/>
    <w:lvl w:ilvl="0">
      <w:start w:val="1"/>
      <w:numFmt w:val="decimal"/>
      <w:lvlText w:val="%1."/>
      <w:lvlJc w:val="left"/>
      <w:pPr>
        <w:tabs>
          <w:tab w:val="num" w:pos="1068"/>
        </w:tabs>
        <w:ind w:left="1068" w:hanging="360"/>
      </w:pPr>
      <w:rPr>
        <w:rFonts w:hint="default"/>
      </w:rPr>
    </w:lvl>
    <w:lvl w:ilvl="1" w:tentative="1">
      <w:start w:val="1"/>
      <w:numFmt w:val="lowerLetter"/>
      <w:lvlText w:val="%2."/>
      <w:lvlJc w:val="left"/>
      <w:pPr>
        <w:tabs>
          <w:tab w:val="num" w:pos="1788"/>
        </w:tabs>
        <w:ind w:left="1788" w:hanging="360"/>
      </w:pPr>
    </w:lvl>
    <w:lvl w:ilvl="2" w:tentative="1">
      <w:start w:val="1"/>
      <w:numFmt w:val="lowerRoman"/>
      <w:lvlText w:val="%3."/>
      <w:lvlJc w:val="right"/>
      <w:pPr>
        <w:tabs>
          <w:tab w:val="num" w:pos="2508"/>
        </w:tabs>
        <w:ind w:left="2508" w:hanging="180"/>
      </w:pPr>
    </w:lvl>
    <w:lvl w:ilvl="3" w:tentative="1">
      <w:start w:val="1"/>
      <w:numFmt w:val="decimal"/>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Roman"/>
      <w:lvlText w:val="%6."/>
      <w:lvlJc w:val="right"/>
      <w:pPr>
        <w:tabs>
          <w:tab w:val="num" w:pos="4668"/>
        </w:tabs>
        <w:ind w:left="4668" w:hanging="180"/>
      </w:pPr>
    </w:lvl>
    <w:lvl w:ilvl="6" w:tentative="1">
      <w:start w:val="1"/>
      <w:numFmt w:val="decimal"/>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Roman"/>
      <w:lvlText w:val="%9."/>
      <w:lvlJc w:val="right"/>
      <w:pPr>
        <w:tabs>
          <w:tab w:val="num" w:pos="6828"/>
        </w:tabs>
        <w:ind w:left="6828" w:hanging="180"/>
      </w:pPr>
    </w:lvl>
  </w:abstractNum>
  <w:abstractNum w:abstractNumId="147">
    <w:nsid w:val="2E522B9E"/>
    <w:multiLevelType w:val="hybridMultilevel"/>
    <w:tmpl w:val="1E32B198"/>
    <w:lvl w:ilvl="0">
      <w:start w:val="1"/>
      <w:numFmt w:val="lowerRoman"/>
      <w:lvlText w:val="%1)"/>
      <w:lvlJc w:val="left"/>
      <w:pPr>
        <w:tabs>
          <w:tab w:val="num" w:pos="1701"/>
        </w:tabs>
        <w:ind w:left="1701" w:hanging="680"/>
      </w:pPr>
      <w:rPr>
        <w:rFonts w:ascii="Times New Roman" w:hAnsi="Times New Roman" w:hint="default"/>
        <w:b w:val="0"/>
        <w:i w:val="0"/>
        <w:caps w:val="0"/>
        <w:sz w:val="22"/>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8">
    <w:nsid w:val="2EE96162"/>
    <w:multiLevelType w:val="hybridMultilevel"/>
    <w:tmpl w:val="72C679DC"/>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9">
    <w:nsid w:val="2F742004"/>
    <w:multiLevelType w:val="hybridMultilevel"/>
    <w:tmpl w:val="B1766BAA"/>
    <w:lvl w:ilvl="0">
      <w:start w:val="1"/>
      <w:numFmt w:val="bullet"/>
      <w:lvlText w:val=""/>
      <w:lvlJc w:val="left"/>
      <w:pPr>
        <w:tabs>
          <w:tab w:val="num" w:pos="1080"/>
        </w:tabs>
        <w:ind w:left="1080" w:hanging="360"/>
      </w:pPr>
      <w:rPr>
        <w:rFonts w:ascii="Symbol" w:hAnsi="Symbol" w:hint="default"/>
      </w:rPr>
    </w:lvl>
    <w:lvl w:ilvl="1">
      <w:start w:val="1"/>
      <w:numFmt w:val="upperRoman"/>
      <w:lvlText w:val="%2."/>
      <w:lvlJc w:val="left"/>
      <w:pPr>
        <w:tabs>
          <w:tab w:val="num" w:pos="2160"/>
        </w:tabs>
        <w:ind w:left="2160" w:hanging="720"/>
      </w:pPr>
      <w:rPr>
        <w:rFonts w:ascii="Times" w:hAnsi="Times" w:hint="default"/>
      </w:r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150">
    <w:nsid w:val="2FBD1209"/>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51">
    <w:nsid w:val="300567B4"/>
    <w:multiLevelType w:val="hybridMultilevel"/>
    <w:tmpl w:val="5ABEC53E"/>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2">
    <w:nsid w:val="302420F7"/>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53">
    <w:nsid w:val="30420DAC"/>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54">
    <w:nsid w:val="306A1FC1"/>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55">
    <w:nsid w:val="319D11FA"/>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56">
    <w:nsid w:val="319F57D9"/>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57">
    <w:nsid w:val="327F6692"/>
    <w:multiLevelType w:val="multilevel"/>
    <w:tmpl w:val="998E79DC"/>
    <w:lvl w:ilvl="0">
      <w:start w:val="1"/>
      <w:numFmt w:val="bullet"/>
      <w:lvlText w:val=""/>
      <w:lvlJc w:val="left"/>
      <w:pPr>
        <w:tabs>
          <w:tab w:val="num" w:pos="1440"/>
        </w:tabs>
        <w:ind w:left="1440" w:hanging="360"/>
      </w:pPr>
      <w:rPr>
        <w:rFonts w:ascii="Symbol" w:hAnsi="Symbol" w:hint="default"/>
      </w:rPr>
    </w:lvl>
    <w:lvl w:ilvl="1" w:tentative="1">
      <w:start w:val="1"/>
      <w:numFmt w:val="bullet"/>
      <w:lvlText w:val="o"/>
      <w:lvlJc w:val="left"/>
      <w:pPr>
        <w:tabs>
          <w:tab w:val="num" w:pos="2160"/>
        </w:tabs>
        <w:ind w:left="2160" w:hanging="360"/>
      </w:pPr>
      <w:rPr>
        <w:rFonts w:ascii="Courier New" w:hAnsi="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158">
    <w:nsid w:val="33481F71"/>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59">
    <w:nsid w:val="33FE6735"/>
    <w:multiLevelType w:val="singleLevel"/>
    <w:tmpl w:val="C0FC32DE"/>
    <w:lvl w:ilvl="0">
      <w:start w:val="1"/>
      <w:numFmt w:val="decimal"/>
      <w:lvlText w:val="%1."/>
      <w:lvlJc w:val="left"/>
      <w:pPr>
        <w:tabs>
          <w:tab w:val="num" w:pos="360"/>
        </w:tabs>
        <w:ind w:left="360" w:hanging="360"/>
      </w:pPr>
      <w:rPr>
        <w:b/>
        <w:i w:val="0"/>
      </w:rPr>
    </w:lvl>
  </w:abstractNum>
  <w:abstractNum w:abstractNumId="160">
    <w:nsid w:val="34240B6C"/>
    <w:multiLevelType w:val="hybridMultilevel"/>
    <w:tmpl w:val="CC0C6DB4"/>
    <w:lvl w:ilvl="0">
      <w:start w:val="1"/>
      <w:numFmt w:val="decimal"/>
      <w:lvlText w:val="%1."/>
      <w:lvlJc w:val="left"/>
      <w:pPr>
        <w:tabs>
          <w:tab w:val="num" w:pos="1260"/>
        </w:tabs>
        <w:ind w:left="126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1">
    <w:nsid w:val="34E86AE8"/>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62">
    <w:nsid w:val="35077B80"/>
    <w:multiLevelType w:val="hybridMultilevel"/>
    <w:tmpl w:val="C5AE5DCC"/>
    <w:lvl w:ilvl="0">
      <w:start w:val="10"/>
      <w:numFmt w:val="decimal"/>
      <w:lvlText w:val="%1."/>
      <w:lvlJc w:val="left"/>
      <w:pPr>
        <w:tabs>
          <w:tab w:val="num" w:pos="0"/>
        </w:tabs>
        <w:ind w:left="0" w:hanging="540"/>
      </w:pPr>
      <w:rPr>
        <w:rFonts w:hint="default"/>
        <w:b/>
        <w:u w:val="none"/>
      </w:rPr>
    </w:lvl>
    <w:lvl w:ilvl="1">
      <w:start w:val="1"/>
      <w:numFmt w:val="bullet"/>
      <w:lvlText w:val=""/>
      <w:lvlJc w:val="left"/>
      <w:pPr>
        <w:tabs>
          <w:tab w:val="num" w:pos="360"/>
        </w:tabs>
        <w:ind w:left="360" w:hanging="360"/>
      </w:pPr>
      <w:rPr>
        <w:rFonts w:ascii="Symbol" w:hAnsi="Symbol" w:hint="default"/>
        <w:b/>
        <w:u w:val="none"/>
      </w:rPr>
    </w:lvl>
    <w:lvl w:ilvl="2" w:tentative="1">
      <w:start w:val="1"/>
      <w:numFmt w:val="lowerRoman"/>
      <w:lvlText w:val="%3."/>
      <w:lvlJc w:val="right"/>
      <w:pPr>
        <w:tabs>
          <w:tab w:val="num" w:pos="1260"/>
        </w:tabs>
        <w:ind w:left="1260" w:hanging="180"/>
      </w:pPr>
    </w:lvl>
    <w:lvl w:ilvl="3" w:tentative="1">
      <w:start w:val="1"/>
      <w:numFmt w:val="decimal"/>
      <w:lvlText w:val="%4."/>
      <w:lvlJc w:val="left"/>
      <w:pPr>
        <w:tabs>
          <w:tab w:val="num" w:pos="1980"/>
        </w:tabs>
        <w:ind w:left="1980" w:hanging="360"/>
      </w:pPr>
    </w:lvl>
    <w:lvl w:ilvl="4" w:tentative="1">
      <w:start w:val="1"/>
      <w:numFmt w:val="lowerLetter"/>
      <w:lvlText w:val="%5."/>
      <w:lvlJc w:val="left"/>
      <w:pPr>
        <w:tabs>
          <w:tab w:val="num" w:pos="2700"/>
        </w:tabs>
        <w:ind w:left="2700" w:hanging="360"/>
      </w:pPr>
    </w:lvl>
    <w:lvl w:ilvl="5" w:tentative="1">
      <w:start w:val="1"/>
      <w:numFmt w:val="lowerRoman"/>
      <w:lvlText w:val="%6."/>
      <w:lvlJc w:val="right"/>
      <w:pPr>
        <w:tabs>
          <w:tab w:val="num" w:pos="3420"/>
        </w:tabs>
        <w:ind w:left="3420" w:hanging="180"/>
      </w:pPr>
    </w:lvl>
    <w:lvl w:ilvl="6" w:tentative="1">
      <w:start w:val="1"/>
      <w:numFmt w:val="decimal"/>
      <w:lvlText w:val="%7."/>
      <w:lvlJc w:val="left"/>
      <w:pPr>
        <w:tabs>
          <w:tab w:val="num" w:pos="4140"/>
        </w:tabs>
        <w:ind w:left="4140" w:hanging="360"/>
      </w:pPr>
    </w:lvl>
    <w:lvl w:ilvl="7" w:tentative="1">
      <w:start w:val="1"/>
      <w:numFmt w:val="lowerLetter"/>
      <w:lvlText w:val="%8."/>
      <w:lvlJc w:val="left"/>
      <w:pPr>
        <w:tabs>
          <w:tab w:val="num" w:pos="4860"/>
        </w:tabs>
        <w:ind w:left="4860" w:hanging="360"/>
      </w:pPr>
    </w:lvl>
    <w:lvl w:ilvl="8" w:tentative="1">
      <w:start w:val="1"/>
      <w:numFmt w:val="lowerRoman"/>
      <w:lvlText w:val="%9."/>
      <w:lvlJc w:val="right"/>
      <w:pPr>
        <w:tabs>
          <w:tab w:val="num" w:pos="5580"/>
        </w:tabs>
        <w:ind w:left="5580" w:hanging="180"/>
      </w:pPr>
    </w:lvl>
  </w:abstractNum>
  <w:abstractNum w:abstractNumId="163">
    <w:nsid w:val="350837DF"/>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64">
    <w:nsid w:val="358A332F"/>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65">
    <w:nsid w:val="358C692B"/>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66">
    <w:nsid w:val="367D1DB2"/>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67">
    <w:nsid w:val="36EE0D9D"/>
    <w:multiLevelType w:val="hybridMultilevel"/>
    <w:tmpl w:val="316C433C"/>
    <w:lvl w:ilvl="0">
      <w:start w:val="38"/>
      <w:numFmt w:val="decimal"/>
      <w:lvlText w:val="%1."/>
      <w:lvlJc w:val="left"/>
      <w:pPr>
        <w:tabs>
          <w:tab w:val="num" w:pos="1080"/>
        </w:tabs>
        <w:ind w:left="1080" w:hanging="360"/>
      </w:pPr>
      <w:rPr>
        <w:rFonts w:hint="default"/>
        <w:b/>
      </w:rPr>
    </w:lvl>
    <w:lvl w:ilvl="1">
      <w:start w:val="1"/>
      <w:numFmt w:val="bullet"/>
      <w:lvlText w:val=""/>
      <w:lvlJc w:val="left"/>
      <w:pPr>
        <w:tabs>
          <w:tab w:val="num" w:pos="1800"/>
        </w:tabs>
        <w:ind w:left="1800" w:hanging="360"/>
      </w:pPr>
      <w:rPr>
        <w:rFonts w:ascii="Symbol" w:hAnsi="Symbol" w:hint="default"/>
        <w:b/>
      </w:r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168">
    <w:nsid w:val="36F211EE"/>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69">
    <w:nsid w:val="377D6F2C"/>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70">
    <w:nsid w:val="37991807"/>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71">
    <w:nsid w:val="3799279E"/>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72">
    <w:nsid w:val="37A856CB"/>
    <w:multiLevelType w:val="hybridMultilevel"/>
    <w:tmpl w:val="BFF0E7F6"/>
    <w:lvl w:ilvl="0">
      <w:start w:val="1"/>
      <w:numFmt w:val="bullet"/>
      <w:lvlText w:val=""/>
      <w:lvlJc w:val="left"/>
      <w:pPr>
        <w:tabs>
          <w:tab w:val="num" w:pos="1440"/>
        </w:tabs>
        <w:ind w:left="1440" w:hanging="360"/>
      </w:pPr>
      <w:rPr>
        <w:rFonts w:ascii="Symbol" w:hAnsi="Symbol" w:hint="default"/>
      </w:rPr>
    </w:lvl>
    <w:lvl w:ilvl="1" w:tentative="1">
      <w:start w:val="1"/>
      <w:numFmt w:val="bullet"/>
      <w:lvlText w:val="o"/>
      <w:lvlJc w:val="left"/>
      <w:pPr>
        <w:tabs>
          <w:tab w:val="num" w:pos="2160"/>
        </w:tabs>
        <w:ind w:left="2160" w:hanging="360"/>
      </w:pPr>
      <w:rPr>
        <w:rFonts w:ascii="Courier New" w:hAnsi="Courier New" w:cs="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cs="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cs="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173">
    <w:nsid w:val="37B43B74"/>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74">
    <w:nsid w:val="37E86EF3"/>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75">
    <w:nsid w:val="38317525"/>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76">
    <w:nsid w:val="383D4314"/>
    <w:multiLevelType w:val="hybridMultilevel"/>
    <w:tmpl w:val="4508980E"/>
    <w:lvl w:ilvl="0">
      <w:start w:val="1"/>
      <w:numFmt w:val="bullet"/>
      <w:lvlText w:val=""/>
      <w:lvlJc w:val="left"/>
      <w:pPr>
        <w:tabs>
          <w:tab w:val="num" w:pos="900"/>
        </w:tabs>
        <w:ind w:left="900" w:hanging="360"/>
      </w:pPr>
      <w:rPr>
        <w:rFonts w:ascii="Symbol" w:hAnsi="Symbol" w:hint="default"/>
      </w:rPr>
    </w:lvl>
    <w:lvl w:ilvl="1" w:tentative="1">
      <w:start w:val="1"/>
      <w:numFmt w:val="bullet"/>
      <w:lvlText w:val="o"/>
      <w:lvlJc w:val="left"/>
      <w:pPr>
        <w:tabs>
          <w:tab w:val="num" w:pos="1620"/>
        </w:tabs>
        <w:ind w:left="1620" w:hanging="360"/>
      </w:pPr>
      <w:rPr>
        <w:rFonts w:ascii="Courier New" w:hAnsi="Courier New" w:cs="Courier New" w:hint="default"/>
      </w:rPr>
    </w:lvl>
    <w:lvl w:ilvl="2" w:tentative="1">
      <w:start w:val="1"/>
      <w:numFmt w:val="bullet"/>
      <w:lvlText w:val=""/>
      <w:lvlJc w:val="left"/>
      <w:pPr>
        <w:tabs>
          <w:tab w:val="num" w:pos="2340"/>
        </w:tabs>
        <w:ind w:left="2340" w:hanging="360"/>
      </w:pPr>
      <w:rPr>
        <w:rFonts w:ascii="Wingdings" w:hAnsi="Wingdings" w:hint="default"/>
      </w:rPr>
    </w:lvl>
    <w:lvl w:ilvl="3" w:tentative="1">
      <w:start w:val="1"/>
      <w:numFmt w:val="bullet"/>
      <w:lvlText w:val=""/>
      <w:lvlJc w:val="left"/>
      <w:pPr>
        <w:tabs>
          <w:tab w:val="num" w:pos="3060"/>
        </w:tabs>
        <w:ind w:left="3060" w:hanging="360"/>
      </w:pPr>
      <w:rPr>
        <w:rFonts w:ascii="Symbol" w:hAnsi="Symbol" w:hint="default"/>
      </w:rPr>
    </w:lvl>
    <w:lvl w:ilvl="4" w:tentative="1">
      <w:start w:val="1"/>
      <w:numFmt w:val="bullet"/>
      <w:lvlText w:val="o"/>
      <w:lvlJc w:val="left"/>
      <w:pPr>
        <w:tabs>
          <w:tab w:val="num" w:pos="3780"/>
        </w:tabs>
        <w:ind w:left="3780" w:hanging="360"/>
      </w:pPr>
      <w:rPr>
        <w:rFonts w:ascii="Courier New" w:hAnsi="Courier New" w:cs="Courier New" w:hint="default"/>
      </w:rPr>
    </w:lvl>
    <w:lvl w:ilvl="5" w:tentative="1">
      <w:start w:val="1"/>
      <w:numFmt w:val="bullet"/>
      <w:lvlText w:val=""/>
      <w:lvlJc w:val="left"/>
      <w:pPr>
        <w:tabs>
          <w:tab w:val="num" w:pos="4500"/>
        </w:tabs>
        <w:ind w:left="4500" w:hanging="360"/>
      </w:pPr>
      <w:rPr>
        <w:rFonts w:ascii="Wingdings" w:hAnsi="Wingdings" w:hint="default"/>
      </w:rPr>
    </w:lvl>
    <w:lvl w:ilvl="6" w:tentative="1">
      <w:start w:val="1"/>
      <w:numFmt w:val="bullet"/>
      <w:lvlText w:val=""/>
      <w:lvlJc w:val="left"/>
      <w:pPr>
        <w:tabs>
          <w:tab w:val="num" w:pos="5220"/>
        </w:tabs>
        <w:ind w:left="5220" w:hanging="360"/>
      </w:pPr>
      <w:rPr>
        <w:rFonts w:ascii="Symbol" w:hAnsi="Symbol" w:hint="default"/>
      </w:rPr>
    </w:lvl>
    <w:lvl w:ilvl="7" w:tentative="1">
      <w:start w:val="1"/>
      <w:numFmt w:val="bullet"/>
      <w:lvlText w:val="o"/>
      <w:lvlJc w:val="left"/>
      <w:pPr>
        <w:tabs>
          <w:tab w:val="num" w:pos="5940"/>
        </w:tabs>
        <w:ind w:left="5940" w:hanging="360"/>
      </w:pPr>
      <w:rPr>
        <w:rFonts w:ascii="Courier New" w:hAnsi="Courier New" w:cs="Courier New" w:hint="default"/>
      </w:rPr>
    </w:lvl>
    <w:lvl w:ilvl="8" w:tentative="1">
      <w:start w:val="1"/>
      <w:numFmt w:val="bullet"/>
      <w:lvlText w:val=""/>
      <w:lvlJc w:val="left"/>
      <w:pPr>
        <w:tabs>
          <w:tab w:val="num" w:pos="6660"/>
        </w:tabs>
        <w:ind w:left="6660" w:hanging="360"/>
      </w:pPr>
      <w:rPr>
        <w:rFonts w:ascii="Wingdings" w:hAnsi="Wingdings" w:hint="default"/>
      </w:rPr>
    </w:lvl>
  </w:abstractNum>
  <w:abstractNum w:abstractNumId="177">
    <w:nsid w:val="39273BCD"/>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78">
    <w:nsid w:val="392F76C2"/>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79">
    <w:nsid w:val="39F361B4"/>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80">
    <w:nsid w:val="3A5D4EF4"/>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81">
    <w:nsid w:val="3A5F04CE"/>
    <w:multiLevelType w:val="hybridMultilevel"/>
    <w:tmpl w:val="9A20308E"/>
    <w:lvl w:ilvl="0">
      <w:start w:val="20"/>
      <w:numFmt w:val="decimal"/>
      <w:lvlText w:val="%1."/>
      <w:lvlJc w:val="left"/>
      <w:pPr>
        <w:tabs>
          <w:tab w:val="num" w:pos="1080"/>
        </w:tabs>
        <w:ind w:left="1080" w:hanging="360"/>
      </w:pPr>
      <w:rPr>
        <w:rFonts w:hint="default"/>
        <w:b/>
        <w:i w:val="0"/>
        <w:u w:val="none"/>
      </w:rPr>
    </w:lvl>
    <w:lvl w:ilvl="1">
      <w:start w:val="1"/>
      <w:numFmt w:val="bullet"/>
      <w:lvlText w:val=""/>
      <w:lvlJc w:val="left"/>
      <w:pPr>
        <w:tabs>
          <w:tab w:val="num" w:pos="1800"/>
        </w:tabs>
        <w:ind w:left="1800" w:hanging="360"/>
      </w:pPr>
      <w:rPr>
        <w:rFonts w:ascii="Symbol" w:hAnsi="Symbol" w:hint="default"/>
        <w:b/>
        <w:i w:val="0"/>
        <w:u w:val="none"/>
      </w:r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182">
    <w:nsid w:val="3B0F69F7"/>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83">
    <w:nsid w:val="3C4D1172"/>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84">
    <w:nsid w:val="3C640A65"/>
    <w:multiLevelType w:val="hybridMultilevel"/>
    <w:tmpl w:val="0D70DD9A"/>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cs="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185">
    <w:nsid w:val="3D36796F"/>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86">
    <w:nsid w:val="3D9C52E3"/>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87">
    <w:nsid w:val="3DAF32BA"/>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88">
    <w:nsid w:val="3E284A36"/>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89">
    <w:nsid w:val="3E3E0011"/>
    <w:multiLevelType w:val="hybridMultilevel"/>
    <w:tmpl w:val="62885528"/>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cs="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190">
    <w:nsid w:val="3E8E084E"/>
    <w:multiLevelType w:val="hybridMultilevel"/>
    <w:tmpl w:val="AC88621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1">
    <w:nsid w:val="3F247B7B"/>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92">
    <w:nsid w:val="3F8F23E3"/>
    <w:multiLevelType w:val="hybridMultilevel"/>
    <w:tmpl w:val="D346DBFC"/>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93">
    <w:nsid w:val="3FD041CD"/>
    <w:multiLevelType w:val="hybridMultilevel"/>
    <w:tmpl w:val="0B786DB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94">
    <w:nsid w:val="402E6FB1"/>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95">
    <w:nsid w:val="41DD6FBD"/>
    <w:multiLevelType w:val="hybridMultilevel"/>
    <w:tmpl w:val="EC1802EE"/>
    <w:lvl w:ilvl="0">
      <w:start w:val="1"/>
      <w:numFmt w:val="bullet"/>
      <w:lvlText w:val=""/>
      <w:lvlJc w:val="left"/>
      <w:pPr>
        <w:tabs>
          <w:tab w:val="num" w:pos="1440"/>
        </w:tabs>
        <w:ind w:left="1440" w:hanging="360"/>
      </w:pPr>
      <w:rPr>
        <w:rFonts w:ascii="Symbol" w:hAnsi="Symbol" w:hint="default"/>
      </w:rPr>
    </w:lvl>
    <w:lvl w:ilvl="1" w:tentative="1">
      <w:start w:val="1"/>
      <w:numFmt w:val="bullet"/>
      <w:lvlText w:val="o"/>
      <w:lvlJc w:val="left"/>
      <w:pPr>
        <w:tabs>
          <w:tab w:val="num" w:pos="2160"/>
        </w:tabs>
        <w:ind w:left="2160" w:hanging="360"/>
      </w:pPr>
      <w:rPr>
        <w:rFonts w:ascii="Courier New" w:hAnsi="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196">
    <w:nsid w:val="42027BF6"/>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97">
    <w:nsid w:val="422952EA"/>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98">
    <w:nsid w:val="42BC6E23"/>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99">
    <w:nsid w:val="4301349A"/>
    <w:multiLevelType w:val="multilevel"/>
    <w:tmpl w:val="56906A58"/>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440"/>
        </w:tabs>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00">
    <w:nsid w:val="432350F1"/>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01">
    <w:nsid w:val="436416AB"/>
    <w:multiLevelType w:val="hybridMultilevel"/>
    <w:tmpl w:val="C1F67F90"/>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02">
    <w:nsid w:val="437F27AA"/>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03">
    <w:nsid w:val="43E20A49"/>
    <w:multiLevelType w:val="hybridMultilevel"/>
    <w:tmpl w:val="A432C618"/>
    <w:lvl w:ilvl="0">
      <w:start w:val="1"/>
      <w:numFmt w:val="bullet"/>
      <w:lvlText w:val=""/>
      <w:lvlJc w:val="left"/>
      <w:pPr>
        <w:tabs>
          <w:tab w:val="num" w:pos="1080"/>
        </w:tabs>
        <w:ind w:left="1080" w:hanging="360"/>
      </w:pPr>
      <w:rPr>
        <w:rFonts w:ascii="Symbol" w:hAnsi="Symbol" w:hint="default"/>
      </w:rPr>
    </w:lvl>
    <w:lvl w:ilvl="1">
      <w:start w:val="1"/>
      <w:numFmt w:val="decimal"/>
      <w:lvlText w:val="%2."/>
      <w:lvlJc w:val="left"/>
      <w:pPr>
        <w:tabs>
          <w:tab w:val="num" w:pos="1800"/>
        </w:tabs>
        <w:ind w:left="1800" w:hanging="360"/>
      </w:pPr>
      <w:rPr>
        <w:rFonts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204">
    <w:nsid w:val="44273F62"/>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05">
    <w:nsid w:val="443A395F"/>
    <w:multiLevelType w:val="multilevel"/>
    <w:tmpl w:val="696CE39E"/>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06">
    <w:nsid w:val="44984897"/>
    <w:multiLevelType w:val="hybridMultilevel"/>
    <w:tmpl w:val="3E6C3BBC"/>
    <w:lvl w:ilvl="0">
      <w:start w:val="1"/>
      <w:numFmt w:val="bullet"/>
      <w:lvlText w:val=""/>
      <w:lvlJc w:val="left"/>
      <w:pPr>
        <w:tabs>
          <w:tab w:val="num" w:pos="1260"/>
        </w:tabs>
        <w:ind w:left="1260" w:hanging="360"/>
      </w:pPr>
      <w:rPr>
        <w:rFonts w:ascii="Symbol" w:hAnsi="Symbol" w:hint="default"/>
      </w:rPr>
    </w:lvl>
    <w:lvl w:ilvl="1" w:tentative="1">
      <w:start w:val="1"/>
      <w:numFmt w:val="bullet"/>
      <w:lvlText w:val="o"/>
      <w:lvlJc w:val="left"/>
      <w:pPr>
        <w:tabs>
          <w:tab w:val="num" w:pos="1980"/>
        </w:tabs>
        <w:ind w:left="1980" w:hanging="360"/>
      </w:pPr>
      <w:rPr>
        <w:rFonts w:ascii="Courier New" w:hAnsi="Courier New" w:hint="default"/>
      </w:rPr>
    </w:lvl>
    <w:lvl w:ilvl="2" w:tentative="1">
      <w:start w:val="1"/>
      <w:numFmt w:val="bullet"/>
      <w:lvlText w:val=""/>
      <w:lvlJc w:val="left"/>
      <w:pPr>
        <w:tabs>
          <w:tab w:val="num" w:pos="2700"/>
        </w:tabs>
        <w:ind w:left="2700" w:hanging="360"/>
      </w:pPr>
      <w:rPr>
        <w:rFonts w:ascii="Wingdings" w:hAnsi="Wingdings" w:hint="default"/>
      </w:rPr>
    </w:lvl>
    <w:lvl w:ilvl="3" w:tentative="1">
      <w:start w:val="1"/>
      <w:numFmt w:val="bullet"/>
      <w:lvlText w:val=""/>
      <w:lvlJc w:val="left"/>
      <w:pPr>
        <w:tabs>
          <w:tab w:val="num" w:pos="3420"/>
        </w:tabs>
        <w:ind w:left="3420" w:hanging="360"/>
      </w:pPr>
      <w:rPr>
        <w:rFonts w:ascii="Symbol" w:hAnsi="Symbol" w:hint="default"/>
      </w:rPr>
    </w:lvl>
    <w:lvl w:ilvl="4" w:tentative="1">
      <w:start w:val="1"/>
      <w:numFmt w:val="bullet"/>
      <w:lvlText w:val="o"/>
      <w:lvlJc w:val="left"/>
      <w:pPr>
        <w:tabs>
          <w:tab w:val="num" w:pos="4140"/>
        </w:tabs>
        <w:ind w:left="4140" w:hanging="360"/>
      </w:pPr>
      <w:rPr>
        <w:rFonts w:ascii="Courier New" w:hAnsi="Courier New" w:hint="default"/>
      </w:rPr>
    </w:lvl>
    <w:lvl w:ilvl="5" w:tentative="1">
      <w:start w:val="1"/>
      <w:numFmt w:val="bullet"/>
      <w:lvlText w:val=""/>
      <w:lvlJc w:val="left"/>
      <w:pPr>
        <w:tabs>
          <w:tab w:val="num" w:pos="4860"/>
        </w:tabs>
        <w:ind w:left="4860" w:hanging="360"/>
      </w:pPr>
      <w:rPr>
        <w:rFonts w:ascii="Wingdings" w:hAnsi="Wingdings" w:hint="default"/>
      </w:rPr>
    </w:lvl>
    <w:lvl w:ilvl="6" w:tentative="1">
      <w:start w:val="1"/>
      <w:numFmt w:val="bullet"/>
      <w:lvlText w:val=""/>
      <w:lvlJc w:val="left"/>
      <w:pPr>
        <w:tabs>
          <w:tab w:val="num" w:pos="5580"/>
        </w:tabs>
        <w:ind w:left="5580" w:hanging="360"/>
      </w:pPr>
      <w:rPr>
        <w:rFonts w:ascii="Symbol" w:hAnsi="Symbol" w:hint="default"/>
      </w:rPr>
    </w:lvl>
    <w:lvl w:ilvl="7" w:tentative="1">
      <w:start w:val="1"/>
      <w:numFmt w:val="bullet"/>
      <w:lvlText w:val="o"/>
      <w:lvlJc w:val="left"/>
      <w:pPr>
        <w:tabs>
          <w:tab w:val="num" w:pos="6300"/>
        </w:tabs>
        <w:ind w:left="6300" w:hanging="360"/>
      </w:pPr>
      <w:rPr>
        <w:rFonts w:ascii="Courier New" w:hAnsi="Courier New" w:hint="default"/>
      </w:rPr>
    </w:lvl>
    <w:lvl w:ilvl="8" w:tentative="1">
      <w:start w:val="1"/>
      <w:numFmt w:val="bullet"/>
      <w:lvlText w:val=""/>
      <w:lvlJc w:val="left"/>
      <w:pPr>
        <w:tabs>
          <w:tab w:val="num" w:pos="7020"/>
        </w:tabs>
        <w:ind w:left="7020" w:hanging="360"/>
      </w:pPr>
      <w:rPr>
        <w:rFonts w:ascii="Wingdings" w:hAnsi="Wingdings" w:hint="default"/>
      </w:rPr>
    </w:lvl>
  </w:abstractNum>
  <w:abstractNum w:abstractNumId="207">
    <w:nsid w:val="44D612A1"/>
    <w:multiLevelType w:val="multilevel"/>
    <w:tmpl w:val="CF3CCD08"/>
    <w:lvl w:ilvl="0">
      <w:start w:val="1"/>
      <w:numFmt w:val="bullet"/>
      <w:lvlText w:val=""/>
      <w:lvlJc w:val="left"/>
      <w:pPr>
        <w:tabs>
          <w:tab w:val="num" w:pos="1440"/>
        </w:tabs>
        <w:ind w:left="1440" w:hanging="360"/>
      </w:pPr>
      <w:rPr>
        <w:rFonts w:ascii="Symbol" w:hAnsi="Symbol" w:hint="default"/>
      </w:rPr>
    </w:lvl>
    <w:lvl w:ilvl="1" w:tentative="1">
      <w:start w:val="1"/>
      <w:numFmt w:val="bullet"/>
      <w:lvlText w:val="o"/>
      <w:lvlJc w:val="left"/>
      <w:pPr>
        <w:tabs>
          <w:tab w:val="num" w:pos="2160"/>
        </w:tabs>
        <w:ind w:left="2160" w:hanging="360"/>
      </w:pPr>
      <w:rPr>
        <w:rFonts w:ascii="Courier New" w:hAnsi="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208">
    <w:nsid w:val="44E01947"/>
    <w:multiLevelType w:val="hybridMultilevel"/>
    <w:tmpl w:val="F4A4E06E"/>
    <w:lvl w:ilvl="0">
      <w:start w:val="1"/>
      <w:numFmt w:val="bullet"/>
      <w:lvlText w:val=""/>
      <w:lvlJc w:val="left"/>
      <w:pPr>
        <w:tabs>
          <w:tab w:val="num" w:pos="1425"/>
        </w:tabs>
        <w:ind w:left="1425" w:hanging="360"/>
      </w:pPr>
      <w:rPr>
        <w:rFonts w:ascii="Symbol" w:hAnsi="Symbol" w:hint="default"/>
      </w:rPr>
    </w:lvl>
    <w:lvl w:ilvl="1">
      <w:start w:val="1"/>
      <w:numFmt w:val="bullet"/>
      <w:lvlText w:val="o"/>
      <w:lvlJc w:val="left"/>
      <w:pPr>
        <w:tabs>
          <w:tab w:val="num" w:pos="2145"/>
        </w:tabs>
        <w:ind w:left="2145" w:hanging="360"/>
      </w:pPr>
      <w:rPr>
        <w:rFonts w:ascii="Courier New" w:hAnsi="Courier New" w:cs="Courier New" w:hint="default"/>
      </w:rPr>
    </w:lvl>
    <w:lvl w:ilvl="2" w:tentative="1">
      <w:start w:val="1"/>
      <w:numFmt w:val="bullet"/>
      <w:lvlText w:val=""/>
      <w:lvlJc w:val="left"/>
      <w:pPr>
        <w:tabs>
          <w:tab w:val="num" w:pos="2865"/>
        </w:tabs>
        <w:ind w:left="2865" w:hanging="360"/>
      </w:pPr>
      <w:rPr>
        <w:rFonts w:ascii="Wingdings" w:hAnsi="Wingdings" w:hint="default"/>
      </w:rPr>
    </w:lvl>
    <w:lvl w:ilvl="3" w:tentative="1">
      <w:start w:val="1"/>
      <w:numFmt w:val="bullet"/>
      <w:lvlText w:val=""/>
      <w:lvlJc w:val="left"/>
      <w:pPr>
        <w:tabs>
          <w:tab w:val="num" w:pos="3585"/>
        </w:tabs>
        <w:ind w:left="3585" w:hanging="360"/>
      </w:pPr>
      <w:rPr>
        <w:rFonts w:ascii="Symbol" w:hAnsi="Symbol" w:hint="default"/>
      </w:rPr>
    </w:lvl>
    <w:lvl w:ilvl="4" w:tentative="1">
      <w:start w:val="1"/>
      <w:numFmt w:val="bullet"/>
      <w:lvlText w:val="o"/>
      <w:lvlJc w:val="left"/>
      <w:pPr>
        <w:tabs>
          <w:tab w:val="num" w:pos="4305"/>
        </w:tabs>
        <w:ind w:left="4305" w:hanging="360"/>
      </w:pPr>
      <w:rPr>
        <w:rFonts w:ascii="Courier New" w:hAnsi="Courier New" w:cs="Courier New" w:hint="default"/>
      </w:rPr>
    </w:lvl>
    <w:lvl w:ilvl="5" w:tentative="1">
      <w:start w:val="1"/>
      <w:numFmt w:val="bullet"/>
      <w:lvlText w:val=""/>
      <w:lvlJc w:val="left"/>
      <w:pPr>
        <w:tabs>
          <w:tab w:val="num" w:pos="5025"/>
        </w:tabs>
        <w:ind w:left="5025" w:hanging="360"/>
      </w:pPr>
      <w:rPr>
        <w:rFonts w:ascii="Wingdings" w:hAnsi="Wingdings" w:hint="default"/>
      </w:rPr>
    </w:lvl>
    <w:lvl w:ilvl="6" w:tentative="1">
      <w:start w:val="1"/>
      <w:numFmt w:val="bullet"/>
      <w:lvlText w:val=""/>
      <w:lvlJc w:val="left"/>
      <w:pPr>
        <w:tabs>
          <w:tab w:val="num" w:pos="5745"/>
        </w:tabs>
        <w:ind w:left="5745" w:hanging="360"/>
      </w:pPr>
      <w:rPr>
        <w:rFonts w:ascii="Symbol" w:hAnsi="Symbol" w:hint="default"/>
      </w:rPr>
    </w:lvl>
    <w:lvl w:ilvl="7" w:tentative="1">
      <w:start w:val="1"/>
      <w:numFmt w:val="bullet"/>
      <w:lvlText w:val="o"/>
      <w:lvlJc w:val="left"/>
      <w:pPr>
        <w:tabs>
          <w:tab w:val="num" w:pos="6465"/>
        </w:tabs>
        <w:ind w:left="6465" w:hanging="360"/>
      </w:pPr>
      <w:rPr>
        <w:rFonts w:ascii="Courier New" w:hAnsi="Courier New" w:cs="Courier New" w:hint="default"/>
      </w:rPr>
    </w:lvl>
    <w:lvl w:ilvl="8" w:tentative="1">
      <w:start w:val="1"/>
      <w:numFmt w:val="bullet"/>
      <w:lvlText w:val=""/>
      <w:lvlJc w:val="left"/>
      <w:pPr>
        <w:tabs>
          <w:tab w:val="num" w:pos="7185"/>
        </w:tabs>
        <w:ind w:left="7185" w:hanging="360"/>
      </w:pPr>
      <w:rPr>
        <w:rFonts w:ascii="Wingdings" w:hAnsi="Wingdings" w:hint="default"/>
      </w:rPr>
    </w:lvl>
  </w:abstractNum>
  <w:abstractNum w:abstractNumId="209">
    <w:nsid w:val="44E262D3"/>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10">
    <w:nsid w:val="45476E03"/>
    <w:multiLevelType w:val="hybridMultilevel"/>
    <w:tmpl w:val="8E2A766C"/>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11">
    <w:nsid w:val="45494DCD"/>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12">
    <w:nsid w:val="45D11A4B"/>
    <w:multiLevelType w:val="multilevel"/>
    <w:tmpl w:val="AFF4BA30"/>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213">
    <w:nsid w:val="468D5C62"/>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14">
    <w:nsid w:val="46917605"/>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15">
    <w:nsid w:val="46A146CD"/>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16">
    <w:nsid w:val="46F84A0B"/>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17">
    <w:nsid w:val="47787948"/>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18">
    <w:nsid w:val="47D9207A"/>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19">
    <w:nsid w:val="48094BE1"/>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20">
    <w:nsid w:val="48291ADE"/>
    <w:multiLevelType w:val="hybridMultilevel"/>
    <w:tmpl w:val="FC5AAB1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21">
    <w:nsid w:val="48594B48"/>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22">
    <w:nsid w:val="48BC2733"/>
    <w:multiLevelType w:val="hybridMultilevel"/>
    <w:tmpl w:val="24D42EEC"/>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23">
    <w:nsid w:val="48C61B52"/>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24">
    <w:nsid w:val="49B0214D"/>
    <w:multiLevelType w:val="multilevel"/>
    <w:tmpl w:val="D772CC48"/>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5">
    <w:nsid w:val="49EE660B"/>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26">
    <w:nsid w:val="4A2E1446"/>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27">
    <w:nsid w:val="4A4F0C19"/>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28">
    <w:nsid w:val="4A8A65FE"/>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29">
    <w:nsid w:val="4B374874"/>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30">
    <w:nsid w:val="4BE56470"/>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31">
    <w:nsid w:val="4C505990"/>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32">
    <w:nsid w:val="4CCA336D"/>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33">
    <w:nsid w:val="4CDA0238"/>
    <w:multiLevelType w:val="singleLevel"/>
    <w:tmpl w:val="8780E480"/>
    <w:lvl w:ilvl="0">
      <w:start w:val="1"/>
      <w:numFmt w:val="decimal"/>
      <w:lvlText w:val="%1."/>
      <w:lvlJc w:val="left"/>
      <w:pPr>
        <w:tabs>
          <w:tab w:val="num" w:pos="360"/>
        </w:tabs>
        <w:ind w:left="360" w:hanging="360"/>
      </w:pPr>
      <w:rPr>
        <w:b/>
        <w:i w:val="0"/>
      </w:rPr>
    </w:lvl>
  </w:abstractNum>
  <w:abstractNum w:abstractNumId="234">
    <w:nsid w:val="4DD701AB"/>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35">
    <w:nsid w:val="4DE221DF"/>
    <w:multiLevelType w:val="singleLevel"/>
    <w:tmpl w:val="D21E80F4"/>
    <w:lvl w:ilvl="0">
      <w:start w:val="2"/>
      <w:numFmt w:val="decimal"/>
      <w:lvlText w:val="%1."/>
      <w:lvlJc w:val="left"/>
      <w:pPr>
        <w:tabs>
          <w:tab w:val="num" w:pos="360"/>
        </w:tabs>
        <w:ind w:left="360" w:hanging="360"/>
      </w:pPr>
    </w:lvl>
  </w:abstractNum>
  <w:abstractNum w:abstractNumId="236">
    <w:nsid w:val="4F194B06"/>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37">
    <w:nsid w:val="4F9305C9"/>
    <w:multiLevelType w:val="hybridMultilevel"/>
    <w:tmpl w:val="23BC4E7C"/>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38">
    <w:nsid w:val="4FDA354E"/>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39">
    <w:nsid w:val="4FF47A12"/>
    <w:multiLevelType w:val="singleLevel"/>
    <w:tmpl w:val="4440A26E"/>
    <w:lvl w:ilvl="0">
      <w:start w:val="1"/>
      <w:numFmt w:val="decimal"/>
      <w:lvlText w:val="%1."/>
      <w:lvlJc w:val="left"/>
      <w:pPr>
        <w:tabs>
          <w:tab w:val="num" w:pos="360"/>
        </w:tabs>
        <w:ind w:left="360" w:hanging="360"/>
      </w:pPr>
      <w:rPr>
        <w:b/>
        <w:i w:val="0"/>
      </w:rPr>
    </w:lvl>
  </w:abstractNum>
  <w:abstractNum w:abstractNumId="240">
    <w:nsid w:val="500D37B3"/>
    <w:multiLevelType w:val="singleLevel"/>
    <w:tmpl w:val="EF66AA64"/>
    <w:lvl w:ilvl="0">
      <w:start w:val="1"/>
      <w:numFmt w:val="bullet"/>
      <w:lvlText w:val=""/>
      <w:lvlJc w:val="left"/>
      <w:pPr>
        <w:tabs>
          <w:tab w:val="num" w:pos="360"/>
        </w:tabs>
        <w:ind w:left="360" w:hanging="360"/>
      </w:pPr>
      <w:rPr>
        <w:rFonts w:ascii="Symbol" w:hAnsi="Symbol" w:hint="default"/>
        <w:sz w:val="28"/>
      </w:rPr>
    </w:lvl>
  </w:abstractNum>
  <w:abstractNum w:abstractNumId="241">
    <w:nsid w:val="50256AC8"/>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42">
    <w:nsid w:val="50365C59"/>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43">
    <w:nsid w:val="509E04F4"/>
    <w:multiLevelType w:val="hybridMultilevel"/>
    <w:tmpl w:val="C49AC5EC"/>
    <w:lvl w:ilvl="0">
      <w:start w:val="1"/>
      <w:numFmt w:val="bullet"/>
      <w:lvlText w:val=""/>
      <w:lvlJc w:val="left"/>
      <w:pPr>
        <w:tabs>
          <w:tab w:val="num" w:pos="1776"/>
        </w:tabs>
        <w:ind w:left="1776" w:hanging="360"/>
      </w:pPr>
      <w:rPr>
        <w:rFonts w:ascii="Symbol" w:hAnsi="Symbol" w:hint="default"/>
      </w:rPr>
    </w:lvl>
    <w:lvl w:ilvl="1">
      <w:start w:val="1"/>
      <w:numFmt w:val="bullet"/>
      <w:lvlText w:val="o"/>
      <w:lvlJc w:val="left"/>
      <w:pPr>
        <w:tabs>
          <w:tab w:val="num" w:pos="2496"/>
        </w:tabs>
        <w:ind w:left="2496" w:hanging="360"/>
      </w:pPr>
      <w:rPr>
        <w:rFonts w:ascii="Courier New" w:hAnsi="Courier New" w:cs="Courier New" w:hint="default"/>
      </w:rPr>
    </w:lvl>
    <w:lvl w:ilvl="2" w:tentative="1">
      <w:start w:val="1"/>
      <w:numFmt w:val="bullet"/>
      <w:lvlText w:val=""/>
      <w:lvlJc w:val="left"/>
      <w:pPr>
        <w:tabs>
          <w:tab w:val="num" w:pos="3216"/>
        </w:tabs>
        <w:ind w:left="3216" w:hanging="360"/>
      </w:pPr>
      <w:rPr>
        <w:rFonts w:ascii="Wingdings" w:hAnsi="Wingdings" w:hint="default"/>
      </w:rPr>
    </w:lvl>
    <w:lvl w:ilvl="3" w:tentative="1">
      <w:start w:val="1"/>
      <w:numFmt w:val="bullet"/>
      <w:lvlText w:val=""/>
      <w:lvlJc w:val="left"/>
      <w:pPr>
        <w:tabs>
          <w:tab w:val="num" w:pos="3936"/>
        </w:tabs>
        <w:ind w:left="3936" w:hanging="360"/>
      </w:pPr>
      <w:rPr>
        <w:rFonts w:ascii="Symbol" w:hAnsi="Symbol" w:hint="default"/>
      </w:rPr>
    </w:lvl>
    <w:lvl w:ilvl="4" w:tentative="1">
      <w:start w:val="1"/>
      <w:numFmt w:val="bullet"/>
      <w:lvlText w:val="o"/>
      <w:lvlJc w:val="left"/>
      <w:pPr>
        <w:tabs>
          <w:tab w:val="num" w:pos="4656"/>
        </w:tabs>
        <w:ind w:left="4656" w:hanging="360"/>
      </w:pPr>
      <w:rPr>
        <w:rFonts w:ascii="Courier New" w:hAnsi="Courier New" w:cs="Courier New" w:hint="default"/>
      </w:rPr>
    </w:lvl>
    <w:lvl w:ilvl="5" w:tentative="1">
      <w:start w:val="1"/>
      <w:numFmt w:val="bullet"/>
      <w:lvlText w:val=""/>
      <w:lvlJc w:val="left"/>
      <w:pPr>
        <w:tabs>
          <w:tab w:val="num" w:pos="5376"/>
        </w:tabs>
        <w:ind w:left="5376" w:hanging="360"/>
      </w:pPr>
      <w:rPr>
        <w:rFonts w:ascii="Wingdings" w:hAnsi="Wingdings" w:hint="default"/>
      </w:rPr>
    </w:lvl>
    <w:lvl w:ilvl="6" w:tentative="1">
      <w:start w:val="1"/>
      <w:numFmt w:val="bullet"/>
      <w:lvlText w:val=""/>
      <w:lvlJc w:val="left"/>
      <w:pPr>
        <w:tabs>
          <w:tab w:val="num" w:pos="6096"/>
        </w:tabs>
        <w:ind w:left="6096" w:hanging="360"/>
      </w:pPr>
      <w:rPr>
        <w:rFonts w:ascii="Symbol" w:hAnsi="Symbol" w:hint="default"/>
      </w:rPr>
    </w:lvl>
    <w:lvl w:ilvl="7" w:tentative="1">
      <w:start w:val="1"/>
      <w:numFmt w:val="bullet"/>
      <w:lvlText w:val="o"/>
      <w:lvlJc w:val="left"/>
      <w:pPr>
        <w:tabs>
          <w:tab w:val="num" w:pos="6816"/>
        </w:tabs>
        <w:ind w:left="6816" w:hanging="360"/>
      </w:pPr>
      <w:rPr>
        <w:rFonts w:ascii="Courier New" w:hAnsi="Courier New" w:cs="Courier New" w:hint="default"/>
      </w:rPr>
    </w:lvl>
    <w:lvl w:ilvl="8" w:tentative="1">
      <w:start w:val="1"/>
      <w:numFmt w:val="bullet"/>
      <w:lvlText w:val=""/>
      <w:lvlJc w:val="left"/>
      <w:pPr>
        <w:tabs>
          <w:tab w:val="num" w:pos="7536"/>
        </w:tabs>
        <w:ind w:left="7536" w:hanging="360"/>
      </w:pPr>
      <w:rPr>
        <w:rFonts w:ascii="Wingdings" w:hAnsi="Wingdings" w:hint="default"/>
      </w:rPr>
    </w:lvl>
  </w:abstractNum>
  <w:abstractNum w:abstractNumId="244">
    <w:nsid w:val="50FF1B7F"/>
    <w:multiLevelType w:val="hybridMultilevel"/>
    <w:tmpl w:val="80BE82BA"/>
    <w:lvl w:ilvl="0">
      <w:start w:val="43"/>
      <w:numFmt w:val="decimal"/>
      <w:lvlText w:val="%1."/>
      <w:lvlJc w:val="left"/>
      <w:pPr>
        <w:tabs>
          <w:tab w:val="num" w:pos="720"/>
        </w:tabs>
        <w:ind w:left="720" w:hanging="360"/>
      </w:pPr>
      <w:rPr>
        <w:rFonts w:hint="default"/>
        <w:b/>
      </w:rPr>
    </w:lvl>
    <w:lvl w:ilvl="1">
      <w:start w:val="1"/>
      <w:numFmt w:val="bullet"/>
      <w:lvlText w:val=""/>
      <w:lvlJc w:val="left"/>
      <w:pPr>
        <w:tabs>
          <w:tab w:val="num" w:pos="1440"/>
        </w:tabs>
        <w:ind w:left="1440" w:hanging="360"/>
      </w:pPr>
      <w:rPr>
        <w:rFonts w:ascii="Symbol" w:hAnsi="Symbol" w:hint="default"/>
        <w:b/>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45">
    <w:nsid w:val="512C57A0"/>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46">
    <w:nsid w:val="513E6F8E"/>
    <w:multiLevelType w:val="hybridMultilevel"/>
    <w:tmpl w:val="8F4A7230"/>
    <w:lvl w:ilvl="0">
      <w:start w:val="15"/>
      <w:numFmt w:val="decimal"/>
      <w:lvlText w:val="%1."/>
      <w:lvlJc w:val="left"/>
      <w:pPr>
        <w:tabs>
          <w:tab w:val="num" w:pos="900"/>
        </w:tabs>
        <w:ind w:left="900" w:hanging="360"/>
      </w:pPr>
      <w:rPr>
        <w:rFonts w:hint="default"/>
        <w:b/>
      </w:rPr>
    </w:lvl>
    <w:lvl w:ilvl="1" w:tentative="1">
      <w:start w:val="1"/>
      <w:numFmt w:val="lowerLetter"/>
      <w:lvlText w:val="%2."/>
      <w:lvlJc w:val="left"/>
      <w:pPr>
        <w:tabs>
          <w:tab w:val="num" w:pos="1620"/>
        </w:tabs>
        <w:ind w:left="1620" w:hanging="360"/>
      </w:pPr>
    </w:lvl>
    <w:lvl w:ilvl="2" w:tentative="1">
      <w:start w:val="1"/>
      <w:numFmt w:val="lowerRoman"/>
      <w:lvlText w:val="%3."/>
      <w:lvlJc w:val="right"/>
      <w:pPr>
        <w:tabs>
          <w:tab w:val="num" w:pos="2340"/>
        </w:tabs>
        <w:ind w:left="2340" w:hanging="180"/>
      </w:pPr>
    </w:lvl>
    <w:lvl w:ilvl="3" w:tentative="1">
      <w:start w:val="1"/>
      <w:numFmt w:val="decimal"/>
      <w:lvlText w:val="%4."/>
      <w:lvlJc w:val="left"/>
      <w:pPr>
        <w:tabs>
          <w:tab w:val="num" w:pos="3060"/>
        </w:tabs>
        <w:ind w:left="3060" w:hanging="360"/>
      </w:pPr>
    </w:lvl>
    <w:lvl w:ilvl="4" w:tentative="1">
      <w:start w:val="1"/>
      <w:numFmt w:val="lowerLetter"/>
      <w:lvlText w:val="%5."/>
      <w:lvlJc w:val="left"/>
      <w:pPr>
        <w:tabs>
          <w:tab w:val="num" w:pos="3780"/>
        </w:tabs>
        <w:ind w:left="3780" w:hanging="360"/>
      </w:pPr>
    </w:lvl>
    <w:lvl w:ilvl="5" w:tentative="1">
      <w:start w:val="1"/>
      <w:numFmt w:val="lowerRoman"/>
      <w:lvlText w:val="%6."/>
      <w:lvlJc w:val="right"/>
      <w:pPr>
        <w:tabs>
          <w:tab w:val="num" w:pos="4500"/>
        </w:tabs>
        <w:ind w:left="4500" w:hanging="180"/>
      </w:pPr>
    </w:lvl>
    <w:lvl w:ilvl="6" w:tentative="1">
      <w:start w:val="1"/>
      <w:numFmt w:val="decimal"/>
      <w:lvlText w:val="%7."/>
      <w:lvlJc w:val="left"/>
      <w:pPr>
        <w:tabs>
          <w:tab w:val="num" w:pos="5220"/>
        </w:tabs>
        <w:ind w:left="5220" w:hanging="360"/>
      </w:pPr>
    </w:lvl>
    <w:lvl w:ilvl="7" w:tentative="1">
      <w:start w:val="1"/>
      <w:numFmt w:val="lowerLetter"/>
      <w:lvlText w:val="%8."/>
      <w:lvlJc w:val="left"/>
      <w:pPr>
        <w:tabs>
          <w:tab w:val="num" w:pos="5940"/>
        </w:tabs>
        <w:ind w:left="5940" w:hanging="360"/>
      </w:pPr>
    </w:lvl>
    <w:lvl w:ilvl="8" w:tentative="1">
      <w:start w:val="1"/>
      <w:numFmt w:val="lowerRoman"/>
      <w:lvlText w:val="%9."/>
      <w:lvlJc w:val="right"/>
      <w:pPr>
        <w:tabs>
          <w:tab w:val="num" w:pos="6660"/>
        </w:tabs>
        <w:ind w:left="6660" w:hanging="180"/>
      </w:pPr>
    </w:lvl>
  </w:abstractNum>
  <w:abstractNum w:abstractNumId="247">
    <w:nsid w:val="51E2049D"/>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48">
    <w:nsid w:val="520E2079"/>
    <w:multiLevelType w:val="hybridMultilevel"/>
    <w:tmpl w:val="F6D4E8A4"/>
    <w:lvl w:ilvl="0">
      <w:start w:val="1"/>
      <w:numFmt w:val="bullet"/>
      <w:lvlText w:val=""/>
      <w:lvlJc w:val="left"/>
      <w:pPr>
        <w:tabs>
          <w:tab w:val="num" w:pos="1440"/>
        </w:tabs>
        <w:ind w:left="1440" w:hanging="360"/>
      </w:pPr>
      <w:rPr>
        <w:rFonts w:ascii="Symbol" w:hAnsi="Symbol" w:hint="default"/>
      </w:rPr>
    </w:lvl>
    <w:lvl w:ilvl="1" w:tentative="1">
      <w:start w:val="1"/>
      <w:numFmt w:val="bullet"/>
      <w:lvlText w:val="o"/>
      <w:lvlJc w:val="left"/>
      <w:pPr>
        <w:tabs>
          <w:tab w:val="num" w:pos="2160"/>
        </w:tabs>
        <w:ind w:left="2160" w:hanging="360"/>
      </w:pPr>
      <w:rPr>
        <w:rFonts w:ascii="Courier New" w:hAnsi="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249">
    <w:nsid w:val="52677BFD"/>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50">
    <w:nsid w:val="5289124E"/>
    <w:multiLevelType w:val="hybridMultilevel"/>
    <w:tmpl w:val="C05C02D0"/>
    <w:lvl w:ilvl="0">
      <w:start w:val="1"/>
      <w:numFmt w:val="decimal"/>
      <w:lvlText w:val="%1."/>
      <w:lvlJc w:val="left"/>
      <w:pPr>
        <w:tabs>
          <w:tab w:val="num" w:pos="810"/>
        </w:tabs>
        <w:ind w:left="810" w:hanging="450"/>
      </w:pPr>
      <w:rPr>
        <w:rFonts w:hint="default"/>
      </w:rPr>
    </w:lvl>
    <w:lvl w:ilvl="1">
      <w:start w:val="1"/>
      <w:numFmt w:val="lowerLetter"/>
      <w:lvlText w:val="%2)"/>
      <w:lvlJc w:val="left"/>
      <w:pPr>
        <w:tabs>
          <w:tab w:val="num" w:pos="1440"/>
        </w:tabs>
        <w:ind w:left="1440" w:hanging="360"/>
      </w:pPr>
      <w:rPr>
        <w:rFonts w:hint="default"/>
      </w:rPr>
    </w:lvl>
    <w:lvl w:ilvl="2">
      <w:start w:val="1"/>
      <w:numFmt w:val="decimal"/>
      <w:lvlText w:val="%3."/>
      <w:lvlJc w:val="left"/>
      <w:pPr>
        <w:tabs>
          <w:tab w:val="num" w:pos="2340"/>
        </w:tabs>
        <w:ind w:left="2340" w:hanging="360"/>
      </w:pPr>
      <w:rPr>
        <w:rFonts w:hint="default"/>
      </w:rPr>
    </w:lvl>
    <w:lvl w:ilvl="3">
      <w:start w:val="1"/>
      <w:numFmt w:val="decimal"/>
      <w:lvlText w:val="%4."/>
      <w:lvlJc w:val="left"/>
      <w:pPr>
        <w:tabs>
          <w:tab w:val="num" w:pos="2880"/>
        </w:tabs>
        <w:ind w:left="2880" w:hanging="360"/>
      </w:pPr>
      <w:rPr>
        <w:rFonts w:hint="default"/>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51">
    <w:nsid w:val="53105E41"/>
    <w:multiLevelType w:val="singleLevel"/>
    <w:tmpl w:val="8BFE315C"/>
    <w:lvl w:ilvl="0">
      <w:start w:val="1"/>
      <w:numFmt w:val="decimal"/>
      <w:lvlText w:val="%1."/>
      <w:lvlJc w:val="left"/>
      <w:pPr>
        <w:tabs>
          <w:tab w:val="num" w:pos="360"/>
        </w:tabs>
        <w:ind w:left="360" w:hanging="360"/>
      </w:pPr>
      <w:rPr>
        <w:rFonts w:ascii="Times New Roman" w:hAnsi="Times New Roman" w:hint="default"/>
        <w:b/>
        <w:i w:val="0"/>
        <w:sz w:val="22"/>
      </w:rPr>
    </w:lvl>
  </w:abstractNum>
  <w:abstractNum w:abstractNumId="252">
    <w:nsid w:val="531F078C"/>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53">
    <w:nsid w:val="53287F20"/>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54">
    <w:nsid w:val="538F6BD0"/>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55">
    <w:nsid w:val="53C20DB4"/>
    <w:multiLevelType w:val="hybridMultilevel"/>
    <w:tmpl w:val="D658AAD6"/>
    <w:lvl w:ilvl="0">
      <w:start w:val="1"/>
      <w:numFmt w:val="bullet"/>
      <w:lvlText w:val=""/>
      <w:lvlJc w:val="left"/>
      <w:pPr>
        <w:tabs>
          <w:tab w:val="num" w:pos="780"/>
        </w:tabs>
        <w:ind w:left="780" w:hanging="360"/>
      </w:pPr>
      <w:rPr>
        <w:rFonts w:ascii="Symbol" w:hAnsi="Symbol" w:hint="default"/>
      </w:rPr>
    </w:lvl>
    <w:lvl w:ilvl="1" w:tentative="1">
      <w:start w:val="1"/>
      <w:numFmt w:val="bullet"/>
      <w:lvlText w:val="o"/>
      <w:lvlJc w:val="left"/>
      <w:pPr>
        <w:tabs>
          <w:tab w:val="num" w:pos="1500"/>
        </w:tabs>
        <w:ind w:left="1500" w:hanging="360"/>
      </w:pPr>
      <w:rPr>
        <w:rFonts w:ascii="Courier New" w:hAnsi="Courier New" w:cs="Courier New" w:hint="default"/>
      </w:rPr>
    </w:lvl>
    <w:lvl w:ilvl="2" w:tentative="1">
      <w:start w:val="1"/>
      <w:numFmt w:val="bullet"/>
      <w:lvlText w:val=""/>
      <w:lvlJc w:val="left"/>
      <w:pPr>
        <w:tabs>
          <w:tab w:val="num" w:pos="2220"/>
        </w:tabs>
        <w:ind w:left="2220" w:hanging="360"/>
      </w:pPr>
      <w:rPr>
        <w:rFonts w:ascii="Wingdings" w:hAnsi="Wingdings" w:hint="default"/>
      </w:rPr>
    </w:lvl>
    <w:lvl w:ilvl="3" w:tentative="1">
      <w:start w:val="1"/>
      <w:numFmt w:val="bullet"/>
      <w:lvlText w:val=""/>
      <w:lvlJc w:val="left"/>
      <w:pPr>
        <w:tabs>
          <w:tab w:val="num" w:pos="2940"/>
        </w:tabs>
        <w:ind w:left="2940" w:hanging="360"/>
      </w:pPr>
      <w:rPr>
        <w:rFonts w:ascii="Symbol" w:hAnsi="Symbol" w:hint="default"/>
      </w:rPr>
    </w:lvl>
    <w:lvl w:ilvl="4" w:tentative="1">
      <w:start w:val="1"/>
      <w:numFmt w:val="bullet"/>
      <w:lvlText w:val="o"/>
      <w:lvlJc w:val="left"/>
      <w:pPr>
        <w:tabs>
          <w:tab w:val="num" w:pos="3660"/>
        </w:tabs>
        <w:ind w:left="3660" w:hanging="360"/>
      </w:pPr>
      <w:rPr>
        <w:rFonts w:ascii="Courier New" w:hAnsi="Courier New" w:cs="Courier New" w:hint="default"/>
      </w:rPr>
    </w:lvl>
    <w:lvl w:ilvl="5" w:tentative="1">
      <w:start w:val="1"/>
      <w:numFmt w:val="bullet"/>
      <w:lvlText w:val=""/>
      <w:lvlJc w:val="left"/>
      <w:pPr>
        <w:tabs>
          <w:tab w:val="num" w:pos="4380"/>
        </w:tabs>
        <w:ind w:left="4380" w:hanging="360"/>
      </w:pPr>
      <w:rPr>
        <w:rFonts w:ascii="Wingdings" w:hAnsi="Wingdings" w:hint="default"/>
      </w:rPr>
    </w:lvl>
    <w:lvl w:ilvl="6" w:tentative="1">
      <w:start w:val="1"/>
      <w:numFmt w:val="bullet"/>
      <w:lvlText w:val=""/>
      <w:lvlJc w:val="left"/>
      <w:pPr>
        <w:tabs>
          <w:tab w:val="num" w:pos="5100"/>
        </w:tabs>
        <w:ind w:left="5100" w:hanging="360"/>
      </w:pPr>
      <w:rPr>
        <w:rFonts w:ascii="Symbol" w:hAnsi="Symbol" w:hint="default"/>
      </w:rPr>
    </w:lvl>
    <w:lvl w:ilvl="7" w:tentative="1">
      <w:start w:val="1"/>
      <w:numFmt w:val="bullet"/>
      <w:lvlText w:val="o"/>
      <w:lvlJc w:val="left"/>
      <w:pPr>
        <w:tabs>
          <w:tab w:val="num" w:pos="5820"/>
        </w:tabs>
        <w:ind w:left="5820" w:hanging="360"/>
      </w:pPr>
      <w:rPr>
        <w:rFonts w:ascii="Courier New" w:hAnsi="Courier New" w:cs="Courier New" w:hint="default"/>
      </w:rPr>
    </w:lvl>
    <w:lvl w:ilvl="8" w:tentative="1">
      <w:start w:val="1"/>
      <w:numFmt w:val="bullet"/>
      <w:lvlText w:val=""/>
      <w:lvlJc w:val="left"/>
      <w:pPr>
        <w:tabs>
          <w:tab w:val="num" w:pos="6540"/>
        </w:tabs>
        <w:ind w:left="6540" w:hanging="360"/>
      </w:pPr>
      <w:rPr>
        <w:rFonts w:ascii="Wingdings" w:hAnsi="Wingdings" w:hint="default"/>
      </w:rPr>
    </w:lvl>
  </w:abstractNum>
  <w:abstractNum w:abstractNumId="256">
    <w:nsid w:val="53D13ED6"/>
    <w:multiLevelType w:val="hybridMultilevel"/>
    <w:tmpl w:val="4EF451D2"/>
    <w:lvl w:ilvl="0">
      <w:start w:val="1"/>
      <w:numFmt w:val="bullet"/>
      <w:lvlText w:val=""/>
      <w:lvlJc w:val="left"/>
      <w:pPr>
        <w:tabs>
          <w:tab w:val="num" w:pos="2340"/>
        </w:tabs>
        <w:ind w:left="2340" w:hanging="360"/>
      </w:pPr>
      <w:rPr>
        <w:rFonts w:ascii="Symbol" w:hAnsi="Symbol" w:hint="default"/>
      </w:rPr>
    </w:lvl>
    <w:lvl w:ilvl="1">
      <w:start w:val="1"/>
      <w:numFmt w:val="bullet"/>
      <w:lvlText w:val="o"/>
      <w:lvlJc w:val="left"/>
      <w:pPr>
        <w:tabs>
          <w:tab w:val="num" w:pos="3060"/>
        </w:tabs>
        <w:ind w:left="3060" w:hanging="360"/>
      </w:pPr>
      <w:rPr>
        <w:rFonts w:ascii="Courier New" w:hAnsi="Courier New" w:cs="Courier New" w:hint="default"/>
      </w:rPr>
    </w:lvl>
    <w:lvl w:ilvl="2" w:tentative="1">
      <w:start w:val="1"/>
      <w:numFmt w:val="bullet"/>
      <w:lvlText w:val=""/>
      <w:lvlJc w:val="left"/>
      <w:pPr>
        <w:tabs>
          <w:tab w:val="num" w:pos="3780"/>
        </w:tabs>
        <w:ind w:left="3780" w:hanging="360"/>
      </w:pPr>
      <w:rPr>
        <w:rFonts w:ascii="Wingdings" w:hAnsi="Wingdings" w:hint="default"/>
      </w:rPr>
    </w:lvl>
    <w:lvl w:ilvl="3" w:tentative="1">
      <w:start w:val="1"/>
      <w:numFmt w:val="bullet"/>
      <w:lvlText w:val=""/>
      <w:lvlJc w:val="left"/>
      <w:pPr>
        <w:tabs>
          <w:tab w:val="num" w:pos="4500"/>
        </w:tabs>
        <w:ind w:left="4500" w:hanging="360"/>
      </w:pPr>
      <w:rPr>
        <w:rFonts w:ascii="Symbol" w:hAnsi="Symbol" w:hint="default"/>
      </w:rPr>
    </w:lvl>
    <w:lvl w:ilvl="4" w:tentative="1">
      <w:start w:val="1"/>
      <w:numFmt w:val="bullet"/>
      <w:lvlText w:val="o"/>
      <w:lvlJc w:val="left"/>
      <w:pPr>
        <w:tabs>
          <w:tab w:val="num" w:pos="5220"/>
        </w:tabs>
        <w:ind w:left="5220" w:hanging="360"/>
      </w:pPr>
      <w:rPr>
        <w:rFonts w:ascii="Courier New" w:hAnsi="Courier New" w:cs="Courier New" w:hint="default"/>
      </w:rPr>
    </w:lvl>
    <w:lvl w:ilvl="5" w:tentative="1">
      <w:start w:val="1"/>
      <w:numFmt w:val="bullet"/>
      <w:lvlText w:val=""/>
      <w:lvlJc w:val="left"/>
      <w:pPr>
        <w:tabs>
          <w:tab w:val="num" w:pos="5940"/>
        </w:tabs>
        <w:ind w:left="5940" w:hanging="360"/>
      </w:pPr>
      <w:rPr>
        <w:rFonts w:ascii="Wingdings" w:hAnsi="Wingdings" w:hint="default"/>
      </w:rPr>
    </w:lvl>
    <w:lvl w:ilvl="6" w:tentative="1">
      <w:start w:val="1"/>
      <w:numFmt w:val="bullet"/>
      <w:lvlText w:val=""/>
      <w:lvlJc w:val="left"/>
      <w:pPr>
        <w:tabs>
          <w:tab w:val="num" w:pos="6660"/>
        </w:tabs>
        <w:ind w:left="6660" w:hanging="360"/>
      </w:pPr>
      <w:rPr>
        <w:rFonts w:ascii="Symbol" w:hAnsi="Symbol" w:hint="default"/>
      </w:rPr>
    </w:lvl>
    <w:lvl w:ilvl="7" w:tentative="1">
      <w:start w:val="1"/>
      <w:numFmt w:val="bullet"/>
      <w:lvlText w:val="o"/>
      <w:lvlJc w:val="left"/>
      <w:pPr>
        <w:tabs>
          <w:tab w:val="num" w:pos="7380"/>
        </w:tabs>
        <w:ind w:left="7380" w:hanging="360"/>
      </w:pPr>
      <w:rPr>
        <w:rFonts w:ascii="Courier New" w:hAnsi="Courier New" w:cs="Courier New" w:hint="default"/>
      </w:rPr>
    </w:lvl>
    <w:lvl w:ilvl="8" w:tentative="1">
      <w:start w:val="1"/>
      <w:numFmt w:val="bullet"/>
      <w:lvlText w:val=""/>
      <w:lvlJc w:val="left"/>
      <w:pPr>
        <w:tabs>
          <w:tab w:val="num" w:pos="8100"/>
        </w:tabs>
        <w:ind w:left="8100" w:hanging="360"/>
      </w:pPr>
      <w:rPr>
        <w:rFonts w:ascii="Wingdings" w:hAnsi="Wingdings" w:hint="default"/>
      </w:rPr>
    </w:lvl>
  </w:abstractNum>
  <w:abstractNum w:abstractNumId="257">
    <w:nsid w:val="542004B5"/>
    <w:multiLevelType w:val="hybridMultilevel"/>
    <w:tmpl w:val="B138569A"/>
    <w:lvl w:ilvl="0">
      <w:start w:val="1"/>
      <w:numFmt w:val="decimal"/>
      <w:lvlText w:val="%1."/>
      <w:lvlJc w:val="left"/>
      <w:pPr>
        <w:tabs>
          <w:tab w:val="num" w:pos="1080"/>
        </w:tabs>
        <w:ind w:left="1080" w:hanging="36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258">
    <w:nsid w:val="543F3B59"/>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59">
    <w:nsid w:val="545A50F4"/>
    <w:multiLevelType w:val="hybridMultilevel"/>
    <w:tmpl w:val="7004D0FC"/>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60">
    <w:nsid w:val="54755251"/>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61">
    <w:nsid w:val="54C97CB0"/>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62">
    <w:nsid w:val="54D36669"/>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63">
    <w:nsid w:val="55283221"/>
    <w:multiLevelType w:val="hybridMultilevel"/>
    <w:tmpl w:val="C04CD534"/>
    <w:lvl w:ilvl="0">
      <w:start w:val="1"/>
      <w:numFmt w:val="bullet"/>
      <w:lvlText w:val=""/>
      <w:lvlJc w:val="left"/>
      <w:pPr>
        <w:tabs>
          <w:tab w:val="num" w:pos="1428"/>
        </w:tabs>
        <w:ind w:left="1428" w:hanging="360"/>
      </w:pPr>
      <w:rPr>
        <w:rFonts w:ascii="Symbol" w:hAnsi="Symbol" w:hint="default"/>
      </w:rPr>
    </w:lvl>
    <w:lvl w:ilvl="1" w:tentative="1">
      <w:start w:val="1"/>
      <w:numFmt w:val="bullet"/>
      <w:lvlText w:val="o"/>
      <w:lvlJc w:val="left"/>
      <w:pPr>
        <w:tabs>
          <w:tab w:val="num" w:pos="2148"/>
        </w:tabs>
        <w:ind w:left="2148" w:hanging="360"/>
      </w:pPr>
      <w:rPr>
        <w:rFonts w:ascii="Courier New" w:hAnsi="Courier New" w:cs="Courier New" w:hint="default"/>
      </w:rPr>
    </w:lvl>
    <w:lvl w:ilvl="2" w:tentative="1">
      <w:start w:val="1"/>
      <w:numFmt w:val="bullet"/>
      <w:lvlText w:val=""/>
      <w:lvlJc w:val="left"/>
      <w:pPr>
        <w:tabs>
          <w:tab w:val="num" w:pos="2868"/>
        </w:tabs>
        <w:ind w:left="2868" w:hanging="360"/>
      </w:pPr>
      <w:rPr>
        <w:rFonts w:ascii="Wingdings" w:hAnsi="Wingdings" w:hint="default"/>
      </w:rPr>
    </w:lvl>
    <w:lvl w:ilvl="3" w:tentative="1">
      <w:start w:val="1"/>
      <w:numFmt w:val="bullet"/>
      <w:lvlText w:val=""/>
      <w:lvlJc w:val="left"/>
      <w:pPr>
        <w:tabs>
          <w:tab w:val="num" w:pos="3588"/>
        </w:tabs>
        <w:ind w:left="3588" w:hanging="360"/>
      </w:pPr>
      <w:rPr>
        <w:rFonts w:ascii="Symbol" w:hAnsi="Symbol" w:hint="default"/>
      </w:rPr>
    </w:lvl>
    <w:lvl w:ilvl="4" w:tentative="1">
      <w:start w:val="1"/>
      <w:numFmt w:val="bullet"/>
      <w:lvlText w:val="o"/>
      <w:lvlJc w:val="left"/>
      <w:pPr>
        <w:tabs>
          <w:tab w:val="num" w:pos="4308"/>
        </w:tabs>
        <w:ind w:left="4308" w:hanging="360"/>
      </w:pPr>
      <w:rPr>
        <w:rFonts w:ascii="Courier New" w:hAnsi="Courier New" w:cs="Courier New" w:hint="default"/>
      </w:rPr>
    </w:lvl>
    <w:lvl w:ilvl="5" w:tentative="1">
      <w:start w:val="1"/>
      <w:numFmt w:val="bullet"/>
      <w:lvlText w:val=""/>
      <w:lvlJc w:val="left"/>
      <w:pPr>
        <w:tabs>
          <w:tab w:val="num" w:pos="5028"/>
        </w:tabs>
        <w:ind w:left="5028" w:hanging="360"/>
      </w:pPr>
      <w:rPr>
        <w:rFonts w:ascii="Wingdings" w:hAnsi="Wingdings" w:hint="default"/>
      </w:rPr>
    </w:lvl>
    <w:lvl w:ilvl="6" w:tentative="1">
      <w:start w:val="1"/>
      <w:numFmt w:val="bullet"/>
      <w:lvlText w:val=""/>
      <w:lvlJc w:val="left"/>
      <w:pPr>
        <w:tabs>
          <w:tab w:val="num" w:pos="5748"/>
        </w:tabs>
        <w:ind w:left="5748" w:hanging="360"/>
      </w:pPr>
      <w:rPr>
        <w:rFonts w:ascii="Symbol" w:hAnsi="Symbol" w:hint="default"/>
      </w:rPr>
    </w:lvl>
    <w:lvl w:ilvl="7" w:tentative="1">
      <w:start w:val="1"/>
      <w:numFmt w:val="bullet"/>
      <w:lvlText w:val="o"/>
      <w:lvlJc w:val="left"/>
      <w:pPr>
        <w:tabs>
          <w:tab w:val="num" w:pos="6468"/>
        </w:tabs>
        <w:ind w:left="6468" w:hanging="360"/>
      </w:pPr>
      <w:rPr>
        <w:rFonts w:ascii="Courier New" w:hAnsi="Courier New" w:cs="Courier New" w:hint="default"/>
      </w:rPr>
    </w:lvl>
    <w:lvl w:ilvl="8" w:tentative="1">
      <w:start w:val="1"/>
      <w:numFmt w:val="bullet"/>
      <w:lvlText w:val=""/>
      <w:lvlJc w:val="left"/>
      <w:pPr>
        <w:tabs>
          <w:tab w:val="num" w:pos="7188"/>
        </w:tabs>
        <w:ind w:left="7188" w:hanging="360"/>
      </w:pPr>
      <w:rPr>
        <w:rFonts w:ascii="Wingdings" w:hAnsi="Wingdings" w:hint="default"/>
      </w:rPr>
    </w:lvl>
  </w:abstractNum>
  <w:abstractNum w:abstractNumId="264">
    <w:nsid w:val="55974898"/>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65">
    <w:nsid w:val="559D3C3D"/>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66">
    <w:nsid w:val="565B1DA0"/>
    <w:multiLevelType w:val="hybridMultilevel"/>
    <w:tmpl w:val="B78267E4"/>
    <w:lvl w:ilvl="0">
      <w:start w:val="13"/>
      <w:numFmt w:val="decimal"/>
      <w:lvlText w:val="%1."/>
      <w:lvlJc w:val="left"/>
      <w:pPr>
        <w:tabs>
          <w:tab w:val="num" w:pos="900"/>
        </w:tabs>
        <w:ind w:left="900" w:hanging="360"/>
      </w:pPr>
      <w:rPr>
        <w:rFonts w:hint="default"/>
        <w:b/>
      </w:rPr>
    </w:lvl>
    <w:lvl w:ilvl="1">
      <w:start w:val="1"/>
      <w:numFmt w:val="bullet"/>
      <w:lvlText w:val=""/>
      <w:lvlJc w:val="left"/>
      <w:pPr>
        <w:tabs>
          <w:tab w:val="num" w:pos="1620"/>
        </w:tabs>
        <w:ind w:left="1620" w:hanging="360"/>
      </w:pPr>
      <w:rPr>
        <w:rFonts w:ascii="Symbol" w:hAnsi="Symbol" w:hint="default"/>
        <w:b/>
      </w:rPr>
    </w:lvl>
    <w:lvl w:ilvl="2">
      <w:start w:val="18"/>
      <w:numFmt w:val="decimal"/>
      <w:lvlText w:val="%3."/>
      <w:lvlJc w:val="left"/>
      <w:pPr>
        <w:tabs>
          <w:tab w:val="num" w:pos="2580"/>
        </w:tabs>
        <w:ind w:left="2580" w:hanging="420"/>
      </w:pPr>
      <w:rPr>
        <w:rFonts w:hint="default"/>
        <w:b/>
        <w:u w:val="none"/>
      </w:rPr>
    </w:lvl>
    <w:lvl w:ilvl="3" w:tentative="1">
      <w:start w:val="1"/>
      <w:numFmt w:val="decimal"/>
      <w:lvlText w:val="%4."/>
      <w:lvlJc w:val="left"/>
      <w:pPr>
        <w:tabs>
          <w:tab w:val="num" w:pos="3060"/>
        </w:tabs>
        <w:ind w:left="3060" w:hanging="360"/>
      </w:pPr>
    </w:lvl>
    <w:lvl w:ilvl="4" w:tentative="1">
      <w:start w:val="1"/>
      <w:numFmt w:val="lowerLetter"/>
      <w:lvlText w:val="%5."/>
      <w:lvlJc w:val="left"/>
      <w:pPr>
        <w:tabs>
          <w:tab w:val="num" w:pos="3780"/>
        </w:tabs>
        <w:ind w:left="3780" w:hanging="360"/>
      </w:pPr>
    </w:lvl>
    <w:lvl w:ilvl="5" w:tentative="1">
      <w:start w:val="1"/>
      <w:numFmt w:val="lowerRoman"/>
      <w:lvlText w:val="%6."/>
      <w:lvlJc w:val="right"/>
      <w:pPr>
        <w:tabs>
          <w:tab w:val="num" w:pos="4500"/>
        </w:tabs>
        <w:ind w:left="4500" w:hanging="180"/>
      </w:pPr>
    </w:lvl>
    <w:lvl w:ilvl="6" w:tentative="1">
      <w:start w:val="1"/>
      <w:numFmt w:val="decimal"/>
      <w:lvlText w:val="%7."/>
      <w:lvlJc w:val="left"/>
      <w:pPr>
        <w:tabs>
          <w:tab w:val="num" w:pos="5220"/>
        </w:tabs>
        <w:ind w:left="5220" w:hanging="360"/>
      </w:pPr>
    </w:lvl>
    <w:lvl w:ilvl="7" w:tentative="1">
      <w:start w:val="1"/>
      <w:numFmt w:val="lowerLetter"/>
      <w:lvlText w:val="%8."/>
      <w:lvlJc w:val="left"/>
      <w:pPr>
        <w:tabs>
          <w:tab w:val="num" w:pos="5940"/>
        </w:tabs>
        <w:ind w:left="5940" w:hanging="360"/>
      </w:pPr>
    </w:lvl>
    <w:lvl w:ilvl="8" w:tentative="1">
      <w:start w:val="1"/>
      <w:numFmt w:val="lowerRoman"/>
      <w:lvlText w:val="%9."/>
      <w:lvlJc w:val="right"/>
      <w:pPr>
        <w:tabs>
          <w:tab w:val="num" w:pos="6660"/>
        </w:tabs>
        <w:ind w:left="6660" w:hanging="180"/>
      </w:pPr>
    </w:lvl>
  </w:abstractNum>
  <w:abstractNum w:abstractNumId="267">
    <w:nsid w:val="56AF3EFE"/>
    <w:multiLevelType w:val="hybridMultilevel"/>
    <w:tmpl w:val="AB66F42E"/>
    <w:lvl w:ilvl="0">
      <w:start w:val="1"/>
      <w:numFmt w:val="bullet"/>
      <w:lvlText w:val="–"/>
      <w:lvlJc w:val="left"/>
      <w:pPr>
        <w:tabs>
          <w:tab w:val="num" w:pos="567"/>
        </w:tabs>
        <w:ind w:left="567" w:hanging="567"/>
      </w:pPr>
      <w:rPr>
        <w:rFonts w:asci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68">
    <w:nsid w:val="57366AC0"/>
    <w:multiLevelType w:val="hybridMultilevel"/>
    <w:tmpl w:val="CEB8FBD0"/>
    <w:lvl w:ilvl="0">
      <w:start w:val="1"/>
      <w:numFmt w:val="decimal"/>
      <w:lvlText w:val="%1."/>
      <w:lvlJc w:val="left"/>
      <w:pPr>
        <w:tabs>
          <w:tab w:val="num" w:pos="1068"/>
        </w:tabs>
        <w:ind w:left="1068" w:hanging="360"/>
      </w:pPr>
      <w:rPr>
        <w:rFonts w:hint="default"/>
      </w:rPr>
    </w:lvl>
    <w:lvl w:ilvl="1" w:tentative="1">
      <w:start w:val="1"/>
      <w:numFmt w:val="lowerLetter"/>
      <w:lvlText w:val="%2."/>
      <w:lvlJc w:val="left"/>
      <w:pPr>
        <w:tabs>
          <w:tab w:val="num" w:pos="1788"/>
        </w:tabs>
        <w:ind w:left="1788" w:hanging="360"/>
      </w:pPr>
    </w:lvl>
    <w:lvl w:ilvl="2" w:tentative="1">
      <w:start w:val="1"/>
      <w:numFmt w:val="lowerRoman"/>
      <w:lvlText w:val="%3."/>
      <w:lvlJc w:val="right"/>
      <w:pPr>
        <w:tabs>
          <w:tab w:val="num" w:pos="2508"/>
        </w:tabs>
        <w:ind w:left="2508" w:hanging="180"/>
      </w:pPr>
    </w:lvl>
    <w:lvl w:ilvl="3" w:tentative="1">
      <w:start w:val="1"/>
      <w:numFmt w:val="decimal"/>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Roman"/>
      <w:lvlText w:val="%6."/>
      <w:lvlJc w:val="right"/>
      <w:pPr>
        <w:tabs>
          <w:tab w:val="num" w:pos="4668"/>
        </w:tabs>
        <w:ind w:left="4668" w:hanging="180"/>
      </w:pPr>
    </w:lvl>
    <w:lvl w:ilvl="6" w:tentative="1">
      <w:start w:val="1"/>
      <w:numFmt w:val="decimal"/>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Roman"/>
      <w:lvlText w:val="%9."/>
      <w:lvlJc w:val="right"/>
      <w:pPr>
        <w:tabs>
          <w:tab w:val="num" w:pos="6828"/>
        </w:tabs>
        <w:ind w:left="6828" w:hanging="180"/>
      </w:pPr>
    </w:lvl>
  </w:abstractNum>
  <w:abstractNum w:abstractNumId="269">
    <w:nsid w:val="576C08B1"/>
    <w:multiLevelType w:val="hybridMultilevel"/>
    <w:tmpl w:val="3526659E"/>
    <w:lvl w:ilvl="0">
      <w:start w:val="1"/>
      <w:numFmt w:val="decimal"/>
      <w:lvlText w:val="%1."/>
      <w:lvlJc w:val="left"/>
      <w:pPr>
        <w:tabs>
          <w:tab w:val="num" w:pos="360"/>
        </w:tabs>
        <w:ind w:left="360" w:hanging="360"/>
      </w:pPr>
      <w:rPr>
        <w:rFonts w:hint="default"/>
      </w:rPr>
    </w:lvl>
    <w:lvl w:ilvl="1" w:tentative="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270">
    <w:nsid w:val="57787150"/>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71">
    <w:nsid w:val="579A7A20"/>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72">
    <w:nsid w:val="57F21D47"/>
    <w:multiLevelType w:val="singleLevel"/>
    <w:tmpl w:val="D42078B2"/>
    <w:lvl w:ilvl="0">
      <w:start w:val="7"/>
      <w:numFmt w:val="decimal"/>
      <w:lvlText w:val="%1."/>
      <w:lvlJc w:val="left"/>
      <w:pPr>
        <w:tabs>
          <w:tab w:val="num" w:pos="360"/>
        </w:tabs>
        <w:ind w:left="360" w:hanging="360"/>
      </w:pPr>
      <w:rPr>
        <w:b/>
        <w:i w:val="0"/>
      </w:rPr>
    </w:lvl>
  </w:abstractNum>
  <w:abstractNum w:abstractNumId="273">
    <w:nsid w:val="582132EC"/>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74">
    <w:nsid w:val="58713D16"/>
    <w:multiLevelType w:val="hybridMultilevel"/>
    <w:tmpl w:val="5F26A780"/>
    <w:lvl w:ilvl="0">
      <w:start w:val="1"/>
      <w:numFmt w:val="bullet"/>
      <w:lvlText w:val=""/>
      <w:lvlJc w:val="left"/>
      <w:pPr>
        <w:tabs>
          <w:tab w:val="num" w:pos="1440"/>
        </w:tabs>
        <w:ind w:left="1440" w:hanging="360"/>
      </w:pPr>
      <w:rPr>
        <w:rFonts w:ascii="Symbol" w:hAnsi="Symbol" w:hint="default"/>
      </w:rPr>
    </w:lvl>
    <w:lvl w:ilvl="1" w:tentative="1">
      <w:start w:val="1"/>
      <w:numFmt w:val="bullet"/>
      <w:lvlText w:val="o"/>
      <w:lvlJc w:val="left"/>
      <w:pPr>
        <w:tabs>
          <w:tab w:val="num" w:pos="2160"/>
        </w:tabs>
        <w:ind w:left="2160" w:hanging="360"/>
      </w:pPr>
      <w:rPr>
        <w:rFonts w:ascii="Courier New" w:hAnsi="Courier New" w:cs="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cs="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cs="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275">
    <w:nsid w:val="58A632A2"/>
    <w:multiLevelType w:val="hybridMultilevel"/>
    <w:tmpl w:val="BFDCFB04"/>
    <w:lvl w:ilvl="0">
      <w:start w:val="1"/>
      <w:numFmt w:val="decimal"/>
      <w:lvlText w:val="%1."/>
      <w:lvlJc w:val="left"/>
      <w:pPr>
        <w:tabs>
          <w:tab w:val="num" w:pos="1520"/>
        </w:tabs>
        <w:ind w:left="1520" w:hanging="800"/>
      </w:pPr>
      <w:rPr>
        <w:rFonts w:hint="default"/>
      </w:rPr>
    </w:lvl>
    <w:lvl w:ilvl="1">
      <w:start w:val="1"/>
      <w:numFmt w:val="upperRoman"/>
      <w:lvlText w:val="%2."/>
      <w:lvlJc w:val="left"/>
      <w:pPr>
        <w:tabs>
          <w:tab w:val="num" w:pos="2160"/>
        </w:tabs>
        <w:ind w:left="2160" w:hanging="720"/>
      </w:pPr>
      <w:rPr>
        <w:rFonts w:ascii="Times" w:hAnsi="Times" w:hint="default"/>
      </w:rPr>
    </w:lvl>
    <w:lvl w:ilvl="2">
      <w:start w:val="3"/>
      <w:numFmt w:val="bullet"/>
      <w:lvlText w:val="-"/>
      <w:lvlJc w:val="left"/>
      <w:pPr>
        <w:tabs>
          <w:tab w:val="num" w:pos="2700"/>
        </w:tabs>
        <w:ind w:left="2700" w:hanging="360"/>
      </w:pPr>
      <w:rPr>
        <w:rFonts w:ascii="Times New Roman" w:eastAsia="Times" w:hAnsi="Times New Roman" w:hint="default"/>
      </w:rPr>
    </w:lvl>
    <w:lvl w:ilvl="3">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276">
    <w:nsid w:val="58AD3660"/>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77">
    <w:nsid w:val="597062E5"/>
    <w:multiLevelType w:val="hybridMultilevel"/>
    <w:tmpl w:val="626AF4D6"/>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cs="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278">
    <w:nsid w:val="59B25A1E"/>
    <w:multiLevelType w:val="multilevel"/>
    <w:tmpl w:val="BF269B02"/>
    <w:lvl w:ilvl="0">
      <w:start w:val="1"/>
      <w:numFmt w:val="bullet"/>
      <w:lvlText w:val=""/>
      <w:lvlJc w:val="left"/>
      <w:pPr>
        <w:tabs>
          <w:tab w:val="num" w:pos="900"/>
        </w:tabs>
        <w:ind w:left="900" w:hanging="360"/>
      </w:pPr>
      <w:rPr>
        <w:rFonts w:ascii="Symbol" w:hAnsi="Symbol" w:hint="default"/>
      </w:rPr>
    </w:lvl>
    <w:lvl w:ilvl="1">
      <w:start w:val="1"/>
      <w:numFmt w:val="bullet"/>
      <w:lvlText w:val="o"/>
      <w:lvlJc w:val="left"/>
      <w:pPr>
        <w:tabs>
          <w:tab w:val="num" w:pos="1620"/>
        </w:tabs>
        <w:ind w:left="1620" w:hanging="360"/>
      </w:pPr>
      <w:rPr>
        <w:rFonts w:ascii="Courier New" w:hAnsi="Courier New" w:cs="Courier New" w:hint="default"/>
      </w:rPr>
    </w:lvl>
    <w:lvl w:ilvl="2">
      <w:start w:val="1"/>
      <w:numFmt w:val="bullet"/>
      <w:lvlText w:val=""/>
      <w:lvlJc w:val="left"/>
      <w:pPr>
        <w:tabs>
          <w:tab w:val="num" w:pos="2340"/>
        </w:tabs>
        <w:ind w:left="2340" w:hanging="360"/>
      </w:pPr>
      <w:rPr>
        <w:rFonts w:ascii="Wingdings" w:hAnsi="Wingdings" w:hint="default"/>
      </w:rPr>
    </w:lvl>
    <w:lvl w:ilvl="3">
      <w:start w:val="1"/>
      <w:numFmt w:val="bullet"/>
      <w:lvlText w:val=""/>
      <w:lvlJc w:val="left"/>
      <w:pPr>
        <w:tabs>
          <w:tab w:val="num" w:pos="3060"/>
        </w:tabs>
        <w:ind w:left="3060" w:hanging="360"/>
      </w:pPr>
      <w:rPr>
        <w:rFonts w:ascii="Symbol" w:hAnsi="Symbol" w:hint="default"/>
      </w:rPr>
    </w:lvl>
    <w:lvl w:ilvl="4">
      <w:start w:val="1"/>
      <w:numFmt w:val="bullet"/>
      <w:lvlText w:val="o"/>
      <w:lvlJc w:val="left"/>
      <w:pPr>
        <w:tabs>
          <w:tab w:val="num" w:pos="3780"/>
        </w:tabs>
        <w:ind w:left="3780" w:hanging="360"/>
      </w:pPr>
      <w:rPr>
        <w:rFonts w:ascii="Courier New" w:hAnsi="Courier New" w:cs="Courier New" w:hint="default"/>
      </w:rPr>
    </w:lvl>
    <w:lvl w:ilvl="5">
      <w:start w:val="1"/>
      <w:numFmt w:val="bullet"/>
      <w:lvlText w:val=""/>
      <w:lvlJc w:val="left"/>
      <w:pPr>
        <w:tabs>
          <w:tab w:val="num" w:pos="4500"/>
        </w:tabs>
        <w:ind w:left="4500" w:hanging="360"/>
      </w:pPr>
      <w:rPr>
        <w:rFonts w:ascii="Wingdings" w:hAnsi="Wingdings" w:hint="default"/>
      </w:rPr>
    </w:lvl>
    <w:lvl w:ilvl="6">
      <w:start w:val="1"/>
      <w:numFmt w:val="bullet"/>
      <w:lvlText w:val=""/>
      <w:lvlJc w:val="left"/>
      <w:pPr>
        <w:tabs>
          <w:tab w:val="num" w:pos="5220"/>
        </w:tabs>
        <w:ind w:left="5220" w:hanging="360"/>
      </w:pPr>
      <w:rPr>
        <w:rFonts w:ascii="Symbol" w:hAnsi="Symbol" w:hint="default"/>
      </w:rPr>
    </w:lvl>
    <w:lvl w:ilvl="7">
      <w:start w:val="1"/>
      <w:numFmt w:val="bullet"/>
      <w:lvlText w:val="o"/>
      <w:lvlJc w:val="left"/>
      <w:pPr>
        <w:tabs>
          <w:tab w:val="num" w:pos="5940"/>
        </w:tabs>
        <w:ind w:left="5940" w:hanging="360"/>
      </w:pPr>
      <w:rPr>
        <w:rFonts w:ascii="Courier New" w:hAnsi="Courier New" w:cs="Courier New" w:hint="default"/>
      </w:rPr>
    </w:lvl>
    <w:lvl w:ilvl="8">
      <w:start w:val="1"/>
      <w:numFmt w:val="bullet"/>
      <w:lvlText w:val=""/>
      <w:lvlJc w:val="left"/>
      <w:pPr>
        <w:tabs>
          <w:tab w:val="num" w:pos="6660"/>
        </w:tabs>
        <w:ind w:left="6660" w:hanging="360"/>
      </w:pPr>
      <w:rPr>
        <w:rFonts w:ascii="Wingdings" w:hAnsi="Wingdings" w:hint="default"/>
      </w:rPr>
    </w:lvl>
  </w:abstractNum>
  <w:abstractNum w:abstractNumId="279">
    <w:nsid w:val="5A5B11AF"/>
    <w:multiLevelType w:val="singleLevel"/>
    <w:tmpl w:val="BACA5470"/>
    <w:lvl w:ilvl="0">
      <w:start w:val="8"/>
      <w:numFmt w:val="decimal"/>
      <w:lvlText w:val="%1."/>
      <w:lvlJc w:val="left"/>
      <w:pPr>
        <w:tabs>
          <w:tab w:val="num" w:pos="360"/>
        </w:tabs>
        <w:ind w:left="360" w:hanging="360"/>
      </w:pPr>
      <w:rPr>
        <w:b/>
        <w:i w:val="0"/>
      </w:rPr>
    </w:lvl>
  </w:abstractNum>
  <w:abstractNum w:abstractNumId="280">
    <w:nsid w:val="5A9C4B9F"/>
    <w:multiLevelType w:val="singleLevel"/>
    <w:tmpl w:val="86BEA5AE"/>
    <w:lvl w:ilvl="0">
      <w:start w:val="2"/>
      <w:numFmt w:val="decimal"/>
      <w:lvlText w:val="%1."/>
      <w:lvlJc w:val="left"/>
      <w:pPr>
        <w:tabs>
          <w:tab w:val="num" w:pos="360"/>
        </w:tabs>
        <w:ind w:left="360" w:hanging="360"/>
      </w:pPr>
      <w:rPr>
        <w:b/>
        <w:i w:val="0"/>
      </w:rPr>
    </w:lvl>
  </w:abstractNum>
  <w:abstractNum w:abstractNumId="281">
    <w:nsid w:val="5AD60DF2"/>
    <w:multiLevelType w:val="singleLevel"/>
    <w:tmpl w:val="278A4556"/>
    <w:lvl w:ilvl="0">
      <w:start w:val="1"/>
      <w:numFmt w:val="decimal"/>
      <w:lvlText w:val="%1."/>
      <w:lvlJc w:val="left"/>
      <w:pPr>
        <w:tabs>
          <w:tab w:val="num" w:pos="360"/>
        </w:tabs>
        <w:ind w:left="360" w:hanging="360"/>
      </w:pPr>
      <w:rPr>
        <w:b/>
        <w:i w:val="0"/>
        <w:lang w:val="ru-RU"/>
      </w:rPr>
    </w:lvl>
  </w:abstractNum>
  <w:abstractNum w:abstractNumId="282">
    <w:nsid w:val="5ADC71CA"/>
    <w:multiLevelType w:val="singleLevel"/>
    <w:tmpl w:val="6F48BDFA"/>
    <w:lvl w:ilvl="0">
      <w:start w:val="1"/>
      <w:numFmt w:val="lowerLetter"/>
      <w:lvlText w:val="(%1)"/>
      <w:lvlJc w:val="left"/>
      <w:pPr>
        <w:tabs>
          <w:tab w:val="num" w:pos="375"/>
        </w:tabs>
        <w:ind w:left="375" w:hanging="375"/>
      </w:pPr>
      <w:rPr>
        <w:rFonts w:ascii="Verdana" w:hAnsi="Verdana" w:hint="default"/>
        <w:sz w:val="20"/>
      </w:rPr>
    </w:lvl>
  </w:abstractNum>
  <w:abstractNum w:abstractNumId="283">
    <w:nsid w:val="5C252F0E"/>
    <w:multiLevelType w:val="multilevel"/>
    <w:tmpl w:val="AC8E6938"/>
    <w:lvl w:ilvl="0">
      <w:start w:val="1"/>
      <w:numFmt w:val="bullet"/>
      <w:lvlText w:val=""/>
      <w:lvlJc w:val="left"/>
      <w:pPr>
        <w:tabs>
          <w:tab w:val="num" w:pos="540"/>
        </w:tabs>
        <w:ind w:left="1050" w:hanging="150"/>
      </w:pPr>
      <w:rPr>
        <w:rFonts w:ascii="Wingdings" w:hAnsi="Wingdings" w:hint="default"/>
      </w:rPr>
    </w:lvl>
    <w:lvl w:ilvl="1" w:tentative="1">
      <w:start w:val="1"/>
      <w:numFmt w:val="bullet"/>
      <w:lvlText w:val="o"/>
      <w:lvlJc w:val="left"/>
      <w:pPr>
        <w:tabs>
          <w:tab w:val="num" w:pos="1980"/>
        </w:tabs>
        <w:ind w:left="1980" w:hanging="360"/>
      </w:pPr>
      <w:rPr>
        <w:rFonts w:ascii="Courier New" w:hAnsi="Courier New" w:cs="Comic Sans MS" w:hint="default"/>
      </w:rPr>
    </w:lvl>
    <w:lvl w:ilvl="2" w:tentative="1">
      <w:start w:val="1"/>
      <w:numFmt w:val="bullet"/>
      <w:lvlText w:val=""/>
      <w:lvlJc w:val="left"/>
      <w:pPr>
        <w:tabs>
          <w:tab w:val="num" w:pos="2700"/>
        </w:tabs>
        <w:ind w:left="2700" w:hanging="360"/>
      </w:pPr>
      <w:rPr>
        <w:rFonts w:ascii="Wingdings" w:hAnsi="Wingdings" w:hint="default"/>
      </w:rPr>
    </w:lvl>
    <w:lvl w:ilvl="3" w:tentative="1">
      <w:start w:val="1"/>
      <w:numFmt w:val="bullet"/>
      <w:lvlText w:val=""/>
      <w:lvlJc w:val="left"/>
      <w:pPr>
        <w:tabs>
          <w:tab w:val="num" w:pos="3420"/>
        </w:tabs>
        <w:ind w:left="3420" w:hanging="360"/>
      </w:pPr>
      <w:rPr>
        <w:rFonts w:ascii="Symbol" w:hAnsi="Symbol" w:hint="default"/>
      </w:rPr>
    </w:lvl>
    <w:lvl w:ilvl="4" w:tentative="1">
      <w:start w:val="1"/>
      <w:numFmt w:val="bullet"/>
      <w:lvlText w:val="o"/>
      <w:lvlJc w:val="left"/>
      <w:pPr>
        <w:tabs>
          <w:tab w:val="num" w:pos="4140"/>
        </w:tabs>
        <w:ind w:left="4140" w:hanging="360"/>
      </w:pPr>
      <w:rPr>
        <w:rFonts w:ascii="Courier New" w:hAnsi="Courier New" w:cs="Comic Sans MS" w:hint="default"/>
      </w:rPr>
    </w:lvl>
    <w:lvl w:ilvl="5" w:tentative="1">
      <w:start w:val="1"/>
      <w:numFmt w:val="bullet"/>
      <w:lvlText w:val=""/>
      <w:lvlJc w:val="left"/>
      <w:pPr>
        <w:tabs>
          <w:tab w:val="num" w:pos="4860"/>
        </w:tabs>
        <w:ind w:left="4860" w:hanging="360"/>
      </w:pPr>
      <w:rPr>
        <w:rFonts w:ascii="Wingdings" w:hAnsi="Wingdings" w:hint="default"/>
      </w:rPr>
    </w:lvl>
    <w:lvl w:ilvl="6" w:tentative="1">
      <w:start w:val="1"/>
      <w:numFmt w:val="bullet"/>
      <w:lvlText w:val=""/>
      <w:lvlJc w:val="left"/>
      <w:pPr>
        <w:tabs>
          <w:tab w:val="num" w:pos="5580"/>
        </w:tabs>
        <w:ind w:left="5580" w:hanging="360"/>
      </w:pPr>
      <w:rPr>
        <w:rFonts w:ascii="Symbol" w:hAnsi="Symbol" w:hint="default"/>
      </w:rPr>
    </w:lvl>
    <w:lvl w:ilvl="7" w:tentative="1">
      <w:start w:val="1"/>
      <w:numFmt w:val="bullet"/>
      <w:lvlText w:val="o"/>
      <w:lvlJc w:val="left"/>
      <w:pPr>
        <w:tabs>
          <w:tab w:val="num" w:pos="6300"/>
        </w:tabs>
        <w:ind w:left="6300" w:hanging="360"/>
      </w:pPr>
      <w:rPr>
        <w:rFonts w:ascii="Courier New" w:hAnsi="Courier New" w:cs="Comic Sans MS" w:hint="default"/>
      </w:rPr>
    </w:lvl>
    <w:lvl w:ilvl="8" w:tentative="1">
      <w:start w:val="1"/>
      <w:numFmt w:val="bullet"/>
      <w:lvlText w:val=""/>
      <w:lvlJc w:val="left"/>
      <w:pPr>
        <w:tabs>
          <w:tab w:val="num" w:pos="7020"/>
        </w:tabs>
        <w:ind w:left="7020" w:hanging="360"/>
      </w:pPr>
      <w:rPr>
        <w:rFonts w:ascii="Wingdings" w:hAnsi="Wingdings" w:hint="default"/>
      </w:rPr>
    </w:lvl>
  </w:abstractNum>
  <w:abstractNum w:abstractNumId="284">
    <w:nsid w:val="5CEA5525"/>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85">
    <w:nsid w:val="5CFD1932"/>
    <w:multiLevelType w:val="singleLevel"/>
    <w:tmpl w:val="0408000F"/>
    <w:lvl w:ilvl="0">
      <w:start w:val="1"/>
      <w:numFmt w:val="decimal"/>
      <w:lvlText w:val="%1."/>
      <w:lvlJc w:val="left"/>
      <w:pPr>
        <w:tabs>
          <w:tab w:val="num" w:pos="360"/>
        </w:tabs>
        <w:ind w:left="360" w:hanging="360"/>
      </w:pPr>
    </w:lvl>
  </w:abstractNum>
  <w:abstractNum w:abstractNumId="286">
    <w:nsid w:val="5D0844B9"/>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87">
    <w:nsid w:val="5D6A6314"/>
    <w:multiLevelType w:val="hybridMultilevel"/>
    <w:tmpl w:val="A57886A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88">
    <w:nsid w:val="5E162B60"/>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89">
    <w:nsid w:val="5F475F21"/>
    <w:multiLevelType w:val="hybridMultilevel"/>
    <w:tmpl w:val="4BC65732"/>
    <w:lvl w:ilvl="0">
      <w:start w:val="1"/>
      <w:numFmt w:val="decimal"/>
      <w:lvlText w:val="%1."/>
      <w:lvlJc w:val="left"/>
      <w:pPr>
        <w:tabs>
          <w:tab w:val="num" w:pos="1880"/>
        </w:tabs>
        <w:ind w:left="1880" w:hanging="800"/>
      </w:pPr>
      <w:rPr>
        <w:rFonts w:hint="default"/>
      </w:rPr>
    </w:lvl>
    <w:lvl w:ilvl="1" w:tentative="1">
      <w:start w:val="1"/>
      <w:numFmt w:val="bullet"/>
      <w:lvlText w:val="o"/>
      <w:lvlJc w:val="left"/>
      <w:pPr>
        <w:tabs>
          <w:tab w:val="num" w:pos="2160"/>
        </w:tabs>
        <w:ind w:left="2160" w:hanging="360"/>
      </w:pPr>
      <w:rPr>
        <w:rFonts w:ascii="Courier New" w:hAnsi="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290">
    <w:nsid w:val="5FC563EE"/>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91">
    <w:nsid w:val="5FEB7A7D"/>
    <w:multiLevelType w:val="hybridMultilevel"/>
    <w:tmpl w:val="D12AC54E"/>
    <w:lvl w:ilvl="0">
      <w:start w:val="1"/>
      <w:numFmt w:val="upperRoman"/>
      <w:lvlText w:val="%1."/>
      <w:lvlJc w:val="left"/>
      <w:pPr>
        <w:tabs>
          <w:tab w:val="num" w:pos="2520"/>
        </w:tabs>
        <w:ind w:left="2520" w:hanging="720"/>
      </w:pPr>
      <w:rPr>
        <w:rFonts w:ascii="Times" w:hAnsi="Time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292">
    <w:nsid w:val="60031C56"/>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93">
    <w:nsid w:val="60072973"/>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94">
    <w:nsid w:val="604C1BAF"/>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95">
    <w:nsid w:val="60637CF8"/>
    <w:multiLevelType w:val="hybridMultilevel"/>
    <w:tmpl w:val="39B405AA"/>
    <w:lvl w:ilvl="0">
      <w:start w:val="1"/>
      <w:numFmt w:val="bullet"/>
      <w:lvlText w:val=""/>
      <w:lvlJc w:val="left"/>
      <w:pPr>
        <w:tabs>
          <w:tab w:val="num" w:pos="1800"/>
        </w:tabs>
        <w:ind w:left="1800" w:hanging="360"/>
      </w:pPr>
      <w:rPr>
        <w:rFonts w:ascii="Symbol" w:hAnsi="Symbol" w:hint="default"/>
      </w:rPr>
    </w:lvl>
    <w:lvl w:ilvl="1" w:tentative="1">
      <w:start w:val="1"/>
      <w:numFmt w:val="bullet"/>
      <w:lvlText w:val="o"/>
      <w:lvlJc w:val="left"/>
      <w:pPr>
        <w:tabs>
          <w:tab w:val="num" w:pos="2520"/>
        </w:tabs>
        <w:ind w:left="2520" w:hanging="360"/>
      </w:pPr>
      <w:rPr>
        <w:rFonts w:ascii="Courier New" w:hAnsi="Courier New" w:hint="default"/>
      </w:rPr>
    </w:lvl>
    <w:lvl w:ilvl="2" w:tentative="1">
      <w:start w:val="1"/>
      <w:numFmt w:val="bullet"/>
      <w:lvlText w:val=""/>
      <w:lvlJc w:val="left"/>
      <w:pPr>
        <w:tabs>
          <w:tab w:val="num" w:pos="3240"/>
        </w:tabs>
        <w:ind w:left="3240" w:hanging="360"/>
      </w:pPr>
      <w:rPr>
        <w:rFonts w:ascii="Wingdings" w:hAnsi="Wingdings" w:hint="default"/>
      </w:rPr>
    </w:lvl>
    <w:lvl w:ilvl="3" w:tentative="1">
      <w:start w:val="1"/>
      <w:numFmt w:val="bullet"/>
      <w:lvlText w:val=""/>
      <w:lvlJc w:val="left"/>
      <w:pPr>
        <w:tabs>
          <w:tab w:val="num" w:pos="3960"/>
        </w:tabs>
        <w:ind w:left="3960" w:hanging="360"/>
      </w:pPr>
      <w:rPr>
        <w:rFonts w:ascii="Symbol" w:hAnsi="Symbol" w:hint="default"/>
      </w:rPr>
    </w:lvl>
    <w:lvl w:ilvl="4" w:tentative="1">
      <w:start w:val="1"/>
      <w:numFmt w:val="bullet"/>
      <w:lvlText w:val="o"/>
      <w:lvlJc w:val="left"/>
      <w:pPr>
        <w:tabs>
          <w:tab w:val="num" w:pos="4680"/>
        </w:tabs>
        <w:ind w:left="4680" w:hanging="360"/>
      </w:pPr>
      <w:rPr>
        <w:rFonts w:ascii="Courier New" w:hAnsi="Courier New" w:hint="default"/>
      </w:rPr>
    </w:lvl>
    <w:lvl w:ilvl="5" w:tentative="1">
      <w:start w:val="1"/>
      <w:numFmt w:val="bullet"/>
      <w:lvlText w:val=""/>
      <w:lvlJc w:val="left"/>
      <w:pPr>
        <w:tabs>
          <w:tab w:val="num" w:pos="5400"/>
        </w:tabs>
        <w:ind w:left="5400" w:hanging="360"/>
      </w:pPr>
      <w:rPr>
        <w:rFonts w:ascii="Wingdings" w:hAnsi="Wingdings" w:hint="default"/>
      </w:rPr>
    </w:lvl>
    <w:lvl w:ilvl="6" w:tentative="1">
      <w:start w:val="1"/>
      <w:numFmt w:val="bullet"/>
      <w:lvlText w:val=""/>
      <w:lvlJc w:val="left"/>
      <w:pPr>
        <w:tabs>
          <w:tab w:val="num" w:pos="6120"/>
        </w:tabs>
        <w:ind w:left="6120" w:hanging="360"/>
      </w:pPr>
      <w:rPr>
        <w:rFonts w:ascii="Symbol" w:hAnsi="Symbol" w:hint="default"/>
      </w:rPr>
    </w:lvl>
    <w:lvl w:ilvl="7" w:tentative="1">
      <w:start w:val="1"/>
      <w:numFmt w:val="bullet"/>
      <w:lvlText w:val="o"/>
      <w:lvlJc w:val="left"/>
      <w:pPr>
        <w:tabs>
          <w:tab w:val="num" w:pos="6840"/>
        </w:tabs>
        <w:ind w:left="6840" w:hanging="360"/>
      </w:pPr>
      <w:rPr>
        <w:rFonts w:ascii="Courier New" w:hAnsi="Courier New" w:hint="default"/>
      </w:rPr>
    </w:lvl>
    <w:lvl w:ilvl="8" w:tentative="1">
      <w:start w:val="1"/>
      <w:numFmt w:val="bullet"/>
      <w:lvlText w:val=""/>
      <w:lvlJc w:val="left"/>
      <w:pPr>
        <w:tabs>
          <w:tab w:val="num" w:pos="7560"/>
        </w:tabs>
        <w:ind w:left="7560" w:hanging="360"/>
      </w:pPr>
      <w:rPr>
        <w:rFonts w:ascii="Wingdings" w:hAnsi="Wingdings" w:hint="default"/>
      </w:rPr>
    </w:lvl>
  </w:abstractNum>
  <w:abstractNum w:abstractNumId="296">
    <w:nsid w:val="608B11A0"/>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97">
    <w:nsid w:val="61041345"/>
    <w:multiLevelType w:val="singleLevel"/>
    <w:tmpl w:val="C39EFAAA"/>
    <w:lvl w:ilvl="0">
      <w:start w:val="23"/>
      <w:numFmt w:val="decimal"/>
      <w:lvlText w:val="%1."/>
      <w:lvlJc w:val="left"/>
      <w:pPr>
        <w:tabs>
          <w:tab w:val="num" w:pos="360"/>
        </w:tabs>
        <w:ind w:left="360" w:hanging="360"/>
      </w:pPr>
      <w:rPr>
        <w:b/>
        <w:i w:val="0"/>
      </w:rPr>
    </w:lvl>
  </w:abstractNum>
  <w:abstractNum w:abstractNumId="298">
    <w:nsid w:val="615B2C54"/>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99">
    <w:nsid w:val="61746915"/>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300">
    <w:nsid w:val="617B6B35"/>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301">
    <w:nsid w:val="62063A7A"/>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302">
    <w:nsid w:val="62400A6E"/>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303">
    <w:nsid w:val="62C85A0B"/>
    <w:multiLevelType w:val="multilevel"/>
    <w:tmpl w:val="BF8AB9BE"/>
    <w:lvl w:ilvl="0">
      <w:start w:val="1"/>
      <w:numFmt w:val="decimal"/>
      <w:lvlText w:val="%1."/>
      <w:lvlJc w:val="left"/>
      <w:pPr>
        <w:tabs>
          <w:tab w:val="num" w:pos="720"/>
        </w:tabs>
        <w:ind w:left="720" w:hanging="360"/>
      </w:pPr>
      <w:rPr>
        <w:b/>
        <w:i w:val="0"/>
      </w:rPr>
    </w:lvl>
    <w:lvl w:ilvl="1">
      <w:start w:val="1"/>
      <w:numFmt w:val="bullet"/>
      <w:lvlText w:val=""/>
      <w:lvlJc w:val="left"/>
      <w:pPr>
        <w:tabs>
          <w:tab w:val="num" w:pos="1440"/>
        </w:tabs>
        <w:ind w:left="1440" w:hanging="360"/>
      </w:pPr>
      <w:rPr>
        <w:rFonts w:ascii="Symbol" w:hAnsi="Symbol" w:hint="default"/>
      </w:rPr>
    </w:lvl>
    <w:lvl w:ilvl="2">
      <w:start w:val="1"/>
      <w:numFmt w:val="upperLetter"/>
      <w:lvlText w:val="%3."/>
      <w:lvlJc w:val="left"/>
      <w:pPr>
        <w:tabs>
          <w:tab w:val="num" w:pos="2340"/>
        </w:tabs>
        <w:ind w:left="2340" w:hanging="360"/>
      </w:pPr>
    </w:lvl>
    <w:lvl w:ilvl="3">
      <w:start w:val="1"/>
      <w:numFmt w:val="bullet"/>
      <w:lvlText w:val=""/>
      <w:lvlJc w:val="left"/>
      <w:pPr>
        <w:tabs>
          <w:tab w:val="num" w:pos="2880"/>
        </w:tabs>
        <w:ind w:left="2880" w:hanging="360"/>
      </w:pPr>
      <w:rPr>
        <w:rFonts w:ascii="Symbol" w:hAnsi="Symbol"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4">
    <w:nsid w:val="62DD7973"/>
    <w:multiLevelType w:val="hybridMultilevel"/>
    <w:tmpl w:val="EB02479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05">
    <w:nsid w:val="62DF63B3"/>
    <w:multiLevelType w:val="hybridMultilevel"/>
    <w:tmpl w:val="4192DFAE"/>
    <w:lvl w:ilvl="0">
      <w:start w:val="1"/>
      <w:numFmt w:val="decimal"/>
      <w:lvlText w:val="%1."/>
      <w:lvlJc w:val="left"/>
      <w:pPr>
        <w:tabs>
          <w:tab w:val="num" w:pos="3600"/>
        </w:tabs>
        <w:ind w:left="3600" w:hanging="360"/>
      </w:pPr>
    </w:lvl>
    <w:lvl w:ilvl="1" w:tentative="1">
      <w:start w:val="1"/>
      <w:numFmt w:val="lowerLetter"/>
      <w:lvlText w:val="%2."/>
      <w:lvlJc w:val="left"/>
      <w:pPr>
        <w:tabs>
          <w:tab w:val="num" w:pos="4320"/>
        </w:tabs>
        <w:ind w:left="4320" w:hanging="360"/>
      </w:pPr>
    </w:lvl>
    <w:lvl w:ilvl="2" w:tentative="1">
      <w:start w:val="1"/>
      <w:numFmt w:val="lowerRoman"/>
      <w:lvlText w:val="%3."/>
      <w:lvlJc w:val="right"/>
      <w:pPr>
        <w:tabs>
          <w:tab w:val="num" w:pos="5040"/>
        </w:tabs>
        <w:ind w:left="5040" w:hanging="180"/>
      </w:pPr>
    </w:lvl>
    <w:lvl w:ilvl="3" w:tentative="1">
      <w:start w:val="1"/>
      <w:numFmt w:val="decimal"/>
      <w:lvlText w:val="%4."/>
      <w:lvlJc w:val="left"/>
      <w:pPr>
        <w:tabs>
          <w:tab w:val="num" w:pos="5760"/>
        </w:tabs>
        <w:ind w:left="5760" w:hanging="360"/>
      </w:pPr>
    </w:lvl>
    <w:lvl w:ilvl="4" w:tentative="1">
      <w:start w:val="1"/>
      <w:numFmt w:val="lowerLetter"/>
      <w:lvlText w:val="%5."/>
      <w:lvlJc w:val="left"/>
      <w:pPr>
        <w:tabs>
          <w:tab w:val="num" w:pos="6480"/>
        </w:tabs>
        <w:ind w:left="6480" w:hanging="360"/>
      </w:pPr>
    </w:lvl>
    <w:lvl w:ilvl="5" w:tentative="1">
      <w:start w:val="1"/>
      <w:numFmt w:val="lowerRoman"/>
      <w:lvlText w:val="%6."/>
      <w:lvlJc w:val="right"/>
      <w:pPr>
        <w:tabs>
          <w:tab w:val="num" w:pos="7200"/>
        </w:tabs>
        <w:ind w:left="7200" w:hanging="180"/>
      </w:pPr>
    </w:lvl>
    <w:lvl w:ilvl="6" w:tentative="1">
      <w:start w:val="1"/>
      <w:numFmt w:val="decimal"/>
      <w:lvlText w:val="%7."/>
      <w:lvlJc w:val="left"/>
      <w:pPr>
        <w:tabs>
          <w:tab w:val="num" w:pos="7920"/>
        </w:tabs>
        <w:ind w:left="7920" w:hanging="360"/>
      </w:pPr>
    </w:lvl>
    <w:lvl w:ilvl="7" w:tentative="1">
      <w:start w:val="1"/>
      <w:numFmt w:val="lowerLetter"/>
      <w:lvlText w:val="%8."/>
      <w:lvlJc w:val="left"/>
      <w:pPr>
        <w:tabs>
          <w:tab w:val="num" w:pos="8640"/>
        </w:tabs>
        <w:ind w:left="8640" w:hanging="360"/>
      </w:pPr>
    </w:lvl>
    <w:lvl w:ilvl="8" w:tentative="1">
      <w:start w:val="1"/>
      <w:numFmt w:val="lowerRoman"/>
      <w:lvlText w:val="%9."/>
      <w:lvlJc w:val="right"/>
      <w:pPr>
        <w:tabs>
          <w:tab w:val="num" w:pos="9360"/>
        </w:tabs>
        <w:ind w:left="9360" w:hanging="180"/>
      </w:pPr>
    </w:lvl>
  </w:abstractNum>
  <w:abstractNum w:abstractNumId="306">
    <w:nsid w:val="630A39AB"/>
    <w:multiLevelType w:val="hybridMultilevel"/>
    <w:tmpl w:val="16E83D5A"/>
    <w:lvl w:ilvl="0">
      <w:start w:val="1"/>
      <w:numFmt w:val="bullet"/>
      <w:lvlText w:val=""/>
      <w:lvlJc w:val="left"/>
      <w:pPr>
        <w:tabs>
          <w:tab w:val="num" w:pos="720"/>
        </w:tabs>
        <w:ind w:left="720" w:hanging="360"/>
      </w:pPr>
      <w:rPr>
        <w:rFonts w:ascii="Symbol" w:hAnsi="Symbol" w:hint="default"/>
      </w:rPr>
    </w:lvl>
    <w:lvl w:ilvl="1">
      <w:start w:val="11"/>
      <w:numFmt w:val="bullet"/>
      <w:lvlText w:val="-"/>
      <w:lvlJc w:val="left"/>
      <w:pPr>
        <w:tabs>
          <w:tab w:val="num" w:pos="1440"/>
        </w:tabs>
        <w:ind w:left="1440" w:hanging="360"/>
      </w:pPr>
      <w:rPr>
        <w:rFonts w:ascii="Times New Roman" w:eastAsia="Times New Roman" w:hAnsi="Times New Roman" w:cs="Times New Roman" w:hint="default"/>
        <w:b/>
      </w:rPr>
    </w:lvl>
    <w:lvl w:ilvl="2">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07">
    <w:nsid w:val="631865C9"/>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308">
    <w:nsid w:val="632427AF"/>
    <w:multiLevelType w:val="hybridMultilevel"/>
    <w:tmpl w:val="9A009BF8"/>
    <w:lvl w:ilvl="0">
      <w:start w:val="1"/>
      <w:numFmt w:val="upperRoman"/>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09">
    <w:nsid w:val="63A61FD2"/>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310">
    <w:nsid w:val="63D40929"/>
    <w:multiLevelType w:val="hybridMultilevel"/>
    <w:tmpl w:val="43C67DD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11">
    <w:nsid w:val="64456B89"/>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312">
    <w:nsid w:val="64531355"/>
    <w:multiLevelType w:val="hybridMultilevel"/>
    <w:tmpl w:val="381033D0"/>
    <w:lvl w:ilvl="0">
      <w:start w:val="2"/>
      <w:numFmt w:val="upperRoman"/>
      <w:lvlText w:val="%1."/>
      <w:lvlJc w:val="left"/>
      <w:pPr>
        <w:tabs>
          <w:tab w:val="num" w:pos="436"/>
        </w:tabs>
        <w:ind w:left="436" w:hanging="720"/>
      </w:pPr>
      <w:rPr>
        <w:rFonts w:hint="default"/>
      </w:rPr>
    </w:lvl>
    <w:lvl w:ilvl="1" w:tentative="1">
      <w:start w:val="1"/>
      <w:numFmt w:val="lowerLetter"/>
      <w:lvlText w:val="%2."/>
      <w:lvlJc w:val="left"/>
      <w:pPr>
        <w:tabs>
          <w:tab w:val="num" w:pos="796"/>
        </w:tabs>
        <w:ind w:left="796" w:hanging="360"/>
      </w:pPr>
    </w:lvl>
    <w:lvl w:ilvl="2" w:tentative="1">
      <w:start w:val="1"/>
      <w:numFmt w:val="lowerRoman"/>
      <w:lvlText w:val="%3."/>
      <w:lvlJc w:val="right"/>
      <w:pPr>
        <w:tabs>
          <w:tab w:val="num" w:pos="1516"/>
        </w:tabs>
        <w:ind w:left="1516" w:hanging="180"/>
      </w:pPr>
    </w:lvl>
    <w:lvl w:ilvl="3" w:tentative="1">
      <w:start w:val="1"/>
      <w:numFmt w:val="decimal"/>
      <w:lvlText w:val="%4."/>
      <w:lvlJc w:val="left"/>
      <w:pPr>
        <w:tabs>
          <w:tab w:val="num" w:pos="2236"/>
        </w:tabs>
        <w:ind w:left="2236" w:hanging="360"/>
      </w:pPr>
    </w:lvl>
    <w:lvl w:ilvl="4" w:tentative="1">
      <w:start w:val="1"/>
      <w:numFmt w:val="lowerLetter"/>
      <w:lvlText w:val="%5."/>
      <w:lvlJc w:val="left"/>
      <w:pPr>
        <w:tabs>
          <w:tab w:val="num" w:pos="2956"/>
        </w:tabs>
        <w:ind w:left="2956" w:hanging="360"/>
      </w:pPr>
    </w:lvl>
    <w:lvl w:ilvl="5" w:tentative="1">
      <w:start w:val="1"/>
      <w:numFmt w:val="lowerRoman"/>
      <w:lvlText w:val="%6."/>
      <w:lvlJc w:val="right"/>
      <w:pPr>
        <w:tabs>
          <w:tab w:val="num" w:pos="3676"/>
        </w:tabs>
        <w:ind w:left="3676" w:hanging="180"/>
      </w:pPr>
    </w:lvl>
    <w:lvl w:ilvl="6" w:tentative="1">
      <w:start w:val="1"/>
      <w:numFmt w:val="decimal"/>
      <w:lvlText w:val="%7."/>
      <w:lvlJc w:val="left"/>
      <w:pPr>
        <w:tabs>
          <w:tab w:val="num" w:pos="4396"/>
        </w:tabs>
        <w:ind w:left="4396" w:hanging="360"/>
      </w:pPr>
    </w:lvl>
    <w:lvl w:ilvl="7" w:tentative="1">
      <w:start w:val="1"/>
      <w:numFmt w:val="lowerLetter"/>
      <w:lvlText w:val="%8."/>
      <w:lvlJc w:val="left"/>
      <w:pPr>
        <w:tabs>
          <w:tab w:val="num" w:pos="5116"/>
        </w:tabs>
        <w:ind w:left="5116" w:hanging="360"/>
      </w:pPr>
    </w:lvl>
    <w:lvl w:ilvl="8" w:tentative="1">
      <w:start w:val="1"/>
      <w:numFmt w:val="lowerRoman"/>
      <w:lvlText w:val="%9."/>
      <w:lvlJc w:val="right"/>
      <w:pPr>
        <w:tabs>
          <w:tab w:val="num" w:pos="5836"/>
        </w:tabs>
        <w:ind w:left="5836" w:hanging="180"/>
      </w:pPr>
    </w:lvl>
  </w:abstractNum>
  <w:abstractNum w:abstractNumId="313">
    <w:nsid w:val="64915B04"/>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314">
    <w:nsid w:val="64F0238F"/>
    <w:multiLevelType w:val="hybridMultilevel"/>
    <w:tmpl w:val="D9AC21D6"/>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315">
    <w:nsid w:val="6512392D"/>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316">
    <w:nsid w:val="655D5C4B"/>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317">
    <w:nsid w:val="65774615"/>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318">
    <w:nsid w:val="65EF4FD7"/>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319">
    <w:nsid w:val="661156AE"/>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320">
    <w:nsid w:val="66267C9D"/>
    <w:multiLevelType w:val="hybridMultilevel"/>
    <w:tmpl w:val="BF269B02"/>
    <w:lvl w:ilvl="0">
      <w:start w:val="1"/>
      <w:numFmt w:val="bullet"/>
      <w:lvlText w:val=""/>
      <w:lvlJc w:val="left"/>
      <w:pPr>
        <w:tabs>
          <w:tab w:val="num" w:pos="900"/>
        </w:tabs>
        <w:ind w:left="900" w:hanging="360"/>
      </w:pPr>
      <w:rPr>
        <w:rFonts w:ascii="Symbol" w:hAnsi="Symbol" w:hint="default"/>
      </w:rPr>
    </w:lvl>
    <w:lvl w:ilvl="1" w:tentative="1">
      <w:start w:val="1"/>
      <w:numFmt w:val="bullet"/>
      <w:lvlText w:val="o"/>
      <w:lvlJc w:val="left"/>
      <w:pPr>
        <w:tabs>
          <w:tab w:val="num" w:pos="1620"/>
        </w:tabs>
        <w:ind w:left="1620" w:hanging="360"/>
      </w:pPr>
      <w:rPr>
        <w:rFonts w:ascii="Courier New" w:hAnsi="Courier New" w:cs="Courier New" w:hint="default"/>
      </w:rPr>
    </w:lvl>
    <w:lvl w:ilvl="2" w:tentative="1">
      <w:start w:val="1"/>
      <w:numFmt w:val="bullet"/>
      <w:lvlText w:val=""/>
      <w:lvlJc w:val="left"/>
      <w:pPr>
        <w:tabs>
          <w:tab w:val="num" w:pos="2340"/>
        </w:tabs>
        <w:ind w:left="2340" w:hanging="360"/>
      </w:pPr>
      <w:rPr>
        <w:rFonts w:ascii="Wingdings" w:hAnsi="Wingdings" w:hint="default"/>
      </w:rPr>
    </w:lvl>
    <w:lvl w:ilvl="3" w:tentative="1">
      <w:start w:val="1"/>
      <w:numFmt w:val="bullet"/>
      <w:lvlText w:val=""/>
      <w:lvlJc w:val="left"/>
      <w:pPr>
        <w:tabs>
          <w:tab w:val="num" w:pos="3060"/>
        </w:tabs>
        <w:ind w:left="3060" w:hanging="360"/>
      </w:pPr>
      <w:rPr>
        <w:rFonts w:ascii="Symbol" w:hAnsi="Symbol" w:hint="default"/>
      </w:rPr>
    </w:lvl>
    <w:lvl w:ilvl="4" w:tentative="1">
      <w:start w:val="1"/>
      <w:numFmt w:val="bullet"/>
      <w:lvlText w:val="o"/>
      <w:lvlJc w:val="left"/>
      <w:pPr>
        <w:tabs>
          <w:tab w:val="num" w:pos="3780"/>
        </w:tabs>
        <w:ind w:left="3780" w:hanging="360"/>
      </w:pPr>
      <w:rPr>
        <w:rFonts w:ascii="Courier New" w:hAnsi="Courier New" w:cs="Courier New" w:hint="default"/>
      </w:rPr>
    </w:lvl>
    <w:lvl w:ilvl="5" w:tentative="1">
      <w:start w:val="1"/>
      <w:numFmt w:val="bullet"/>
      <w:lvlText w:val=""/>
      <w:lvlJc w:val="left"/>
      <w:pPr>
        <w:tabs>
          <w:tab w:val="num" w:pos="4500"/>
        </w:tabs>
        <w:ind w:left="4500" w:hanging="360"/>
      </w:pPr>
      <w:rPr>
        <w:rFonts w:ascii="Wingdings" w:hAnsi="Wingdings" w:hint="default"/>
      </w:rPr>
    </w:lvl>
    <w:lvl w:ilvl="6" w:tentative="1">
      <w:start w:val="1"/>
      <w:numFmt w:val="bullet"/>
      <w:lvlText w:val=""/>
      <w:lvlJc w:val="left"/>
      <w:pPr>
        <w:tabs>
          <w:tab w:val="num" w:pos="5220"/>
        </w:tabs>
        <w:ind w:left="5220" w:hanging="360"/>
      </w:pPr>
      <w:rPr>
        <w:rFonts w:ascii="Symbol" w:hAnsi="Symbol" w:hint="default"/>
      </w:rPr>
    </w:lvl>
    <w:lvl w:ilvl="7" w:tentative="1">
      <w:start w:val="1"/>
      <w:numFmt w:val="bullet"/>
      <w:lvlText w:val="o"/>
      <w:lvlJc w:val="left"/>
      <w:pPr>
        <w:tabs>
          <w:tab w:val="num" w:pos="5940"/>
        </w:tabs>
        <w:ind w:left="5940" w:hanging="360"/>
      </w:pPr>
      <w:rPr>
        <w:rFonts w:ascii="Courier New" w:hAnsi="Courier New" w:cs="Courier New" w:hint="default"/>
      </w:rPr>
    </w:lvl>
    <w:lvl w:ilvl="8" w:tentative="1">
      <w:start w:val="1"/>
      <w:numFmt w:val="bullet"/>
      <w:lvlText w:val=""/>
      <w:lvlJc w:val="left"/>
      <w:pPr>
        <w:tabs>
          <w:tab w:val="num" w:pos="6660"/>
        </w:tabs>
        <w:ind w:left="6660" w:hanging="360"/>
      </w:pPr>
      <w:rPr>
        <w:rFonts w:ascii="Wingdings" w:hAnsi="Wingdings" w:hint="default"/>
      </w:rPr>
    </w:lvl>
  </w:abstractNum>
  <w:abstractNum w:abstractNumId="321">
    <w:nsid w:val="66355DC8"/>
    <w:multiLevelType w:val="hybridMultilevel"/>
    <w:tmpl w:val="0A885BA4"/>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22">
    <w:nsid w:val="66715730"/>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323">
    <w:nsid w:val="66C434BD"/>
    <w:multiLevelType w:val="hybridMultilevel"/>
    <w:tmpl w:val="EBCA387A"/>
    <w:lvl w:ilvl="0">
      <w:start w:val="1"/>
      <w:numFmt w:val="bullet"/>
      <w:lvlText w:val=""/>
      <w:lvlJc w:val="left"/>
      <w:pPr>
        <w:tabs>
          <w:tab w:val="num" w:pos="720"/>
        </w:tabs>
        <w:ind w:left="720" w:hanging="72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24">
    <w:nsid w:val="66F17CD6"/>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325">
    <w:nsid w:val="672B33E9"/>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326">
    <w:nsid w:val="674221D2"/>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327">
    <w:nsid w:val="68316805"/>
    <w:multiLevelType w:val="singleLevel"/>
    <w:tmpl w:val="9A401EAE"/>
    <w:lvl w:ilvl="0">
      <w:start w:val="1"/>
      <w:numFmt w:val="decimal"/>
      <w:lvlText w:val="%1."/>
      <w:lvlJc w:val="left"/>
      <w:pPr>
        <w:tabs>
          <w:tab w:val="num" w:pos="1778"/>
        </w:tabs>
        <w:ind w:left="1778" w:hanging="360"/>
      </w:pPr>
      <w:rPr>
        <w:rFonts w:hint="default"/>
      </w:rPr>
    </w:lvl>
  </w:abstractNum>
  <w:abstractNum w:abstractNumId="328">
    <w:nsid w:val="68584934"/>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329">
    <w:nsid w:val="68BC3D47"/>
    <w:multiLevelType w:val="hybridMultilevel"/>
    <w:tmpl w:val="9410985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30">
    <w:nsid w:val="69610B24"/>
    <w:multiLevelType w:val="hybridMultilevel"/>
    <w:tmpl w:val="84E0F4EA"/>
    <w:lvl w:ilvl="0">
      <w:start w:val="23"/>
      <w:numFmt w:val="decimal"/>
      <w:lvlText w:val="%1"/>
      <w:lvlJc w:val="left"/>
      <w:pPr>
        <w:tabs>
          <w:tab w:val="num" w:pos="720"/>
        </w:tabs>
        <w:ind w:left="720" w:hanging="360"/>
      </w:pPr>
      <w:rPr>
        <w:rFonts w:hint="default"/>
        <w:b/>
        <w:i w:val="0"/>
        <w:u w:val="none"/>
      </w:rPr>
    </w:lvl>
    <w:lvl w:ilvl="1">
      <w:start w:val="1"/>
      <w:numFmt w:val="bullet"/>
      <w:lvlText w:val=""/>
      <w:lvlJc w:val="left"/>
      <w:pPr>
        <w:tabs>
          <w:tab w:val="num" w:pos="1440"/>
        </w:tabs>
        <w:ind w:left="1440" w:hanging="360"/>
      </w:pPr>
      <w:rPr>
        <w:rFonts w:ascii="Symbol" w:hAnsi="Symbol" w:hint="default"/>
        <w:b/>
        <w:i w:val="0"/>
        <w:u w:val="none"/>
      </w:rPr>
    </w:lvl>
    <w:lvl w:ilvl="2">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31">
    <w:nsid w:val="69A525A3"/>
    <w:multiLevelType w:val="hybridMultilevel"/>
    <w:tmpl w:val="2A3234C8"/>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32">
    <w:nsid w:val="69B0429C"/>
    <w:multiLevelType w:val="hybridMultilevel"/>
    <w:tmpl w:val="1B726A08"/>
    <w:lvl w:ilvl="0">
      <w:start w:val="1"/>
      <w:numFmt w:val="lowerLetter"/>
      <w:lvlText w:val="%1."/>
      <w:lvlJc w:val="left"/>
      <w:pPr>
        <w:tabs>
          <w:tab w:val="num" w:pos="2140"/>
        </w:tabs>
        <w:ind w:left="2140" w:hanging="360"/>
      </w:pPr>
    </w:lvl>
    <w:lvl w:ilvl="1" w:tentative="1">
      <w:start w:val="1"/>
      <w:numFmt w:val="lowerLetter"/>
      <w:lvlText w:val="%2."/>
      <w:lvlJc w:val="left"/>
      <w:pPr>
        <w:tabs>
          <w:tab w:val="num" w:pos="2860"/>
        </w:tabs>
        <w:ind w:left="2860" w:hanging="360"/>
      </w:pPr>
    </w:lvl>
    <w:lvl w:ilvl="2" w:tentative="1">
      <w:start w:val="1"/>
      <w:numFmt w:val="lowerRoman"/>
      <w:lvlText w:val="%3."/>
      <w:lvlJc w:val="right"/>
      <w:pPr>
        <w:tabs>
          <w:tab w:val="num" w:pos="3580"/>
        </w:tabs>
        <w:ind w:left="3580" w:hanging="180"/>
      </w:pPr>
    </w:lvl>
    <w:lvl w:ilvl="3" w:tentative="1">
      <w:start w:val="1"/>
      <w:numFmt w:val="decimal"/>
      <w:lvlText w:val="%4."/>
      <w:lvlJc w:val="left"/>
      <w:pPr>
        <w:tabs>
          <w:tab w:val="num" w:pos="4300"/>
        </w:tabs>
        <w:ind w:left="4300" w:hanging="360"/>
      </w:pPr>
    </w:lvl>
    <w:lvl w:ilvl="4" w:tentative="1">
      <w:start w:val="1"/>
      <w:numFmt w:val="lowerLetter"/>
      <w:lvlText w:val="%5."/>
      <w:lvlJc w:val="left"/>
      <w:pPr>
        <w:tabs>
          <w:tab w:val="num" w:pos="5020"/>
        </w:tabs>
        <w:ind w:left="5020" w:hanging="360"/>
      </w:pPr>
    </w:lvl>
    <w:lvl w:ilvl="5" w:tentative="1">
      <w:start w:val="1"/>
      <w:numFmt w:val="lowerRoman"/>
      <w:lvlText w:val="%6."/>
      <w:lvlJc w:val="right"/>
      <w:pPr>
        <w:tabs>
          <w:tab w:val="num" w:pos="5740"/>
        </w:tabs>
        <w:ind w:left="5740" w:hanging="180"/>
      </w:pPr>
    </w:lvl>
    <w:lvl w:ilvl="6" w:tentative="1">
      <w:start w:val="1"/>
      <w:numFmt w:val="decimal"/>
      <w:lvlText w:val="%7."/>
      <w:lvlJc w:val="left"/>
      <w:pPr>
        <w:tabs>
          <w:tab w:val="num" w:pos="6460"/>
        </w:tabs>
        <w:ind w:left="6460" w:hanging="360"/>
      </w:pPr>
    </w:lvl>
    <w:lvl w:ilvl="7" w:tentative="1">
      <w:start w:val="1"/>
      <w:numFmt w:val="lowerLetter"/>
      <w:lvlText w:val="%8."/>
      <w:lvlJc w:val="left"/>
      <w:pPr>
        <w:tabs>
          <w:tab w:val="num" w:pos="7180"/>
        </w:tabs>
        <w:ind w:left="7180" w:hanging="360"/>
      </w:pPr>
    </w:lvl>
    <w:lvl w:ilvl="8" w:tentative="1">
      <w:start w:val="1"/>
      <w:numFmt w:val="lowerRoman"/>
      <w:lvlText w:val="%9."/>
      <w:lvlJc w:val="right"/>
      <w:pPr>
        <w:tabs>
          <w:tab w:val="num" w:pos="7900"/>
        </w:tabs>
        <w:ind w:left="7900" w:hanging="180"/>
      </w:pPr>
    </w:lvl>
  </w:abstractNum>
  <w:abstractNum w:abstractNumId="333">
    <w:nsid w:val="6A5D4069"/>
    <w:multiLevelType w:val="multilevel"/>
    <w:tmpl w:val="A1B41258"/>
    <w:lvl w:ilvl="0">
      <w:start w:val="5"/>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34">
    <w:nsid w:val="6A614CBB"/>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335">
    <w:nsid w:val="6A615036"/>
    <w:multiLevelType w:val="hybridMultilevel"/>
    <w:tmpl w:val="DB7CDA1C"/>
    <w:lvl w:ilvl="0">
      <w:start w:val="1"/>
      <w:numFmt w:val="bullet"/>
      <w:lvlText w:val=""/>
      <w:lvlJc w:val="left"/>
      <w:pPr>
        <w:tabs>
          <w:tab w:val="num" w:pos="1140"/>
        </w:tabs>
        <w:ind w:left="1140" w:hanging="360"/>
      </w:pPr>
      <w:rPr>
        <w:rFonts w:ascii="Symbol" w:hAnsi="Symbol" w:hint="default"/>
      </w:rPr>
    </w:lvl>
    <w:lvl w:ilvl="1" w:tentative="1">
      <w:start w:val="1"/>
      <w:numFmt w:val="bullet"/>
      <w:lvlText w:val="o"/>
      <w:lvlJc w:val="left"/>
      <w:pPr>
        <w:tabs>
          <w:tab w:val="num" w:pos="1860"/>
        </w:tabs>
        <w:ind w:left="1860" w:hanging="360"/>
      </w:pPr>
      <w:rPr>
        <w:rFonts w:ascii="Courier New" w:hAnsi="Courier New" w:cs="Courier New" w:hint="default"/>
      </w:rPr>
    </w:lvl>
    <w:lvl w:ilvl="2" w:tentative="1">
      <w:start w:val="1"/>
      <w:numFmt w:val="bullet"/>
      <w:lvlText w:val=""/>
      <w:lvlJc w:val="left"/>
      <w:pPr>
        <w:tabs>
          <w:tab w:val="num" w:pos="2580"/>
        </w:tabs>
        <w:ind w:left="2580" w:hanging="360"/>
      </w:pPr>
      <w:rPr>
        <w:rFonts w:ascii="Wingdings" w:hAnsi="Wingdings" w:hint="default"/>
      </w:rPr>
    </w:lvl>
    <w:lvl w:ilvl="3" w:tentative="1">
      <w:start w:val="1"/>
      <w:numFmt w:val="bullet"/>
      <w:lvlText w:val=""/>
      <w:lvlJc w:val="left"/>
      <w:pPr>
        <w:tabs>
          <w:tab w:val="num" w:pos="3300"/>
        </w:tabs>
        <w:ind w:left="3300" w:hanging="360"/>
      </w:pPr>
      <w:rPr>
        <w:rFonts w:ascii="Symbol" w:hAnsi="Symbol" w:hint="default"/>
      </w:rPr>
    </w:lvl>
    <w:lvl w:ilvl="4" w:tentative="1">
      <w:start w:val="1"/>
      <w:numFmt w:val="bullet"/>
      <w:lvlText w:val="o"/>
      <w:lvlJc w:val="left"/>
      <w:pPr>
        <w:tabs>
          <w:tab w:val="num" w:pos="4020"/>
        </w:tabs>
        <w:ind w:left="4020" w:hanging="360"/>
      </w:pPr>
      <w:rPr>
        <w:rFonts w:ascii="Courier New" w:hAnsi="Courier New" w:cs="Courier New" w:hint="default"/>
      </w:rPr>
    </w:lvl>
    <w:lvl w:ilvl="5" w:tentative="1">
      <w:start w:val="1"/>
      <w:numFmt w:val="bullet"/>
      <w:lvlText w:val=""/>
      <w:lvlJc w:val="left"/>
      <w:pPr>
        <w:tabs>
          <w:tab w:val="num" w:pos="4740"/>
        </w:tabs>
        <w:ind w:left="4740" w:hanging="360"/>
      </w:pPr>
      <w:rPr>
        <w:rFonts w:ascii="Wingdings" w:hAnsi="Wingdings" w:hint="default"/>
      </w:rPr>
    </w:lvl>
    <w:lvl w:ilvl="6" w:tentative="1">
      <w:start w:val="1"/>
      <w:numFmt w:val="bullet"/>
      <w:lvlText w:val=""/>
      <w:lvlJc w:val="left"/>
      <w:pPr>
        <w:tabs>
          <w:tab w:val="num" w:pos="5460"/>
        </w:tabs>
        <w:ind w:left="5460" w:hanging="360"/>
      </w:pPr>
      <w:rPr>
        <w:rFonts w:ascii="Symbol" w:hAnsi="Symbol" w:hint="default"/>
      </w:rPr>
    </w:lvl>
    <w:lvl w:ilvl="7" w:tentative="1">
      <w:start w:val="1"/>
      <w:numFmt w:val="bullet"/>
      <w:lvlText w:val="o"/>
      <w:lvlJc w:val="left"/>
      <w:pPr>
        <w:tabs>
          <w:tab w:val="num" w:pos="6180"/>
        </w:tabs>
        <w:ind w:left="6180" w:hanging="360"/>
      </w:pPr>
      <w:rPr>
        <w:rFonts w:ascii="Courier New" w:hAnsi="Courier New" w:cs="Courier New" w:hint="default"/>
      </w:rPr>
    </w:lvl>
    <w:lvl w:ilvl="8" w:tentative="1">
      <w:start w:val="1"/>
      <w:numFmt w:val="bullet"/>
      <w:lvlText w:val=""/>
      <w:lvlJc w:val="left"/>
      <w:pPr>
        <w:tabs>
          <w:tab w:val="num" w:pos="6900"/>
        </w:tabs>
        <w:ind w:left="6900" w:hanging="360"/>
      </w:pPr>
      <w:rPr>
        <w:rFonts w:ascii="Wingdings" w:hAnsi="Wingdings" w:hint="default"/>
      </w:rPr>
    </w:lvl>
  </w:abstractNum>
  <w:abstractNum w:abstractNumId="336">
    <w:nsid w:val="6A882513"/>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337">
    <w:nsid w:val="6A963E7B"/>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338">
    <w:nsid w:val="6AF20F15"/>
    <w:multiLevelType w:val="hybridMultilevel"/>
    <w:tmpl w:val="4E1AA2BE"/>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39">
    <w:nsid w:val="6BC93E6E"/>
    <w:multiLevelType w:val="hybridMultilevel"/>
    <w:tmpl w:val="894471B6"/>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40">
    <w:nsid w:val="6C0D01A7"/>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341">
    <w:nsid w:val="6C490D95"/>
    <w:multiLevelType w:val="hybridMultilevel"/>
    <w:tmpl w:val="75F0F1B8"/>
    <w:lvl w:ilvl="0">
      <w:start w:val="1"/>
      <w:numFmt w:val="bullet"/>
      <w:lvlText w:val=""/>
      <w:lvlJc w:val="left"/>
      <w:pPr>
        <w:tabs>
          <w:tab w:val="num" w:pos="1980"/>
        </w:tabs>
        <w:ind w:left="1980" w:hanging="360"/>
      </w:pPr>
      <w:rPr>
        <w:rFonts w:ascii="Symbol" w:hAnsi="Symbol" w:hint="default"/>
      </w:rPr>
    </w:lvl>
    <w:lvl w:ilvl="1" w:tentative="1">
      <w:start w:val="1"/>
      <w:numFmt w:val="bullet"/>
      <w:lvlText w:val="o"/>
      <w:lvlJc w:val="left"/>
      <w:pPr>
        <w:tabs>
          <w:tab w:val="num" w:pos="2700"/>
        </w:tabs>
        <w:ind w:left="2700" w:hanging="360"/>
      </w:pPr>
      <w:rPr>
        <w:rFonts w:ascii="Courier New" w:hAnsi="Courier New" w:hint="default"/>
      </w:rPr>
    </w:lvl>
    <w:lvl w:ilvl="2" w:tentative="1">
      <w:start w:val="1"/>
      <w:numFmt w:val="bullet"/>
      <w:lvlText w:val=""/>
      <w:lvlJc w:val="left"/>
      <w:pPr>
        <w:tabs>
          <w:tab w:val="num" w:pos="3420"/>
        </w:tabs>
        <w:ind w:left="3420" w:hanging="360"/>
      </w:pPr>
      <w:rPr>
        <w:rFonts w:ascii="Wingdings" w:hAnsi="Wingdings" w:hint="default"/>
      </w:rPr>
    </w:lvl>
    <w:lvl w:ilvl="3" w:tentative="1">
      <w:start w:val="1"/>
      <w:numFmt w:val="bullet"/>
      <w:lvlText w:val=""/>
      <w:lvlJc w:val="left"/>
      <w:pPr>
        <w:tabs>
          <w:tab w:val="num" w:pos="4140"/>
        </w:tabs>
        <w:ind w:left="4140" w:hanging="360"/>
      </w:pPr>
      <w:rPr>
        <w:rFonts w:ascii="Symbol" w:hAnsi="Symbol" w:hint="default"/>
      </w:rPr>
    </w:lvl>
    <w:lvl w:ilvl="4" w:tentative="1">
      <w:start w:val="1"/>
      <w:numFmt w:val="bullet"/>
      <w:lvlText w:val="o"/>
      <w:lvlJc w:val="left"/>
      <w:pPr>
        <w:tabs>
          <w:tab w:val="num" w:pos="4860"/>
        </w:tabs>
        <w:ind w:left="4860" w:hanging="360"/>
      </w:pPr>
      <w:rPr>
        <w:rFonts w:ascii="Courier New" w:hAnsi="Courier New" w:hint="default"/>
      </w:rPr>
    </w:lvl>
    <w:lvl w:ilvl="5" w:tentative="1">
      <w:start w:val="1"/>
      <w:numFmt w:val="bullet"/>
      <w:lvlText w:val=""/>
      <w:lvlJc w:val="left"/>
      <w:pPr>
        <w:tabs>
          <w:tab w:val="num" w:pos="5580"/>
        </w:tabs>
        <w:ind w:left="5580" w:hanging="360"/>
      </w:pPr>
      <w:rPr>
        <w:rFonts w:ascii="Wingdings" w:hAnsi="Wingdings" w:hint="default"/>
      </w:rPr>
    </w:lvl>
    <w:lvl w:ilvl="6" w:tentative="1">
      <w:start w:val="1"/>
      <w:numFmt w:val="bullet"/>
      <w:lvlText w:val=""/>
      <w:lvlJc w:val="left"/>
      <w:pPr>
        <w:tabs>
          <w:tab w:val="num" w:pos="6300"/>
        </w:tabs>
        <w:ind w:left="6300" w:hanging="360"/>
      </w:pPr>
      <w:rPr>
        <w:rFonts w:ascii="Symbol" w:hAnsi="Symbol" w:hint="default"/>
      </w:rPr>
    </w:lvl>
    <w:lvl w:ilvl="7" w:tentative="1">
      <w:start w:val="1"/>
      <w:numFmt w:val="bullet"/>
      <w:lvlText w:val="o"/>
      <w:lvlJc w:val="left"/>
      <w:pPr>
        <w:tabs>
          <w:tab w:val="num" w:pos="7020"/>
        </w:tabs>
        <w:ind w:left="7020" w:hanging="360"/>
      </w:pPr>
      <w:rPr>
        <w:rFonts w:ascii="Courier New" w:hAnsi="Courier New" w:hint="default"/>
      </w:rPr>
    </w:lvl>
    <w:lvl w:ilvl="8" w:tentative="1">
      <w:start w:val="1"/>
      <w:numFmt w:val="bullet"/>
      <w:lvlText w:val=""/>
      <w:lvlJc w:val="left"/>
      <w:pPr>
        <w:tabs>
          <w:tab w:val="num" w:pos="7740"/>
        </w:tabs>
        <w:ind w:left="7740" w:hanging="360"/>
      </w:pPr>
      <w:rPr>
        <w:rFonts w:ascii="Wingdings" w:hAnsi="Wingdings" w:hint="default"/>
      </w:rPr>
    </w:lvl>
  </w:abstractNum>
  <w:abstractNum w:abstractNumId="342">
    <w:nsid w:val="6CF425BC"/>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343">
    <w:nsid w:val="6E225593"/>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344">
    <w:nsid w:val="6E267CDB"/>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345">
    <w:nsid w:val="6F3B0C1D"/>
    <w:multiLevelType w:val="singleLevel"/>
    <w:tmpl w:val="8780E480"/>
    <w:lvl w:ilvl="0">
      <w:start w:val="1"/>
      <w:numFmt w:val="decimal"/>
      <w:lvlText w:val="%1."/>
      <w:lvlJc w:val="left"/>
      <w:pPr>
        <w:tabs>
          <w:tab w:val="num" w:pos="360"/>
        </w:tabs>
        <w:ind w:left="360" w:hanging="360"/>
      </w:pPr>
      <w:rPr>
        <w:b/>
        <w:i w:val="0"/>
      </w:rPr>
    </w:lvl>
  </w:abstractNum>
  <w:abstractNum w:abstractNumId="346">
    <w:nsid w:val="6F6966A8"/>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347">
    <w:nsid w:val="71634120"/>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348">
    <w:nsid w:val="71B87744"/>
    <w:multiLevelType w:val="hybridMultilevel"/>
    <w:tmpl w:val="F1FC0750"/>
    <w:lvl w:ilvl="0">
      <w:start w:val="1"/>
      <w:numFmt w:val="bullet"/>
      <w:lvlText w:val=""/>
      <w:lvlJc w:val="left"/>
      <w:pPr>
        <w:tabs>
          <w:tab w:val="num" w:pos="1260"/>
        </w:tabs>
        <w:ind w:left="1260" w:hanging="360"/>
      </w:pPr>
      <w:rPr>
        <w:rFonts w:ascii="Symbol" w:hAnsi="Symbol" w:hint="default"/>
      </w:rPr>
    </w:lvl>
    <w:lvl w:ilvl="1">
      <w:start w:val="1"/>
      <w:numFmt w:val="bullet"/>
      <w:lvlText w:val="o"/>
      <w:lvlJc w:val="left"/>
      <w:pPr>
        <w:tabs>
          <w:tab w:val="num" w:pos="2160"/>
        </w:tabs>
        <w:ind w:left="2160" w:hanging="360"/>
      </w:pPr>
      <w:rPr>
        <w:rFonts w:ascii="Courier New" w:hAnsi="Courier New" w:cs="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cs="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cs="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349">
    <w:nsid w:val="722E125C"/>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350">
    <w:nsid w:val="727259D3"/>
    <w:multiLevelType w:val="hybridMultilevel"/>
    <w:tmpl w:val="95AEAE7E"/>
    <w:lvl w:ilvl="0">
      <w:start w:val="3"/>
      <w:numFmt w:val="bullet"/>
      <w:lvlText w:val="-"/>
      <w:lvlJc w:val="left"/>
      <w:pPr>
        <w:tabs>
          <w:tab w:val="num" w:pos="2700"/>
        </w:tabs>
        <w:ind w:left="2700" w:hanging="360"/>
      </w:pPr>
      <w:rPr>
        <w:rFonts w:ascii="Times New Roman" w:eastAsia="Times" w:hAnsi="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51">
    <w:nsid w:val="731D6B4B"/>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352">
    <w:nsid w:val="73252ED0"/>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353">
    <w:nsid w:val="73BD7605"/>
    <w:multiLevelType w:val="singleLevel"/>
    <w:tmpl w:val="DA4C162A"/>
    <w:lvl w:ilvl="0">
      <w:start w:val="1"/>
      <w:numFmt w:val="decimal"/>
      <w:lvlText w:val="%1."/>
      <w:lvlJc w:val="left"/>
      <w:pPr>
        <w:tabs>
          <w:tab w:val="num" w:pos="1980"/>
        </w:tabs>
        <w:ind w:left="1980" w:hanging="360"/>
      </w:pPr>
      <w:rPr>
        <w:rFonts w:ascii="Verdana" w:hAnsi="Verdana" w:hint="default"/>
        <w:sz w:val="20"/>
      </w:rPr>
    </w:lvl>
  </w:abstractNum>
  <w:abstractNum w:abstractNumId="354">
    <w:nsid w:val="74EC5B8A"/>
    <w:multiLevelType w:val="hybridMultilevel"/>
    <w:tmpl w:val="6A20D574"/>
    <w:lvl w:ilvl="0">
      <w:start w:val="1"/>
      <w:numFmt w:val="decimal"/>
      <w:lvlText w:val="%1."/>
      <w:lvlJc w:val="left"/>
      <w:pPr>
        <w:tabs>
          <w:tab w:val="num" w:pos="720"/>
        </w:tabs>
        <w:ind w:left="720" w:hanging="360"/>
      </w:pPr>
      <w:rPr>
        <w:rFonts w:hint="default"/>
        <w:b/>
        <w:sz w:val="28"/>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55">
    <w:nsid w:val="74F3689C"/>
    <w:multiLevelType w:val="multilevel"/>
    <w:tmpl w:val="F9A0388E"/>
    <w:lvl w:ilvl="0">
      <w:start w:val="1"/>
      <w:numFmt w:val="bullet"/>
      <w:lvlText w:val=""/>
      <w:lvlJc w:val="left"/>
      <w:pPr>
        <w:tabs>
          <w:tab w:val="num" w:pos="960"/>
        </w:tabs>
        <w:ind w:left="960" w:hanging="360"/>
      </w:pPr>
      <w:rPr>
        <w:rFonts w:ascii="Symbol" w:hAnsi="Symbol" w:hint="default"/>
      </w:rPr>
    </w:lvl>
    <w:lvl w:ilvl="1" w:tentative="1">
      <w:start w:val="1"/>
      <w:numFmt w:val="bullet"/>
      <w:lvlText w:val="o"/>
      <w:lvlJc w:val="left"/>
      <w:pPr>
        <w:tabs>
          <w:tab w:val="num" w:pos="1680"/>
        </w:tabs>
        <w:ind w:left="1680" w:hanging="360"/>
      </w:pPr>
      <w:rPr>
        <w:rFonts w:ascii="Courier New" w:hAnsi="Courier New" w:hint="default"/>
      </w:rPr>
    </w:lvl>
    <w:lvl w:ilvl="2" w:tentative="1">
      <w:start w:val="1"/>
      <w:numFmt w:val="bullet"/>
      <w:lvlText w:val=""/>
      <w:lvlJc w:val="left"/>
      <w:pPr>
        <w:tabs>
          <w:tab w:val="num" w:pos="2400"/>
        </w:tabs>
        <w:ind w:left="2400" w:hanging="360"/>
      </w:pPr>
      <w:rPr>
        <w:rFonts w:ascii="Wingdings" w:hAnsi="Wingdings" w:hint="default"/>
      </w:rPr>
    </w:lvl>
    <w:lvl w:ilvl="3" w:tentative="1">
      <w:start w:val="1"/>
      <w:numFmt w:val="bullet"/>
      <w:lvlText w:val=""/>
      <w:lvlJc w:val="left"/>
      <w:pPr>
        <w:tabs>
          <w:tab w:val="num" w:pos="3120"/>
        </w:tabs>
        <w:ind w:left="3120" w:hanging="360"/>
      </w:pPr>
      <w:rPr>
        <w:rFonts w:ascii="Symbol" w:hAnsi="Symbol" w:hint="default"/>
      </w:rPr>
    </w:lvl>
    <w:lvl w:ilvl="4" w:tentative="1">
      <w:start w:val="1"/>
      <w:numFmt w:val="bullet"/>
      <w:lvlText w:val="o"/>
      <w:lvlJc w:val="left"/>
      <w:pPr>
        <w:tabs>
          <w:tab w:val="num" w:pos="3840"/>
        </w:tabs>
        <w:ind w:left="3840" w:hanging="360"/>
      </w:pPr>
      <w:rPr>
        <w:rFonts w:ascii="Courier New" w:hAnsi="Courier New" w:hint="default"/>
      </w:rPr>
    </w:lvl>
    <w:lvl w:ilvl="5" w:tentative="1">
      <w:start w:val="1"/>
      <w:numFmt w:val="bullet"/>
      <w:lvlText w:val=""/>
      <w:lvlJc w:val="left"/>
      <w:pPr>
        <w:tabs>
          <w:tab w:val="num" w:pos="4560"/>
        </w:tabs>
        <w:ind w:left="4560" w:hanging="360"/>
      </w:pPr>
      <w:rPr>
        <w:rFonts w:ascii="Wingdings" w:hAnsi="Wingdings" w:hint="default"/>
      </w:rPr>
    </w:lvl>
    <w:lvl w:ilvl="6" w:tentative="1">
      <w:start w:val="1"/>
      <w:numFmt w:val="bullet"/>
      <w:lvlText w:val=""/>
      <w:lvlJc w:val="left"/>
      <w:pPr>
        <w:tabs>
          <w:tab w:val="num" w:pos="5280"/>
        </w:tabs>
        <w:ind w:left="5280" w:hanging="360"/>
      </w:pPr>
      <w:rPr>
        <w:rFonts w:ascii="Symbol" w:hAnsi="Symbol" w:hint="default"/>
      </w:rPr>
    </w:lvl>
    <w:lvl w:ilvl="7" w:tentative="1">
      <w:start w:val="1"/>
      <w:numFmt w:val="bullet"/>
      <w:lvlText w:val="o"/>
      <w:lvlJc w:val="left"/>
      <w:pPr>
        <w:tabs>
          <w:tab w:val="num" w:pos="6000"/>
        </w:tabs>
        <w:ind w:left="6000" w:hanging="360"/>
      </w:pPr>
      <w:rPr>
        <w:rFonts w:ascii="Courier New" w:hAnsi="Courier New" w:hint="default"/>
      </w:rPr>
    </w:lvl>
    <w:lvl w:ilvl="8" w:tentative="1">
      <w:start w:val="1"/>
      <w:numFmt w:val="bullet"/>
      <w:lvlText w:val=""/>
      <w:lvlJc w:val="left"/>
      <w:pPr>
        <w:tabs>
          <w:tab w:val="num" w:pos="6720"/>
        </w:tabs>
        <w:ind w:left="6720" w:hanging="360"/>
      </w:pPr>
      <w:rPr>
        <w:rFonts w:ascii="Wingdings" w:hAnsi="Wingdings" w:hint="default"/>
      </w:rPr>
    </w:lvl>
  </w:abstractNum>
  <w:abstractNum w:abstractNumId="356">
    <w:nsid w:val="754F395A"/>
    <w:multiLevelType w:val="hybridMultilevel"/>
    <w:tmpl w:val="F5C2AB3A"/>
    <w:lvl w:ilvl="0">
      <w:start w:val="3"/>
      <w:numFmt w:val="bullet"/>
      <w:lvlText w:val="-"/>
      <w:lvlJc w:val="left"/>
      <w:pPr>
        <w:tabs>
          <w:tab w:val="num" w:pos="2700"/>
        </w:tabs>
        <w:ind w:left="2700" w:hanging="360"/>
      </w:pPr>
      <w:rPr>
        <w:rFonts w:ascii="Times New Roman" w:eastAsia="Times" w:hAnsi="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57">
    <w:nsid w:val="755626AF"/>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358">
    <w:nsid w:val="75906F4A"/>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359">
    <w:nsid w:val="75910A8D"/>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360">
    <w:nsid w:val="759B1F7D"/>
    <w:multiLevelType w:val="singleLevel"/>
    <w:tmpl w:val="80BE68FC"/>
    <w:lvl w:ilvl="0">
      <w:start w:val="1"/>
      <w:numFmt w:val="decimal"/>
      <w:lvlText w:val="%1."/>
      <w:lvlJc w:val="left"/>
      <w:pPr>
        <w:tabs>
          <w:tab w:val="num" w:pos="1800"/>
        </w:tabs>
        <w:ind w:left="1800" w:hanging="360"/>
      </w:pPr>
      <w:rPr>
        <w:rFonts w:hint="default"/>
      </w:rPr>
    </w:lvl>
  </w:abstractNum>
  <w:abstractNum w:abstractNumId="361">
    <w:nsid w:val="75A04C72"/>
    <w:multiLevelType w:val="hybridMultilevel"/>
    <w:tmpl w:val="CB2CE3E2"/>
    <w:lvl w:ilvl="0">
      <w:start w:val="1"/>
      <w:numFmt w:val="decimal"/>
      <w:lvlText w:val="%1."/>
      <w:lvlJc w:val="left"/>
      <w:pPr>
        <w:tabs>
          <w:tab w:val="num" w:pos="840"/>
        </w:tabs>
        <w:ind w:left="840" w:hanging="480"/>
      </w:pPr>
      <w:rPr>
        <w:rFonts w:hint="default"/>
      </w:rPr>
    </w:lvl>
    <w:lvl w:ilvl="1">
      <w:start w:val="1"/>
      <w:numFmt w:val="bullet"/>
      <w:lvlText w:val=""/>
      <w:lvlJc w:val="left"/>
      <w:pPr>
        <w:tabs>
          <w:tab w:val="num" w:pos="1440"/>
        </w:tabs>
        <w:ind w:left="1440" w:hanging="360"/>
      </w:pPr>
      <w:rPr>
        <w:rFonts w:ascii="Symbol" w:hAnsi="Symbol"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62">
    <w:nsid w:val="760443CF"/>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363">
    <w:nsid w:val="7659777F"/>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364">
    <w:nsid w:val="765C6E25"/>
    <w:multiLevelType w:val="hybridMultilevel"/>
    <w:tmpl w:val="B346FC7C"/>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cs="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365">
    <w:nsid w:val="76DD55F9"/>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366">
    <w:nsid w:val="77001C29"/>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367">
    <w:nsid w:val="77444433"/>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368">
    <w:nsid w:val="777B060A"/>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369">
    <w:nsid w:val="77AF40EC"/>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370">
    <w:nsid w:val="7827385E"/>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371">
    <w:nsid w:val="784655EF"/>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372">
    <w:nsid w:val="78727D1A"/>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373">
    <w:nsid w:val="78E545A2"/>
    <w:multiLevelType w:val="hybridMultilevel"/>
    <w:tmpl w:val="5D3AFA8A"/>
    <w:lvl w:ilvl="0">
      <w:start w:val="5"/>
      <w:numFmt w:val="decimal"/>
      <w:lvlText w:val="%1."/>
      <w:lvlJc w:val="left"/>
      <w:pPr>
        <w:tabs>
          <w:tab w:val="num" w:pos="924"/>
        </w:tabs>
        <w:ind w:left="924" w:hanging="564"/>
      </w:pPr>
      <w:rPr>
        <w:rFonts w:hint="default"/>
      </w:rPr>
    </w:lvl>
    <w:lvl w:ilvl="1">
      <w:start w:val="9"/>
      <w:numFmt w:val="decimal"/>
      <w:lvlText w:val="(%2)"/>
      <w:lvlJc w:val="left"/>
      <w:pPr>
        <w:tabs>
          <w:tab w:val="num" w:pos="1464"/>
        </w:tabs>
        <w:ind w:left="1464" w:hanging="384"/>
      </w:pPr>
      <w:rPr>
        <w:rFonts w:hint="default"/>
      </w:rPr>
    </w:lvl>
    <w:lvl w:ilvl="2">
      <w:start w:val="1"/>
      <w:numFmt w:val="upperRoman"/>
      <w:lvlText w:val="%3."/>
      <w:lvlJc w:val="left"/>
      <w:pPr>
        <w:tabs>
          <w:tab w:val="num" w:pos="2700"/>
        </w:tabs>
        <w:ind w:left="2700" w:hanging="720"/>
      </w:pPr>
      <w:rPr>
        <w:rFont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74">
    <w:nsid w:val="78EA757C"/>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375">
    <w:nsid w:val="794D572A"/>
    <w:multiLevelType w:val="singleLevel"/>
    <w:tmpl w:val="8780E480"/>
    <w:lvl w:ilvl="0">
      <w:start w:val="1"/>
      <w:numFmt w:val="decimal"/>
      <w:lvlText w:val="%1."/>
      <w:lvlJc w:val="left"/>
      <w:pPr>
        <w:tabs>
          <w:tab w:val="num" w:pos="360"/>
        </w:tabs>
        <w:ind w:left="360" w:hanging="360"/>
      </w:pPr>
      <w:rPr>
        <w:b/>
        <w:i w:val="0"/>
      </w:rPr>
    </w:lvl>
  </w:abstractNum>
  <w:abstractNum w:abstractNumId="376">
    <w:nsid w:val="794E7106"/>
    <w:multiLevelType w:val="multilevel"/>
    <w:tmpl w:val="A5C60F02"/>
    <w:lvl w:ilvl="0">
      <w:start w:val="1"/>
      <w:numFmt w:val="bullet"/>
      <w:lvlText w:val=""/>
      <w:lvlJc w:val="left"/>
      <w:pPr>
        <w:tabs>
          <w:tab w:val="num" w:pos="1020"/>
        </w:tabs>
        <w:ind w:left="1020" w:hanging="360"/>
      </w:pPr>
      <w:rPr>
        <w:rFonts w:ascii="Symbol" w:hAnsi="Symbol" w:hint="default"/>
      </w:rPr>
    </w:lvl>
    <w:lvl w:ilvl="1" w:tentative="1">
      <w:start w:val="1"/>
      <w:numFmt w:val="bullet"/>
      <w:lvlText w:val="o"/>
      <w:lvlJc w:val="left"/>
      <w:pPr>
        <w:tabs>
          <w:tab w:val="num" w:pos="1740"/>
        </w:tabs>
        <w:ind w:left="1740" w:hanging="360"/>
      </w:pPr>
      <w:rPr>
        <w:rFonts w:ascii="Courier New" w:hAnsi="Courier New" w:hint="default"/>
      </w:rPr>
    </w:lvl>
    <w:lvl w:ilvl="2" w:tentative="1">
      <w:start w:val="1"/>
      <w:numFmt w:val="bullet"/>
      <w:lvlText w:val=""/>
      <w:lvlJc w:val="left"/>
      <w:pPr>
        <w:tabs>
          <w:tab w:val="num" w:pos="2460"/>
        </w:tabs>
        <w:ind w:left="2460" w:hanging="360"/>
      </w:pPr>
      <w:rPr>
        <w:rFonts w:ascii="Wingdings" w:hAnsi="Wingdings" w:hint="default"/>
      </w:rPr>
    </w:lvl>
    <w:lvl w:ilvl="3" w:tentative="1">
      <w:start w:val="1"/>
      <w:numFmt w:val="bullet"/>
      <w:lvlText w:val=""/>
      <w:lvlJc w:val="left"/>
      <w:pPr>
        <w:tabs>
          <w:tab w:val="num" w:pos="3180"/>
        </w:tabs>
        <w:ind w:left="3180" w:hanging="360"/>
      </w:pPr>
      <w:rPr>
        <w:rFonts w:ascii="Symbol" w:hAnsi="Symbol" w:hint="default"/>
      </w:rPr>
    </w:lvl>
    <w:lvl w:ilvl="4" w:tentative="1">
      <w:start w:val="1"/>
      <w:numFmt w:val="bullet"/>
      <w:lvlText w:val="o"/>
      <w:lvlJc w:val="left"/>
      <w:pPr>
        <w:tabs>
          <w:tab w:val="num" w:pos="3900"/>
        </w:tabs>
        <w:ind w:left="3900" w:hanging="360"/>
      </w:pPr>
      <w:rPr>
        <w:rFonts w:ascii="Courier New" w:hAnsi="Courier New" w:hint="default"/>
      </w:rPr>
    </w:lvl>
    <w:lvl w:ilvl="5" w:tentative="1">
      <w:start w:val="1"/>
      <w:numFmt w:val="bullet"/>
      <w:lvlText w:val=""/>
      <w:lvlJc w:val="left"/>
      <w:pPr>
        <w:tabs>
          <w:tab w:val="num" w:pos="4620"/>
        </w:tabs>
        <w:ind w:left="4620" w:hanging="360"/>
      </w:pPr>
      <w:rPr>
        <w:rFonts w:ascii="Wingdings" w:hAnsi="Wingdings" w:hint="default"/>
      </w:rPr>
    </w:lvl>
    <w:lvl w:ilvl="6" w:tentative="1">
      <w:start w:val="1"/>
      <w:numFmt w:val="bullet"/>
      <w:lvlText w:val=""/>
      <w:lvlJc w:val="left"/>
      <w:pPr>
        <w:tabs>
          <w:tab w:val="num" w:pos="5340"/>
        </w:tabs>
        <w:ind w:left="5340" w:hanging="360"/>
      </w:pPr>
      <w:rPr>
        <w:rFonts w:ascii="Symbol" w:hAnsi="Symbol" w:hint="default"/>
      </w:rPr>
    </w:lvl>
    <w:lvl w:ilvl="7" w:tentative="1">
      <w:start w:val="1"/>
      <w:numFmt w:val="bullet"/>
      <w:lvlText w:val="o"/>
      <w:lvlJc w:val="left"/>
      <w:pPr>
        <w:tabs>
          <w:tab w:val="num" w:pos="6060"/>
        </w:tabs>
        <w:ind w:left="6060" w:hanging="360"/>
      </w:pPr>
      <w:rPr>
        <w:rFonts w:ascii="Courier New" w:hAnsi="Courier New" w:hint="default"/>
      </w:rPr>
    </w:lvl>
    <w:lvl w:ilvl="8" w:tentative="1">
      <w:start w:val="1"/>
      <w:numFmt w:val="bullet"/>
      <w:lvlText w:val=""/>
      <w:lvlJc w:val="left"/>
      <w:pPr>
        <w:tabs>
          <w:tab w:val="num" w:pos="6780"/>
        </w:tabs>
        <w:ind w:left="6780" w:hanging="360"/>
      </w:pPr>
      <w:rPr>
        <w:rFonts w:ascii="Wingdings" w:hAnsi="Wingdings" w:hint="default"/>
      </w:rPr>
    </w:lvl>
  </w:abstractNum>
  <w:abstractNum w:abstractNumId="377">
    <w:nsid w:val="7993549B"/>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378">
    <w:nsid w:val="79C413F4"/>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379">
    <w:nsid w:val="7A241539"/>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380">
    <w:nsid w:val="7A8F1DE6"/>
    <w:multiLevelType w:val="hybridMultilevel"/>
    <w:tmpl w:val="8214B502"/>
    <w:lvl w:ilvl="0">
      <w:start w:val="1"/>
      <w:numFmt w:val="bullet"/>
      <w:lvlText w:val=""/>
      <w:lvlJc w:val="left"/>
      <w:pPr>
        <w:tabs>
          <w:tab w:val="num" w:pos="1003"/>
        </w:tabs>
        <w:ind w:left="1003" w:hanging="360"/>
      </w:pPr>
      <w:rPr>
        <w:rFonts w:ascii="Symbol" w:hAnsi="Symbol" w:hint="default"/>
      </w:rPr>
    </w:lvl>
    <w:lvl w:ilvl="1" w:tentative="1">
      <w:start w:val="1"/>
      <w:numFmt w:val="bullet"/>
      <w:lvlText w:val="o"/>
      <w:lvlJc w:val="left"/>
      <w:pPr>
        <w:tabs>
          <w:tab w:val="num" w:pos="1723"/>
        </w:tabs>
        <w:ind w:left="1723" w:hanging="360"/>
      </w:pPr>
      <w:rPr>
        <w:rFonts w:ascii="Courier New" w:hAnsi="Courier New" w:cs="Courier New" w:hint="default"/>
      </w:rPr>
    </w:lvl>
    <w:lvl w:ilvl="2" w:tentative="1">
      <w:start w:val="1"/>
      <w:numFmt w:val="bullet"/>
      <w:lvlText w:val=""/>
      <w:lvlJc w:val="left"/>
      <w:pPr>
        <w:tabs>
          <w:tab w:val="num" w:pos="2443"/>
        </w:tabs>
        <w:ind w:left="2443" w:hanging="360"/>
      </w:pPr>
      <w:rPr>
        <w:rFonts w:ascii="Wingdings" w:hAnsi="Wingdings" w:hint="default"/>
      </w:rPr>
    </w:lvl>
    <w:lvl w:ilvl="3" w:tentative="1">
      <w:start w:val="1"/>
      <w:numFmt w:val="bullet"/>
      <w:lvlText w:val=""/>
      <w:lvlJc w:val="left"/>
      <w:pPr>
        <w:tabs>
          <w:tab w:val="num" w:pos="3163"/>
        </w:tabs>
        <w:ind w:left="3163" w:hanging="360"/>
      </w:pPr>
      <w:rPr>
        <w:rFonts w:ascii="Symbol" w:hAnsi="Symbol" w:hint="default"/>
      </w:rPr>
    </w:lvl>
    <w:lvl w:ilvl="4" w:tentative="1">
      <w:start w:val="1"/>
      <w:numFmt w:val="bullet"/>
      <w:lvlText w:val="o"/>
      <w:lvlJc w:val="left"/>
      <w:pPr>
        <w:tabs>
          <w:tab w:val="num" w:pos="3883"/>
        </w:tabs>
        <w:ind w:left="3883" w:hanging="360"/>
      </w:pPr>
      <w:rPr>
        <w:rFonts w:ascii="Courier New" w:hAnsi="Courier New" w:cs="Courier New" w:hint="default"/>
      </w:rPr>
    </w:lvl>
    <w:lvl w:ilvl="5" w:tentative="1">
      <w:start w:val="1"/>
      <w:numFmt w:val="bullet"/>
      <w:lvlText w:val=""/>
      <w:lvlJc w:val="left"/>
      <w:pPr>
        <w:tabs>
          <w:tab w:val="num" w:pos="4603"/>
        </w:tabs>
        <w:ind w:left="4603" w:hanging="360"/>
      </w:pPr>
      <w:rPr>
        <w:rFonts w:ascii="Wingdings" w:hAnsi="Wingdings" w:hint="default"/>
      </w:rPr>
    </w:lvl>
    <w:lvl w:ilvl="6" w:tentative="1">
      <w:start w:val="1"/>
      <w:numFmt w:val="bullet"/>
      <w:lvlText w:val=""/>
      <w:lvlJc w:val="left"/>
      <w:pPr>
        <w:tabs>
          <w:tab w:val="num" w:pos="5323"/>
        </w:tabs>
        <w:ind w:left="5323" w:hanging="360"/>
      </w:pPr>
      <w:rPr>
        <w:rFonts w:ascii="Symbol" w:hAnsi="Symbol" w:hint="default"/>
      </w:rPr>
    </w:lvl>
    <w:lvl w:ilvl="7" w:tentative="1">
      <w:start w:val="1"/>
      <w:numFmt w:val="bullet"/>
      <w:lvlText w:val="o"/>
      <w:lvlJc w:val="left"/>
      <w:pPr>
        <w:tabs>
          <w:tab w:val="num" w:pos="6043"/>
        </w:tabs>
        <w:ind w:left="6043" w:hanging="360"/>
      </w:pPr>
      <w:rPr>
        <w:rFonts w:ascii="Courier New" w:hAnsi="Courier New" w:cs="Courier New" w:hint="default"/>
      </w:rPr>
    </w:lvl>
    <w:lvl w:ilvl="8" w:tentative="1">
      <w:start w:val="1"/>
      <w:numFmt w:val="bullet"/>
      <w:lvlText w:val=""/>
      <w:lvlJc w:val="left"/>
      <w:pPr>
        <w:tabs>
          <w:tab w:val="num" w:pos="6763"/>
        </w:tabs>
        <w:ind w:left="6763" w:hanging="360"/>
      </w:pPr>
      <w:rPr>
        <w:rFonts w:ascii="Wingdings" w:hAnsi="Wingdings" w:hint="default"/>
      </w:rPr>
    </w:lvl>
  </w:abstractNum>
  <w:abstractNum w:abstractNumId="381">
    <w:nsid w:val="7B2F7CE9"/>
    <w:multiLevelType w:val="hybridMultilevel"/>
    <w:tmpl w:val="B65EB0C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82">
    <w:nsid w:val="7B5534C7"/>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383">
    <w:nsid w:val="7B956931"/>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384">
    <w:nsid w:val="7BCE59DE"/>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385">
    <w:nsid w:val="7BD0377D"/>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386">
    <w:nsid w:val="7C290F27"/>
    <w:multiLevelType w:val="hybridMultilevel"/>
    <w:tmpl w:val="3FA053A2"/>
    <w:lvl w:ilvl="0">
      <w:start w:val="7"/>
      <w:numFmt w:val="lowerLetter"/>
      <w:lvlText w:val="%1)"/>
      <w:lvlJc w:val="left"/>
      <w:pPr>
        <w:tabs>
          <w:tab w:val="num" w:pos="840"/>
        </w:tabs>
        <w:ind w:left="840" w:hanging="480"/>
      </w:pPr>
      <w:rPr>
        <w:rFonts w:hint="default"/>
        <w:i w:val="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87">
    <w:nsid w:val="7C5638A0"/>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388">
    <w:nsid w:val="7C70256D"/>
    <w:multiLevelType w:val="hybridMultilevel"/>
    <w:tmpl w:val="FE78FA4A"/>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cs="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389">
    <w:nsid w:val="7D24112F"/>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390">
    <w:nsid w:val="7D3A7041"/>
    <w:multiLevelType w:val="singleLevel"/>
    <w:tmpl w:val="558A0D0A"/>
    <w:lvl w:ilvl="0">
      <w:start w:val="1"/>
      <w:numFmt w:val="decimal"/>
      <w:lvlText w:val="%1."/>
      <w:lvlJc w:val="left"/>
      <w:pPr>
        <w:tabs>
          <w:tab w:val="num" w:pos="360"/>
        </w:tabs>
        <w:ind w:left="360" w:hanging="360"/>
      </w:pPr>
      <w:rPr>
        <w:b/>
        <w:i w:val="0"/>
      </w:rPr>
    </w:lvl>
  </w:abstractNum>
  <w:abstractNum w:abstractNumId="391">
    <w:nsid w:val="7D9A51CA"/>
    <w:multiLevelType w:val="hybridMultilevel"/>
    <w:tmpl w:val="F6388E9A"/>
    <w:lvl w:ilvl="0">
      <w:start w:val="1"/>
      <w:numFmt w:val="bullet"/>
      <w:lvlText w:val=""/>
      <w:lvlJc w:val="left"/>
      <w:pPr>
        <w:tabs>
          <w:tab w:val="num" w:pos="1440"/>
        </w:tabs>
        <w:ind w:left="1440" w:hanging="360"/>
      </w:pPr>
      <w:rPr>
        <w:rFonts w:ascii="Symbol" w:hAnsi="Symbol" w:hint="default"/>
      </w:rPr>
    </w:lvl>
    <w:lvl w:ilvl="1" w:tentative="1">
      <w:start w:val="1"/>
      <w:numFmt w:val="bullet"/>
      <w:lvlText w:val="o"/>
      <w:lvlJc w:val="left"/>
      <w:pPr>
        <w:tabs>
          <w:tab w:val="num" w:pos="2160"/>
        </w:tabs>
        <w:ind w:left="2160" w:hanging="360"/>
      </w:pPr>
      <w:rPr>
        <w:rFonts w:ascii="Courier New" w:hAnsi="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392">
    <w:nsid w:val="7DB131BC"/>
    <w:multiLevelType w:val="hybridMultilevel"/>
    <w:tmpl w:val="57362294"/>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cs="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393">
    <w:nsid w:val="7DB9674F"/>
    <w:multiLevelType w:val="hybridMultilevel"/>
    <w:tmpl w:val="975E7E24"/>
    <w:lvl w:ilvl="0">
      <w:start w:val="1"/>
      <w:numFmt w:val="bullet"/>
      <w:lvlText w:val=""/>
      <w:lvlJc w:val="left"/>
      <w:pPr>
        <w:tabs>
          <w:tab w:val="num" w:pos="1428"/>
        </w:tabs>
        <w:ind w:left="1428" w:hanging="360"/>
      </w:pPr>
      <w:rPr>
        <w:rFonts w:ascii="Symbol" w:hAnsi="Symbol" w:hint="default"/>
      </w:rPr>
    </w:lvl>
    <w:lvl w:ilvl="1" w:tentative="1">
      <w:start w:val="1"/>
      <w:numFmt w:val="bullet"/>
      <w:lvlText w:val="o"/>
      <w:lvlJc w:val="left"/>
      <w:pPr>
        <w:tabs>
          <w:tab w:val="num" w:pos="2148"/>
        </w:tabs>
        <w:ind w:left="2148" w:hanging="360"/>
      </w:pPr>
      <w:rPr>
        <w:rFonts w:ascii="Courier New" w:hAnsi="Courier New" w:cs="Courier New" w:hint="default"/>
      </w:rPr>
    </w:lvl>
    <w:lvl w:ilvl="2" w:tentative="1">
      <w:start w:val="1"/>
      <w:numFmt w:val="bullet"/>
      <w:lvlText w:val=""/>
      <w:lvlJc w:val="left"/>
      <w:pPr>
        <w:tabs>
          <w:tab w:val="num" w:pos="2868"/>
        </w:tabs>
        <w:ind w:left="2868" w:hanging="360"/>
      </w:pPr>
      <w:rPr>
        <w:rFonts w:ascii="Wingdings" w:hAnsi="Wingdings" w:hint="default"/>
      </w:rPr>
    </w:lvl>
    <w:lvl w:ilvl="3" w:tentative="1">
      <w:start w:val="1"/>
      <w:numFmt w:val="bullet"/>
      <w:lvlText w:val=""/>
      <w:lvlJc w:val="left"/>
      <w:pPr>
        <w:tabs>
          <w:tab w:val="num" w:pos="3588"/>
        </w:tabs>
        <w:ind w:left="3588" w:hanging="360"/>
      </w:pPr>
      <w:rPr>
        <w:rFonts w:ascii="Symbol" w:hAnsi="Symbol" w:hint="default"/>
      </w:rPr>
    </w:lvl>
    <w:lvl w:ilvl="4" w:tentative="1">
      <w:start w:val="1"/>
      <w:numFmt w:val="bullet"/>
      <w:lvlText w:val="o"/>
      <w:lvlJc w:val="left"/>
      <w:pPr>
        <w:tabs>
          <w:tab w:val="num" w:pos="4308"/>
        </w:tabs>
        <w:ind w:left="4308" w:hanging="360"/>
      </w:pPr>
      <w:rPr>
        <w:rFonts w:ascii="Courier New" w:hAnsi="Courier New" w:cs="Courier New" w:hint="default"/>
      </w:rPr>
    </w:lvl>
    <w:lvl w:ilvl="5" w:tentative="1">
      <w:start w:val="1"/>
      <w:numFmt w:val="bullet"/>
      <w:lvlText w:val=""/>
      <w:lvlJc w:val="left"/>
      <w:pPr>
        <w:tabs>
          <w:tab w:val="num" w:pos="5028"/>
        </w:tabs>
        <w:ind w:left="5028" w:hanging="360"/>
      </w:pPr>
      <w:rPr>
        <w:rFonts w:ascii="Wingdings" w:hAnsi="Wingdings" w:hint="default"/>
      </w:rPr>
    </w:lvl>
    <w:lvl w:ilvl="6" w:tentative="1">
      <w:start w:val="1"/>
      <w:numFmt w:val="bullet"/>
      <w:lvlText w:val=""/>
      <w:lvlJc w:val="left"/>
      <w:pPr>
        <w:tabs>
          <w:tab w:val="num" w:pos="5748"/>
        </w:tabs>
        <w:ind w:left="5748" w:hanging="360"/>
      </w:pPr>
      <w:rPr>
        <w:rFonts w:ascii="Symbol" w:hAnsi="Symbol" w:hint="default"/>
      </w:rPr>
    </w:lvl>
    <w:lvl w:ilvl="7" w:tentative="1">
      <w:start w:val="1"/>
      <w:numFmt w:val="bullet"/>
      <w:lvlText w:val="o"/>
      <w:lvlJc w:val="left"/>
      <w:pPr>
        <w:tabs>
          <w:tab w:val="num" w:pos="6468"/>
        </w:tabs>
        <w:ind w:left="6468" w:hanging="360"/>
      </w:pPr>
      <w:rPr>
        <w:rFonts w:ascii="Courier New" w:hAnsi="Courier New" w:cs="Courier New" w:hint="default"/>
      </w:rPr>
    </w:lvl>
    <w:lvl w:ilvl="8" w:tentative="1">
      <w:start w:val="1"/>
      <w:numFmt w:val="bullet"/>
      <w:lvlText w:val=""/>
      <w:lvlJc w:val="left"/>
      <w:pPr>
        <w:tabs>
          <w:tab w:val="num" w:pos="7188"/>
        </w:tabs>
        <w:ind w:left="7188" w:hanging="360"/>
      </w:pPr>
      <w:rPr>
        <w:rFonts w:ascii="Wingdings" w:hAnsi="Wingdings" w:hint="default"/>
      </w:rPr>
    </w:lvl>
  </w:abstractNum>
  <w:abstractNum w:abstractNumId="394">
    <w:nsid w:val="7DDA5B07"/>
    <w:multiLevelType w:val="hybridMultilevel"/>
    <w:tmpl w:val="CD5E1350"/>
    <w:lvl w:ilvl="0">
      <w:start w:val="1"/>
      <w:numFmt w:val="bullet"/>
      <w:lvlText w:val=""/>
      <w:lvlJc w:val="left"/>
      <w:pPr>
        <w:tabs>
          <w:tab w:val="num" w:pos="1620"/>
        </w:tabs>
        <w:ind w:left="1620" w:hanging="360"/>
      </w:pPr>
      <w:rPr>
        <w:rFonts w:ascii="Symbol" w:hAnsi="Symbol" w:hint="default"/>
      </w:rPr>
    </w:lvl>
    <w:lvl w:ilvl="1" w:tentative="1">
      <w:start w:val="1"/>
      <w:numFmt w:val="bullet"/>
      <w:lvlText w:val="o"/>
      <w:lvlJc w:val="left"/>
      <w:pPr>
        <w:tabs>
          <w:tab w:val="num" w:pos="2340"/>
        </w:tabs>
        <w:ind w:left="2340" w:hanging="360"/>
      </w:pPr>
      <w:rPr>
        <w:rFonts w:ascii="Courier New" w:hAnsi="Courier New" w:cs="Courier New" w:hint="default"/>
      </w:rPr>
    </w:lvl>
    <w:lvl w:ilvl="2" w:tentative="1">
      <w:start w:val="1"/>
      <w:numFmt w:val="bullet"/>
      <w:lvlText w:val=""/>
      <w:lvlJc w:val="left"/>
      <w:pPr>
        <w:tabs>
          <w:tab w:val="num" w:pos="3060"/>
        </w:tabs>
        <w:ind w:left="3060" w:hanging="360"/>
      </w:pPr>
      <w:rPr>
        <w:rFonts w:ascii="Wingdings" w:hAnsi="Wingdings" w:hint="default"/>
      </w:rPr>
    </w:lvl>
    <w:lvl w:ilvl="3" w:tentative="1">
      <w:start w:val="1"/>
      <w:numFmt w:val="bullet"/>
      <w:lvlText w:val=""/>
      <w:lvlJc w:val="left"/>
      <w:pPr>
        <w:tabs>
          <w:tab w:val="num" w:pos="3780"/>
        </w:tabs>
        <w:ind w:left="3780" w:hanging="360"/>
      </w:pPr>
      <w:rPr>
        <w:rFonts w:ascii="Symbol" w:hAnsi="Symbol" w:hint="default"/>
      </w:rPr>
    </w:lvl>
    <w:lvl w:ilvl="4" w:tentative="1">
      <w:start w:val="1"/>
      <w:numFmt w:val="bullet"/>
      <w:lvlText w:val="o"/>
      <w:lvlJc w:val="left"/>
      <w:pPr>
        <w:tabs>
          <w:tab w:val="num" w:pos="4500"/>
        </w:tabs>
        <w:ind w:left="4500" w:hanging="360"/>
      </w:pPr>
      <w:rPr>
        <w:rFonts w:ascii="Courier New" w:hAnsi="Courier New" w:cs="Courier New" w:hint="default"/>
      </w:rPr>
    </w:lvl>
    <w:lvl w:ilvl="5" w:tentative="1">
      <w:start w:val="1"/>
      <w:numFmt w:val="bullet"/>
      <w:lvlText w:val=""/>
      <w:lvlJc w:val="left"/>
      <w:pPr>
        <w:tabs>
          <w:tab w:val="num" w:pos="5220"/>
        </w:tabs>
        <w:ind w:left="5220" w:hanging="360"/>
      </w:pPr>
      <w:rPr>
        <w:rFonts w:ascii="Wingdings" w:hAnsi="Wingdings" w:hint="default"/>
      </w:rPr>
    </w:lvl>
    <w:lvl w:ilvl="6" w:tentative="1">
      <w:start w:val="1"/>
      <w:numFmt w:val="bullet"/>
      <w:lvlText w:val=""/>
      <w:lvlJc w:val="left"/>
      <w:pPr>
        <w:tabs>
          <w:tab w:val="num" w:pos="5940"/>
        </w:tabs>
        <w:ind w:left="5940" w:hanging="360"/>
      </w:pPr>
      <w:rPr>
        <w:rFonts w:ascii="Symbol" w:hAnsi="Symbol" w:hint="default"/>
      </w:rPr>
    </w:lvl>
    <w:lvl w:ilvl="7" w:tentative="1">
      <w:start w:val="1"/>
      <w:numFmt w:val="bullet"/>
      <w:lvlText w:val="o"/>
      <w:lvlJc w:val="left"/>
      <w:pPr>
        <w:tabs>
          <w:tab w:val="num" w:pos="6660"/>
        </w:tabs>
        <w:ind w:left="6660" w:hanging="360"/>
      </w:pPr>
      <w:rPr>
        <w:rFonts w:ascii="Courier New" w:hAnsi="Courier New" w:cs="Courier New" w:hint="default"/>
      </w:rPr>
    </w:lvl>
    <w:lvl w:ilvl="8" w:tentative="1">
      <w:start w:val="1"/>
      <w:numFmt w:val="bullet"/>
      <w:lvlText w:val=""/>
      <w:lvlJc w:val="left"/>
      <w:pPr>
        <w:tabs>
          <w:tab w:val="num" w:pos="7380"/>
        </w:tabs>
        <w:ind w:left="7380" w:hanging="360"/>
      </w:pPr>
      <w:rPr>
        <w:rFonts w:ascii="Wingdings" w:hAnsi="Wingdings" w:hint="default"/>
      </w:rPr>
    </w:lvl>
  </w:abstractNum>
  <w:abstractNum w:abstractNumId="395">
    <w:nsid w:val="7E025B55"/>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396">
    <w:nsid w:val="7E5C6905"/>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397">
    <w:nsid w:val="7E8B7359"/>
    <w:multiLevelType w:val="singleLevel"/>
    <w:tmpl w:val="C0EEDED4"/>
    <w:lvl w:ilvl="0">
      <w:start w:val="8"/>
      <w:numFmt w:val="decimal"/>
      <w:lvlText w:val="%1."/>
      <w:lvlJc w:val="left"/>
      <w:pPr>
        <w:tabs>
          <w:tab w:val="num" w:pos="360"/>
        </w:tabs>
        <w:ind w:left="360" w:hanging="360"/>
      </w:pPr>
      <w:rPr>
        <w:b/>
        <w:i w:val="0"/>
      </w:rPr>
    </w:lvl>
  </w:abstractNum>
  <w:abstractNum w:abstractNumId="398">
    <w:nsid w:val="7EAF4BE8"/>
    <w:multiLevelType w:val="hybridMultilevel"/>
    <w:tmpl w:val="964C696C"/>
    <w:lvl w:ilvl="0">
      <w:start w:val="1"/>
      <w:numFmt w:val="bullet"/>
      <w:lvlText w:val=""/>
      <w:lvlJc w:val="left"/>
      <w:pPr>
        <w:tabs>
          <w:tab w:val="num" w:pos="900"/>
        </w:tabs>
        <w:ind w:left="900" w:hanging="360"/>
      </w:pPr>
      <w:rPr>
        <w:rFonts w:ascii="Symbol" w:hAnsi="Symbol" w:hint="default"/>
      </w:rPr>
    </w:lvl>
    <w:lvl w:ilvl="1" w:tentative="1">
      <w:start w:val="1"/>
      <w:numFmt w:val="bullet"/>
      <w:lvlText w:val="o"/>
      <w:lvlJc w:val="left"/>
      <w:pPr>
        <w:tabs>
          <w:tab w:val="num" w:pos="1620"/>
        </w:tabs>
        <w:ind w:left="1620" w:hanging="360"/>
      </w:pPr>
      <w:rPr>
        <w:rFonts w:ascii="Courier New" w:hAnsi="Courier New" w:cs="Courier New" w:hint="default"/>
      </w:rPr>
    </w:lvl>
    <w:lvl w:ilvl="2" w:tentative="1">
      <w:start w:val="1"/>
      <w:numFmt w:val="bullet"/>
      <w:lvlText w:val=""/>
      <w:lvlJc w:val="left"/>
      <w:pPr>
        <w:tabs>
          <w:tab w:val="num" w:pos="2340"/>
        </w:tabs>
        <w:ind w:left="2340" w:hanging="360"/>
      </w:pPr>
      <w:rPr>
        <w:rFonts w:ascii="Wingdings" w:hAnsi="Wingdings" w:hint="default"/>
      </w:rPr>
    </w:lvl>
    <w:lvl w:ilvl="3" w:tentative="1">
      <w:start w:val="1"/>
      <w:numFmt w:val="bullet"/>
      <w:lvlText w:val=""/>
      <w:lvlJc w:val="left"/>
      <w:pPr>
        <w:tabs>
          <w:tab w:val="num" w:pos="3060"/>
        </w:tabs>
        <w:ind w:left="3060" w:hanging="360"/>
      </w:pPr>
      <w:rPr>
        <w:rFonts w:ascii="Symbol" w:hAnsi="Symbol" w:hint="default"/>
      </w:rPr>
    </w:lvl>
    <w:lvl w:ilvl="4" w:tentative="1">
      <w:start w:val="1"/>
      <w:numFmt w:val="bullet"/>
      <w:lvlText w:val="o"/>
      <w:lvlJc w:val="left"/>
      <w:pPr>
        <w:tabs>
          <w:tab w:val="num" w:pos="3780"/>
        </w:tabs>
        <w:ind w:left="3780" w:hanging="360"/>
      </w:pPr>
      <w:rPr>
        <w:rFonts w:ascii="Courier New" w:hAnsi="Courier New" w:cs="Courier New" w:hint="default"/>
      </w:rPr>
    </w:lvl>
    <w:lvl w:ilvl="5" w:tentative="1">
      <w:start w:val="1"/>
      <w:numFmt w:val="bullet"/>
      <w:lvlText w:val=""/>
      <w:lvlJc w:val="left"/>
      <w:pPr>
        <w:tabs>
          <w:tab w:val="num" w:pos="4500"/>
        </w:tabs>
        <w:ind w:left="4500" w:hanging="360"/>
      </w:pPr>
      <w:rPr>
        <w:rFonts w:ascii="Wingdings" w:hAnsi="Wingdings" w:hint="default"/>
      </w:rPr>
    </w:lvl>
    <w:lvl w:ilvl="6" w:tentative="1">
      <w:start w:val="1"/>
      <w:numFmt w:val="bullet"/>
      <w:lvlText w:val=""/>
      <w:lvlJc w:val="left"/>
      <w:pPr>
        <w:tabs>
          <w:tab w:val="num" w:pos="5220"/>
        </w:tabs>
        <w:ind w:left="5220" w:hanging="360"/>
      </w:pPr>
      <w:rPr>
        <w:rFonts w:ascii="Symbol" w:hAnsi="Symbol" w:hint="default"/>
      </w:rPr>
    </w:lvl>
    <w:lvl w:ilvl="7" w:tentative="1">
      <w:start w:val="1"/>
      <w:numFmt w:val="bullet"/>
      <w:lvlText w:val="o"/>
      <w:lvlJc w:val="left"/>
      <w:pPr>
        <w:tabs>
          <w:tab w:val="num" w:pos="5940"/>
        </w:tabs>
        <w:ind w:left="5940" w:hanging="360"/>
      </w:pPr>
      <w:rPr>
        <w:rFonts w:ascii="Courier New" w:hAnsi="Courier New" w:cs="Courier New" w:hint="default"/>
      </w:rPr>
    </w:lvl>
    <w:lvl w:ilvl="8" w:tentative="1">
      <w:start w:val="1"/>
      <w:numFmt w:val="bullet"/>
      <w:lvlText w:val=""/>
      <w:lvlJc w:val="left"/>
      <w:pPr>
        <w:tabs>
          <w:tab w:val="num" w:pos="6660"/>
        </w:tabs>
        <w:ind w:left="6660" w:hanging="360"/>
      </w:pPr>
      <w:rPr>
        <w:rFonts w:ascii="Wingdings" w:hAnsi="Wingdings" w:hint="default"/>
      </w:rPr>
    </w:lvl>
  </w:abstractNum>
  <w:abstractNum w:abstractNumId="399">
    <w:nsid w:val="7EB671D6"/>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400">
    <w:nsid w:val="7F2D384D"/>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401">
    <w:nsid w:val="7FC337C2"/>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402">
    <w:nsid w:val="7FC57DB3"/>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403">
    <w:nsid w:val="7FCF7A3B"/>
    <w:multiLevelType w:val="hybridMultilevel"/>
    <w:tmpl w:val="D7709D4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num w:numId="1">
    <w:abstractNumId w:val="147"/>
  </w:num>
  <w:num w:numId="2">
    <w:abstractNumId w:val="323"/>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303"/>
  </w:num>
  <w:num w:numId="14">
    <w:abstractNumId w:val="157"/>
  </w:num>
  <w:num w:numId="15">
    <w:abstractNumId w:val="207"/>
  </w:num>
  <w:num w:numId="16">
    <w:abstractNumId w:val="281"/>
  </w:num>
  <w:num w:numId="17">
    <w:abstractNumId w:val="132"/>
  </w:num>
  <w:num w:numId="18">
    <w:abstractNumId w:val="154"/>
  </w:num>
  <w:num w:numId="19">
    <w:abstractNumId w:val="226"/>
  </w:num>
  <w:num w:numId="20">
    <w:abstractNumId w:val="234"/>
  </w:num>
  <w:num w:numId="21">
    <w:abstractNumId w:val="249"/>
  </w:num>
  <w:num w:numId="22">
    <w:abstractNumId w:val="36"/>
  </w:num>
  <w:num w:numId="23">
    <w:abstractNumId w:val="238"/>
  </w:num>
  <w:num w:numId="24">
    <w:abstractNumId w:val="241"/>
  </w:num>
  <w:num w:numId="25">
    <w:abstractNumId w:val="161"/>
  </w:num>
  <w:num w:numId="26">
    <w:abstractNumId w:val="328"/>
  </w:num>
  <w:num w:numId="27">
    <w:abstractNumId w:val="102"/>
  </w:num>
  <w:num w:numId="28">
    <w:abstractNumId w:val="267"/>
  </w:num>
  <w:num w:numId="29">
    <w:abstractNumId w:val="312"/>
  </w:num>
  <w:num w:numId="30">
    <w:abstractNumId w:val="22"/>
  </w:num>
  <w:num w:numId="31">
    <w:abstractNumId w:val="329"/>
  </w:num>
  <w:num w:numId="32">
    <w:abstractNumId w:val="112"/>
  </w:num>
  <w:num w:numId="33">
    <w:abstractNumId w:val="110"/>
  </w:num>
  <w:num w:numId="34">
    <w:abstractNumId w:val="392"/>
  </w:num>
  <w:num w:numId="35">
    <w:abstractNumId w:val="108"/>
  </w:num>
  <w:num w:numId="36">
    <w:abstractNumId w:val="21"/>
  </w:num>
  <w:num w:numId="37">
    <w:abstractNumId w:val="125"/>
  </w:num>
  <w:num w:numId="38">
    <w:abstractNumId w:val="393"/>
  </w:num>
  <w:num w:numId="39">
    <w:abstractNumId w:val="131"/>
  </w:num>
  <w:num w:numId="40">
    <w:abstractNumId w:val="338"/>
  </w:num>
  <w:num w:numId="41">
    <w:abstractNumId w:val="40"/>
  </w:num>
  <w:num w:numId="42">
    <w:abstractNumId w:val="361"/>
  </w:num>
  <w:num w:numId="43">
    <w:abstractNumId w:val="72"/>
  </w:num>
  <w:num w:numId="44">
    <w:abstractNumId w:val="268"/>
  </w:num>
  <w:num w:numId="45">
    <w:abstractNumId w:val="146"/>
  </w:num>
  <w:num w:numId="46">
    <w:abstractNumId w:val="263"/>
  </w:num>
  <w:num w:numId="47">
    <w:abstractNumId w:val="388"/>
  </w:num>
  <w:num w:numId="48">
    <w:abstractNumId w:val="310"/>
  </w:num>
  <w:num w:numId="49">
    <w:abstractNumId w:val="335"/>
  </w:num>
  <w:num w:numId="50">
    <w:abstractNumId w:val="308"/>
  </w:num>
  <w:num w:numId="51">
    <w:abstractNumId w:val="306"/>
  </w:num>
  <w:num w:numId="52">
    <w:abstractNumId w:val="62"/>
  </w:num>
  <w:num w:numId="53">
    <w:abstractNumId w:val="373"/>
  </w:num>
  <w:num w:numId="54">
    <w:abstractNumId w:val="56"/>
  </w:num>
  <w:num w:numId="55">
    <w:abstractNumId w:val="220"/>
  </w:num>
  <w:num w:numId="56">
    <w:abstractNumId w:val="201"/>
  </w:num>
  <w:num w:numId="57">
    <w:abstractNumId w:val="148"/>
  </w:num>
  <w:num w:numId="58">
    <w:abstractNumId w:val="138"/>
  </w:num>
  <w:num w:numId="59">
    <w:abstractNumId w:val="23"/>
  </w:num>
  <w:num w:numId="60">
    <w:abstractNumId w:val="101"/>
  </w:num>
  <w:num w:numId="61">
    <w:abstractNumId w:val="274"/>
  </w:num>
  <w:num w:numId="62">
    <w:abstractNumId w:val="124"/>
  </w:num>
  <w:num w:numId="63">
    <w:abstractNumId w:val="172"/>
  </w:num>
  <w:num w:numId="64">
    <w:abstractNumId w:val="348"/>
  </w:num>
  <w:num w:numId="65">
    <w:abstractNumId w:val="184"/>
  </w:num>
  <w:num w:numId="66">
    <w:abstractNumId w:val="50"/>
  </w:num>
  <w:num w:numId="67">
    <w:abstractNumId w:val="162"/>
  </w:num>
  <w:num w:numId="68">
    <w:abstractNumId w:val="46"/>
  </w:num>
  <w:num w:numId="69">
    <w:abstractNumId w:val="67"/>
  </w:num>
  <w:num w:numId="70">
    <w:abstractNumId w:val="266"/>
  </w:num>
  <w:num w:numId="71">
    <w:abstractNumId w:val="49"/>
  </w:num>
  <w:num w:numId="72">
    <w:abstractNumId w:val="80"/>
  </w:num>
  <w:num w:numId="73">
    <w:abstractNumId w:val="394"/>
  </w:num>
  <w:num w:numId="74">
    <w:abstractNumId w:val="256"/>
  </w:num>
  <w:num w:numId="75">
    <w:abstractNumId w:val="243"/>
  </w:num>
  <w:num w:numId="76">
    <w:abstractNumId w:val="181"/>
  </w:num>
  <w:num w:numId="77">
    <w:abstractNumId w:val="25"/>
  </w:num>
  <w:num w:numId="78">
    <w:abstractNumId w:val="330"/>
  </w:num>
  <w:num w:numId="79">
    <w:abstractNumId w:val="208"/>
  </w:num>
  <w:num w:numId="80">
    <w:abstractNumId w:val="123"/>
  </w:num>
  <w:num w:numId="81">
    <w:abstractNumId w:val="83"/>
  </w:num>
  <w:num w:numId="82">
    <w:abstractNumId w:val="167"/>
  </w:num>
  <w:num w:numId="83">
    <w:abstractNumId w:val="193"/>
  </w:num>
  <w:num w:numId="84">
    <w:abstractNumId w:val="255"/>
  </w:num>
  <w:num w:numId="85">
    <w:abstractNumId w:val="210"/>
  </w:num>
  <w:num w:numId="86">
    <w:abstractNumId w:val="244"/>
  </w:num>
  <w:num w:numId="87">
    <w:abstractNumId w:val="380"/>
  </w:num>
  <w:num w:numId="88">
    <w:abstractNumId w:val="403"/>
  </w:num>
  <w:num w:numId="89">
    <w:abstractNumId w:val="12"/>
  </w:num>
  <w:num w:numId="90">
    <w:abstractNumId w:val="192"/>
  </w:num>
  <w:num w:numId="91">
    <w:abstractNumId w:val="89"/>
  </w:num>
  <w:num w:numId="92">
    <w:abstractNumId w:val="277"/>
  </w:num>
  <w:num w:numId="93">
    <w:abstractNumId w:val="304"/>
  </w:num>
  <w:num w:numId="94">
    <w:abstractNumId w:val="259"/>
  </w:num>
  <w:num w:numId="95">
    <w:abstractNumId w:val="176"/>
  </w:num>
  <w:num w:numId="96">
    <w:abstractNumId w:val="320"/>
  </w:num>
  <w:num w:numId="97">
    <w:abstractNumId w:val="103"/>
  </w:num>
  <w:num w:numId="98">
    <w:abstractNumId w:val="246"/>
  </w:num>
  <w:num w:numId="99">
    <w:abstractNumId w:val="151"/>
  </w:num>
  <w:num w:numId="100">
    <w:abstractNumId w:val="278"/>
  </w:num>
  <w:num w:numId="101">
    <w:abstractNumId w:val="398"/>
  </w:num>
  <w:num w:numId="102">
    <w:abstractNumId w:val="126"/>
  </w:num>
  <w:num w:numId="103">
    <w:abstractNumId w:val="10"/>
  </w:num>
  <w:num w:numId="104">
    <w:abstractNumId w:val="354"/>
  </w:num>
  <w:num w:numId="105">
    <w:abstractNumId w:val="331"/>
  </w:num>
  <w:num w:numId="106">
    <w:abstractNumId w:val="250"/>
  </w:num>
  <w:num w:numId="107">
    <w:abstractNumId w:val="203"/>
  </w:num>
  <w:num w:numId="108">
    <w:abstractNumId w:val="269"/>
  </w:num>
  <w:num w:numId="109">
    <w:abstractNumId w:val="364"/>
  </w:num>
  <w:num w:numId="110">
    <w:abstractNumId w:val="189"/>
  </w:num>
  <w:num w:numId="111">
    <w:abstractNumId w:val="332"/>
  </w:num>
  <w:num w:numId="112">
    <w:abstractNumId w:val="81"/>
  </w:num>
  <w:num w:numId="113">
    <w:abstractNumId w:val="386"/>
  </w:num>
  <w:num w:numId="114">
    <w:abstractNumId w:val="190"/>
  </w:num>
  <w:num w:numId="115">
    <w:abstractNumId w:val="257"/>
  </w:num>
  <w:num w:numId="116">
    <w:abstractNumId w:val="248"/>
  </w:num>
  <w:num w:numId="117">
    <w:abstractNumId w:val="195"/>
  </w:num>
  <w:num w:numId="118">
    <w:abstractNumId w:val="275"/>
  </w:num>
  <w:num w:numId="119">
    <w:abstractNumId w:val="70"/>
  </w:num>
  <w:num w:numId="120">
    <w:abstractNumId w:val="289"/>
  </w:num>
  <w:num w:numId="121">
    <w:abstractNumId w:val="149"/>
  </w:num>
  <w:num w:numId="122">
    <w:abstractNumId w:val="391"/>
  </w:num>
  <w:num w:numId="123">
    <w:abstractNumId w:val="93"/>
  </w:num>
  <w:num w:numId="124">
    <w:abstractNumId w:val="41"/>
  </w:num>
  <w:num w:numId="125">
    <w:abstractNumId w:val="291"/>
  </w:num>
  <w:num w:numId="126">
    <w:abstractNumId w:val="305"/>
  </w:num>
  <w:num w:numId="127">
    <w:abstractNumId w:val="321"/>
  </w:num>
  <w:num w:numId="128">
    <w:abstractNumId w:val="60"/>
  </w:num>
  <w:num w:numId="129">
    <w:abstractNumId w:val="339"/>
  </w:num>
  <w:num w:numId="130">
    <w:abstractNumId w:val="356"/>
  </w:num>
  <w:num w:numId="131">
    <w:abstractNumId w:val="121"/>
  </w:num>
  <w:num w:numId="132">
    <w:abstractNumId w:val="33"/>
  </w:num>
  <w:num w:numId="133">
    <w:abstractNumId w:val="350"/>
  </w:num>
  <w:num w:numId="134">
    <w:abstractNumId w:val="222"/>
  </w:num>
  <w:num w:numId="135">
    <w:abstractNumId w:val="141"/>
  </w:num>
  <w:num w:numId="136">
    <w:abstractNumId w:val="287"/>
  </w:num>
  <w:num w:numId="137">
    <w:abstractNumId w:val="18"/>
  </w:num>
  <w:num w:numId="138">
    <w:abstractNumId w:val="381"/>
  </w:num>
  <w:num w:numId="139">
    <w:abstractNumId w:val="120"/>
  </w:num>
  <w:num w:numId="140">
    <w:abstractNumId w:val="346"/>
  </w:num>
  <w:num w:numId="141">
    <w:abstractNumId w:val="39"/>
  </w:num>
  <w:num w:numId="142">
    <w:abstractNumId w:val="351"/>
  </w:num>
  <w:num w:numId="143">
    <w:abstractNumId w:val="302"/>
  </w:num>
  <w:num w:numId="144">
    <w:abstractNumId w:val="202"/>
  </w:num>
  <w:num w:numId="145">
    <w:abstractNumId w:val="271"/>
  </w:num>
  <w:num w:numId="146">
    <w:abstractNumId w:val="389"/>
  </w:num>
  <w:num w:numId="147">
    <w:abstractNumId w:val="307"/>
  </w:num>
  <w:num w:numId="148">
    <w:abstractNumId w:val="129"/>
  </w:num>
  <w:num w:numId="149">
    <w:abstractNumId w:val="387"/>
  </w:num>
  <w:num w:numId="150">
    <w:abstractNumId w:val="68"/>
  </w:num>
  <w:num w:numId="151">
    <w:abstractNumId w:val="319"/>
  </w:num>
  <w:num w:numId="152">
    <w:abstractNumId w:val="43"/>
  </w:num>
  <w:num w:numId="153">
    <w:abstractNumId w:val="173"/>
  </w:num>
  <w:num w:numId="154">
    <w:abstractNumId w:val="90"/>
  </w:num>
  <w:num w:numId="155">
    <w:abstractNumId w:val="395"/>
  </w:num>
  <w:num w:numId="156">
    <w:abstractNumId w:val="54"/>
  </w:num>
  <w:num w:numId="157">
    <w:abstractNumId w:val="293"/>
  </w:num>
  <w:num w:numId="158">
    <w:abstractNumId w:val="247"/>
  </w:num>
  <w:num w:numId="159">
    <w:abstractNumId w:val="342"/>
  </w:num>
  <w:num w:numId="160">
    <w:abstractNumId w:val="216"/>
  </w:num>
  <w:num w:numId="161">
    <w:abstractNumId w:val="185"/>
  </w:num>
  <w:num w:numId="162">
    <w:abstractNumId w:val="369"/>
  </w:num>
  <w:num w:numId="163">
    <w:abstractNumId w:val="299"/>
  </w:num>
  <w:num w:numId="164">
    <w:abstractNumId w:val="64"/>
  </w:num>
  <w:num w:numId="165">
    <w:abstractNumId w:val="77"/>
  </w:num>
  <w:num w:numId="166">
    <w:abstractNumId w:val="363"/>
  </w:num>
  <w:num w:numId="167">
    <w:abstractNumId w:val="20"/>
  </w:num>
  <w:num w:numId="168">
    <w:abstractNumId w:val="325"/>
  </w:num>
  <w:num w:numId="169">
    <w:abstractNumId w:val="219"/>
  </w:num>
  <w:num w:numId="170">
    <w:abstractNumId w:val="198"/>
  </w:num>
  <w:num w:numId="171">
    <w:abstractNumId w:val="401"/>
  </w:num>
  <w:num w:numId="172">
    <w:abstractNumId w:val="183"/>
  </w:num>
  <w:num w:numId="173">
    <w:abstractNumId w:val="366"/>
  </w:num>
  <w:num w:numId="174">
    <w:abstractNumId w:val="48"/>
  </w:num>
  <w:num w:numId="175">
    <w:abstractNumId w:val="144"/>
  </w:num>
  <w:num w:numId="176">
    <w:abstractNumId w:val="191"/>
  </w:num>
  <w:num w:numId="177">
    <w:abstractNumId w:val="337"/>
  </w:num>
  <w:num w:numId="178">
    <w:abstractNumId w:val="150"/>
  </w:num>
  <w:num w:numId="179">
    <w:abstractNumId w:val="44"/>
  </w:num>
  <w:num w:numId="180">
    <w:abstractNumId w:val="28"/>
  </w:num>
  <w:num w:numId="181">
    <w:abstractNumId w:val="45"/>
  </w:num>
  <w:num w:numId="182">
    <w:abstractNumId w:val="16"/>
  </w:num>
  <w:num w:numId="183">
    <w:abstractNumId w:val="239"/>
  </w:num>
  <w:num w:numId="184">
    <w:abstractNumId w:val="327"/>
  </w:num>
  <w:num w:numId="185">
    <w:abstractNumId w:val="139"/>
  </w:num>
  <w:num w:numId="186">
    <w:abstractNumId w:val="47"/>
  </w:num>
  <w:num w:numId="187">
    <w:abstractNumId w:val="360"/>
  </w:num>
  <w:num w:numId="188">
    <w:abstractNumId w:val="317"/>
  </w:num>
  <w:num w:numId="189">
    <w:abstractNumId w:val="214"/>
  </w:num>
  <w:num w:numId="190">
    <w:abstractNumId w:val="343"/>
  </w:num>
  <w:num w:numId="191">
    <w:abstractNumId w:val="156"/>
  </w:num>
  <w:num w:numId="192">
    <w:abstractNumId w:val="309"/>
  </w:num>
  <w:num w:numId="193">
    <w:abstractNumId w:val="402"/>
  </w:num>
  <w:num w:numId="194">
    <w:abstractNumId w:val="94"/>
  </w:num>
  <w:num w:numId="195">
    <w:abstractNumId w:val="159"/>
  </w:num>
  <w:num w:numId="196">
    <w:abstractNumId w:val="75"/>
  </w:num>
  <w:num w:numId="197">
    <w:abstractNumId w:val="155"/>
  </w:num>
  <w:num w:numId="198">
    <w:abstractNumId w:val="245"/>
  </w:num>
  <w:num w:numId="199">
    <w:abstractNumId w:val="379"/>
  </w:num>
  <w:num w:numId="200">
    <w:abstractNumId w:val="347"/>
  </w:num>
  <w:num w:numId="201">
    <w:abstractNumId w:val="79"/>
  </w:num>
  <w:num w:numId="202">
    <w:abstractNumId w:val="326"/>
  </w:num>
  <w:num w:numId="203">
    <w:abstractNumId w:val="177"/>
  </w:num>
  <w:num w:numId="204">
    <w:abstractNumId w:val="296"/>
  </w:num>
  <w:num w:numId="205">
    <w:abstractNumId w:val="242"/>
  </w:num>
  <w:num w:numId="206">
    <w:abstractNumId w:val="96"/>
  </w:num>
  <w:num w:numId="207">
    <w:abstractNumId w:val="352"/>
  </w:num>
  <w:num w:numId="208">
    <w:abstractNumId w:val="104"/>
  </w:num>
  <w:num w:numId="209">
    <w:abstractNumId w:val="265"/>
  </w:num>
  <w:num w:numId="210">
    <w:abstractNumId w:val="117"/>
  </w:num>
  <w:num w:numId="211">
    <w:abstractNumId w:val="270"/>
  </w:num>
  <w:num w:numId="212">
    <w:abstractNumId w:val="276"/>
  </w:num>
  <w:num w:numId="213">
    <w:abstractNumId w:val="232"/>
  </w:num>
  <w:num w:numId="214">
    <w:abstractNumId w:val="100"/>
  </w:num>
  <w:num w:numId="215">
    <w:abstractNumId w:val="340"/>
  </w:num>
  <w:num w:numId="216">
    <w:abstractNumId w:val="84"/>
  </w:num>
  <w:num w:numId="217">
    <w:abstractNumId w:val="109"/>
  </w:num>
  <w:num w:numId="218">
    <w:abstractNumId w:val="182"/>
  </w:num>
  <w:num w:numId="219">
    <w:abstractNumId w:val="13"/>
  </w:num>
  <w:num w:numId="220">
    <w:abstractNumId w:val="261"/>
  </w:num>
  <w:num w:numId="221">
    <w:abstractNumId w:val="187"/>
  </w:num>
  <w:num w:numId="222">
    <w:abstractNumId w:val="252"/>
  </w:num>
  <w:num w:numId="223">
    <w:abstractNumId w:val="223"/>
  </w:num>
  <w:num w:numId="224">
    <w:abstractNumId w:val="236"/>
  </w:num>
  <w:num w:numId="225">
    <w:abstractNumId w:val="370"/>
  </w:num>
  <w:num w:numId="226">
    <w:abstractNumId w:val="106"/>
  </w:num>
  <w:num w:numId="227">
    <w:abstractNumId w:val="180"/>
  </w:num>
  <w:num w:numId="228">
    <w:abstractNumId w:val="313"/>
  </w:num>
  <w:num w:numId="229">
    <w:abstractNumId w:val="11"/>
  </w:num>
  <w:num w:numId="230">
    <w:abstractNumId w:val="186"/>
  </w:num>
  <w:num w:numId="231">
    <w:abstractNumId w:val="24"/>
  </w:num>
  <w:num w:numId="232">
    <w:abstractNumId w:val="378"/>
  </w:num>
  <w:num w:numId="233">
    <w:abstractNumId w:val="218"/>
  </w:num>
  <w:num w:numId="234">
    <w:abstractNumId w:val="133"/>
  </w:num>
  <w:num w:numId="235">
    <w:abstractNumId w:val="158"/>
  </w:num>
  <w:num w:numId="236">
    <w:abstractNumId w:val="336"/>
  </w:num>
  <w:num w:numId="237">
    <w:abstractNumId w:val="26"/>
  </w:num>
  <w:num w:numId="238">
    <w:abstractNumId w:val="92"/>
  </w:num>
  <w:num w:numId="239">
    <w:abstractNumId w:val="30"/>
  </w:num>
  <w:num w:numId="240">
    <w:abstractNumId w:val="170"/>
  </w:num>
  <w:num w:numId="241">
    <w:abstractNumId w:val="34"/>
  </w:num>
  <w:num w:numId="242">
    <w:abstractNumId w:val="169"/>
  </w:num>
  <w:num w:numId="243">
    <w:abstractNumId w:val="51"/>
  </w:num>
  <w:num w:numId="244">
    <w:abstractNumId w:val="301"/>
  </w:num>
  <w:num w:numId="245">
    <w:abstractNumId w:val="99"/>
  </w:num>
  <w:num w:numId="246">
    <w:abstractNumId w:val="316"/>
  </w:num>
  <w:num w:numId="247">
    <w:abstractNumId w:val="359"/>
  </w:num>
  <w:num w:numId="248">
    <w:abstractNumId w:val="315"/>
  </w:num>
  <w:num w:numId="249">
    <w:abstractNumId w:val="188"/>
  </w:num>
  <w:num w:numId="250">
    <w:abstractNumId w:val="175"/>
  </w:num>
  <w:num w:numId="251">
    <w:abstractNumId w:val="298"/>
  </w:num>
  <w:num w:numId="252">
    <w:abstractNumId w:val="253"/>
  </w:num>
  <w:num w:numId="253">
    <w:abstractNumId w:val="194"/>
  </w:num>
  <w:num w:numId="254">
    <w:abstractNumId w:val="116"/>
  </w:num>
  <w:num w:numId="255">
    <w:abstractNumId w:val="204"/>
  </w:num>
  <w:num w:numId="256">
    <w:abstractNumId w:val="231"/>
  </w:num>
  <w:num w:numId="257">
    <w:abstractNumId w:val="134"/>
  </w:num>
  <w:num w:numId="258">
    <w:abstractNumId w:val="66"/>
  </w:num>
  <w:num w:numId="259">
    <w:abstractNumId w:val="165"/>
  </w:num>
  <w:num w:numId="260">
    <w:abstractNumId w:val="324"/>
  </w:num>
  <w:num w:numId="261">
    <w:abstractNumId w:val="14"/>
  </w:num>
  <w:num w:numId="262">
    <w:abstractNumId w:val="400"/>
  </w:num>
  <w:num w:numId="263">
    <w:abstractNumId w:val="53"/>
  </w:num>
  <w:num w:numId="264">
    <w:abstractNumId w:val="163"/>
  </w:num>
  <w:num w:numId="265">
    <w:abstractNumId w:val="69"/>
  </w:num>
  <w:num w:numId="266">
    <w:abstractNumId w:val="179"/>
  </w:num>
  <w:num w:numId="267">
    <w:abstractNumId w:val="382"/>
  </w:num>
  <w:num w:numId="268">
    <w:abstractNumId w:val="383"/>
  </w:num>
  <w:num w:numId="269">
    <w:abstractNumId w:val="284"/>
  </w:num>
  <w:num w:numId="270">
    <w:abstractNumId w:val="115"/>
  </w:num>
  <w:num w:numId="271">
    <w:abstractNumId w:val="127"/>
  </w:num>
  <w:num w:numId="272">
    <w:abstractNumId w:val="349"/>
  </w:num>
  <w:num w:numId="273">
    <w:abstractNumId w:val="377"/>
  </w:num>
  <w:num w:numId="274">
    <w:abstractNumId w:val="145"/>
  </w:num>
  <w:num w:numId="275">
    <w:abstractNumId w:val="375"/>
  </w:num>
  <w:num w:numId="276">
    <w:abstractNumId w:val="353"/>
  </w:num>
  <w:num w:numId="277">
    <w:abstractNumId w:val="168"/>
  </w:num>
  <w:num w:numId="278">
    <w:abstractNumId w:val="31"/>
  </w:num>
  <w:num w:numId="279">
    <w:abstractNumId w:val="318"/>
  </w:num>
  <w:num w:numId="280">
    <w:abstractNumId w:val="136"/>
  </w:num>
  <w:num w:numId="281">
    <w:abstractNumId w:val="171"/>
  </w:num>
  <w:num w:numId="282">
    <w:abstractNumId w:val="355"/>
  </w:num>
  <w:num w:numId="283">
    <w:abstractNumId w:val="376"/>
  </w:num>
  <w:num w:numId="284">
    <w:abstractNumId w:val="212"/>
  </w:num>
  <w:num w:numId="285">
    <w:abstractNumId w:val="205"/>
  </w:num>
  <w:num w:numId="286">
    <w:abstractNumId w:val="283"/>
  </w:num>
  <w:num w:numId="287">
    <w:abstractNumId w:val="224"/>
  </w:num>
  <w:num w:numId="288">
    <w:abstractNumId w:val="282"/>
  </w:num>
  <w:num w:numId="289">
    <w:abstractNumId w:val="235"/>
  </w:num>
  <w:num w:numId="290">
    <w:abstractNumId w:val="111"/>
  </w:num>
  <w:num w:numId="291">
    <w:abstractNumId w:val="17"/>
  </w:num>
  <w:num w:numId="292">
    <w:abstractNumId w:val="217"/>
  </w:num>
  <w:num w:numId="293">
    <w:abstractNumId w:val="52"/>
  </w:num>
  <w:num w:numId="294">
    <w:abstractNumId w:val="229"/>
  </w:num>
  <w:num w:numId="295">
    <w:abstractNumId w:val="396"/>
  </w:num>
  <w:num w:numId="296">
    <w:abstractNumId w:val="153"/>
  </w:num>
  <w:num w:numId="297">
    <w:abstractNumId w:val="209"/>
  </w:num>
  <w:num w:numId="298">
    <w:abstractNumId w:val="368"/>
  </w:num>
  <w:num w:numId="299">
    <w:abstractNumId w:val="254"/>
  </w:num>
  <w:num w:numId="300">
    <w:abstractNumId w:val="264"/>
  </w:num>
  <w:num w:numId="301">
    <w:abstractNumId w:val="178"/>
  </w:num>
  <w:num w:numId="302">
    <w:abstractNumId w:val="215"/>
  </w:num>
  <w:num w:numId="303">
    <w:abstractNumId w:val="357"/>
  </w:num>
  <w:num w:numId="304">
    <w:abstractNumId w:val="200"/>
  </w:num>
  <w:num w:numId="305">
    <w:abstractNumId w:val="365"/>
  </w:num>
  <w:num w:numId="306">
    <w:abstractNumId w:val="362"/>
  </w:num>
  <w:num w:numId="307">
    <w:abstractNumId w:val="130"/>
  </w:num>
  <w:num w:numId="308">
    <w:abstractNumId w:val="42"/>
  </w:num>
  <w:num w:numId="309">
    <w:abstractNumId w:val="211"/>
  </w:num>
  <w:num w:numId="310">
    <w:abstractNumId w:val="19"/>
  </w:num>
  <w:num w:numId="311">
    <w:abstractNumId w:val="372"/>
  </w:num>
  <w:num w:numId="312">
    <w:abstractNumId w:val="152"/>
  </w:num>
  <w:num w:numId="313">
    <w:abstractNumId w:val="225"/>
  </w:num>
  <w:num w:numId="314">
    <w:abstractNumId w:val="290"/>
  </w:num>
  <w:num w:numId="315">
    <w:abstractNumId w:val="294"/>
  </w:num>
  <w:num w:numId="316">
    <w:abstractNumId w:val="37"/>
  </w:num>
  <w:num w:numId="317">
    <w:abstractNumId w:val="98"/>
  </w:num>
  <w:num w:numId="318">
    <w:abstractNumId w:val="334"/>
  </w:num>
  <w:num w:numId="319">
    <w:abstractNumId w:val="300"/>
  </w:num>
  <w:num w:numId="320">
    <w:abstractNumId w:val="74"/>
  </w:num>
  <w:num w:numId="321">
    <w:abstractNumId w:val="213"/>
  </w:num>
  <w:num w:numId="322">
    <w:abstractNumId w:val="286"/>
  </w:num>
  <w:num w:numId="323">
    <w:abstractNumId w:val="233"/>
  </w:num>
  <w:num w:numId="324">
    <w:abstractNumId w:val="87"/>
  </w:num>
  <w:num w:numId="325">
    <w:abstractNumId w:val="114"/>
  </w:num>
  <w:num w:numId="326">
    <w:abstractNumId w:val="32"/>
  </w:num>
  <w:num w:numId="327">
    <w:abstractNumId w:val="297"/>
  </w:num>
  <w:num w:numId="328">
    <w:abstractNumId w:val="113"/>
  </w:num>
  <w:num w:numId="329">
    <w:abstractNumId w:val="258"/>
  </w:num>
  <w:num w:numId="330">
    <w:abstractNumId w:val="27"/>
  </w:num>
  <w:num w:numId="331">
    <w:abstractNumId w:val="273"/>
  </w:num>
  <w:num w:numId="332">
    <w:abstractNumId w:val="228"/>
  </w:num>
  <w:num w:numId="333">
    <w:abstractNumId w:val="63"/>
  </w:num>
  <w:num w:numId="334">
    <w:abstractNumId w:val="59"/>
  </w:num>
  <w:num w:numId="335">
    <w:abstractNumId w:val="164"/>
  </w:num>
  <w:num w:numId="336">
    <w:abstractNumId w:val="71"/>
  </w:num>
  <w:num w:numId="337">
    <w:abstractNumId w:val="61"/>
  </w:num>
  <w:num w:numId="338">
    <w:abstractNumId w:val="38"/>
  </w:num>
  <w:num w:numId="339">
    <w:abstractNumId w:val="174"/>
  </w:num>
  <w:num w:numId="340">
    <w:abstractNumId w:val="78"/>
  </w:num>
  <w:num w:numId="341">
    <w:abstractNumId w:val="390"/>
  </w:num>
  <w:num w:numId="342">
    <w:abstractNumId w:val="397"/>
  </w:num>
  <w:num w:numId="343">
    <w:abstractNumId w:val="227"/>
  </w:num>
  <w:num w:numId="344">
    <w:abstractNumId w:val="97"/>
  </w:num>
  <w:num w:numId="345">
    <w:abstractNumId w:val="385"/>
  </w:num>
  <w:num w:numId="346">
    <w:abstractNumId w:val="367"/>
  </w:num>
  <w:num w:numId="347">
    <w:abstractNumId w:val="333"/>
  </w:num>
  <w:num w:numId="348">
    <w:abstractNumId w:val="85"/>
  </w:num>
  <w:num w:numId="349">
    <w:abstractNumId w:val="196"/>
  </w:num>
  <w:num w:numId="350">
    <w:abstractNumId w:val="260"/>
  </w:num>
  <w:num w:numId="351">
    <w:abstractNumId w:val="288"/>
  </w:num>
  <w:num w:numId="352">
    <w:abstractNumId w:val="143"/>
  </w:num>
  <w:num w:numId="353">
    <w:abstractNumId w:val="221"/>
  </w:num>
  <w:num w:numId="354">
    <w:abstractNumId w:val="197"/>
  </w:num>
  <w:num w:numId="355">
    <w:abstractNumId w:val="142"/>
  </w:num>
  <w:num w:numId="356">
    <w:abstractNumId w:val="118"/>
  </w:num>
  <w:num w:numId="357">
    <w:abstractNumId w:val="35"/>
  </w:num>
  <w:num w:numId="358">
    <w:abstractNumId w:val="311"/>
  </w:num>
  <w:num w:numId="359">
    <w:abstractNumId w:val="128"/>
  </w:num>
  <w:num w:numId="360">
    <w:abstractNumId w:val="358"/>
  </w:num>
  <w:num w:numId="361">
    <w:abstractNumId w:val="166"/>
  </w:num>
  <w:num w:numId="362">
    <w:abstractNumId w:val="371"/>
  </w:num>
  <w:num w:numId="363">
    <w:abstractNumId w:val="374"/>
  </w:num>
  <w:num w:numId="364">
    <w:abstractNumId w:val="57"/>
  </w:num>
  <w:num w:numId="365">
    <w:abstractNumId w:val="119"/>
  </w:num>
  <w:num w:numId="366">
    <w:abstractNumId w:val="292"/>
  </w:num>
  <w:num w:numId="367">
    <w:abstractNumId w:val="262"/>
  </w:num>
  <w:num w:numId="368">
    <w:abstractNumId w:val="65"/>
  </w:num>
  <w:num w:numId="369">
    <w:abstractNumId w:val="76"/>
  </w:num>
  <w:num w:numId="370">
    <w:abstractNumId w:val="344"/>
  </w:num>
  <w:num w:numId="371">
    <w:abstractNumId w:val="140"/>
  </w:num>
  <w:num w:numId="372">
    <w:abstractNumId w:val="345"/>
  </w:num>
  <w:num w:numId="373">
    <w:abstractNumId w:val="199"/>
  </w:num>
  <w:num w:numId="374">
    <w:abstractNumId w:val="322"/>
  </w:num>
  <w:num w:numId="375">
    <w:abstractNumId w:val="95"/>
  </w:num>
  <w:num w:numId="376">
    <w:abstractNumId w:val="82"/>
  </w:num>
  <w:num w:numId="377">
    <w:abstractNumId w:val="399"/>
  </w:num>
  <w:num w:numId="378">
    <w:abstractNumId w:val="15"/>
  </w:num>
  <w:num w:numId="379">
    <w:abstractNumId w:val="55"/>
  </w:num>
  <w:num w:numId="380">
    <w:abstractNumId w:val="88"/>
  </w:num>
  <w:num w:numId="381">
    <w:abstractNumId w:val="91"/>
  </w:num>
  <w:num w:numId="382">
    <w:abstractNumId w:val="280"/>
  </w:num>
  <w:num w:numId="383">
    <w:abstractNumId w:val="230"/>
  </w:num>
  <w:num w:numId="384">
    <w:abstractNumId w:val="384"/>
  </w:num>
  <w:num w:numId="385">
    <w:abstractNumId w:val="122"/>
  </w:num>
  <w:num w:numId="386">
    <w:abstractNumId w:val="137"/>
  </w:num>
  <w:num w:numId="387">
    <w:abstractNumId w:val="285"/>
  </w:num>
  <w:num w:numId="388">
    <w:abstractNumId w:val="251"/>
  </w:num>
  <w:num w:numId="389">
    <w:abstractNumId w:val="58"/>
  </w:num>
  <w:num w:numId="390">
    <w:abstractNumId w:val="272"/>
  </w:num>
  <w:num w:numId="391">
    <w:abstractNumId w:val="279"/>
  </w:num>
  <w:num w:numId="392">
    <w:abstractNumId w:val="29"/>
  </w:num>
  <w:num w:numId="393">
    <w:abstractNumId w:val="240"/>
  </w:num>
  <w:num w:numId="394">
    <w:abstractNumId w:val="73"/>
  </w:num>
  <w:num w:numId="395">
    <w:abstractNumId w:val="135"/>
  </w:num>
  <w:num w:numId="396">
    <w:abstractNumId w:val="107"/>
  </w:num>
  <w:num w:numId="397">
    <w:abstractNumId w:val="237"/>
  </w:num>
  <w:num w:numId="398">
    <w:abstractNumId w:val="314"/>
  </w:num>
  <w:num w:numId="399">
    <w:abstractNumId w:val="105"/>
  </w:num>
  <w:num w:numId="400">
    <w:abstractNumId w:val="206"/>
  </w:num>
  <w:num w:numId="401">
    <w:abstractNumId w:val="295"/>
  </w:num>
  <w:num w:numId="402">
    <w:abstractNumId w:val="341"/>
  </w:num>
  <w:num w:numId="403">
    <w:abstractNumId w:val="86"/>
  </w:num>
  <w:num w:numId="404">
    <w:abstractNumId w:val="1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activeWritingStyle w:appName="MSWord" w:lang="ru-RU" w:vendorID="1" w:dllVersion="512" w:checkStyle="1"/>
  <w:doNotTrackMoves/>
  <w:defaultTabStop w:val="340"/>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jc w:val="both"/>
    </w:pPr>
    <w:rPr>
      <w:sz w:val="22"/>
      <w:lang w:val="ru-RU" w:eastAsia="fr-FR"/>
    </w:rPr>
  </w:style>
  <w:style w:type="paragraph" w:styleId="Heading1">
    <w:name w:val="heading 1"/>
    <w:basedOn w:val="Normal"/>
    <w:next w:val="Normal"/>
    <w:qFormat/>
    <w:pPr>
      <w:keepNext/>
      <w:spacing w:before="120"/>
      <w:jc w:val="center"/>
      <w:outlineLvl w:val="0"/>
    </w:pPr>
    <w:rPr>
      <w:b/>
      <w:sz w:val="24"/>
      <w:szCs w:val="24"/>
    </w:rPr>
  </w:style>
  <w:style w:type="paragraph" w:styleId="Heading2">
    <w:name w:val="heading 2"/>
    <w:basedOn w:val="Normal"/>
    <w:next w:val="Normal"/>
    <w:qFormat/>
    <w:pPr>
      <w:jc w:val="center"/>
      <w:outlineLvl w:val="1"/>
    </w:pPr>
    <w:rPr>
      <w:caps/>
      <w:sz w:val="24"/>
      <w:szCs w:val="24"/>
    </w:rPr>
  </w:style>
  <w:style w:type="paragraph" w:styleId="Heading3">
    <w:name w:val="heading 3"/>
    <w:basedOn w:val="Normal"/>
    <w:next w:val="Normal"/>
    <w:qFormat/>
    <w:pPr>
      <w:keepNext/>
      <w:tabs>
        <w:tab w:val="left" w:pos="340"/>
      </w:tabs>
      <w:ind w:left="340" w:hanging="340"/>
      <w:outlineLvl w:val="2"/>
    </w:pPr>
    <w:rPr>
      <w:b/>
    </w:rPr>
  </w:style>
  <w:style w:type="paragraph" w:styleId="Heading4">
    <w:name w:val="heading 4"/>
    <w:basedOn w:val="Normal"/>
    <w:next w:val="Normal"/>
    <w:qFormat/>
    <w:pPr>
      <w:keepNext/>
      <w:spacing w:line="260" w:lineRule="exact"/>
      <w:outlineLvl w:val="3"/>
    </w:pPr>
    <w:rPr>
      <w:u w:val="single"/>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Cs w:val="22"/>
    </w:rPr>
  </w:style>
  <w:style w:type="paragraph" w:styleId="Heading7">
    <w:name w:val="heading 7"/>
    <w:basedOn w:val="Normal"/>
    <w:next w:val="Normal"/>
    <w:qFormat/>
    <w:pPr>
      <w:keepNext/>
      <w:tabs>
        <w:tab w:val="left" w:pos="340"/>
        <w:tab w:val="left" w:pos="680"/>
      </w:tabs>
      <w:spacing w:before="240"/>
      <w:jc w:val="center"/>
      <w:outlineLvl w:val="6"/>
    </w:pPr>
    <w:rPr>
      <w:b/>
      <w:i/>
    </w:rPr>
  </w:style>
  <w:style w:type="paragraph" w:styleId="Heading8">
    <w:name w:val="heading 8"/>
    <w:basedOn w:val="Normal"/>
    <w:next w:val="Normal"/>
    <w:qFormat/>
    <w:pPr>
      <w:keepNext/>
      <w:jc w:val="center"/>
      <w:outlineLvl w:val="7"/>
    </w:pPr>
    <w:rPr>
      <w:i/>
      <w:iCs/>
      <w:sz w:val="24"/>
    </w:rPr>
  </w:style>
  <w:style w:type="paragraph" w:styleId="Heading9">
    <w:name w:val="heading 9"/>
    <w:basedOn w:val="Normal"/>
    <w:next w:val="Normal"/>
    <w:qFormat/>
    <w:pPr>
      <w:spacing w:before="240" w:after="60"/>
      <w:outlineLvl w:val="8"/>
    </w:pPr>
    <w:rPr>
      <w:rFonts w:ascii="Arial" w:hAnsi="Arial" w:cs="Arial"/>
      <w:szCs w:val="2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536"/>
        <w:tab w:val="right" w:pos="9072"/>
      </w:tabs>
    </w:pPr>
  </w:style>
  <w:style w:type="character" w:styleId="PageNumber">
    <w:name w:val="page number"/>
    <w:basedOn w:val="DefaultParagraphFont"/>
    <w:semiHidden/>
  </w:style>
  <w:style w:type="paragraph" w:styleId="BodyText">
    <w:name w:val="Body Text"/>
    <w:aliases w:val="Normal"/>
    <w:basedOn w:val="Normal"/>
    <w:semiHidden/>
    <w:pPr>
      <w:tabs>
        <w:tab w:val="left" w:pos="567"/>
        <w:tab w:val="left" w:pos="1021"/>
      </w:tabs>
      <w:ind w:left="567" w:hanging="567"/>
    </w:pPr>
  </w:style>
  <w:style w:type="paragraph" w:styleId="Title">
    <w:name w:val="Title"/>
    <w:basedOn w:val="Normal"/>
    <w:qFormat/>
    <w:pPr>
      <w:jc w:val="center"/>
    </w:pPr>
    <w:rPr>
      <w:b/>
      <w:sz w:val="72"/>
    </w:rPr>
  </w:style>
  <w:style w:type="paragraph" w:styleId="BodyText2">
    <w:name w:val="Body Text 2"/>
    <w:basedOn w:val="Normal"/>
    <w:semiHidden/>
    <w:rPr>
      <w:bCs/>
      <w:sz w:val="28"/>
    </w:rPr>
  </w:style>
  <w:style w:type="paragraph" w:styleId="BodyText3">
    <w:name w:val="Body Text 3"/>
    <w:basedOn w:val="Normal"/>
    <w:semiHidden/>
    <w:rPr>
      <w:sz w:val="28"/>
    </w:rPr>
  </w:style>
  <w:style w:type="paragraph" w:styleId="Footer">
    <w:name w:val="footer"/>
    <w:basedOn w:val="Normal"/>
    <w:semiHidden/>
    <w:pPr>
      <w:tabs>
        <w:tab w:val="center" w:pos="4536"/>
        <w:tab w:val="right" w:pos="9072"/>
      </w:tabs>
    </w:pPr>
  </w:style>
  <w:style w:type="paragraph" w:styleId="FootnoteText">
    <w:name w:val="footnote text"/>
    <w:basedOn w:val="Normal"/>
    <w:semiHidden/>
    <w:pPr>
      <w:spacing w:before="120" w:after="0"/>
    </w:pPr>
    <w:rPr>
      <w:sz w:val="18"/>
    </w:rPr>
  </w:style>
  <w:style w:type="character" w:styleId="FootnoteReference">
    <w:name w:val="footnote reference"/>
    <w:semiHidden/>
    <w:rPr>
      <w:vertAlign w:val="superscript"/>
    </w:rPr>
  </w:style>
  <w:style w:type="paragraph" w:customStyle="1" w:styleId="a">
    <w:name w:val="заг. указ. литературы"/>
    <w:basedOn w:val="Normal"/>
    <w:pPr>
      <w:tabs>
        <w:tab w:val="left" w:pos="9000"/>
        <w:tab w:val="right" w:pos="9360"/>
      </w:tabs>
      <w:suppressAutoHyphens/>
      <w:spacing w:before="240"/>
    </w:pPr>
    <w:rPr>
      <w:rFonts w:ascii="TMS Roman 12pt" w:hAnsi="TMS Roman 12pt"/>
      <w:lang w:val="en-US" w:eastAsia="ru-RU"/>
    </w:rPr>
  </w:style>
  <w:style w:type="paragraph" w:styleId="BodyTextIndent">
    <w:name w:val="Body Text Indent"/>
    <w:basedOn w:val="Normal"/>
    <w:semiHidden/>
    <w:pPr>
      <w:tabs>
        <w:tab w:val="left" w:pos="567"/>
        <w:tab w:val="left" w:pos="1021"/>
      </w:tabs>
      <w:ind w:left="907" w:hanging="340"/>
    </w:pPr>
  </w:style>
  <w:style w:type="paragraph" w:styleId="BodyTextIndent2">
    <w:name w:val="Body Text Indent 2"/>
    <w:basedOn w:val="Normal"/>
    <w:semiHidden/>
    <w:pPr>
      <w:tabs>
        <w:tab w:val="left" w:pos="284"/>
        <w:tab w:val="left" w:pos="567"/>
      </w:tabs>
      <w:ind w:left="1361" w:hanging="454"/>
    </w:pPr>
  </w:style>
  <w:style w:type="character" w:customStyle="1" w:styleId="EquationCaption">
    <w:name w:val="_Equation Caption"/>
  </w:style>
  <w:style w:type="paragraph" w:styleId="BodyTextIndent3">
    <w:name w:val="Body Text Indent 3"/>
    <w:basedOn w:val="Normal"/>
    <w:semiHidden/>
    <w:pPr>
      <w:ind w:firstLine="708"/>
    </w:pPr>
    <w:rPr>
      <w:sz w:val="24"/>
    </w:rPr>
  </w:style>
  <w:style w:type="paragraph" w:styleId="EndnoteText">
    <w:name w:val="endnote text"/>
    <w:basedOn w:val="Normal"/>
    <w:semiHidden/>
  </w:style>
  <w:style w:type="character" w:styleId="EndnoteReference">
    <w:name w:val="endnote reference"/>
    <w:semiHidden/>
    <w:rPr>
      <w:vertAlign w:val="superscript"/>
    </w:rPr>
  </w:style>
  <w:style w:type="paragraph" w:customStyle="1" w:styleId="a0">
    <w:name w:val="Стиль"/>
    <w:pPr>
      <w:overflowPunct w:val="0"/>
      <w:autoSpaceDE w:val="0"/>
      <w:autoSpaceDN w:val="0"/>
      <w:adjustRightInd w:val="0"/>
      <w:textAlignment w:val="baseline"/>
    </w:pPr>
    <w:rPr>
      <w:lang w:val="ru-RU" w:eastAsia="ru-RU"/>
    </w:rPr>
  </w:style>
  <w:style w:type="paragraph" w:customStyle="1" w:styleId="1">
    <w:name w:val="Стиль1"/>
    <w:basedOn w:val="a0"/>
  </w:style>
  <w:style w:type="paragraph" w:customStyle="1" w:styleId="10">
    <w:name w:val="оглавление 1"/>
    <w:basedOn w:val="Normal"/>
    <w:pPr>
      <w:tabs>
        <w:tab w:val="left" w:leader="dot" w:pos="9000"/>
        <w:tab w:val="right" w:pos="9360"/>
      </w:tabs>
      <w:suppressAutoHyphens/>
      <w:spacing w:before="480"/>
      <w:ind w:left="720" w:right="720" w:hanging="720"/>
    </w:pPr>
    <w:rPr>
      <w:rFonts w:ascii="TMS Roman 12pt" w:hAnsi="TMS Roman 12pt"/>
      <w:sz w:val="24"/>
      <w:lang w:val="en-US" w:eastAsia="ru-RU"/>
    </w:rPr>
  </w:style>
  <w:style w:type="paragraph" w:customStyle="1" w:styleId="2">
    <w:name w:val="оглавление 2"/>
    <w:basedOn w:val="Normal"/>
    <w:pPr>
      <w:tabs>
        <w:tab w:val="left" w:leader="dot" w:pos="9000"/>
        <w:tab w:val="right" w:pos="9360"/>
      </w:tabs>
      <w:suppressAutoHyphens/>
      <w:ind w:left="1440" w:right="720" w:hanging="720"/>
    </w:pPr>
    <w:rPr>
      <w:rFonts w:ascii="TMS Roman 12pt" w:hAnsi="TMS Roman 12pt"/>
      <w:sz w:val="24"/>
      <w:lang w:val="en-US" w:eastAsia="ru-RU"/>
    </w:rPr>
  </w:style>
  <w:style w:type="paragraph" w:customStyle="1" w:styleId="3">
    <w:name w:val="оглавление 3"/>
    <w:basedOn w:val="Normal"/>
    <w:pPr>
      <w:tabs>
        <w:tab w:val="left" w:leader="dot" w:pos="9000"/>
        <w:tab w:val="right" w:pos="9360"/>
      </w:tabs>
      <w:suppressAutoHyphens/>
      <w:ind w:left="2160" w:right="720" w:hanging="720"/>
    </w:pPr>
    <w:rPr>
      <w:rFonts w:ascii="TMS Roman 12pt" w:hAnsi="TMS Roman 12pt"/>
      <w:sz w:val="24"/>
      <w:lang w:val="en-US" w:eastAsia="ru-RU"/>
    </w:rPr>
  </w:style>
  <w:style w:type="paragraph" w:customStyle="1" w:styleId="4">
    <w:name w:val="оглавление 4"/>
    <w:basedOn w:val="Normal"/>
    <w:pPr>
      <w:tabs>
        <w:tab w:val="left" w:leader="dot" w:pos="9000"/>
        <w:tab w:val="right" w:pos="9360"/>
      </w:tabs>
      <w:suppressAutoHyphens/>
      <w:ind w:left="2880" w:right="720" w:hanging="720"/>
    </w:pPr>
    <w:rPr>
      <w:rFonts w:ascii="TMS Roman 12pt" w:hAnsi="TMS Roman 12pt"/>
      <w:sz w:val="24"/>
      <w:lang w:val="en-US" w:eastAsia="ru-RU"/>
    </w:rPr>
  </w:style>
  <w:style w:type="paragraph" w:customStyle="1" w:styleId="5">
    <w:name w:val="оглавление 5"/>
    <w:basedOn w:val="Normal"/>
    <w:pPr>
      <w:tabs>
        <w:tab w:val="left" w:leader="dot" w:pos="9000"/>
        <w:tab w:val="right" w:pos="9360"/>
      </w:tabs>
      <w:suppressAutoHyphens/>
      <w:ind w:left="3600" w:right="720" w:hanging="720"/>
    </w:pPr>
    <w:rPr>
      <w:rFonts w:ascii="TMS Roman 12pt" w:hAnsi="TMS Roman 12pt"/>
      <w:sz w:val="24"/>
      <w:lang w:val="en-US" w:eastAsia="ru-RU"/>
    </w:rPr>
  </w:style>
  <w:style w:type="paragraph" w:customStyle="1" w:styleId="6">
    <w:name w:val="оглавление 6"/>
    <w:basedOn w:val="Normal"/>
    <w:pPr>
      <w:tabs>
        <w:tab w:val="left" w:pos="9000"/>
        <w:tab w:val="right" w:pos="9360"/>
      </w:tabs>
      <w:suppressAutoHyphens/>
      <w:ind w:left="720" w:hanging="720"/>
    </w:pPr>
    <w:rPr>
      <w:rFonts w:ascii="TMS Roman 12pt" w:hAnsi="TMS Roman 12pt"/>
      <w:sz w:val="24"/>
      <w:lang w:val="en-US" w:eastAsia="ru-RU"/>
    </w:rPr>
  </w:style>
  <w:style w:type="paragraph" w:customStyle="1" w:styleId="7">
    <w:name w:val="оглавление 7"/>
    <w:basedOn w:val="Normal"/>
    <w:pPr>
      <w:suppressAutoHyphens/>
      <w:ind w:left="720" w:hanging="720"/>
    </w:pPr>
    <w:rPr>
      <w:rFonts w:ascii="TMS Roman 12pt" w:hAnsi="TMS Roman 12pt"/>
      <w:sz w:val="24"/>
      <w:lang w:val="en-US" w:eastAsia="ru-RU"/>
    </w:rPr>
  </w:style>
  <w:style w:type="paragraph" w:customStyle="1" w:styleId="8">
    <w:name w:val="оглавление 8"/>
    <w:basedOn w:val="Normal"/>
    <w:pPr>
      <w:tabs>
        <w:tab w:val="left" w:pos="9000"/>
        <w:tab w:val="right" w:pos="9360"/>
      </w:tabs>
      <w:suppressAutoHyphens/>
      <w:ind w:left="720" w:hanging="720"/>
    </w:pPr>
    <w:rPr>
      <w:rFonts w:ascii="TMS Roman 12pt" w:hAnsi="TMS Roman 12pt"/>
      <w:sz w:val="24"/>
      <w:lang w:val="en-US" w:eastAsia="ru-RU"/>
    </w:rPr>
  </w:style>
  <w:style w:type="paragraph" w:customStyle="1" w:styleId="9">
    <w:name w:val="оглавление 9"/>
    <w:basedOn w:val="Normal"/>
    <w:pPr>
      <w:tabs>
        <w:tab w:val="left" w:leader="dot" w:pos="9000"/>
        <w:tab w:val="right" w:pos="9360"/>
      </w:tabs>
      <w:suppressAutoHyphens/>
      <w:ind w:left="720" w:hanging="720"/>
    </w:pPr>
    <w:rPr>
      <w:rFonts w:ascii="TMS Roman 12pt" w:hAnsi="TMS Roman 12pt"/>
      <w:sz w:val="24"/>
      <w:lang w:val="en-US" w:eastAsia="ru-RU"/>
    </w:rPr>
  </w:style>
  <w:style w:type="paragraph" w:customStyle="1" w:styleId="11">
    <w:name w:val="указатель 1"/>
    <w:basedOn w:val="Normal"/>
    <w:pPr>
      <w:tabs>
        <w:tab w:val="left" w:leader="dot" w:pos="9000"/>
        <w:tab w:val="right" w:pos="9360"/>
      </w:tabs>
      <w:suppressAutoHyphens/>
      <w:ind w:left="1440" w:right="720" w:hanging="1440"/>
    </w:pPr>
    <w:rPr>
      <w:rFonts w:ascii="TMS Roman 12pt" w:hAnsi="TMS Roman 12pt"/>
      <w:sz w:val="24"/>
      <w:lang w:val="en-US" w:eastAsia="ru-RU"/>
    </w:rPr>
  </w:style>
  <w:style w:type="paragraph" w:customStyle="1" w:styleId="20">
    <w:name w:val="указатель 2"/>
    <w:basedOn w:val="Normal"/>
    <w:pPr>
      <w:tabs>
        <w:tab w:val="left" w:leader="dot" w:pos="9000"/>
        <w:tab w:val="right" w:pos="9360"/>
      </w:tabs>
      <w:suppressAutoHyphens/>
      <w:ind w:left="1440" w:right="720" w:hanging="720"/>
    </w:pPr>
    <w:rPr>
      <w:rFonts w:ascii="TMS Roman 12pt" w:hAnsi="TMS Roman 12pt"/>
      <w:sz w:val="24"/>
      <w:lang w:val="en-US" w:eastAsia="ru-RU"/>
    </w:rPr>
  </w:style>
  <w:style w:type="paragraph" w:styleId="Caption">
    <w:name w:val="caption"/>
    <w:basedOn w:val="Normal"/>
    <w:next w:val="Normal"/>
    <w:qFormat/>
    <w:pPr>
      <w:tabs>
        <w:tab w:val="left" w:pos="-720"/>
      </w:tabs>
      <w:suppressAutoHyphens/>
      <w:spacing w:before="240"/>
    </w:pPr>
    <w:rPr>
      <w:b/>
      <w:bCs/>
      <w:spacing w:val="-3"/>
      <w:lang w:eastAsia="ru-RU"/>
    </w:rPr>
  </w:style>
  <w:style w:type="paragraph" w:customStyle="1" w:styleId="a1">
    <w:name w:val="название"/>
    <w:basedOn w:val="Normal"/>
    <w:rPr>
      <w:rFonts w:ascii="TMS Roman 12pt" w:hAnsi="TMS Roman 12pt"/>
      <w:sz w:val="24"/>
      <w:lang w:eastAsia="ru-RU"/>
    </w:rPr>
  </w:style>
  <w:style w:type="paragraph" w:styleId="DocumentMap">
    <w:name w:val="Document Map"/>
    <w:basedOn w:val="Normal"/>
    <w:semiHidden/>
    <w:pPr>
      <w:shd w:val="clear" w:color="auto" w:fill="000080"/>
      <w:spacing w:before="240"/>
    </w:pPr>
    <w:rPr>
      <w:rFonts w:ascii="Tahoma" w:hAnsi="Tahoma" w:cs="Tahoma"/>
      <w:lang w:eastAsia="ru-RU"/>
    </w:rPr>
  </w:style>
  <w:style w:type="character" w:styleId="Hyperlink">
    <w:name w:val="Hyperlink"/>
    <w:semiHidden/>
    <w:rPr>
      <w:color w:val="0000FF"/>
      <w:u w:val="none"/>
    </w:rPr>
  </w:style>
  <w:style w:type="character" w:styleId="CommentReference">
    <w:name w:val="annotation reference"/>
    <w:semiHidden/>
    <w:rPr>
      <w:sz w:val="16"/>
    </w:rPr>
  </w:style>
  <w:style w:type="paragraph" w:customStyle="1" w:styleId="-">
    <w:name w:val="Табл-шапка"/>
    <w:basedOn w:val="BodyText"/>
    <w:pPr>
      <w:spacing w:before="80" w:after="80"/>
      <w:jc w:val="center"/>
    </w:pPr>
    <w:rPr>
      <w:b/>
      <w:bCs/>
      <w:sz w:val="20"/>
      <w:lang w:val="en-US"/>
    </w:rPr>
  </w:style>
  <w:style w:type="paragraph" w:customStyle="1" w:styleId="a2">
    <w:name w:val="Источник"/>
    <w:basedOn w:val="BodyText"/>
    <w:rPr>
      <w:i/>
      <w:sz w:val="20"/>
    </w:rPr>
  </w:style>
  <w:style w:type="paragraph" w:customStyle="1" w:styleId="Table-text">
    <w:name w:val="Table-text"/>
    <w:basedOn w:val="BodyText"/>
    <w:pPr>
      <w:spacing w:before="20" w:after="20"/>
      <w:jc w:val="left"/>
    </w:pPr>
    <w:rPr>
      <w:sz w:val="18"/>
    </w:rPr>
  </w:style>
  <w:style w:type="paragraph" w:customStyle="1" w:styleId="a3">
    <w:name w:val="Текст в рамке"/>
    <w:basedOn w:val="BodyText"/>
    <w:pPr>
      <w:pBdr>
        <w:top w:val="single" w:sz="4" w:space="4" w:color="auto"/>
        <w:left w:val="single" w:sz="4" w:space="4" w:color="auto"/>
        <w:bottom w:val="single" w:sz="4" w:space="4" w:color="auto"/>
        <w:right w:val="single" w:sz="4" w:space="4" w:color="auto"/>
      </w:pBdr>
      <w:tabs>
        <w:tab w:val="left" w:pos="340"/>
      </w:tabs>
      <w:ind w:left="113" w:right="113"/>
    </w:pPr>
    <w:rPr>
      <w:i/>
      <w:iCs/>
    </w:rPr>
  </w:style>
  <w:style w:type="paragraph" w:styleId="CommentText">
    <w:name w:val="annotation text"/>
    <w:basedOn w:val="Normal"/>
    <w:semiHidden/>
    <w:rPr>
      <w:sz w:val="20"/>
    </w:rPr>
  </w:style>
  <w:style w:type="paragraph" w:customStyle="1" w:styleId="-0">
    <w:name w:val="Табл-Источник"/>
    <w:basedOn w:val="BodyText"/>
    <w:pPr>
      <w:tabs>
        <w:tab w:val="clear" w:pos="567"/>
        <w:tab w:val="clear" w:pos="1021"/>
      </w:tabs>
      <w:spacing w:before="120" w:after="0"/>
      <w:ind w:left="0" w:firstLine="0"/>
    </w:pPr>
    <w:rPr>
      <w:sz w:val="20"/>
    </w:rPr>
  </w:style>
  <w:style w:type="paragraph" w:customStyle="1" w:styleId="--">
    <w:name w:val="Табл-Ист-Добавления"/>
    <w:basedOn w:val="-0"/>
    <w:pPr>
      <w:tabs>
        <w:tab w:val="left" w:pos="284"/>
      </w:tabs>
      <w:spacing w:before="40"/>
    </w:pPr>
    <w:rPr>
      <w:sz w:val="16"/>
    </w:rPr>
  </w:style>
  <w:style w:type="paragraph" w:styleId="PlainText">
    <w:name w:val="Plain Text"/>
    <w:basedOn w:val="Normal"/>
    <w:semiHidden/>
    <w:pPr>
      <w:spacing w:line="480" w:lineRule="auto"/>
    </w:pPr>
    <w:rPr>
      <w:rFonts w:ascii="Courier New" w:hAnsi="Courier New" w:cs="Courier New"/>
      <w:b/>
      <w:bCs/>
      <w:lang w:eastAsia="ru-RU"/>
    </w:rPr>
  </w:style>
  <w:style w:type="paragraph" w:customStyle="1" w:styleId="Web">
    <w:name w:val="Обычный (Web)"/>
    <w:basedOn w:val="Normal"/>
    <w:pPr>
      <w:spacing w:before="100" w:beforeAutospacing="1" w:after="100" w:afterAutospacing="1" w:line="480" w:lineRule="auto"/>
    </w:pPr>
    <w:rPr>
      <w:b/>
      <w:bCs/>
      <w:sz w:val="24"/>
      <w:szCs w:val="24"/>
      <w:lang w:eastAsia="ru-RU"/>
    </w:rPr>
  </w:style>
  <w:style w:type="paragraph" w:styleId="ListBullet">
    <w:name w:val="List Bullet"/>
    <w:basedOn w:val="Normal"/>
    <w:semiHidden/>
    <w:pPr>
      <w:numPr>
        <w:numId w:val="3"/>
      </w:numPr>
      <w:tabs>
        <w:tab w:val="left" w:pos="567"/>
      </w:tabs>
      <w:spacing w:after="160"/>
    </w:pPr>
  </w:style>
  <w:style w:type="paragraph" w:styleId="TOC4">
    <w:name w:val="toc 4"/>
    <w:basedOn w:val="Normal"/>
    <w:next w:val="Normal"/>
    <w:autoRedefine/>
    <w:semiHidden/>
    <w:pPr>
      <w:ind w:left="600"/>
    </w:pPr>
  </w:style>
  <w:style w:type="paragraph" w:styleId="TOC1">
    <w:name w:val="toc 1"/>
    <w:basedOn w:val="Normal"/>
    <w:next w:val="Normal"/>
    <w:semiHidden/>
    <w:pPr>
      <w:tabs>
        <w:tab w:val="left" w:leader="dot" w:pos="8789"/>
        <w:tab w:val="right" w:pos="9356"/>
      </w:tabs>
      <w:spacing w:after="120"/>
      <w:jc w:val="left"/>
    </w:pPr>
    <w:rPr>
      <w:noProof/>
      <w:szCs w:val="22"/>
    </w:rPr>
  </w:style>
  <w:style w:type="paragraph" w:styleId="TOC2">
    <w:name w:val="toc 2"/>
    <w:basedOn w:val="Normal"/>
    <w:next w:val="Normal"/>
    <w:semiHidden/>
    <w:pPr>
      <w:tabs>
        <w:tab w:val="left" w:leader="dot" w:pos="8789"/>
        <w:tab w:val="right" w:pos="9356"/>
      </w:tabs>
      <w:spacing w:after="120"/>
      <w:jc w:val="left"/>
    </w:pPr>
    <w:rPr>
      <w:noProof/>
      <w:szCs w:val="22"/>
    </w:rPr>
  </w:style>
  <w:style w:type="paragraph" w:styleId="TOC3">
    <w:name w:val="toc 3"/>
    <w:basedOn w:val="Normal"/>
    <w:next w:val="Normal"/>
    <w:autoRedefine/>
    <w:semiHidden/>
    <w:pPr>
      <w:tabs>
        <w:tab w:val="left" w:pos="567"/>
        <w:tab w:val="left" w:pos="1134"/>
        <w:tab w:val="left" w:leader="dot" w:pos="8789"/>
        <w:tab w:val="right" w:pos="9356"/>
      </w:tabs>
      <w:spacing w:after="120"/>
    </w:pPr>
    <w:rPr>
      <w:szCs w:val="22"/>
    </w:rPr>
  </w:style>
  <w:style w:type="paragraph" w:styleId="TOC5">
    <w:name w:val="toc 5"/>
    <w:basedOn w:val="Normal"/>
    <w:next w:val="Normal"/>
    <w:autoRedefine/>
    <w:semiHidden/>
    <w:pPr>
      <w:ind w:left="800"/>
    </w:pPr>
  </w:style>
  <w:style w:type="paragraph" w:styleId="TOC6">
    <w:name w:val="toc 6"/>
    <w:basedOn w:val="Normal"/>
    <w:next w:val="Normal"/>
    <w:autoRedefine/>
    <w:semiHidden/>
    <w:pPr>
      <w:ind w:left="1000"/>
    </w:pPr>
  </w:style>
  <w:style w:type="paragraph" w:styleId="TOC7">
    <w:name w:val="toc 7"/>
    <w:basedOn w:val="Normal"/>
    <w:next w:val="Normal"/>
    <w:autoRedefine/>
    <w:semiHidden/>
    <w:pPr>
      <w:ind w:left="1200"/>
    </w:pPr>
  </w:style>
  <w:style w:type="paragraph" w:styleId="TOC8">
    <w:name w:val="toc 8"/>
    <w:basedOn w:val="Normal"/>
    <w:next w:val="Normal"/>
    <w:autoRedefine/>
    <w:semiHidden/>
    <w:pPr>
      <w:ind w:left="1400"/>
    </w:pPr>
  </w:style>
  <w:style w:type="paragraph" w:styleId="TOC9">
    <w:name w:val="toc 9"/>
    <w:basedOn w:val="Normal"/>
    <w:next w:val="Normal"/>
    <w:autoRedefine/>
    <w:semiHidden/>
    <w:pPr>
      <w:ind w:left="1600"/>
    </w:pPr>
  </w:style>
  <w:style w:type="paragraph" w:customStyle="1" w:styleId="-HTML">
    <w:name w:val="Προ-διαμορφωμένο HTML"/>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Verdana" w:eastAsia="Courier New" w:hAnsi="Verdana"/>
      <w:color w:val="000000"/>
      <w:sz w:val="18"/>
      <w:lang w:val="el-GR" w:eastAsia="el-GR"/>
    </w:rPr>
  </w:style>
  <w:style w:type="paragraph" w:customStyle="1" w:styleId="xl24">
    <w:name w:val="xl24"/>
    <w:basedOn w:val="Normal"/>
    <w:pPr>
      <w:pBdr>
        <w:top w:val="single" w:sz="4" w:space="0" w:color="auto"/>
        <w:left w:val="single" w:sz="4" w:space="0" w:color="auto"/>
        <w:bottom w:val="single" w:sz="4" w:space="0" w:color="auto"/>
        <w:right w:val="single" w:sz="4" w:space="0" w:color="auto"/>
      </w:pBdr>
      <w:spacing w:before="100" w:after="100"/>
      <w:textAlignment w:val="center"/>
    </w:pPr>
    <w:rPr>
      <w:rFonts w:ascii="Arial" w:hAnsi="Arial"/>
      <w:sz w:val="16"/>
      <w:lang w:val="el-GR" w:eastAsia="el-GR"/>
    </w:rPr>
  </w:style>
  <w:style w:type="paragraph" w:customStyle="1" w:styleId="Web0">
    <w:name w:val="Κανονικό (Web)"/>
    <w:basedOn w:val="Normal"/>
    <w:pPr>
      <w:spacing w:before="100" w:after="100"/>
    </w:pPr>
    <w:rPr>
      <w:sz w:val="24"/>
      <w:lang w:val="el-GR" w:eastAsia="el-GR"/>
    </w:rPr>
  </w:style>
  <w:style w:type="paragraph" w:customStyle="1" w:styleId="maintext">
    <w:name w:val="maintext"/>
    <w:basedOn w:val="Normal"/>
    <w:pPr>
      <w:spacing w:before="100" w:after="100"/>
    </w:pPr>
    <w:rPr>
      <w:rFonts w:ascii="Comic Sans MS" w:hAnsi="Comic Sans MS"/>
      <w:color w:val="FFFF00"/>
      <w:sz w:val="18"/>
      <w:lang w:val="el-GR" w:eastAsia="el-GR"/>
    </w:rPr>
  </w:style>
  <w:style w:type="character" w:styleId="Strong">
    <w:name w:val="Strong"/>
    <w:qFormat/>
    <w:rPr>
      <w:rFonts w:cs="Times New Roman"/>
      <w:b/>
      <w:bCs/>
    </w:rPr>
  </w:style>
  <w:style w:type="paragraph" w:customStyle="1" w:styleId="OBJECT">
    <w:name w:val="OBJECT"/>
    <w:basedOn w:val="Normal"/>
    <w:pPr>
      <w:spacing w:before="120" w:after="120" w:line="280" w:lineRule="atLeast"/>
    </w:pPr>
    <w:rPr>
      <w:rFonts w:ascii="Arial" w:hAnsi="Arial"/>
      <w:b/>
      <w:smallCaps/>
      <w:shadow/>
      <w:lang w:val="en-US" w:eastAsia="el-GR"/>
    </w:rPr>
  </w:style>
  <w:style w:type="paragraph" w:customStyle="1" w:styleId="110">
    <w:name w:val="втяжка_1/1"/>
    <w:aliases w:val="8"/>
    <w:basedOn w:val="BodyText"/>
    <w:pPr>
      <w:tabs>
        <w:tab w:val="clear" w:pos="567"/>
      </w:tabs>
      <w:ind w:left="1021" w:hanging="454"/>
    </w:pPr>
    <w:rPr>
      <w:color w:val="000000"/>
    </w:rPr>
  </w:style>
  <w:style w:type="paragraph" w:customStyle="1" w:styleId="26-8">
    <w:name w:val="втяжка_26-8"/>
    <w:basedOn w:val="110"/>
    <w:pPr>
      <w:ind w:left="1928"/>
    </w:pPr>
  </w:style>
  <w:style w:type="paragraph" w:customStyle="1" w:styleId="18-8">
    <w:name w:val="втяжка_18-8"/>
    <w:basedOn w:val="26-8"/>
    <w:pPr>
      <w:ind w:left="1475"/>
    </w:pPr>
  </w:style>
  <w:style w:type="paragraph" w:customStyle="1" w:styleId="a4">
    <w:name w:val="Текст статьи"/>
    <w:basedOn w:val="BodyText"/>
    <w:pPr>
      <w:ind w:left="1474" w:right="1474" w:firstLine="0"/>
    </w:pPr>
  </w:style>
  <w:style w:type="paragraph" w:customStyle="1" w:styleId="-1">
    <w:name w:val="Втяжка-курсив"/>
    <w:basedOn w:val="BodyText"/>
    <w:pPr>
      <w:ind w:left="1021" w:firstLine="0"/>
    </w:pPr>
    <w:rPr>
      <w:i/>
      <w:iCs/>
    </w:rPr>
  </w:style>
  <w:style w:type="paragraph" w:customStyle="1" w:styleId="a5">
    <w:name w:val="ТАБЛ_№"/>
    <w:basedOn w:val="BodyText"/>
    <w:pPr>
      <w:keepNext/>
      <w:ind w:left="0" w:firstLine="0"/>
    </w:pPr>
    <w:rPr>
      <w:b/>
      <w:sz w:val="20"/>
    </w:rPr>
  </w:style>
  <w:style w:type="paragraph" w:customStyle="1" w:styleId="a6">
    <w:name w:val="ТАБЛ_текст"/>
    <w:basedOn w:val="BodyText"/>
    <w:pPr>
      <w:spacing w:before="40" w:after="40"/>
      <w:ind w:left="0" w:firstLine="0"/>
      <w:jc w:val="center"/>
    </w:pPr>
    <w:rPr>
      <w:sz w:val="20"/>
    </w:rPr>
  </w:style>
  <w:style w:type="paragraph" w:customStyle="1" w:styleId="a7">
    <w:name w:val="ТАБЛ_лев.кол."/>
    <w:basedOn w:val="BodyText"/>
    <w:pPr>
      <w:spacing w:before="40" w:after="40"/>
      <w:ind w:left="227" w:hanging="227"/>
      <w:jc w:val="left"/>
    </w:pPr>
    <w:rPr>
      <w:sz w:val="20"/>
    </w:rPr>
  </w:style>
  <w:style w:type="paragraph" w:customStyle="1" w:styleId="--0">
    <w:name w:val="Вт-А)-курсив"/>
    <w:basedOn w:val="11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3.xml"/><Relationship Id="rId18" Type="http://schemas.openxmlformats.org/officeDocument/2006/relationships/image" Target="media/image3.wmf"/><Relationship Id="rId26" Type="http://schemas.openxmlformats.org/officeDocument/2006/relationships/image" Target="media/image7.wmf"/><Relationship Id="rId39" Type="http://schemas.openxmlformats.org/officeDocument/2006/relationships/footer" Target="footer4.xml"/><Relationship Id="rId3" Type="http://schemas.openxmlformats.org/officeDocument/2006/relationships/settings" Target="settings.xml"/><Relationship Id="rId21" Type="http://schemas.openxmlformats.org/officeDocument/2006/relationships/oleObject" Target="embeddings/oleObject3.bin"/><Relationship Id="rId34" Type="http://schemas.openxmlformats.org/officeDocument/2006/relationships/image" Target="media/image11.wmf"/><Relationship Id="rId7" Type="http://schemas.openxmlformats.org/officeDocument/2006/relationships/image" Target="media/image1.png"/><Relationship Id="rId12" Type="http://schemas.openxmlformats.org/officeDocument/2006/relationships/footer" Target="footer2.xml"/><Relationship Id="rId17" Type="http://schemas.openxmlformats.org/officeDocument/2006/relationships/oleObject" Target="embeddings/oleObject1.bin"/><Relationship Id="rId25" Type="http://schemas.openxmlformats.org/officeDocument/2006/relationships/oleObject" Target="embeddings/oleObject5.bin"/><Relationship Id="rId33" Type="http://schemas.openxmlformats.org/officeDocument/2006/relationships/oleObject" Target="embeddings/oleObject9.bin"/><Relationship Id="rId38" Type="http://schemas.openxmlformats.org/officeDocument/2006/relationships/hyperlink" Target="http://www.mohaw.gr" TargetMode="External"/><Relationship Id="rId2" Type="http://schemas.openxmlformats.org/officeDocument/2006/relationships/styles" Target="styles.xml"/><Relationship Id="rId16" Type="http://schemas.openxmlformats.org/officeDocument/2006/relationships/image" Target="media/image2.wmf"/><Relationship Id="rId20" Type="http://schemas.openxmlformats.org/officeDocument/2006/relationships/image" Target="media/image4.wmf"/><Relationship Id="rId29" Type="http://schemas.openxmlformats.org/officeDocument/2006/relationships/oleObject" Target="embeddings/oleObject7.bin"/><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image" Target="media/image6.wmf"/><Relationship Id="rId32" Type="http://schemas.openxmlformats.org/officeDocument/2006/relationships/image" Target="media/image10.wmf"/><Relationship Id="rId37" Type="http://schemas.openxmlformats.org/officeDocument/2006/relationships/oleObject" Target="embeddings/oleObject11.bin"/><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stop-trafficking.org" TargetMode="External"/><Relationship Id="rId23" Type="http://schemas.openxmlformats.org/officeDocument/2006/relationships/oleObject" Target="embeddings/oleObject4.bin"/><Relationship Id="rId28" Type="http://schemas.openxmlformats.org/officeDocument/2006/relationships/image" Target="media/image8.wmf"/><Relationship Id="rId36" Type="http://schemas.openxmlformats.org/officeDocument/2006/relationships/image" Target="media/image12.wmf"/><Relationship Id="rId10" Type="http://schemas.openxmlformats.org/officeDocument/2006/relationships/header" Target="header2.xml"/><Relationship Id="rId19" Type="http://schemas.openxmlformats.org/officeDocument/2006/relationships/oleObject" Target="embeddings/oleObject2.bin"/><Relationship Id="rId31" Type="http://schemas.openxmlformats.org/officeDocument/2006/relationships/oleObject" Target="embeddings/oleObject8.bin"/><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3.xml"/><Relationship Id="rId22" Type="http://schemas.openxmlformats.org/officeDocument/2006/relationships/image" Target="media/image5.wmf"/><Relationship Id="rId27" Type="http://schemas.openxmlformats.org/officeDocument/2006/relationships/oleObject" Target="embeddings/oleObject6.bin"/><Relationship Id="rId30" Type="http://schemas.openxmlformats.org/officeDocument/2006/relationships/image" Target="media/image9.wmf"/><Relationship Id="rId35" Type="http://schemas.openxmlformats.org/officeDocument/2006/relationships/oleObject" Target="embeddings/oleObject10.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3</Pages>
  <Words>46123</Words>
  <Characters>262904</Characters>
  <Application>Microsoft Office Word</Application>
  <DocSecurity>4</DocSecurity>
  <Lines>2190</Lines>
  <Paragraphs>525</Paragraphs>
  <ScaleCrop>false</ScaleCrop>
  <HeadingPairs>
    <vt:vector size="2" baseType="variant">
      <vt:variant>
        <vt:lpstr>Title</vt:lpstr>
      </vt:variant>
      <vt:variant>
        <vt:i4>1</vt:i4>
      </vt:variant>
    </vt:vector>
  </HeadingPairs>
  <TitlesOfParts>
    <vt:vector size="1" baseType="lpstr">
      <vt:lpstr>CEDAW</vt:lpstr>
    </vt:vector>
  </TitlesOfParts>
  <Company>ID+</Company>
  <LinksUpToDate>false</LinksUpToDate>
  <CharactersWithSpaces>322864</CharactersWithSpaces>
  <SharedDoc>false</SharedDoc>
  <HLinks>
    <vt:vector size="150" baseType="variant">
      <vt:variant>
        <vt:i4>1114114</vt:i4>
      </vt:variant>
      <vt:variant>
        <vt:i4>171</vt:i4>
      </vt:variant>
      <vt:variant>
        <vt:i4>0</vt:i4>
      </vt:variant>
      <vt:variant>
        <vt:i4>5</vt:i4>
      </vt:variant>
      <vt:variant>
        <vt:lpwstr>http://www.mohaw.gr/</vt:lpwstr>
      </vt:variant>
      <vt:variant>
        <vt:lpwstr/>
      </vt:variant>
      <vt:variant>
        <vt:i4>1114178</vt:i4>
      </vt:variant>
      <vt:variant>
        <vt:i4>135</vt:i4>
      </vt:variant>
      <vt:variant>
        <vt:i4>0</vt:i4>
      </vt:variant>
      <vt:variant>
        <vt:i4>5</vt:i4>
      </vt:variant>
      <vt:variant>
        <vt:lpwstr>http://www.stop-trafficking.org/</vt:lpwstr>
      </vt:variant>
      <vt:variant>
        <vt:lpwstr/>
      </vt:variant>
      <vt:variant>
        <vt:i4>1835065</vt:i4>
      </vt:variant>
      <vt:variant>
        <vt:i4>128</vt:i4>
      </vt:variant>
      <vt:variant>
        <vt:i4>0</vt:i4>
      </vt:variant>
      <vt:variant>
        <vt:i4>5</vt:i4>
      </vt:variant>
      <vt:variant>
        <vt:lpwstr/>
      </vt:variant>
      <vt:variant>
        <vt:lpwstr>_Toc116466887</vt:lpwstr>
      </vt:variant>
      <vt:variant>
        <vt:i4>1835065</vt:i4>
      </vt:variant>
      <vt:variant>
        <vt:i4>122</vt:i4>
      </vt:variant>
      <vt:variant>
        <vt:i4>0</vt:i4>
      </vt:variant>
      <vt:variant>
        <vt:i4>5</vt:i4>
      </vt:variant>
      <vt:variant>
        <vt:lpwstr/>
      </vt:variant>
      <vt:variant>
        <vt:lpwstr>_Toc116466886</vt:lpwstr>
      </vt:variant>
      <vt:variant>
        <vt:i4>1835065</vt:i4>
      </vt:variant>
      <vt:variant>
        <vt:i4>116</vt:i4>
      </vt:variant>
      <vt:variant>
        <vt:i4>0</vt:i4>
      </vt:variant>
      <vt:variant>
        <vt:i4>5</vt:i4>
      </vt:variant>
      <vt:variant>
        <vt:lpwstr/>
      </vt:variant>
      <vt:variant>
        <vt:lpwstr>_Toc116466885</vt:lpwstr>
      </vt:variant>
      <vt:variant>
        <vt:i4>1835065</vt:i4>
      </vt:variant>
      <vt:variant>
        <vt:i4>110</vt:i4>
      </vt:variant>
      <vt:variant>
        <vt:i4>0</vt:i4>
      </vt:variant>
      <vt:variant>
        <vt:i4>5</vt:i4>
      </vt:variant>
      <vt:variant>
        <vt:lpwstr/>
      </vt:variant>
      <vt:variant>
        <vt:lpwstr>_Toc116466884</vt:lpwstr>
      </vt:variant>
      <vt:variant>
        <vt:i4>1835065</vt:i4>
      </vt:variant>
      <vt:variant>
        <vt:i4>104</vt:i4>
      </vt:variant>
      <vt:variant>
        <vt:i4>0</vt:i4>
      </vt:variant>
      <vt:variant>
        <vt:i4>5</vt:i4>
      </vt:variant>
      <vt:variant>
        <vt:lpwstr/>
      </vt:variant>
      <vt:variant>
        <vt:lpwstr>_Toc116466883</vt:lpwstr>
      </vt:variant>
      <vt:variant>
        <vt:i4>1835065</vt:i4>
      </vt:variant>
      <vt:variant>
        <vt:i4>98</vt:i4>
      </vt:variant>
      <vt:variant>
        <vt:i4>0</vt:i4>
      </vt:variant>
      <vt:variant>
        <vt:i4>5</vt:i4>
      </vt:variant>
      <vt:variant>
        <vt:lpwstr/>
      </vt:variant>
      <vt:variant>
        <vt:lpwstr>_Toc116466882</vt:lpwstr>
      </vt:variant>
      <vt:variant>
        <vt:i4>1835065</vt:i4>
      </vt:variant>
      <vt:variant>
        <vt:i4>92</vt:i4>
      </vt:variant>
      <vt:variant>
        <vt:i4>0</vt:i4>
      </vt:variant>
      <vt:variant>
        <vt:i4>5</vt:i4>
      </vt:variant>
      <vt:variant>
        <vt:lpwstr/>
      </vt:variant>
      <vt:variant>
        <vt:lpwstr>_Toc116466881</vt:lpwstr>
      </vt:variant>
      <vt:variant>
        <vt:i4>1835065</vt:i4>
      </vt:variant>
      <vt:variant>
        <vt:i4>86</vt:i4>
      </vt:variant>
      <vt:variant>
        <vt:i4>0</vt:i4>
      </vt:variant>
      <vt:variant>
        <vt:i4>5</vt:i4>
      </vt:variant>
      <vt:variant>
        <vt:lpwstr/>
      </vt:variant>
      <vt:variant>
        <vt:lpwstr>_Toc116466880</vt:lpwstr>
      </vt:variant>
      <vt:variant>
        <vt:i4>1245241</vt:i4>
      </vt:variant>
      <vt:variant>
        <vt:i4>80</vt:i4>
      </vt:variant>
      <vt:variant>
        <vt:i4>0</vt:i4>
      </vt:variant>
      <vt:variant>
        <vt:i4>5</vt:i4>
      </vt:variant>
      <vt:variant>
        <vt:lpwstr/>
      </vt:variant>
      <vt:variant>
        <vt:lpwstr>_Toc116466879</vt:lpwstr>
      </vt:variant>
      <vt:variant>
        <vt:i4>1245241</vt:i4>
      </vt:variant>
      <vt:variant>
        <vt:i4>74</vt:i4>
      </vt:variant>
      <vt:variant>
        <vt:i4>0</vt:i4>
      </vt:variant>
      <vt:variant>
        <vt:i4>5</vt:i4>
      </vt:variant>
      <vt:variant>
        <vt:lpwstr/>
      </vt:variant>
      <vt:variant>
        <vt:lpwstr>_Toc116466878</vt:lpwstr>
      </vt:variant>
      <vt:variant>
        <vt:i4>1245241</vt:i4>
      </vt:variant>
      <vt:variant>
        <vt:i4>68</vt:i4>
      </vt:variant>
      <vt:variant>
        <vt:i4>0</vt:i4>
      </vt:variant>
      <vt:variant>
        <vt:i4>5</vt:i4>
      </vt:variant>
      <vt:variant>
        <vt:lpwstr/>
      </vt:variant>
      <vt:variant>
        <vt:lpwstr>_Toc116466877</vt:lpwstr>
      </vt:variant>
      <vt:variant>
        <vt:i4>1245241</vt:i4>
      </vt:variant>
      <vt:variant>
        <vt:i4>62</vt:i4>
      </vt:variant>
      <vt:variant>
        <vt:i4>0</vt:i4>
      </vt:variant>
      <vt:variant>
        <vt:i4>5</vt:i4>
      </vt:variant>
      <vt:variant>
        <vt:lpwstr/>
      </vt:variant>
      <vt:variant>
        <vt:lpwstr>_Toc116466876</vt:lpwstr>
      </vt:variant>
      <vt:variant>
        <vt:i4>1245241</vt:i4>
      </vt:variant>
      <vt:variant>
        <vt:i4>56</vt:i4>
      </vt:variant>
      <vt:variant>
        <vt:i4>0</vt:i4>
      </vt:variant>
      <vt:variant>
        <vt:i4>5</vt:i4>
      </vt:variant>
      <vt:variant>
        <vt:lpwstr/>
      </vt:variant>
      <vt:variant>
        <vt:lpwstr>_Toc116466875</vt:lpwstr>
      </vt:variant>
      <vt:variant>
        <vt:i4>1245241</vt:i4>
      </vt:variant>
      <vt:variant>
        <vt:i4>50</vt:i4>
      </vt:variant>
      <vt:variant>
        <vt:i4>0</vt:i4>
      </vt:variant>
      <vt:variant>
        <vt:i4>5</vt:i4>
      </vt:variant>
      <vt:variant>
        <vt:lpwstr/>
      </vt:variant>
      <vt:variant>
        <vt:lpwstr>_Toc116466874</vt:lpwstr>
      </vt:variant>
      <vt:variant>
        <vt:i4>1245241</vt:i4>
      </vt:variant>
      <vt:variant>
        <vt:i4>44</vt:i4>
      </vt:variant>
      <vt:variant>
        <vt:i4>0</vt:i4>
      </vt:variant>
      <vt:variant>
        <vt:i4>5</vt:i4>
      </vt:variant>
      <vt:variant>
        <vt:lpwstr/>
      </vt:variant>
      <vt:variant>
        <vt:lpwstr>_Toc116466873</vt:lpwstr>
      </vt:variant>
      <vt:variant>
        <vt:i4>1245241</vt:i4>
      </vt:variant>
      <vt:variant>
        <vt:i4>38</vt:i4>
      </vt:variant>
      <vt:variant>
        <vt:i4>0</vt:i4>
      </vt:variant>
      <vt:variant>
        <vt:i4>5</vt:i4>
      </vt:variant>
      <vt:variant>
        <vt:lpwstr/>
      </vt:variant>
      <vt:variant>
        <vt:lpwstr>_Toc116466872</vt:lpwstr>
      </vt:variant>
      <vt:variant>
        <vt:i4>1245241</vt:i4>
      </vt:variant>
      <vt:variant>
        <vt:i4>32</vt:i4>
      </vt:variant>
      <vt:variant>
        <vt:i4>0</vt:i4>
      </vt:variant>
      <vt:variant>
        <vt:i4>5</vt:i4>
      </vt:variant>
      <vt:variant>
        <vt:lpwstr/>
      </vt:variant>
      <vt:variant>
        <vt:lpwstr>_Toc116466871</vt:lpwstr>
      </vt:variant>
      <vt:variant>
        <vt:i4>1245241</vt:i4>
      </vt:variant>
      <vt:variant>
        <vt:i4>26</vt:i4>
      </vt:variant>
      <vt:variant>
        <vt:i4>0</vt:i4>
      </vt:variant>
      <vt:variant>
        <vt:i4>5</vt:i4>
      </vt:variant>
      <vt:variant>
        <vt:lpwstr/>
      </vt:variant>
      <vt:variant>
        <vt:lpwstr>_Toc116466870</vt:lpwstr>
      </vt:variant>
      <vt:variant>
        <vt:i4>1179705</vt:i4>
      </vt:variant>
      <vt:variant>
        <vt:i4>20</vt:i4>
      </vt:variant>
      <vt:variant>
        <vt:i4>0</vt:i4>
      </vt:variant>
      <vt:variant>
        <vt:i4>5</vt:i4>
      </vt:variant>
      <vt:variant>
        <vt:lpwstr/>
      </vt:variant>
      <vt:variant>
        <vt:lpwstr>_Toc116466869</vt:lpwstr>
      </vt:variant>
      <vt:variant>
        <vt:i4>1179705</vt:i4>
      </vt:variant>
      <vt:variant>
        <vt:i4>14</vt:i4>
      </vt:variant>
      <vt:variant>
        <vt:i4>0</vt:i4>
      </vt:variant>
      <vt:variant>
        <vt:i4>5</vt:i4>
      </vt:variant>
      <vt:variant>
        <vt:lpwstr/>
      </vt:variant>
      <vt:variant>
        <vt:lpwstr>_Toc116466868</vt:lpwstr>
      </vt:variant>
      <vt:variant>
        <vt:i4>1179705</vt:i4>
      </vt:variant>
      <vt:variant>
        <vt:i4>8</vt:i4>
      </vt:variant>
      <vt:variant>
        <vt:i4>0</vt:i4>
      </vt:variant>
      <vt:variant>
        <vt:i4>5</vt:i4>
      </vt:variant>
      <vt:variant>
        <vt:lpwstr/>
      </vt:variant>
      <vt:variant>
        <vt:lpwstr>_Toc116466867</vt:lpwstr>
      </vt:variant>
      <vt:variant>
        <vt:i4>1179705</vt:i4>
      </vt:variant>
      <vt:variant>
        <vt:i4>2</vt:i4>
      </vt:variant>
      <vt:variant>
        <vt:i4>0</vt:i4>
      </vt:variant>
      <vt:variant>
        <vt:i4>5</vt:i4>
      </vt:variant>
      <vt:variant>
        <vt:lpwstr/>
      </vt:variant>
      <vt:variant>
        <vt:lpwstr>_Toc116466866</vt:lpwstr>
      </vt:variant>
      <vt:variant>
        <vt:i4>4325473</vt:i4>
      </vt:variant>
      <vt:variant>
        <vt:i4>1124</vt:i4>
      </vt:variant>
      <vt:variant>
        <vt:i4>1025</vt:i4>
      </vt:variant>
      <vt:variant>
        <vt:i4>1</vt:i4>
      </vt:variant>
      <vt:variant>
        <vt:lpwstr>..\..\LOGO\Log-OOH.tif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dc:title>
  <dc:subject/>
  <dc:creator>Elena</dc:creator>
  <cp:keywords/>
  <dc:description/>
  <cp:lastModifiedBy>Larisa.Sokolova</cp:lastModifiedBy>
  <cp:revision>6</cp:revision>
  <cp:lastPrinted>2005-12-01T14:03:00Z</cp:lastPrinted>
  <dcterms:created xsi:type="dcterms:W3CDTF">2005-12-16T12:33:00Z</dcterms:created>
  <dcterms:modified xsi:type="dcterms:W3CDTF">2005-12-16T13:58:00Z</dcterms:modified>
</cp:coreProperties>
</file>