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DC9" w:rsidRPr="00766466" w:rsidRDefault="004B6DC9" w:rsidP="004B6DC9">
      <w:pPr>
        <w:spacing w:line="60" w:lineRule="exact"/>
        <w:sectPr w:rsidR="004B6DC9" w:rsidRPr="00766466" w:rsidSect="004B6DC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sidRPr="0076646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7 Size =1Lang = C"/>
            <w10:wrap anchorx="page" anchory="page"/>
          </v:shape>
        </w:pict>
      </w:r>
      <w:commentRangeEnd w:id="0"/>
      <w:r w:rsidRPr="00766466">
        <w:rPr>
          <w:rStyle w:val="CommentReference"/>
        </w:rPr>
        <w:commentReference w:id="0"/>
      </w:r>
    </w:p>
    <w:p w:rsidR="004B6DC9" w:rsidRPr="00766466" w:rsidRDefault="004B6DC9" w:rsidP="004B6DC9">
      <w:pPr>
        <w:spacing w:line="60" w:lineRule="exact"/>
      </w:pPr>
    </w:p>
    <w:p w:rsidR="00E30095" w:rsidRPr="00766466" w:rsidRDefault="00E30095" w:rsidP="00E3009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sidRPr="00766466">
        <w:rPr>
          <w:rFonts w:hint="eastAsia"/>
        </w:rPr>
        <w:t>消除对妇女歧视委员会</w:t>
      </w:r>
    </w:p>
    <w:p w:rsidR="00E30095" w:rsidRPr="00766466" w:rsidRDefault="00E30095" w:rsidP="00E3009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SimSun" w:eastAsia="SimSun" w:hint="eastAsia"/>
          <w:sz w:val="10"/>
        </w:rPr>
      </w:pPr>
    </w:p>
    <w:p w:rsidR="00E30095" w:rsidRPr="00766466" w:rsidRDefault="00E30095" w:rsidP="00E3009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30095" w:rsidRPr="00766466" w:rsidRDefault="00E30095" w:rsidP="00E3009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30095" w:rsidRPr="00766466" w:rsidRDefault="00E30095" w:rsidP="00E30095">
      <w:pPr>
        <w:framePr w:w="9792" w:h="432" w:hSpace="180" w:wrap="around" w:hAnchor="page" w:x="1210" w:yAlign="bottom"/>
        <w:spacing w:line="100" w:lineRule="exact"/>
        <w:rPr>
          <w:sz w:val="10"/>
        </w:rPr>
      </w:pPr>
    </w:p>
    <w:p w:rsidR="00E30095" w:rsidRPr="00766466" w:rsidRDefault="00E30095" w:rsidP="00E30095">
      <w:pPr>
        <w:framePr w:w="9792" w:h="432" w:hSpace="180" w:wrap="around" w:hAnchor="page" w:x="1210" w:yAlign="bottom"/>
        <w:spacing w:line="60" w:lineRule="exact"/>
        <w:rPr>
          <w:sz w:val="6"/>
        </w:rPr>
      </w:pPr>
      <w:r w:rsidRPr="00766466">
        <w:rPr>
          <w:noProof/>
          <w:sz w:val="6"/>
        </w:rPr>
        <w:pict>
          <v:line id="_x0000_s1027" style="position:absolute;left:0;text-align:left;z-index:2;mso-position-horizontal-relative:page" from="108pt,-1pt" to="180pt,-1pt" strokeweight=".25pt">
            <w10:wrap anchorx="page"/>
          </v:line>
        </w:pict>
      </w:r>
    </w:p>
    <w:p w:rsidR="00E30095" w:rsidRPr="00766466" w:rsidRDefault="00E30095" w:rsidP="00E30095">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766466">
        <w:rPr>
          <w:sz w:val="18"/>
        </w:rPr>
        <w:tab/>
      </w:r>
      <w:r w:rsidRPr="00766466">
        <w:rPr>
          <w:rFonts w:ascii="Times New Roman"/>
          <w:sz w:val="18"/>
          <w:vertAlign w:val="superscript"/>
        </w:rPr>
        <w:t>*</w:t>
      </w:r>
      <w:r w:rsidRPr="00766466">
        <w:rPr>
          <w:sz w:val="18"/>
        </w:rPr>
        <w:tab/>
      </w:r>
      <w:r w:rsidRPr="00766466">
        <w:rPr>
          <w:rFonts w:hint="eastAsia"/>
          <w:sz w:val="18"/>
        </w:rPr>
        <w:t>委员会在其第五十五届会议(2013年7月8日至26日)通过。</w:t>
      </w:r>
    </w:p>
    <w:p w:rsidR="00E30095" w:rsidRPr="00766466" w:rsidRDefault="00E30095" w:rsidP="0076646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关于大不列颠及北爱尔兰联合王国第七次定期报告的结论性意见</w:t>
      </w:r>
      <w:r w:rsidRPr="00766466">
        <w:rPr>
          <w:rFonts w:ascii="Times New Roman"/>
          <w:vertAlign w:val="superscript"/>
        </w:rPr>
        <w:t>*</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1.</w:t>
      </w:r>
      <w:r w:rsidRPr="00766466">
        <w:rPr>
          <w:rFonts w:hint="eastAsia"/>
        </w:rPr>
        <w:tab/>
        <w:t>委员会2013年7月17日第1142次和第1143次会议(见</w:t>
      </w:r>
      <w:hyperlink r:id="rId14" w:history="1">
        <w:r w:rsidRPr="00766466">
          <w:rPr>
            <w:rStyle w:val="Hyperlink"/>
            <w:rFonts w:hint="eastAsia"/>
            <w:u w:val="none"/>
          </w:rPr>
          <w:t>CEDAW/C/SR.1142</w:t>
        </w:r>
      </w:hyperlink>
      <w:r w:rsidRPr="00766466">
        <w:rPr>
          <w:rFonts w:hint="eastAsia"/>
        </w:rPr>
        <w:t>和1143)审议了大不列颠及北爱尔兰联合王国第七次定期报告(</w:t>
      </w:r>
      <w:hyperlink r:id="rId15" w:history="1">
        <w:r w:rsidRPr="00766466">
          <w:rPr>
            <w:rStyle w:val="Hyperlink"/>
            <w:rFonts w:hint="eastAsia"/>
            <w:u w:val="none"/>
          </w:rPr>
          <w:t>CEDAW/C/GBR/7</w:t>
        </w:r>
      </w:hyperlink>
      <w:r w:rsidRPr="00766466">
        <w:rPr>
          <w:rFonts w:hint="eastAsia"/>
        </w:rPr>
        <w:t>和Add.1和Add.2)。委员会的议题和问题清单载于</w:t>
      </w:r>
      <w:hyperlink r:id="rId16" w:history="1">
        <w:r w:rsidRPr="00766466">
          <w:rPr>
            <w:rStyle w:val="Hyperlink"/>
            <w:rFonts w:hint="eastAsia"/>
            <w:u w:val="none"/>
          </w:rPr>
          <w:t>CEDAW/C/GBR/Q/7</w:t>
        </w:r>
      </w:hyperlink>
      <w:r w:rsidRPr="00766466">
        <w:rPr>
          <w:rFonts w:hint="eastAsia"/>
        </w:rPr>
        <w:t>，联合王国的答复载于</w:t>
      </w:r>
      <w:hyperlink r:id="rId17" w:history="1">
        <w:r w:rsidRPr="00766466">
          <w:rPr>
            <w:rStyle w:val="Hyperlink"/>
            <w:rFonts w:hint="eastAsia"/>
            <w:u w:val="none"/>
          </w:rPr>
          <w:t>CEDAW/C/GBR/Q/7/Add.1</w:t>
        </w:r>
      </w:hyperlink>
      <w:r w:rsidRPr="00766466">
        <w:rPr>
          <w:rFonts w:hint="eastAsia"/>
        </w:rPr>
        <w:t>。</w:t>
      </w:r>
    </w:p>
    <w:p w:rsidR="00E30095" w:rsidRPr="00766466" w:rsidRDefault="00E30095" w:rsidP="00E3009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t>A.</w:t>
      </w:r>
      <w:r w:rsidRPr="00766466">
        <w:rPr>
          <w:rFonts w:hint="eastAsia"/>
        </w:rPr>
        <w:tab/>
        <w:t>导言</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2.</w:t>
      </w:r>
      <w:r w:rsidRPr="00766466">
        <w:rPr>
          <w:rFonts w:hint="eastAsia"/>
        </w:rPr>
        <w:tab/>
        <w:t>委员会赞扬缔约国及时提交第七次定期报告，其中考虑到委员会以前的结论性意见(</w:t>
      </w:r>
      <w:hyperlink r:id="rId18" w:history="1">
        <w:r w:rsidRPr="00766466">
          <w:rPr>
            <w:rStyle w:val="Hyperlink"/>
            <w:rFonts w:hint="eastAsia"/>
            <w:u w:val="none"/>
          </w:rPr>
          <w:t>A/63/38</w:t>
        </w:r>
      </w:hyperlink>
      <w:r w:rsidRPr="00766466">
        <w:rPr>
          <w:rFonts w:hint="eastAsia"/>
        </w:rPr>
        <w:t xml:space="preserve">，第二部分，第248至303段)。委员会感谢缔约国做了口头介绍、对会前工作组提出的议题和问题清单做了书面答复、对委员会口头提出问题做了进一步澄清并进行了开放和建设性对话。 </w:t>
      </w:r>
    </w:p>
    <w:p w:rsidR="00E30095" w:rsidRPr="00766466" w:rsidRDefault="00E30095" w:rsidP="00E30095">
      <w:pPr>
        <w:pStyle w:val="SingleTxt"/>
        <w:rPr>
          <w:rFonts w:hint="eastAsia"/>
        </w:rPr>
      </w:pPr>
      <w:r w:rsidRPr="00766466">
        <w:rPr>
          <w:rFonts w:hint="eastAsia"/>
        </w:rPr>
        <w:t>3.</w:t>
      </w:r>
      <w:r w:rsidRPr="00766466">
        <w:rPr>
          <w:rFonts w:hint="eastAsia"/>
        </w:rPr>
        <w:tab/>
      </w:r>
      <w:r w:rsidRPr="00715899">
        <w:rPr>
          <w:rFonts w:hint="eastAsia"/>
          <w:spacing w:val="6"/>
        </w:rPr>
        <w:t>委员会赞扬缔约国派遣由政府平等办公室政策事务主任</w:t>
      </w:r>
      <w:r w:rsidRPr="00715899">
        <w:rPr>
          <w:rFonts w:ascii="Times New Roman"/>
          <w:spacing w:val="6"/>
        </w:rPr>
        <w:t>Helene Reardon-</w:t>
      </w:r>
      <w:r w:rsidR="00715899" w:rsidRPr="00715899">
        <w:rPr>
          <w:rFonts w:ascii="Times New Roman"/>
          <w:spacing w:val="6"/>
        </w:rPr>
        <w:br/>
      </w:r>
      <w:r w:rsidRPr="00766466">
        <w:rPr>
          <w:rFonts w:ascii="Times New Roman"/>
        </w:rPr>
        <w:t>Bond</w:t>
      </w:r>
      <w:r w:rsidRPr="00766466">
        <w:rPr>
          <w:rFonts w:hint="eastAsia"/>
        </w:rPr>
        <w:t>率领的代表团，代表团中的一些其他政府代表通过视频参加会议。然而委员会注意到缔约国代表团中没有海外领土和皇家属地的代表。</w:t>
      </w:r>
    </w:p>
    <w:p w:rsidR="00E30095" w:rsidRPr="00766466" w:rsidRDefault="00E30095" w:rsidP="00E30095">
      <w:pPr>
        <w:pStyle w:val="SingleTxt"/>
        <w:rPr>
          <w:rFonts w:hint="eastAsia"/>
        </w:rPr>
      </w:pPr>
      <w:r w:rsidRPr="00766466">
        <w:rPr>
          <w:rFonts w:hint="eastAsia"/>
        </w:rPr>
        <w:t>4.</w:t>
      </w:r>
      <w:r w:rsidRPr="00766466">
        <w:rPr>
          <w:rFonts w:hint="eastAsia"/>
        </w:rPr>
        <w:tab/>
        <w:t xml:space="preserve">委员会欣见缔约国承认非政府人权和妇女组织在实施公约方面作出积极贡献。 </w:t>
      </w:r>
    </w:p>
    <w:p w:rsidR="00E30095" w:rsidRPr="00766466" w:rsidRDefault="00E30095" w:rsidP="00E3009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t>B.</w:t>
      </w:r>
      <w:r w:rsidRPr="00766466">
        <w:rPr>
          <w:rFonts w:hint="eastAsia"/>
        </w:rPr>
        <w:tab/>
        <w:t>积极方面</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5.</w:t>
      </w:r>
      <w:r w:rsidRPr="00766466">
        <w:rPr>
          <w:rFonts w:hint="eastAsia"/>
        </w:rPr>
        <w:tab/>
        <w:t>委员会欣见缔约国在2010年通过关于平等问题的新战略“建设一个更公平的不列颠”。</w:t>
      </w:r>
    </w:p>
    <w:p w:rsidR="00E30095" w:rsidRPr="00766466" w:rsidRDefault="00E30095" w:rsidP="00E30095">
      <w:pPr>
        <w:pStyle w:val="SingleTxt"/>
        <w:rPr>
          <w:rFonts w:hint="eastAsia"/>
        </w:rPr>
      </w:pPr>
      <w:r w:rsidRPr="00766466">
        <w:rPr>
          <w:rFonts w:hint="eastAsia"/>
        </w:rPr>
        <w:t>6.</w:t>
      </w:r>
      <w:r w:rsidRPr="00766466">
        <w:rPr>
          <w:rFonts w:hint="eastAsia"/>
        </w:rPr>
        <w:tab/>
        <w:t>委员会赞扬缔约国进行了协调，使出席2013年4月在伦敦举行的八国集团会议的部长得以通过《防止在冲突中的性暴力行为宣言》。</w:t>
      </w:r>
    </w:p>
    <w:p w:rsidR="00E30095" w:rsidRPr="00766466" w:rsidRDefault="00E30095" w:rsidP="00E30095">
      <w:pPr>
        <w:pStyle w:val="SingleTxt"/>
        <w:rPr>
          <w:rFonts w:hint="eastAsia"/>
        </w:rPr>
      </w:pPr>
      <w:r w:rsidRPr="00766466">
        <w:rPr>
          <w:rFonts w:hint="eastAsia"/>
        </w:rPr>
        <w:t>7.</w:t>
      </w:r>
      <w:r w:rsidRPr="00766466">
        <w:rPr>
          <w:rFonts w:hint="eastAsia"/>
        </w:rPr>
        <w:tab/>
        <w:t xml:space="preserve">委员会欣见缔约国在2009年批准《残疾人权利公约》和《儿童权利公约关于买卖儿童、儿童卖淫和儿童色情制品问题的任择议定书》。 </w:t>
      </w:r>
    </w:p>
    <w:p w:rsidR="00E30095" w:rsidRPr="00766466" w:rsidRDefault="00E30095" w:rsidP="00E30095">
      <w:pPr>
        <w:pStyle w:val="SingleTxt"/>
        <w:rPr>
          <w:rFonts w:hint="eastAsia"/>
        </w:rPr>
      </w:pPr>
      <w:r w:rsidRPr="00766466">
        <w:rPr>
          <w:rFonts w:hint="eastAsia"/>
        </w:rPr>
        <w:t>8.</w:t>
      </w:r>
      <w:r w:rsidRPr="00766466">
        <w:tab/>
      </w:r>
      <w:r w:rsidRPr="00766466">
        <w:rPr>
          <w:rFonts w:hint="eastAsia"/>
        </w:rPr>
        <w:t>委员会还欣见《欧洲理事会打击贩卖人口行动公约》获得批准。</w:t>
      </w:r>
    </w:p>
    <w:p w:rsidR="00E30095" w:rsidRPr="00766466" w:rsidRDefault="00E30095" w:rsidP="00E3009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t>C.</w:t>
      </w:r>
      <w:r w:rsidRPr="00766466">
        <w:rPr>
          <w:rFonts w:hint="eastAsia"/>
        </w:rPr>
        <w:tab/>
        <w:t>主要关切领域和建议</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议会</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9.</w:t>
      </w:r>
      <w:r w:rsidRPr="00766466">
        <w:rPr>
          <w:rFonts w:hint="eastAsia"/>
        </w:rPr>
        <w:tab/>
      </w:r>
      <w:r w:rsidRPr="00766466">
        <w:rPr>
          <w:rFonts w:ascii="SimHei" w:eastAsia="SimHei" w:hint="eastAsia"/>
        </w:rPr>
        <w:t>委员会重申，政府在全面实施缔约国根据《公约》承担的义务方面负有首要责任，并特别须为此接受问责，但强调《公约》对政府所有部门具约束力，并请缔约国鼓励其议会依照本身程序，在适当情况下采取必要步骤，从现在起至缔约国根据《公约》进行的下一个报告过程之间实施本结论性意见</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保留</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10.</w:t>
      </w:r>
      <w:r w:rsidRPr="00766466">
        <w:rPr>
          <w:rFonts w:hint="eastAsia"/>
        </w:rPr>
        <w:tab/>
        <w:t>缔约国曾承诺审查其对《公约》第1、2、9、11、15和16条的保留意见，以期撤回这些意见，委员会回顾其在2008年就这项承诺提出的结论性意见(同上，第258和259段)。委员会感到遗憾的是，缔约国将继续保持其保留意见，但注意到马恩岛打算独立撤回部分保留意见。</w:t>
      </w:r>
    </w:p>
    <w:p w:rsidR="00E30095" w:rsidRPr="00766466" w:rsidRDefault="00E30095" w:rsidP="00E30095">
      <w:pPr>
        <w:pStyle w:val="SingleTxt"/>
        <w:rPr>
          <w:rFonts w:hint="eastAsia"/>
        </w:rPr>
      </w:pPr>
      <w:r w:rsidRPr="00766466">
        <w:rPr>
          <w:rFonts w:hint="eastAsia"/>
        </w:rPr>
        <w:t>11.</w:t>
      </w:r>
      <w:r w:rsidRPr="00766466">
        <w:rPr>
          <w:rFonts w:hint="eastAsia"/>
        </w:rPr>
        <w:tab/>
      </w:r>
      <w:r w:rsidRPr="00766466">
        <w:rPr>
          <w:rFonts w:ascii="SimHei" w:eastAsia="SimHei" w:hint="eastAsia"/>
        </w:rPr>
        <w:t>委员会重申其先前的建议，并敦促缔约国撤回和缩小现有的保留。它也重申它认为部分保留具有解释性声明性质，可能不再需要有这些保留。委员会还敦促缔约国帮助马恩岛与其他领土撤回一些保留</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公约的法律地位</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12.</w:t>
      </w:r>
      <w:r w:rsidRPr="00766466">
        <w:rPr>
          <w:rFonts w:hint="eastAsia"/>
        </w:rPr>
        <w:tab/>
        <w:t>委员会回顾其在1999年(</w:t>
      </w:r>
      <w:hyperlink r:id="rId19" w:history="1">
        <w:r w:rsidRPr="00766466">
          <w:rPr>
            <w:rStyle w:val="Hyperlink"/>
            <w:rFonts w:hint="eastAsia"/>
            <w:u w:val="none"/>
          </w:rPr>
          <w:t>A/54/38/Rev.1</w:t>
        </w:r>
      </w:hyperlink>
      <w:r w:rsidRPr="00766466">
        <w:rPr>
          <w:rFonts w:hint="eastAsia"/>
        </w:rPr>
        <w:t>，第二部分，第278至318段)和2008年(</w:t>
      </w:r>
      <w:hyperlink r:id="rId20" w:history="1">
        <w:r w:rsidRPr="00766466">
          <w:rPr>
            <w:rStyle w:val="Hyperlink"/>
            <w:rFonts w:hint="eastAsia"/>
            <w:u w:val="none"/>
          </w:rPr>
          <w:t>A/63/38</w:t>
        </w:r>
      </w:hyperlink>
      <w:r w:rsidRPr="00766466">
        <w:rPr>
          <w:rFonts w:hint="eastAsia"/>
        </w:rPr>
        <w:t>，第二部分，第260和261段)提出的结论性意见，并指出虽然2010年的《平等法》和国家立法纳入了《公约》的若干规定，但缔约国的立法没有纳入所有规定。</w:t>
      </w:r>
    </w:p>
    <w:p w:rsidR="00E30095" w:rsidRPr="00766466" w:rsidRDefault="00E30095" w:rsidP="00E30095">
      <w:pPr>
        <w:pStyle w:val="SingleTxt"/>
        <w:rPr>
          <w:rFonts w:hint="eastAsia"/>
        </w:rPr>
      </w:pPr>
      <w:r w:rsidRPr="00766466">
        <w:rPr>
          <w:rFonts w:hint="eastAsia"/>
        </w:rPr>
        <w:t>13.</w:t>
      </w:r>
      <w:r w:rsidRPr="00766466">
        <w:rPr>
          <w:rFonts w:hint="eastAsia"/>
        </w:rPr>
        <w:tab/>
      </w:r>
      <w:r w:rsidRPr="00766466">
        <w:rPr>
          <w:rFonts w:ascii="SimHei" w:eastAsia="SimHei" w:hint="eastAsia"/>
        </w:rPr>
        <w:t>委员会重申其先前的建议，并敦促缔约国继续审查其立法，以期纳入《公约》所有规定</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《公约》在海外领土和皇家属地的适用</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14.</w:t>
      </w:r>
      <w:r w:rsidRPr="00766466">
        <w:rPr>
          <w:rFonts w:hint="eastAsia"/>
        </w:rPr>
        <w:tab/>
        <w:t>委员会关切的是缔约国对《公约》的批准尚未扩大到包括根西岛和泽西岛。</w:t>
      </w:r>
    </w:p>
    <w:p w:rsidR="00E30095" w:rsidRPr="00766466" w:rsidRDefault="00E30095" w:rsidP="00E30095">
      <w:pPr>
        <w:pStyle w:val="SingleTxt"/>
        <w:rPr>
          <w:rFonts w:hint="eastAsia"/>
        </w:rPr>
      </w:pPr>
      <w:r w:rsidRPr="00766466">
        <w:rPr>
          <w:rFonts w:hint="eastAsia"/>
        </w:rPr>
        <w:t>15.</w:t>
      </w:r>
      <w:r w:rsidRPr="00766466">
        <w:rPr>
          <w:rFonts w:hint="eastAsia"/>
        </w:rPr>
        <w:tab/>
      </w:r>
      <w:r w:rsidRPr="00766466">
        <w:rPr>
          <w:rFonts w:ascii="SimHei" w:eastAsia="SimHei" w:hint="eastAsia"/>
        </w:rPr>
        <w:t>委员会敦促缔约国将其对《公约》的批准扩大到包括其所有领土，包括根西岛和泽西岛</w:t>
      </w:r>
      <w:r w:rsidRPr="00766466">
        <w:rPr>
          <w:rFonts w:hint="eastAsia"/>
        </w:rPr>
        <w:t>。</w:t>
      </w:r>
    </w:p>
    <w:p w:rsidR="00E30095" w:rsidRPr="00766466" w:rsidRDefault="00754CED"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E30095" w:rsidRPr="00766466">
        <w:rPr>
          <w:rFonts w:hint="eastAsia"/>
        </w:rPr>
        <w:tab/>
      </w:r>
      <w:r w:rsidR="00E30095" w:rsidRPr="00766466">
        <w:rPr>
          <w:rFonts w:hint="eastAsia"/>
        </w:rPr>
        <w:tab/>
        <w:t>宪法框架和《公约》的实施</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16.</w:t>
      </w:r>
      <w:r w:rsidRPr="00766466">
        <w:rPr>
          <w:rFonts w:hint="eastAsia"/>
        </w:rPr>
        <w:tab/>
        <w:t xml:space="preserve">委员会注意到缔约国努力将反歧视法统一在一个单一的平等法(2010年的《平等法》)下，但关切的是，《平等法》以一个单一的“公共部门平等责任(平等责任)”(涵盖所有被禁止的歧视理由)取代“性别平等责任”，而英格兰的“平等责任”的具体责任要求，不像苏格兰和威尔士的那样，没有明确的性别部分，并且没有适当保护妇女免受多重歧视。委员会还关切的是，《平等法》的一些规定还没有开始生效，如下列方面的规定：关于社会经济不平等的新的公共部门责任(第1至3节)；承认“合并歧视”(第14节)；公布按性别开列的工资信息(第78节)。 </w:t>
      </w:r>
    </w:p>
    <w:p w:rsidR="00E30095" w:rsidRPr="00766466" w:rsidRDefault="00E30095" w:rsidP="00E30095">
      <w:pPr>
        <w:pStyle w:val="SingleTxt"/>
        <w:rPr>
          <w:rFonts w:hint="eastAsia"/>
        </w:rPr>
      </w:pPr>
      <w:r w:rsidRPr="00766466">
        <w:rPr>
          <w:rFonts w:hint="eastAsia"/>
        </w:rPr>
        <w:t>17.</w:t>
      </w:r>
      <w:r w:rsidRPr="00766466">
        <w:rPr>
          <w:rFonts w:hint="eastAsia"/>
        </w:rPr>
        <w:tab/>
      </w:r>
      <w:r w:rsidRPr="00766466">
        <w:rPr>
          <w:rFonts w:ascii="SimHei" w:eastAsia="SimHei" w:hint="eastAsia"/>
        </w:rPr>
        <w:t>委员会敦促缔约国在审查平等责任时，确保适当地为公共权力机构规定平等责任中的性别平等部分，包括适用实质平等原则。在这方面，缔约国应考虑发布英格兰、苏格兰和威尔士都适用的关于平等责任的法定指引，从而使指导统一化。它还敦促缔约国使有关下列方面的《平等法》规定生效：引进新的关于社会经济不平等的公共部门责任；承认多种形式的歧视；需要公布按性别开列的工资信息</w:t>
      </w:r>
      <w:r w:rsidRPr="00766466">
        <w:rPr>
          <w:rFonts w:hint="eastAsia"/>
        </w:rPr>
        <w:t>。</w:t>
      </w:r>
    </w:p>
    <w:p w:rsidR="00E30095" w:rsidRPr="00766466" w:rsidRDefault="00E30095" w:rsidP="00E30095">
      <w:pPr>
        <w:pStyle w:val="SingleTxt"/>
        <w:rPr>
          <w:rFonts w:hint="eastAsia"/>
        </w:rPr>
      </w:pPr>
      <w:r w:rsidRPr="00766466">
        <w:rPr>
          <w:rFonts w:hint="eastAsia"/>
        </w:rPr>
        <w:t>18.</w:t>
      </w:r>
      <w:r w:rsidRPr="00766466">
        <w:tab/>
      </w:r>
      <w:r w:rsidRPr="00766466">
        <w:rPr>
          <w:rFonts w:hint="eastAsia"/>
        </w:rPr>
        <w:t>委员会关切的是，2010年《平等法》总体来说没有把北爱尔兰包括在内，因而使北爱尔兰妇女享受不到与英格兰妇女同等程度的保护。委员会尤其关切的是，北爱尔兰的立法框架没有为遭受多种歧视的人提供保护，而且不禁止薪酬保密条款。</w:t>
      </w:r>
    </w:p>
    <w:p w:rsidR="00E30095" w:rsidRPr="00766466" w:rsidRDefault="00E30095" w:rsidP="00E30095">
      <w:pPr>
        <w:pStyle w:val="SingleTxt"/>
        <w:rPr>
          <w:rFonts w:hint="eastAsia"/>
        </w:rPr>
      </w:pPr>
      <w:r w:rsidRPr="00766466">
        <w:rPr>
          <w:rFonts w:hint="eastAsia"/>
        </w:rPr>
        <w:t>19.</w:t>
      </w:r>
      <w:r w:rsidRPr="00766466">
        <w:tab/>
      </w:r>
      <w:r w:rsidRPr="00766466">
        <w:rPr>
          <w:rFonts w:ascii="SimHei" w:eastAsia="SimHei" w:hint="eastAsia"/>
        </w:rPr>
        <w:t>委员会建议缔约国修订北爱尔兰的法律，确保法律为该地妇女提供与缔约国行政管辖下其他妇女同等的保护。因此，缔约国应承认多种歧视现象，并确保禁止薪酬保密条款</w:t>
      </w:r>
      <w:r w:rsidRPr="00766466">
        <w:rPr>
          <w:rFonts w:hint="eastAsia"/>
        </w:rPr>
        <w:t>。</w:t>
      </w:r>
    </w:p>
    <w:p w:rsidR="00E30095" w:rsidRPr="00766466" w:rsidRDefault="00E30095" w:rsidP="00E30095">
      <w:pPr>
        <w:pStyle w:val="SingleTxt"/>
        <w:rPr>
          <w:rFonts w:hint="eastAsia"/>
        </w:rPr>
      </w:pPr>
      <w:r w:rsidRPr="00766466">
        <w:rPr>
          <w:rFonts w:hint="eastAsia"/>
        </w:rPr>
        <w:t>20.</w:t>
      </w:r>
      <w:r w:rsidRPr="00766466">
        <w:tab/>
      </w:r>
      <w:r w:rsidRPr="00766466">
        <w:rPr>
          <w:rFonts w:hint="eastAsia"/>
        </w:rPr>
        <w:t>委员会关切的是，缔约国推行的紧缩措施，造成了为妇女提供社会服务的组织，包括那些专为妇女提供服务的组织的经费大幅度削减。委员会关切这些经费压缩会对残疾和老年妇女产生不良影响。委员会还关切的是，缔约国不直接为这些服务提供经费，而采取委托承包的做法，据称这样做会减损所提供的服务。委员会还关切，公共部门的预算裁减，由于以对该部门削减为重点，会对妇女产生更大的影响。</w:t>
      </w:r>
    </w:p>
    <w:p w:rsidR="00E30095" w:rsidRPr="00766466" w:rsidRDefault="00E30095" w:rsidP="00E30095">
      <w:pPr>
        <w:pStyle w:val="SingleTxt"/>
        <w:rPr>
          <w:rFonts w:hint="eastAsia"/>
        </w:rPr>
      </w:pPr>
      <w:r w:rsidRPr="00766466">
        <w:rPr>
          <w:rFonts w:hint="eastAsia"/>
        </w:rPr>
        <w:t>21.</w:t>
      </w:r>
      <w:r w:rsidRPr="00766466">
        <w:tab/>
      </w:r>
      <w:r w:rsidRPr="00766466">
        <w:rPr>
          <w:rFonts w:ascii="SimHei" w:eastAsia="SimHei" w:hint="eastAsia"/>
        </w:rPr>
        <w:t>委员会敦请缔约国降低紧缩措施对妇女，以及为妇女，尤其为残疾妇女和老年妇女所提供服务的影响。缔约国还应确保，开支审查应经常不断地衡量和平衡紧缩措施对妇女权利的影响。缔约国还应审查任何可能减损提供女性专项服务的服务委托承包政策</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立法援助和诉诸司法</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22.</w:t>
      </w:r>
      <w:r w:rsidRPr="00766466">
        <w:tab/>
      </w:r>
      <w:r w:rsidRPr="00766466">
        <w:rPr>
          <w:rFonts w:hint="eastAsia"/>
        </w:rPr>
        <w:t>委员会关切2012年颁布的《罪犯法律援助、判刑和惩处法》不当限制了对妇女可诉求的法律援助，因为该法排除了针对具体诸如离婚、资产纠纷、住房和移民等问题诉讼，可寻求的法律援助。在注意到对一些私人家庭法律问题仍可提供法律援助之际，委员会关切的是，该法规定提供法律援助的前提条件是，除别的以外，需要证明暴力受害者受到侵犯，并且目前正在考虑拟议的居民权测试问题。委员会还关切，2013年10月颁布了《征收就业上诉庭诉讼费法令》，规定要征收法庭费用。委员会关切地注意到，有报告称这些限制可迫使妇女，尤其是少数民族妇女转而讫求那些往往与《公约》相悖的非正式族群仲裁制度，包括基于信仰的裁判庭。</w:t>
      </w:r>
    </w:p>
    <w:p w:rsidR="00E30095" w:rsidRPr="00766466" w:rsidRDefault="00E30095" w:rsidP="00E30095">
      <w:pPr>
        <w:pStyle w:val="SingleTxt"/>
        <w:rPr>
          <w:rFonts w:ascii="SimHei" w:eastAsia="SimHei" w:hint="eastAsia"/>
        </w:rPr>
      </w:pPr>
      <w:r w:rsidRPr="00766466">
        <w:rPr>
          <w:rFonts w:hint="eastAsia"/>
        </w:rPr>
        <w:t>23.</w:t>
      </w:r>
      <w:r w:rsidRPr="00766466">
        <w:tab/>
      </w:r>
      <w:r w:rsidRPr="00766466">
        <w:rPr>
          <w:rFonts w:ascii="SimHei" w:eastAsia="SimHei" w:hint="eastAsia"/>
        </w:rPr>
        <w:t>委员会敦请缔约国：</w:t>
      </w:r>
    </w:p>
    <w:p w:rsidR="00E30095" w:rsidRPr="00766466" w:rsidRDefault="00E30095" w:rsidP="00E30095">
      <w:pPr>
        <w:pStyle w:val="SingleTxt"/>
        <w:rPr>
          <w:rFonts w:ascii="SimHei" w:eastAsia="SimHei" w:hint="eastAsia"/>
        </w:rPr>
      </w:pPr>
      <w:r w:rsidRPr="00754CED">
        <w:rPr>
          <w:rFonts w:hint="eastAsia"/>
        </w:rPr>
        <w:tab/>
        <w:t>(a)</w:t>
      </w:r>
      <w:r w:rsidRPr="00766466">
        <w:rPr>
          <w:rFonts w:ascii="SimHei" w:eastAsia="SimHei" w:hint="eastAsia"/>
        </w:rPr>
        <w:tab/>
        <w:t>确保妇女，特别是遭暴力侵害妇女，可有效诉诸法院和法庭；</w:t>
      </w:r>
    </w:p>
    <w:p w:rsidR="00E30095" w:rsidRPr="00766466" w:rsidRDefault="00E30095" w:rsidP="00E30095">
      <w:pPr>
        <w:pStyle w:val="SingleTxt"/>
        <w:rPr>
          <w:rFonts w:ascii="SimHei" w:eastAsia="SimHei" w:hint="eastAsia"/>
        </w:rPr>
      </w:pPr>
      <w:r w:rsidRPr="00754CED">
        <w:rPr>
          <w:rFonts w:hint="eastAsia"/>
        </w:rPr>
        <w:tab/>
        <w:t>(b)</w:t>
      </w:r>
      <w:r w:rsidRPr="00766466">
        <w:rPr>
          <w:rFonts w:ascii="SimHei" w:eastAsia="SimHei" w:hint="eastAsia"/>
        </w:rPr>
        <w:tab/>
        <w:t>经常不断地评估改革对为保护妇女权利所提供法律援助的影响；</w:t>
      </w:r>
    </w:p>
    <w:p w:rsidR="00E30095" w:rsidRPr="00766466" w:rsidRDefault="00E30095" w:rsidP="00E30095">
      <w:pPr>
        <w:pStyle w:val="SingleTxt"/>
        <w:rPr>
          <w:rFonts w:hint="eastAsia"/>
        </w:rPr>
      </w:pPr>
      <w:r w:rsidRPr="00754CED">
        <w:rPr>
          <w:rFonts w:hint="eastAsia"/>
        </w:rPr>
        <w:tab/>
        <w:t>(c)</w:t>
      </w:r>
      <w:r w:rsidRPr="00766466">
        <w:rPr>
          <w:rFonts w:ascii="SimHei" w:eastAsia="SimHei" w:hint="eastAsia"/>
        </w:rPr>
        <w:tab/>
        <w:t>保护妇女免受非正式社群仲裁制度，特别是那些侵犯妇女根据《公约》所享权利的仲裁制度的损害</w:t>
      </w:r>
      <w:r w:rsidRPr="00766466">
        <w:rPr>
          <w:rFonts w:hint="eastAsia"/>
        </w:rPr>
        <w:t>。</w:t>
      </w:r>
    </w:p>
    <w:p w:rsidR="00E30095" w:rsidRPr="00766466" w:rsidRDefault="00E30095" w:rsidP="00E30095">
      <w:pPr>
        <w:pStyle w:val="SingleTxt"/>
        <w:rPr>
          <w:rFonts w:hint="eastAsia"/>
        </w:rPr>
      </w:pPr>
      <w:r w:rsidRPr="00766466">
        <w:rPr>
          <w:rFonts w:hint="eastAsia"/>
        </w:rPr>
        <w:t>24.</w:t>
      </w:r>
      <w:r w:rsidRPr="00766466">
        <w:tab/>
      </w:r>
      <w:r w:rsidRPr="00766466">
        <w:rPr>
          <w:rFonts w:hint="eastAsia"/>
        </w:rPr>
        <w:t>在欢迎确立对“教会机构历史侵权案的调查”，负责履行调查1992年至1995年期间，北爱尔兰境内驻地教会机构所犯侵权(马格达林洗衣店)案的任命之际，委员会遗憾地感到，该调查任务并不包括当初进入马格达林洗衣店打工时年满18岁的女性。委员会关切，排除年满18岁者的做法是袒护有罪不罚的现象，让许多妇女无法得到补救。</w:t>
      </w:r>
    </w:p>
    <w:p w:rsidR="00E30095" w:rsidRPr="00766466" w:rsidRDefault="00E30095" w:rsidP="00E30095">
      <w:pPr>
        <w:pStyle w:val="SingleTxt"/>
        <w:rPr>
          <w:rFonts w:ascii="SimHei" w:eastAsia="SimHei" w:hint="eastAsia"/>
        </w:rPr>
      </w:pPr>
      <w:r w:rsidRPr="00766466">
        <w:rPr>
          <w:rFonts w:hint="eastAsia"/>
        </w:rPr>
        <w:t>25.</w:t>
      </w:r>
      <w:r w:rsidRPr="00766466">
        <w:tab/>
      </w:r>
      <w:r w:rsidRPr="00766466">
        <w:rPr>
          <w:rFonts w:hint="eastAsia"/>
        </w:rPr>
        <w:t>委</w:t>
      </w:r>
      <w:r w:rsidRPr="00766466">
        <w:rPr>
          <w:rFonts w:ascii="SimHei" w:eastAsia="SimHei" w:hint="eastAsia"/>
        </w:rPr>
        <w:t>员会敦请缔约国：</w:t>
      </w:r>
    </w:p>
    <w:p w:rsidR="00E30095" w:rsidRPr="00766466" w:rsidRDefault="00E30095" w:rsidP="00E30095">
      <w:pPr>
        <w:pStyle w:val="SingleTxt"/>
        <w:rPr>
          <w:rFonts w:ascii="SimHei" w:eastAsia="SimHei" w:hint="eastAsia"/>
        </w:rPr>
      </w:pPr>
      <w:r w:rsidRPr="00754CED">
        <w:rPr>
          <w:rFonts w:hint="eastAsia"/>
        </w:rPr>
        <w:tab/>
        <w:t>(a)</w:t>
      </w:r>
      <w:r w:rsidRPr="00766466">
        <w:rPr>
          <w:rFonts w:ascii="SimHei" w:eastAsia="SimHei" w:hint="eastAsia"/>
        </w:rPr>
        <w:tab/>
        <w:t>扩大教会机构历史侵权案调查所负任务范围，列入那些进入马格林达林洗衣店时已年满18岁及更大年龄的妇女；</w:t>
      </w:r>
    </w:p>
    <w:p w:rsidR="00E30095" w:rsidRPr="00766466" w:rsidRDefault="00E30095" w:rsidP="00E30095">
      <w:pPr>
        <w:pStyle w:val="SingleTxt"/>
        <w:rPr>
          <w:rFonts w:hint="eastAsia"/>
        </w:rPr>
      </w:pPr>
      <w:r w:rsidRPr="00754CED">
        <w:rPr>
          <w:rFonts w:hint="eastAsia"/>
        </w:rPr>
        <w:tab/>
        <w:t>(b)</w:t>
      </w:r>
      <w:r w:rsidRPr="00766466">
        <w:rPr>
          <w:rFonts w:ascii="SimHei" w:eastAsia="SimHei" w:hint="eastAsia"/>
        </w:rPr>
        <w:tab/>
        <w:t>为所有被拘禁在马格林达洗衣店及类似收容机构内，沦为侵权受害者的人提供充分的补救</w:t>
      </w:r>
      <w:r w:rsidRPr="00766466">
        <w:rPr>
          <w:rFonts w:hint="eastAsia"/>
        </w:rPr>
        <w:t>。</w:t>
      </w:r>
    </w:p>
    <w:p w:rsidR="00E30095" w:rsidRPr="00766466" w:rsidRDefault="00E30095" w:rsidP="00E30095">
      <w:pPr>
        <w:pStyle w:val="SingleTxt"/>
        <w:rPr>
          <w:rFonts w:hint="eastAsia"/>
        </w:rPr>
      </w:pPr>
      <w:r w:rsidRPr="00766466">
        <w:rPr>
          <w:rFonts w:hint="eastAsia"/>
        </w:rPr>
        <w:t>26.</w:t>
      </w:r>
      <w:r w:rsidRPr="00766466">
        <w:tab/>
      </w:r>
      <w:r w:rsidRPr="00766466">
        <w:rPr>
          <w:rFonts w:hint="eastAsia"/>
        </w:rPr>
        <w:t>委员会关切的是，在卡洛威勋爵关于苏格兰刑事法律和惯例的审查结果发布后，颇为冗繁复杂的佐证规定，阻碍了对强奸及其它性侵暴力案的追究。委员会还关切的是，苏格兰对性侵案，包括对儿童性侵案规定的三年民事诉讼有效限期，不当地限制了受害者伸冤昭雪的途径。</w:t>
      </w:r>
    </w:p>
    <w:p w:rsidR="00E30095" w:rsidRPr="00766466" w:rsidRDefault="00E30095" w:rsidP="00E30095">
      <w:pPr>
        <w:pStyle w:val="SingleTxt"/>
        <w:rPr>
          <w:rFonts w:ascii="SimHei" w:eastAsia="SimHei" w:hint="eastAsia"/>
        </w:rPr>
      </w:pPr>
      <w:r w:rsidRPr="00766466">
        <w:rPr>
          <w:rFonts w:hint="eastAsia"/>
        </w:rPr>
        <w:t>27.</w:t>
      </w:r>
      <w:r w:rsidRPr="00766466">
        <w:tab/>
      </w:r>
      <w:r w:rsidRPr="00766466">
        <w:rPr>
          <w:rFonts w:ascii="SimHei" w:eastAsia="SimHei" w:hint="eastAsia"/>
        </w:rPr>
        <w:t>委员会敦请缔约国：</w:t>
      </w:r>
    </w:p>
    <w:p w:rsidR="00E30095" w:rsidRPr="00766466" w:rsidRDefault="00E30095" w:rsidP="00E30095">
      <w:pPr>
        <w:pStyle w:val="SingleTxt"/>
        <w:rPr>
          <w:rFonts w:ascii="SimHei" w:eastAsia="SimHei" w:hint="eastAsia"/>
        </w:rPr>
      </w:pPr>
      <w:r w:rsidRPr="00754CED">
        <w:rPr>
          <w:rFonts w:hint="eastAsia"/>
        </w:rPr>
        <w:tab/>
        <w:t>(a)</w:t>
      </w:r>
      <w:r w:rsidRPr="00766466">
        <w:rPr>
          <w:rFonts w:ascii="SimHei" w:eastAsia="SimHei" w:hint="eastAsia"/>
        </w:rPr>
        <w:tab/>
        <w:t>考虑采纳卡洛威勋爵的建议，废除有关性侵刑事案的佐证规定；</w:t>
      </w:r>
    </w:p>
    <w:p w:rsidR="00E30095" w:rsidRPr="00766466" w:rsidRDefault="00E30095" w:rsidP="00E30095">
      <w:pPr>
        <w:pStyle w:val="SingleTxt"/>
        <w:rPr>
          <w:rFonts w:hint="eastAsia"/>
        </w:rPr>
      </w:pPr>
      <w:r w:rsidRPr="00754CED">
        <w:rPr>
          <w:rFonts w:hint="eastAsia"/>
        </w:rPr>
        <w:tab/>
        <w:t>(b)</w:t>
      </w:r>
      <w:r w:rsidRPr="00766466">
        <w:rPr>
          <w:rFonts w:ascii="SimHei" w:eastAsia="SimHei" w:hint="eastAsia"/>
        </w:rPr>
        <w:tab/>
        <w:t>延长针对性侵害案，特别是对女孩的性侵害案提起民事诉讼的限期规定，从而让受害人长大成人之后仍可提起诉讼</w:t>
      </w:r>
      <w:r w:rsidRPr="00766466">
        <w:rPr>
          <w:rFonts w:hint="eastAsia"/>
        </w:rPr>
        <w:t>。</w:t>
      </w:r>
    </w:p>
    <w:p w:rsidR="00E30095" w:rsidRPr="00766466" w:rsidRDefault="000C1797"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E30095" w:rsidRPr="00766466">
        <w:rPr>
          <w:rFonts w:hint="eastAsia"/>
        </w:rPr>
        <w:tab/>
      </w:r>
      <w:r w:rsidR="00E30095" w:rsidRPr="00766466">
        <w:rPr>
          <w:rFonts w:hint="eastAsia"/>
        </w:rPr>
        <w:tab/>
        <w:t>国家提高妇女地位的机构</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28.</w:t>
      </w:r>
      <w:r w:rsidRPr="00766466">
        <w:tab/>
      </w:r>
      <w:r w:rsidRPr="00766466">
        <w:rPr>
          <w:rFonts w:hint="eastAsia"/>
        </w:rPr>
        <w:t>委员会关切的是，全国妇女委员会(在缔约国全境内促进妇女平等的前国家机构的一部分)被“政府平权事务署”(平权署)所取代。平权署任务所辖范围不涵盖北爱尔兰。委员会回顾其先前的结论性意见(同上，第262和263段)，且仍关切尚缺乏执行《公约》的全国统一战略。委员会还关切，缔约国让妇女组织参与的新现代化方针，不良地阻碍了妇女组织参与和促进深化执行《公约》的能力。</w:t>
      </w:r>
    </w:p>
    <w:p w:rsidR="00E30095" w:rsidRPr="00766466" w:rsidRDefault="00E30095" w:rsidP="00E30095">
      <w:pPr>
        <w:pStyle w:val="SingleTxt"/>
        <w:rPr>
          <w:rFonts w:hint="eastAsia"/>
        </w:rPr>
      </w:pPr>
      <w:r w:rsidRPr="00766466">
        <w:rPr>
          <w:rFonts w:hint="eastAsia"/>
        </w:rPr>
        <w:t>29.</w:t>
      </w:r>
      <w:r w:rsidRPr="00766466">
        <w:tab/>
      </w:r>
      <w:r w:rsidRPr="00766466">
        <w:rPr>
          <w:rFonts w:ascii="SimHei" w:eastAsia="SimHei" w:hint="eastAsia"/>
        </w:rPr>
        <w:t>委员会建议缔约国确保政府平权事务署设有一个负责协调缔约国境内各地性别平等事务的主管处。委员会重申其先前的建议，请缔约国制订和颁布一项统一、综合和整体性的国家战略，以便在全国境内等履行《公约》。缔约国还应评估新方针对促使妇女组织参与的影响，并采取各项措施，减轻对妇女组织充分参与能力的不良影响</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临时特别措施</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30.</w:t>
      </w:r>
      <w:r w:rsidRPr="00766466">
        <w:tab/>
      </w:r>
      <w:r w:rsidRPr="00766466">
        <w:rPr>
          <w:rFonts w:hint="eastAsia"/>
        </w:rPr>
        <w:t>在赞扬缔约国将允许各政治党派采取仅推荐女性议员候选人少数名额的规定延长至2030年，以及威尔士政府承诺设立配额制的同时，委员会关切，缔约国尚未采取进一步的临时措施，解决公共和私营部门，以及在政治生活层面，特别是议会中担任决策职位妇女比例不足的问题。委员会尤其关切，尽管戴维斯勋爵的报告中建议，更多临时性措施可成为公司董事会任职女性比例不足局面出现重大扭转的手段，然而，缔约国继续使用不太见效的“自愿谋求守则”。</w:t>
      </w:r>
    </w:p>
    <w:p w:rsidR="00E30095" w:rsidRPr="00766466" w:rsidRDefault="00E30095" w:rsidP="00E30095">
      <w:pPr>
        <w:pStyle w:val="SingleTxt"/>
        <w:rPr>
          <w:rFonts w:hint="eastAsia"/>
        </w:rPr>
      </w:pPr>
      <w:r w:rsidRPr="00766466">
        <w:rPr>
          <w:rFonts w:hint="eastAsia"/>
        </w:rPr>
        <w:t>31.</w:t>
      </w:r>
      <w:r w:rsidRPr="00766466">
        <w:tab/>
      </w:r>
      <w:r w:rsidRPr="00766466">
        <w:rPr>
          <w:rFonts w:ascii="SimHei" w:eastAsia="SimHei" w:hint="eastAsia"/>
        </w:rPr>
        <w:t>委员会建议缔约国评估“自愿谋求守则”的影响力，并考虑采用更有针对性的临时特别措施，改善公共和私营部门内，特别是公司董事会以及政治生活中的女性所占比例</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俗套观念</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32.</w:t>
      </w:r>
      <w:r w:rsidRPr="00766466">
        <w:tab/>
      </w:r>
      <w:r w:rsidRPr="00766466">
        <w:rPr>
          <w:rFonts w:hint="eastAsia"/>
        </w:rPr>
        <w:t>在注意到缔约国致力于提高对体态形象焦虑症根源和影响后果的认识之际，委员会仍关切，亦如法官莱文森勋爵关于新闻界文化、做法和道德问题调查报告所确认的，由于传媒和广告宣传致使女性体貌俗套化和定格化的普遍现象。</w:t>
      </w:r>
    </w:p>
    <w:p w:rsidR="00E30095" w:rsidRPr="00766466" w:rsidRDefault="00E30095" w:rsidP="00E30095">
      <w:pPr>
        <w:pStyle w:val="SingleTxt"/>
        <w:rPr>
          <w:rFonts w:ascii="SimHei" w:eastAsia="SimHei" w:hint="eastAsia"/>
        </w:rPr>
      </w:pPr>
      <w:r w:rsidRPr="00766466">
        <w:rPr>
          <w:rFonts w:hint="eastAsia"/>
        </w:rPr>
        <w:t>33.</w:t>
      </w:r>
      <w:r w:rsidRPr="00766466">
        <w:tab/>
      </w:r>
      <w:r w:rsidRPr="00766466">
        <w:rPr>
          <w:rFonts w:ascii="SimHei" w:eastAsia="SimHei" w:hint="eastAsia"/>
        </w:rPr>
        <w:t>委员会建议缔约国：</w:t>
      </w:r>
    </w:p>
    <w:p w:rsidR="00E30095" w:rsidRPr="00766466" w:rsidRDefault="00E30095" w:rsidP="00E30095">
      <w:pPr>
        <w:pStyle w:val="SingleTxt"/>
        <w:rPr>
          <w:rFonts w:ascii="SimHei" w:eastAsia="SimHei" w:hint="eastAsia"/>
        </w:rPr>
      </w:pPr>
      <w:r w:rsidRPr="00754CED">
        <w:rPr>
          <w:rFonts w:hint="eastAsia"/>
        </w:rPr>
        <w:tab/>
        <w:t>(a)</w:t>
      </w:r>
      <w:r w:rsidRPr="00766466">
        <w:rPr>
          <w:rFonts w:ascii="SimHei" w:eastAsia="SimHei" w:hint="eastAsia"/>
        </w:rPr>
        <w:tab/>
        <w:t>继续鼓励传媒消除对女性形象的俗套化，以及传媒，特别是广告宣传将女性定格化的做法；</w:t>
      </w:r>
    </w:p>
    <w:p w:rsidR="00E30095" w:rsidRPr="00766466" w:rsidRDefault="00E30095" w:rsidP="00E30095">
      <w:pPr>
        <w:pStyle w:val="SingleTxt"/>
        <w:rPr>
          <w:rFonts w:hint="eastAsia"/>
        </w:rPr>
      </w:pPr>
      <w:r w:rsidRPr="00766466">
        <w:rPr>
          <w:rFonts w:ascii="SimHei" w:eastAsia="SimHei" w:hint="eastAsia"/>
        </w:rPr>
        <w:tab/>
      </w:r>
      <w:r w:rsidRPr="00754CED">
        <w:rPr>
          <w:rFonts w:hint="eastAsia"/>
        </w:rPr>
        <w:t>(b)</w:t>
      </w:r>
      <w:r w:rsidRPr="00766466">
        <w:rPr>
          <w:rFonts w:ascii="SimHei" w:eastAsia="SimHei" w:hint="eastAsia"/>
        </w:rPr>
        <w:tab/>
        <w:t>执行莱文森调查报告的建议，包括赋予管制机构实权，对歧视性的报导采取干预措施</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侵害妇女的暴力</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34.</w:t>
      </w:r>
      <w:r w:rsidRPr="00766466">
        <w:tab/>
      </w:r>
      <w:r w:rsidRPr="00766466">
        <w:rPr>
          <w:rFonts w:hint="eastAsia"/>
        </w:rPr>
        <w:t>委员会赞扬缔约国2010年发起“呼吁停止对妇女和女童施加暴力”的活动。委员会注意到缔约国打算批准欧洲委员会《关于防止和打击暴力侵害妇女和家庭暴力公约》(《伊斯坦布尔公约》)，并将强迫婚姻列为罪行。然而，委员会关切仍不断有报道揭露侵害妇女暴力，包括家庭暴力，特别是侵害黑人和少数民族妇女暴力以及对少数民族妇女进行的所谓为维护名誉而杀人的案情。委员会还关切，警察对遭家庭暴力之害妇女所持的冷漠态度。委员会再次回顾其先前的结论性意见(同上，第280和281段)，并关切仍可在家庭内合法采用体罚做法的情况。</w:t>
      </w:r>
    </w:p>
    <w:p w:rsidR="00E30095" w:rsidRPr="00766466" w:rsidRDefault="00E30095" w:rsidP="00E30095">
      <w:pPr>
        <w:pStyle w:val="SingleTxt"/>
        <w:rPr>
          <w:rFonts w:ascii="SimHei" w:eastAsia="SimHei" w:hint="eastAsia"/>
        </w:rPr>
      </w:pPr>
      <w:r w:rsidRPr="00766466">
        <w:rPr>
          <w:rFonts w:hint="eastAsia"/>
        </w:rPr>
        <w:t>35.</w:t>
      </w:r>
      <w:r w:rsidRPr="00766466">
        <w:tab/>
      </w:r>
      <w:r w:rsidRPr="00766466">
        <w:rPr>
          <w:rFonts w:ascii="SimHei" w:eastAsia="SimHei" w:hint="eastAsia"/>
        </w:rPr>
        <w:t>委员会在回顾其关于侵害妇女暴力问题的第19号一般性意见及其先前建议之际，敦请缔约国：</w:t>
      </w:r>
    </w:p>
    <w:p w:rsidR="00E30095" w:rsidRPr="00766466" w:rsidRDefault="00E30095" w:rsidP="00E30095">
      <w:pPr>
        <w:pStyle w:val="SingleTxt"/>
        <w:rPr>
          <w:rFonts w:ascii="SimHei" w:eastAsia="SimHei" w:hint="eastAsia"/>
        </w:rPr>
      </w:pPr>
      <w:r w:rsidRPr="00754CED">
        <w:rPr>
          <w:rFonts w:hint="eastAsia"/>
        </w:rPr>
        <w:tab/>
        <w:t>(a)</w:t>
      </w:r>
      <w:r w:rsidRPr="00766466">
        <w:rPr>
          <w:rFonts w:ascii="SimHei" w:eastAsia="SimHei" w:hint="eastAsia"/>
        </w:rPr>
        <w:tab/>
        <w:t>批准《伊斯坦布尔公约》并将强迫婚姻列为罪行；</w:t>
      </w:r>
    </w:p>
    <w:p w:rsidR="00E30095" w:rsidRPr="00766466" w:rsidRDefault="00E30095" w:rsidP="00E30095">
      <w:pPr>
        <w:pStyle w:val="SingleTxt"/>
        <w:rPr>
          <w:rFonts w:ascii="SimHei" w:eastAsia="SimHei" w:hint="eastAsia"/>
        </w:rPr>
      </w:pPr>
      <w:r w:rsidRPr="00754CED">
        <w:rPr>
          <w:rFonts w:hint="eastAsia"/>
        </w:rPr>
        <w:tab/>
        <w:t>(b)</w:t>
      </w:r>
      <w:r w:rsidRPr="00766466">
        <w:rPr>
          <w:rFonts w:ascii="SimHei" w:eastAsia="SimHei" w:hint="eastAsia"/>
        </w:rPr>
        <w:tab/>
        <w:t>加大保护妇女，包括保护黑人和少数民族妇女的力度，防止一切形式的暴力，包括家庭暴力和所谓的“维誉杀人”行径；</w:t>
      </w:r>
    </w:p>
    <w:p w:rsidR="00E30095" w:rsidRPr="00766466" w:rsidRDefault="00E30095" w:rsidP="00E30095">
      <w:pPr>
        <w:pStyle w:val="SingleTxt"/>
        <w:rPr>
          <w:rFonts w:ascii="SimHei" w:eastAsia="SimHei" w:hint="eastAsia"/>
        </w:rPr>
      </w:pPr>
      <w:r w:rsidRPr="00754CED">
        <w:rPr>
          <w:rFonts w:hint="eastAsia"/>
        </w:rPr>
        <w:tab/>
        <w:t>(c)</w:t>
      </w:r>
      <w:r w:rsidRPr="00766466">
        <w:rPr>
          <w:rFonts w:ascii="SimHei" w:eastAsia="SimHei" w:hint="eastAsia"/>
        </w:rPr>
        <w:tab/>
        <w:t>继续开展提高广大公众认识的运动，认清一切形式侵害妇女，包括侵害黑人和少数民族妇女的暴力；</w:t>
      </w:r>
    </w:p>
    <w:p w:rsidR="00E30095" w:rsidRPr="00766466" w:rsidRDefault="00E30095" w:rsidP="00E30095">
      <w:pPr>
        <w:pStyle w:val="SingleTxt"/>
        <w:rPr>
          <w:rFonts w:ascii="SimHei" w:eastAsia="SimHei" w:hint="eastAsia"/>
        </w:rPr>
      </w:pPr>
      <w:r w:rsidRPr="00754CED">
        <w:rPr>
          <w:rFonts w:hint="eastAsia"/>
        </w:rPr>
        <w:tab/>
        <w:t>(d)</w:t>
      </w:r>
      <w:r w:rsidRPr="00766466">
        <w:rPr>
          <w:rFonts w:ascii="SimHei" w:eastAsia="SimHei" w:hint="eastAsia"/>
        </w:rPr>
        <w:tab/>
        <w:t>加紧对警官开展培训以消除其对家暴受害者可信性问题所持偏见；</w:t>
      </w:r>
    </w:p>
    <w:p w:rsidR="00E30095" w:rsidRPr="00766466" w:rsidRDefault="00E30095" w:rsidP="00E30095">
      <w:pPr>
        <w:pStyle w:val="SingleTxt"/>
        <w:rPr>
          <w:rFonts w:hint="eastAsia"/>
        </w:rPr>
      </w:pPr>
      <w:r w:rsidRPr="00766466">
        <w:rPr>
          <w:rFonts w:ascii="SimHei" w:eastAsia="SimHei" w:hint="eastAsia"/>
        </w:rPr>
        <w:tab/>
      </w:r>
      <w:r w:rsidRPr="00754CED">
        <w:rPr>
          <w:rFonts w:hint="eastAsia"/>
        </w:rPr>
        <w:t>(e)</w:t>
      </w:r>
      <w:r w:rsidRPr="00766466">
        <w:rPr>
          <w:rFonts w:ascii="SimHei" w:eastAsia="SimHei" w:hint="eastAsia"/>
        </w:rPr>
        <w:tab/>
        <w:t>修订相关立法，禁止在家中对儿童采取体罚的做法</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女性生殖器割礼</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36.</w:t>
      </w:r>
      <w:r w:rsidRPr="00766466">
        <w:tab/>
      </w:r>
      <w:r w:rsidRPr="00766466">
        <w:rPr>
          <w:rFonts w:hint="eastAsia"/>
        </w:rPr>
        <w:t>在注意到推出了旨在制止性侵暴力罪行的“预防性侵暴力倡议行动”之际，委员会关切，有报告称缔约国境内的一些族群仍顽固奉行女性生殖器割礼。委员会再度回顾先前的结论性意见(同上,第278和279段)，并关切仍未对任何施行女性生殖器割礼的行为下达过宣判。</w:t>
      </w:r>
    </w:p>
    <w:p w:rsidR="00E30095" w:rsidRPr="00766466" w:rsidRDefault="00E30095" w:rsidP="00E30095">
      <w:pPr>
        <w:pStyle w:val="SingleTxt"/>
        <w:rPr>
          <w:rFonts w:hint="eastAsia"/>
        </w:rPr>
      </w:pPr>
      <w:r w:rsidRPr="00766466">
        <w:rPr>
          <w:rFonts w:hint="eastAsia"/>
        </w:rPr>
        <w:t>37.</w:t>
      </w:r>
      <w:r w:rsidRPr="00766466">
        <w:tab/>
      </w:r>
      <w:r w:rsidRPr="00766466">
        <w:rPr>
          <w:rFonts w:ascii="SimHei" w:eastAsia="SimHei" w:hint="eastAsia"/>
        </w:rPr>
        <w:t>委员会重申，缔约国应确保全面履行禁止女性生殖器割礼的立法。委员会建议缔约国确保为皇家检察厅提供必要的支持，以切实追究施行女性生殖器割礼的案犯，包括支持2012年11月公共检控署长推出的行动计划，加强女性生殖器割礼的追查力度</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贩运和剥削卖淫</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38.</w:t>
      </w:r>
      <w:r w:rsidRPr="00766466">
        <w:tab/>
      </w:r>
      <w:r w:rsidRPr="00766466">
        <w:rPr>
          <w:rFonts w:hint="eastAsia"/>
        </w:rPr>
        <w:t>委员会关切的是，尽管就苏格兰境内人口贩运情况进行调查的平等和人权委员会以及根据《欧洲委员会打击人口贩运行动公约》为监测缔约国《公约》履行情况而设立的打击人口贩运行动专家组提出了明确建议，缔约国尚未就贩运人口这种性质复杂性及普遍的现象制订全面性国家框架。委员会还关切，据称国家询查机构在甄辨贩运受害者方面存在着缺陷，以及无法为受害者提供足够的支助问题。</w:t>
      </w:r>
    </w:p>
    <w:p w:rsidR="00E30095" w:rsidRPr="00766466" w:rsidRDefault="00E30095" w:rsidP="00E30095">
      <w:pPr>
        <w:pStyle w:val="SingleTxt"/>
        <w:rPr>
          <w:rFonts w:ascii="SimHei" w:eastAsia="SimHei" w:hint="eastAsia"/>
        </w:rPr>
      </w:pPr>
      <w:r w:rsidRPr="00766466">
        <w:rPr>
          <w:rFonts w:hint="eastAsia"/>
        </w:rPr>
        <w:t>39.</w:t>
      </w:r>
      <w:r w:rsidRPr="00766466">
        <w:tab/>
      </w:r>
      <w:r w:rsidRPr="00766466">
        <w:rPr>
          <w:rFonts w:ascii="SimHei" w:eastAsia="SimHei" w:hint="eastAsia"/>
        </w:rPr>
        <w:t>委员会敦请缔约国：</w:t>
      </w:r>
    </w:p>
    <w:p w:rsidR="00E30095" w:rsidRPr="00766466" w:rsidRDefault="00E30095" w:rsidP="00E30095">
      <w:pPr>
        <w:pStyle w:val="SingleTxt"/>
        <w:rPr>
          <w:rFonts w:ascii="SimHei" w:eastAsia="SimHei" w:hint="eastAsia"/>
        </w:rPr>
      </w:pPr>
      <w:r w:rsidRPr="00754CED">
        <w:rPr>
          <w:rFonts w:hint="eastAsia"/>
        </w:rPr>
        <w:tab/>
        <w:t>(a)</w:t>
      </w:r>
      <w:r w:rsidRPr="00766466">
        <w:rPr>
          <w:rFonts w:ascii="SimHei" w:eastAsia="SimHei" w:hint="eastAsia"/>
        </w:rPr>
        <w:tab/>
        <w:t>颁布一项国家打击贩运妇女和女孩行为的综合框架；和</w:t>
      </w:r>
    </w:p>
    <w:p w:rsidR="00E30095" w:rsidRPr="00766466" w:rsidRDefault="00E30095" w:rsidP="00E30095">
      <w:pPr>
        <w:pStyle w:val="SingleTxt"/>
        <w:rPr>
          <w:rFonts w:hint="eastAsia"/>
        </w:rPr>
      </w:pPr>
      <w:r w:rsidRPr="00754CED">
        <w:rPr>
          <w:rFonts w:hint="eastAsia"/>
        </w:rPr>
        <w:tab/>
        <w:t>(b)</w:t>
      </w:r>
      <w:r w:rsidRPr="00766466">
        <w:rPr>
          <w:rFonts w:ascii="SimHei" w:eastAsia="SimHei" w:hint="eastAsia"/>
        </w:rPr>
        <w:tab/>
        <w:t>辨明国家询查机构的任何缺陷，并确保给予贩运受害者适当的身份确认以及充分的支助和保护</w:t>
      </w:r>
      <w:r w:rsidRPr="00766466">
        <w:rPr>
          <w:rFonts w:hint="eastAsia"/>
        </w:rPr>
        <w:t>。</w:t>
      </w:r>
    </w:p>
    <w:p w:rsidR="00E30095" w:rsidRPr="00766466" w:rsidRDefault="00E30095" w:rsidP="00E30095">
      <w:pPr>
        <w:pStyle w:val="SingleTxt"/>
        <w:rPr>
          <w:rFonts w:hint="eastAsia"/>
        </w:rPr>
      </w:pPr>
      <w:r w:rsidRPr="00766466">
        <w:rPr>
          <w:rFonts w:hint="eastAsia"/>
        </w:rPr>
        <w:t>40.</w:t>
      </w:r>
      <w:r w:rsidRPr="00766466">
        <w:tab/>
      </w:r>
      <w:r w:rsidRPr="00766466">
        <w:rPr>
          <w:rFonts w:hint="eastAsia"/>
        </w:rPr>
        <w:t>在注意到在北爱尔兰境内出资嫖淫不满18岁儿童为犯罪行为，然而委员会关切，对于13岁以上未满18岁的儿童，检控方则必须举证证明嫖客无理由认为当事儿童已年满18岁或超过该年龄。</w:t>
      </w:r>
    </w:p>
    <w:p w:rsidR="00E30095" w:rsidRPr="00766466" w:rsidRDefault="00E30095" w:rsidP="00E30095">
      <w:pPr>
        <w:pStyle w:val="SingleTxt"/>
        <w:rPr>
          <w:rFonts w:hint="eastAsia"/>
        </w:rPr>
      </w:pPr>
      <w:r w:rsidRPr="00766466">
        <w:rPr>
          <w:rFonts w:hint="eastAsia"/>
        </w:rPr>
        <w:t>41.</w:t>
      </w:r>
      <w:r w:rsidRPr="00766466">
        <w:tab/>
      </w:r>
      <w:r w:rsidRPr="00766466">
        <w:rPr>
          <w:rFonts w:ascii="SimHei" w:eastAsia="SimHei" w:hint="eastAsia"/>
        </w:rPr>
        <w:t>委员会敦请缔约国修订立法规定，举证责任不再由检控方承担，而应由出资换取性服务的嫖客承担。委员会建议，一旦检控方证明涉案儿童年龄在13岁以上但未满18岁，并且嫖客出资换取儿童性服务时，嫖客就必须证明，嫖客无合理理由认为所涉儿童未年满18岁</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参与政治和公共生活</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42.</w:t>
      </w:r>
      <w:r w:rsidRPr="00766466">
        <w:tab/>
      </w:r>
      <w:r w:rsidRPr="00766466">
        <w:rPr>
          <w:rFonts w:hint="eastAsia"/>
        </w:rPr>
        <w:t>委员会注意到妇女在公共部门内任职的比例有所递增，但关切的是，妇女在一些领域，包括议会、司法机构及公共部门董事会中任职的所占比例仍然远远不足。委员会尤其关切，在政治生活方面，黑人和少数民族妇女以及残疾妇女所占比例低的问题。委员会再度回顾其先前的结论性意见(同上，第284和285页)，并仍关切，在北爱尔兰冲突后进程中，女性所占比例低，且仍未能充分执行安全理事会第</w:t>
      </w:r>
      <w:hyperlink r:id="rId21" w:history="1">
        <w:r w:rsidRPr="00766466">
          <w:rPr>
            <w:rStyle w:val="Hyperlink"/>
            <w:rFonts w:hint="eastAsia"/>
            <w:u w:val="none"/>
          </w:rPr>
          <w:t>1325(2000)</w:t>
        </w:r>
      </w:hyperlink>
      <w:r w:rsidRPr="00766466">
        <w:rPr>
          <w:rFonts w:hint="eastAsia"/>
        </w:rPr>
        <w:t>号决议的问题。</w:t>
      </w:r>
    </w:p>
    <w:p w:rsidR="00E30095" w:rsidRPr="00766466" w:rsidRDefault="00E30095" w:rsidP="00E30095">
      <w:pPr>
        <w:pStyle w:val="SingleTxt"/>
        <w:rPr>
          <w:rFonts w:ascii="SimHei" w:eastAsia="SimHei" w:hint="eastAsia"/>
        </w:rPr>
      </w:pPr>
      <w:r w:rsidRPr="00766466">
        <w:rPr>
          <w:rFonts w:hint="eastAsia"/>
        </w:rPr>
        <w:t>43.</w:t>
      </w:r>
      <w:r w:rsidRPr="00766466">
        <w:tab/>
      </w:r>
      <w:r w:rsidRPr="00766466">
        <w:rPr>
          <w:rFonts w:ascii="SimHei" w:eastAsia="SimHei" w:hint="eastAsia"/>
        </w:rPr>
        <w:t>委员会呼吁缔约国：</w:t>
      </w:r>
    </w:p>
    <w:p w:rsidR="00E30095" w:rsidRPr="00766466" w:rsidRDefault="00E30095" w:rsidP="00E30095">
      <w:pPr>
        <w:pStyle w:val="SingleTxt"/>
        <w:rPr>
          <w:rFonts w:ascii="SimHei" w:eastAsia="SimHei" w:hint="eastAsia"/>
        </w:rPr>
      </w:pPr>
      <w:r w:rsidRPr="00754CED">
        <w:rPr>
          <w:rFonts w:hint="eastAsia"/>
        </w:rPr>
        <w:tab/>
        <w:t>(a)</w:t>
      </w:r>
      <w:r w:rsidRPr="00766466">
        <w:rPr>
          <w:rFonts w:ascii="SimHei" w:eastAsia="SimHei" w:hint="eastAsia"/>
        </w:rPr>
        <w:tab/>
        <w:t>继续采取有针对性的具体措施，提高妇女，尤其是黑人和少数民族妇女和残疾妇女在议会和司法机构中任职的比例；</w:t>
      </w:r>
    </w:p>
    <w:p w:rsidR="00E30095" w:rsidRPr="00766466" w:rsidRDefault="00E30095" w:rsidP="00E30095">
      <w:pPr>
        <w:pStyle w:val="SingleTxt"/>
        <w:rPr>
          <w:rFonts w:hint="eastAsia"/>
        </w:rPr>
      </w:pPr>
      <w:r w:rsidRPr="00754CED">
        <w:rPr>
          <w:rFonts w:hint="eastAsia"/>
        </w:rPr>
        <w:tab/>
        <w:t>(b)</w:t>
      </w:r>
      <w:r w:rsidRPr="00766466">
        <w:rPr>
          <w:rFonts w:ascii="SimHei" w:eastAsia="SimHei" w:hint="eastAsia"/>
        </w:rPr>
        <w:tab/>
        <w:t>遵照安全理事会第</w:t>
      </w:r>
      <w:hyperlink r:id="rId22" w:history="1">
        <w:r w:rsidRPr="00766466">
          <w:rPr>
            <w:rStyle w:val="Hyperlink"/>
            <w:rFonts w:ascii="SimHei" w:eastAsia="SimHei" w:hint="eastAsia"/>
            <w:u w:val="none"/>
          </w:rPr>
          <w:t>1325(2000)</w:t>
        </w:r>
      </w:hyperlink>
      <w:r w:rsidRPr="00766466">
        <w:rPr>
          <w:rFonts w:ascii="SimHei" w:eastAsia="SimHei" w:hint="eastAsia"/>
        </w:rPr>
        <w:t>号决议，确保妇女参与北爱尔兰境内的冲突后进程</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教育</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44.</w:t>
      </w:r>
      <w:r w:rsidRPr="00766466">
        <w:tab/>
      </w:r>
      <w:r w:rsidRPr="00766466">
        <w:rPr>
          <w:rFonts w:hint="eastAsia"/>
        </w:rPr>
        <w:t>委员会注意到《教育法》在2011年获得通过，但关切的是，该法没有强制在所有学校提供个人、社会和健康教育以及性关系教育。委员会还关切的是，据报告说学校里有女童受到欺凌、种族主义情绪表达和骚扰的情况。委员会还关切，长期存在的传统态度和陈旧观念，包括对学科的选择，均影响了女孩和妇女所走的教育道路，及其后的职业生涯。委员会尤其关切，攻读科学、技术、工程和数学学科，尤其是英格兰境内的学徒培训科目，妇女和女孩所占比例不足的现象，最终会产生影响劳务市场性别薪酬差别的后果。委员会还关切缺乏女性进入学术机构攻读的数据以及女性从事专业职位人数少的状况。</w:t>
      </w:r>
    </w:p>
    <w:p w:rsidR="00E30095" w:rsidRPr="00766466" w:rsidRDefault="00E30095" w:rsidP="00E30095">
      <w:pPr>
        <w:pStyle w:val="SingleTxt"/>
        <w:rPr>
          <w:rFonts w:ascii="SimHei" w:eastAsia="SimHei" w:hint="eastAsia"/>
        </w:rPr>
      </w:pPr>
      <w:r w:rsidRPr="00766466">
        <w:rPr>
          <w:rFonts w:hint="eastAsia"/>
        </w:rPr>
        <w:t>45.</w:t>
      </w:r>
      <w:r w:rsidRPr="00766466">
        <w:tab/>
      </w:r>
      <w:r w:rsidRPr="00766466">
        <w:rPr>
          <w:rFonts w:ascii="SimHei" w:eastAsia="SimHei" w:hint="eastAsia"/>
        </w:rPr>
        <w:t>委员会建议，缔约国应：</w:t>
      </w:r>
    </w:p>
    <w:p w:rsidR="00E30095" w:rsidRPr="00766466" w:rsidRDefault="00E30095" w:rsidP="00E30095">
      <w:pPr>
        <w:pStyle w:val="SingleTxt"/>
        <w:rPr>
          <w:rFonts w:ascii="SimHei" w:eastAsia="SimHei" w:hint="eastAsia"/>
        </w:rPr>
      </w:pPr>
      <w:r w:rsidRPr="00754CED">
        <w:rPr>
          <w:rFonts w:hint="eastAsia"/>
        </w:rPr>
        <w:tab/>
        <w:t>(a)</w:t>
      </w:r>
      <w:r w:rsidRPr="00766466">
        <w:rPr>
          <w:rFonts w:ascii="SimHei" w:eastAsia="SimHei" w:hint="eastAsia"/>
        </w:rPr>
        <w:tab/>
        <w:t>考虑在学校课程中纳入符合年龄的性和生殖权利问题强制性教育，包括性别关系和负责任的性行为等问题教育，尤其是以青春少女为目标的教育；</w:t>
      </w:r>
    </w:p>
    <w:p w:rsidR="00E30095" w:rsidRPr="00766466" w:rsidRDefault="00E30095" w:rsidP="00E30095">
      <w:pPr>
        <w:pStyle w:val="SingleTxt"/>
        <w:rPr>
          <w:rFonts w:ascii="SimHei" w:eastAsia="SimHei" w:hint="eastAsia"/>
        </w:rPr>
      </w:pPr>
      <w:r w:rsidRPr="00754CED">
        <w:rPr>
          <w:rFonts w:hint="eastAsia"/>
        </w:rPr>
        <w:tab/>
        <w:t>(b)</w:t>
      </w:r>
      <w:r w:rsidRPr="00766466">
        <w:rPr>
          <w:rFonts w:ascii="SimHei" w:eastAsia="SimHei" w:hint="eastAsia"/>
        </w:rPr>
        <w:tab/>
        <w:t>加强措施，防止、惩处和铲除一切形式对妇女和女孩的暴力行为，包括在教育机构内进行的欺凌和表达种族主义情绪行为；</w:t>
      </w:r>
    </w:p>
    <w:p w:rsidR="00E30095" w:rsidRPr="00766466" w:rsidRDefault="00E30095" w:rsidP="00E30095">
      <w:pPr>
        <w:pStyle w:val="SingleTxt"/>
        <w:rPr>
          <w:rFonts w:hint="eastAsia"/>
        </w:rPr>
      </w:pPr>
      <w:r w:rsidRPr="00754CED">
        <w:rPr>
          <w:rFonts w:hint="eastAsia"/>
        </w:rPr>
        <w:tab/>
        <w:t>(c)</w:t>
      </w:r>
      <w:r w:rsidRPr="00766466">
        <w:rPr>
          <w:rFonts w:ascii="SimHei" w:eastAsia="SimHei" w:hint="eastAsia"/>
        </w:rPr>
        <w:tab/>
        <w:t>加强职业前途指导活动，鼓励女孩从事非传统性的职业道路，并增强教育体制所有各层级授课教员对性别问题的认识</w:t>
      </w:r>
      <w:r w:rsidRPr="00766466">
        <w:rPr>
          <w:rFonts w:hint="eastAsia"/>
        </w:rPr>
        <w:t>；</w:t>
      </w:r>
    </w:p>
    <w:p w:rsidR="00E30095" w:rsidRPr="00766466" w:rsidRDefault="00E30095" w:rsidP="00E30095">
      <w:pPr>
        <w:pStyle w:val="SingleTxt"/>
        <w:rPr>
          <w:rFonts w:ascii="SimHei" w:eastAsia="SimHei" w:hint="eastAsia"/>
        </w:rPr>
      </w:pPr>
      <w:r w:rsidRPr="00766466">
        <w:rPr>
          <w:rFonts w:hint="eastAsia"/>
        </w:rPr>
        <w:tab/>
      </w:r>
      <w:r w:rsidRPr="00754CED">
        <w:rPr>
          <w:rFonts w:hint="eastAsia"/>
        </w:rPr>
        <w:t>(d)</w:t>
      </w:r>
      <w:r w:rsidRPr="00766466">
        <w:rPr>
          <w:rFonts w:ascii="SimHei" w:eastAsia="SimHei" w:hint="eastAsia"/>
        </w:rPr>
        <w:tab/>
        <w:t>采取协调一致的措施，鼓励女孩参与科学、技术、工程和数学领域和学徒培训；和</w:t>
      </w:r>
    </w:p>
    <w:p w:rsidR="00E30095" w:rsidRPr="00766466" w:rsidRDefault="00E30095" w:rsidP="00E30095">
      <w:pPr>
        <w:pStyle w:val="SingleTxt"/>
        <w:rPr>
          <w:rFonts w:hint="eastAsia"/>
        </w:rPr>
      </w:pPr>
      <w:r w:rsidRPr="00754CED">
        <w:rPr>
          <w:rFonts w:hint="eastAsia"/>
        </w:rPr>
        <w:tab/>
        <w:t>(e)</w:t>
      </w:r>
      <w:r w:rsidRPr="00766466">
        <w:rPr>
          <w:rFonts w:ascii="SimHei" w:eastAsia="SimHei" w:hint="eastAsia"/>
        </w:rPr>
        <w:tab/>
        <w:t>采取适当措施，收集所有各级学术机构女性任职情况的数据，并提高女性在高层级别任职的所占比例</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就业并赋予经济权能</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46.</w:t>
      </w:r>
      <w:r w:rsidRPr="00766466">
        <w:tab/>
      </w:r>
      <w:r w:rsidRPr="00766466">
        <w:rPr>
          <w:rFonts w:hint="eastAsia"/>
        </w:rPr>
        <w:t>委员会回顾其先前提出的结论性意见(同上，第286和287页) 并赞赏缔约国致力于为男女员工作出灵活的工作安排，以及预期将在这方面于2015年推出共同分担父母照管子女假的新立法。委员会关切，在就业和诉诸司法方面，长期存在着歧视孕妇的现象，此外，委员会关切存在着职业隔离和长期存在的男女薪酬差别，以及残疾妇女失业率高的情况。然而，委员会注意到，缔约国开始采取自愿性，而非强制性的性别平等分析和报告举措，并打算立法，规定各法庭在雇主在申索平等薪酬的讼案中败诉时，命令进行薪酬审计。</w:t>
      </w:r>
    </w:p>
    <w:p w:rsidR="00E30095" w:rsidRPr="00766466" w:rsidRDefault="00E30095" w:rsidP="00E30095">
      <w:pPr>
        <w:pStyle w:val="SingleTxt"/>
        <w:rPr>
          <w:rFonts w:ascii="SimHei" w:eastAsia="SimHei" w:hint="eastAsia"/>
        </w:rPr>
      </w:pPr>
      <w:r w:rsidRPr="00766466">
        <w:rPr>
          <w:rFonts w:hint="eastAsia"/>
        </w:rPr>
        <w:t>47.</w:t>
      </w:r>
      <w:r w:rsidRPr="00766466">
        <w:tab/>
      </w:r>
      <w:r w:rsidRPr="00766466">
        <w:rPr>
          <w:rFonts w:ascii="SimHei" w:eastAsia="SimHei" w:hint="eastAsia"/>
        </w:rPr>
        <w:t>委员会建议缔约国应：</w:t>
      </w:r>
    </w:p>
    <w:p w:rsidR="00E30095" w:rsidRPr="00766466" w:rsidRDefault="00E30095" w:rsidP="00E30095">
      <w:pPr>
        <w:pStyle w:val="SingleTxt"/>
        <w:rPr>
          <w:rFonts w:ascii="SimHei" w:eastAsia="SimHei" w:hint="eastAsia"/>
        </w:rPr>
      </w:pPr>
      <w:r w:rsidRPr="00754CED">
        <w:rPr>
          <w:rFonts w:hint="eastAsia"/>
        </w:rPr>
        <w:tab/>
        <w:t>(a)</w:t>
      </w:r>
      <w:r w:rsidRPr="00766466">
        <w:rPr>
          <w:rFonts w:ascii="SimHei" w:eastAsia="SimHei" w:hint="eastAsia"/>
        </w:rPr>
        <w:tab/>
        <w:t>加紧努力，增进运用弹性工作安排，并确立共同分担父母照管子女假，以鼓励男性平等地担负起照管子女的责任；</w:t>
      </w:r>
    </w:p>
    <w:p w:rsidR="00E30095" w:rsidRPr="00766466" w:rsidRDefault="00E30095" w:rsidP="00E30095">
      <w:pPr>
        <w:pStyle w:val="SingleTxt"/>
        <w:rPr>
          <w:rFonts w:ascii="SimHei" w:eastAsia="SimHei" w:hint="eastAsia"/>
        </w:rPr>
      </w:pPr>
      <w:r w:rsidRPr="00754CED">
        <w:rPr>
          <w:rFonts w:hint="eastAsia"/>
        </w:rPr>
        <w:tab/>
        <w:t>(b)</w:t>
      </w:r>
      <w:r w:rsidRPr="00766466">
        <w:rPr>
          <w:rFonts w:ascii="SimHei" w:eastAsia="SimHei" w:hint="eastAsia"/>
        </w:rPr>
        <w:tab/>
        <w:t>继续采取事前和具体的措施，消除职业隔离现象，缩小性别薪酬差距；</w:t>
      </w:r>
    </w:p>
    <w:p w:rsidR="00E30095" w:rsidRPr="00766466" w:rsidRDefault="00E30095" w:rsidP="00E30095">
      <w:pPr>
        <w:pStyle w:val="SingleTxt"/>
        <w:rPr>
          <w:rFonts w:ascii="SimHei" w:eastAsia="SimHei" w:hint="eastAsia"/>
        </w:rPr>
      </w:pPr>
      <w:r w:rsidRPr="00754CED">
        <w:rPr>
          <w:rFonts w:hint="eastAsia"/>
        </w:rPr>
        <w:tab/>
        <w:t>(c)</w:t>
      </w:r>
      <w:r w:rsidRPr="00766466">
        <w:rPr>
          <w:rFonts w:ascii="SimHei" w:eastAsia="SimHei" w:hint="eastAsia"/>
        </w:rPr>
        <w:tab/>
        <w:t>为残疾妇女创造更多就业机会；</w:t>
      </w:r>
    </w:p>
    <w:p w:rsidR="00E30095" w:rsidRPr="00766466" w:rsidRDefault="00E30095" w:rsidP="00E30095">
      <w:pPr>
        <w:pStyle w:val="SingleTxt"/>
        <w:rPr>
          <w:rFonts w:ascii="SimHei" w:eastAsia="SimHei" w:hint="eastAsia"/>
        </w:rPr>
      </w:pPr>
      <w:r w:rsidRPr="00766466">
        <w:rPr>
          <w:rFonts w:ascii="SimHei" w:eastAsia="SimHei" w:hint="eastAsia"/>
        </w:rPr>
        <w:tab/>
      </w:r>
      <w:r w:rsidRPr="00754CED">
        <w:rPr>
          <w:rFonts w:hint="eastAsia"/>
        </w:rPr>
        <w:t>(d)</w:t>
      </w:r>
      <w:r w:rsidRPr="00766466">
        <w:rPr>
          <w:rFonts w:ascii="SimHei" w:eastAsia="SimHei" w:hint="eastAsia"/>
        </w:rPr>
        <w:tab/>
        <w:t>评估在《思考、行动、举报》框架下推出的自愿举报倡议计划的实效，以确保企业薪酬的透明度；和</w:t>
      </w:r>
    </w:p>
    <w:p w:rsidR="00E30095" w:rsidRPr="00766466" w:rsidRDefault="00E30095" w:rsidP="00E30095">
      <w:pPr>
        <w:pStyle w:val="SingleTxt"/>
        <w:rPr>
          <w:rFonts w:hint="eastAsia"/>
        </w:rPr>
      </w:pPr>
      <w:r w:rsidRPr="00754CED">
        <w:rPr>
          <w:rFonts w:hint="eastAsia"/>
        </w:rPr>
        <w:tab/>
        <w:t>(e)</w:t>
      </w:r>
      <w:r w:rsidRPr="00766466">
        <w:rPr>
          <w:rFonts w:ascii="SimHei" w:eastAsia="SimHei" w:hint="eastAsia"/>
        </w:rPr>
        <w:tab/>
        <w:t>确保妇女可就就业案情，包括涉及基于怀孕和身为人母原因所遭歧视的案情诉诸司法诉讼</w:t>
      </w:r>
      <w:r w:rsidRPr="00766466">
        <w:rPr>
          <w:rFonts w:hint="eastAsia"/>
        </w:rPr>
        <w:t>。</w:t>
      </w:r>
    </w:p>
    <w:p w:rsidR="00E30095" w:rsidRPr="00766466" w:rsidRDefault="00E30095" w:rsidP="00E30095">
      <w:pPr>
        <w:pStyle w:val="SingleTxt"/>
        <w:rPr>
          <w:rFonts w:hint="eastAsia"/>
        </w:rPr>
      </w:pPr>
      <w:r w:rsidRPr="00766466">
        <w:rPr>
          <w:rFonts w:hint="eastAsia"/>
        </w:rPr>
        <w:t>48.</w:t>
      </w:r>
      <w:r w:rsidRPr="00766466">
        <w:tab/>
      </w:r>
      <w:r w:rsidRPr="00766466">
        <w:rPr>
          <w:rFonts w:hint="eastAsia"/>
        </w:rPr>
        <w:t>委员会回顾其先前的结论性意见(同上，第286和287页)，并关切抚养子女费用过高的境况。委员会还关切有报告称，福利制度拟议推行的改革，因削减了“抚养子女税赋抵免率”，会加重低收入家庭抚养子女的开支。</w:t>
      </w:r>
    </w:p>
    <w:p w:rsidR="00E30095" w:rsidRPr="00766466" w:rsidRDefault="00E30095" w:rsidP="00E30095">
      <w:pPr>
        <w:pStyle w:val="SingleTxt"/>
        <w:rPr>
          <w:rFonts w:hint="eastAsia"/>
        </w:rPr>
      </w:pPr>
      <w:r w:rsidRPr="00766466">
        <w:rPr>
          <w:rFonts w:hint="eastAsia"/>
        </w:rPr>
        <w:t>49.</w:t>
      </w:r>
      <w:r w:rsidRPr="00766466">
        <w:tab/>
      </w:r>
      <w:r w:rsidRPr="00766466">
        <w:rPr>
          <w:rFonts w:ascii="SimHei" w:eastAsia="SimHei" w:hint="eastAsia"/>
        </w:rPr>
        <w:t>委员会在回顾其先前的建议的同时，敦请缔约国提供可承担得起的抚养女子开支，并减轻福利制度拟议的改革带来加重低收入家庭抚养子女开支和妇女照管子女负担的影响</w:t>
      </w:r>
      <w:r w:rsidRPr="00766466">
        <w:rPr>
          <w:rFonts w:hint="eastAsia"/>
        </w:rPr>
        <w:t>。</w:t>
      </w:r>
    </w:p>
    <w:p w:rsidR="00E30095" w:rsidRPr="00766466" w:rsidRDefault="000C1797"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E30095" w:rsidRPr="00766466">
        <w:rPr>
          <w:rFonts w:hint="eastAsia"/>
        </w:rPr>
        <w:tab/>
      </w:r>
      <w:r w:rsidR="00E30095" w:rsidRPr="00766466">
        <w:rPr>
          <w:rFonts w:hint="eastAsia"/>
        </w:rPr>
        <w:tab/>
        <w:t>卫生保健</w:t>
      </w:r>
    </w:p>
    <w:p w:rsidR="00E30095" w:rsidRPr="00766466" w:rsidRDefault="00E30095" w:rsidP="00E30095">
      <w:pPr>
        <w:pStyle w:val="SingleTxt"/>
        <w:spacing w:after="0" w:line="120" w:lineRule="exact"/>
        <w:rPr>
          <w:rFonts w:hint="eastAsia"/>
          <w:sz w:val="10"/>
        </w:rPr>
      </w:pPr>
    </w:p>
    <w:p w:rsidR="00E30095" w:rsidRPr="000C1797" w:rsidRDefault="00E30095" w:rsidP="00E30095">
      <w:pPr>
        <w:pStyle w:val="SingleTxt"/>
        <w:rPr>
          <w:rFonts w:hint="eastAsia"/>
          <w:spacing w:val="-2"/>
        </w:rPr>
      </w:pPr>
      <w:r w:rsidRPr="000C1797">
        <w:rPr>
          <w:rFonts w:hint="eastAsia"/>
          <w:spacing w:val="-2"/>
        </w:rPr>
        <w:t>50.</w:t>
      </w:r>
      <w:r w:rsidRPr="000C1797">
        <w:rPr>
          <w:spacing w:val="-2"/>
        </w:rPr>
        <w:tab/>
      </w:r>
      <w:r w:rsidRPr="000C1797">
        <w:rPr>
          <w:rFonts w:hint="eastAsia"/>
          <w:spacing w:val="-2"/>
        </w:rPr>
        <w:t>在承认北爱尔兰卫生、社会服务局和公共安全事务部在2012年就编撰一套经修订后的“北爱尔兰境内有限合法堕胎境况”的指南实施了磋商进程之际，委员会遗憾地感到，亦如委员会在先前结论性意见(同上，第288和289段)曾呼吁开展关于可否废除堕胎罪责法问题的公众磋商，然而，则一直未曾举行过。委员会关切，在北爱尔兰境内，除了继续怀孕会对孕妇形成生命危险，因此，孕妇不得不在缔约国境内其它地方寻求堕胎之外，任何其它情况下的堕胎仍为违法行为。</w:t>
      </w:r>
    </w:p>
    <w:p w:rsidR="00E30095" w:rsidRPr="00766466" w:rsidRDefault="00E30095" w:rsidP="00E30095">
      <w:pPr>
        <w:pStyle w:val="SingleTxt"/>
        <w:rPr>
          <w:rFonts w:hint="eastAsia"/>
        </w:rPr>
      </w:pPr>
      <w:r w:rsidRPr="00766466">
        <w:rPr>
          <w:rFonts w:hint="eastAsia"/>
        </w:rPr>
        <w:t>51.</w:t>
      </w:r>
      <w:r w:rsidRPr="00766466">
        <w:tab/>
      </w:r>
      <w:r w:rsidRPr="00766466">
        <w:rPr>
          <w:rFonts w:ascii="SimHei" w:eastAsia="SimHei" w:hint="eastAsia"/>
        </w:rPr>
        <w:t>委员会回顾其先前的建议时重申，遵照关于妇女与保健问题的第24号一般性建议和《北京宣言和行动纲领》，缔约国应加快修订北爱尔兰的反堕胎法，使堕胎不成为刑事罪。缔约国还应确保合法堕胎不仅包括孕妇生命受威胁的情况，还应包括其他情况，如孕妇健康受威胁、强奸、乱伦和胎儿严重畸形的情况</w:t>
      </w:r>
      <w:r w:rsidRPr="00766466">
        <w:rPr>
          <w:rFonts w:hint="eastAsia"/>
        </w:rPr>
        <w:t>。</w:t>
      </w:r>
    </w:p>
    <w:p w:rsidR="00E30095" w:rsidRPr="00766466" w:rsidRDefault="00E30095" w:rsidP="00E30095">
      <w:pPr>
        <w:pStyle w:val="SingleTxt"/>
        <w:rPr>
          <w:rFonts w:hint="eastAsia"/>
        </w:rPr>
      </w:pPr>
      <w:r w:rsidRPr="00766466">
        <w:rPr>
          <w:rFonts w:hint="eastAsia"/>
        </w:rPr>
        <w:t>52.</w:t>
      </w:r>
      <w:r w:rsidRPr="00766466">
        <w:tab/>
      </w:r>
      <w:r w:rsidRPr="00766466">
        <w:rPr>
          <w:rFonts w:hint="eastAsia"/>
        </w:rPr>
        <w:t>委员会关切，残疾妇女、老年妇女、寻求庇护妇女和游民妇女在获取卫生保健方面所面临的障碍。委员会尤其关切残疾妇女难以获得产前护理和生殖性保健服务的情况。委员会还关切北爱尔兰境内一些妇女群体，在获得生殖性治疗方面所遭遇到的法律障碍。</w:t>
      </w:r>
    </w:p>
    <w:p w:rsidR="00E30095" w:rsidRPr="00766466" w:rsidRDefault="00E30095" w:rsidP="00E30095">
      <w:pPr>
        <w:pStyle w:val="SingleTxt"/>
        <w:rPr>
          <w:rFonts w:ascii="SimHei" w:eastAsia="SimHei" w:hint="eastAsia"/>
        </w:rPr>
      </w:pPr>
      <w:r w:rsidRPr="00766466">
        <w:rPr>
          <w:rFonts w:hint="eastAsia"/>
        </w:rPr>
        <w:t>53.</w:t>
      </w:r>
      <w:r w:rsidRPr="00766466">
        <w:tab/>
      </w:r>
      <w:r w:rsidRPr="00766466">
        <w:rPr>
          <w:rFonts w:ascii="SimHei" w:eastAsia="SimHei" w:hint="eastAsia"/>
        </w:rPr>
        <w:t>委员会敦请缔约国：</w:t>
      </w:r>
    </w:p>
    <w:p w:rsidR="00E30095" w:rsidRPr="00766466" w:rsidRDefault="00E30095" w:rsidP="00E30095">
      <w:pPr>
        <w:pStyle w:val="SingleTxt"/>
        <w:rPr>
          <w:rFonts w:ascii="SimHei" w:eastAsia="SimHei" w:hint="eastAsia"/>
        </w:rPr>
      </w:pPr>
      <w:r w:rsidRPr="00754CED">
        <w:rPr>
          <w:rFonts w:hint="eastAsia"/>
        </w:rPr>
        <w:tab/>
        <w:t>(a)</w:t>
      </w:r>
      <w:r w:rsidRPr="00766466">
        <w:rPr>
          <w:rFonts w:ascii="SimHei" w:eastAsia="SimHei" w:hint="eastAsia"/>
        </w:rPr>
        <w:tab/>
        <w:t>加强执行旨在落实为妇女，特别是为残疾妇女、老年妇女、寻求庇护妇女和游民妇女提供卫生保健的方案和政策；</w:t>
      </w:r>
    </w:p>
    <w:p w:rsidR="00E30095" w:rsidRPr="00766466" w:rsidRDefault="00E30095" w:rsidP="00E30095">
      <w:pPr>
        <w:pStyle w:val="SingleTxt"/>
        <w:rPr>
          <w:rFonts w:ascii="SimHei" w:eastAsia="SimHei" w:hint="eastAsia"/>
        </w:rPr>
      </w:pPr>
      <w:r w:rsidRPr="00754CED">
        <w:rPr>
          <w:rFonts w:hint="eastAsia"/>
        </w:rPr>
        <w:tab/>
        <w:t>(b)</w:t>
      </w:r>
      <w:r w:rsidRPr="00766466">
        <w:rPr>
          <w:rFonts w:ascii="SimHei" w:eastAsia="SimHei" w:hint="eastAsia"/>
        </w:rPr>
        <w:tab/>
        <w:t>特别关注残疾妇女的保健需求，确保她们可获得产前护理和生殖性保健服务；和</w:t>
      </w:r>
    </w:p>
    <w:p w:rsidR="00E30095" w:rsidRPr="00766466" w:rsidRDefault="00E30095" w:rsidP="00E30095">
      <w:pPr>
        <w:pStyle w:val="SingleTxt"/>
        <w:rPr>
          <w:rFonts w:hint="eastAsia"/>
        </w:rPr>
      </w:pPr>
      <w:r w:rsidRPr="00754CED">
        <w:rPr>
          <w:rFonts w:hint="eastAsia"/>
        </w:rPr>
        <w:tab/>
        <w:t>(c)</w:t>
      </w:r>
      <w:r w:rsidRPr="00766466">
        <w:rPr>
          <w:rFonts w:ascii="SimHei" w:eastAsia="SimHei" w:hint="eastAsia"/>
        </w:rPr>
        <w:tab/>
        <w:t>使北爱尔兰境内所有妇女都能不受歧视地平等获得生殖性治疗</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女性囚犯</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54.</w:t>
      </w:r>
      <w:r w:rsidRPr="00766466">
        <w:tab/>
      </w:r>
      <w:r w:rsidRPr="00766466">
        <w:rPr>
          <w:rFonts w:hint="eastAsia"/>
        </w:rPr>
        <w:t>委员会回顾其先前的结论性意见(同上，第266和267段)并注意到为履行女男爵卡斯敦2007年关于在刑事司法系统中具有特别弱势的妇女问题的报告所载建议而采取的措施。然而，委员会仍关切的是，据报监狱在押女犯人数仍在不断递增，部分原因在于判刑制度的改变，使女性比男性更易因非暴力罪行遭监押。委员会还关切，狱内在押妇女获得卫生保健的途径有限，以及狱中在押黑人和少数民族妇女比例超高的现象。委员会还关切，据报告称，遭贩运妇女入狱的人数上升，并缺乏经充分讯问予以释放的方案。</w:t>
      </w:r>
    </w:p>
    <w:p w:rsidR="00E30095" w:rsidRPr="00766466" w:rsidRDefault="00E30095" w:rsidP="00E30095">
      <w:pPr>
        <w:pStyle w:val="SingleTxt"/>
        <w:rPr>
          <w:rFonts w:ascii="SimHei" w:eastAsia="SimHei" w:hint="eastAsia"/>
        </w:rPr>
      </w:pPr>
      <w:r w:rsidRPr="00766466">
        <w:rPr>
          <w:rFonts w:hint="eastAsia"/>
        </w:rPr>
        <w:t>55.</w:t>
      </w:r>
      <w:r w:rsidRPr="00766466">
        <w:tab/>
      </w:r>
      <w:r w:rsidRPr="00766466">
        <w:rPr>
          <w:rFonts w:ascii="SimHei" w:eastAsia="SimHei" w:hint="eastAsia"/>
        </w:rPr>
        <w:t>委员会在回顾其先前的建议同时，敦请缔约国：</w:t>
      </w:r>
    </w:p>
    <w:p w:rsidR="00E30095" w:rsidRPr="00766466" w:rsidRDefault="00E30095" w:rsidP="00E30095">
      <w:pPr>
        <w:pStyle w:val="SingleTxt"/>
        <w:rPr>
          <w:rFonts w:ascii="SimHei" w:eastAsia="SimHei" w:hint="eastAsia"/>
        </w:rPr>
      </w:pPr>
      <w:r w:rsidRPr="00754CED">
        <w:rPr>
          <w:rFonts w:hint="eastAsia"/>
        </w:rPr>
        <w:tab/>
        <w:t>(a)</w:t>
      </w:r>
      <w:r w:rsidRPr="00766466">
        <w:rPr>
          <w:rFonts w:ascii="SimHei" w:eastAsia="SimHei" w:hint="eastAsia"/>
        </w:rPr>
        <w:tab/>
        <w:t>积极推动执行卡斯敦报告中所作出的建议，包括2013年7月15日众议院司法委员会发表的报告所载建议；</w:t>
      </w:r>
    </w:p>
    <w:p w:rsidR="00E30095" w:rsidRPr="00766466" w:rsidRDefault="00E30095" w:rsidP="00E30095">
      <w:pPr>
        <w:pStyle w:val="SingleTxt"/>
        <w:rPr>
          <w:rFonts w:ascii="SimHei" w:eastAsia="SimHei" w:hint="eastAsia"/>
        </w:rPr>
      </w:pPr>
      <w:r w:rsidRPr="00754CED">
        <w:rPr>
          <w:rFonts w:hint="eastAsia"/>
        </w:rPr>
        <w:tab/>
        <w:t>(b)</w:t>
      </w:r>
      <w:r w:rsidRPr="00766466">
        <w:rPr>
          <w:rFonts w:ascii="SimHei" w:eastAsia="SimHei" w:hint="eastAsia"/>
        </w:rPr>
        <w:tab/>
        <w:t>继续发展替代刑役和羁押的战略，包括针对被判轻罪妇女采取的社区干预措施和社区役务做法；</w:t>
      </w:r>
    </w:p>
    <w:p w:rsidR="00E30095" w:rsidRPr="00766466" w:rsidRDefault="00E30095" w:rsidP="00E30095">
      <w:pPr>
        <w:pStyle w:val="SingleTxt"/>
        <w:rPr>
          <w:rFonts w:ascii="SimHei" w:eastAsia="SimHei" w:hint="eastAsia"/>
        </w:rPr>
      </w:pPr>
      <w:r w:rsidRPr="00766466">
        <w:rPr>
          <w:rFonts w:ascii="SimHei" w:eastAsia="SimHei" w:hint="eastAsia"/>
        </w:rPr>
        <w:tab/>
      </w:r>
      <w:r w:rsidRPr="00754CED">
        <w:rPr>
          <w:rFonts w:hint="eastAsia"/>
        </w:rPr>
        <w:t>(c)</w:t>
      </w:r>
      <w:r w:rsidRPr="00766466">
        <w:rPr>
          <w:rFonts w:ascii="SimHei" w:eastAsia="SimHei" w:hint="eastAsia"/>
        </w:rPr>
        <w:tab/>
        <w:t xml:space="preserve">改善所有监狱的精神卫生保健工作； </w:t>
      </w:r>
    </w:p>
    <w:p w:rsidR="00E30095" w:rsidRPr="00766466" w:rsidRDefault="00E30095" w:rsidP="00E30095">
      <w:pPr>
        <w:pStyle w:val="SingleTxt"/>
        <w:rPr>
          <w:rFonts w:ascii="SimHei" w:eastAsia="SimHei" w:hint="eastAsia"/>
        </w:rPr>
      </w:pPr>
      <w:r w:rsidRPr="00754CED">
        <w:rPr>
          <w:rFonts w:hint="eastAsia"/>
        </w:rPr>
        <w:tab/>
        <w:t>(d)</w:t>
      </w:r>
      <w:r w:rsidRPr="00766466">
        <w:rPr>
          <w:rFonts w:ascii="SimHei" w:eastAsia="SimHei" w:hint="eastAsia"/>
        </w:rPr>
        <w:tab/>
        <w:t>确立旨在整治造成狱中黑人和少数民族妇女比例超高现象的根源；和</w:t>
      </w:r>
    </w:p>
    <w:p w:rsidR="00E30095" w:rsidRPr="00766466" w:rsidRDefault="00E30095" w:rsidP="00E30095">
      <w:pPr>
        <w:pStyle w:val="SingleTxt"/>
        <w:rPr>
          <w:rFonts w:hint="eastAsia"/>
        </w:rPr>
      </w:pPr>
      <w:r w:rsidRPr="00754CED">
        <w:rPr>
          <w:rFonts w:hint="eastAsia"/>
        </w:rPr>
        <w:tab/>
        <w:t>(e)</w:t>
      </w:r>
      <w:r w:rsidRPr="00766466">
        <w:rPr>
          <w:rFonts w:ascii="SimHei" w:eastAsia="SimHei" w:hint="eastAsia"/>
        </w:rPr>
        <w:tab/>
        <w:t>确保当局，包括监狱监管人员得以辨认出被贩运来的妇女，从而避免把她们当作罪犯处理，并为她们提供重归社会的充分服务</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ascii="Times New Roman"/>
        </w:rPr>
        <w:tab/>
      </w:r>
      <w:r w:rsidRPr="00766466">
        <w:rPr>
          <w:rFonts w:ascii="Times New Roman"/>
        </w:rPr>
        <w:tab/>
      </w:r>
      <w:r w:rsidRPr="00766466">
        <w:rPr>
          <w:rFonts w:hint="eastAsia"/>
        </w:rPr>
        <w:t>弱势妇女群体</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56.</w:t>
      </w:r>
      <w:r w:rsidRPr="00766466">
        <w:rPr>
          <w:rFonts w:hint="eastAsia"/>
        </w:rPr>
        <w:tab/>
        <w:t>委员会回顾其以前在2008年提出的结论性意见(同上，第295和296段)，它仍然关切的是，在“不得求助于公款”政策下，具有无保障移民身份的妇女继续无法获得国家支助。委员会注意到缔约国已宣布对家庭暴力女性受害者提供豁免，但关切的是，这种豁免只适用于以配偶签证进入缔约国的妇女，而这可能使遭受暴力的妇女陷入困境。</w:t>
      </w:r>
    </w:p>
    <w:p w:rsidR="00E30095" w:rsidRPr="00766466" w:rsidRDefault="00E30095" w:rsidP="00E30095">
      <w:pPr>
        <w:pStyle w:val="SingleTxt"/>
        <w:rPr>
          <w:rFonts w:ascii="SimHei" w:eastAsia="SimHei" w:hint="eastAsia"/>
        </w:rPr>
      </w:pPr>
      <w:r w:rsidRPr="00766466">
        <w:rPr>
          <w:rFonts w:hint="eastAsia"/>
        </w:rPr>
        <w:t>57.</w:t>
      </w:r>
      <w:r w:rsidRPr="00766466">
        <w:rPr>
          <w:rFonts w:hint="eastAsia"/>
        </w:rPr>
        <w:tab/>
      </w:r>
      <w:r w:rsidRPr="00766466">
        <w:rPr>
          <w:rFonts w:ascii="SimHei" w:eastAsia="SimHei" w:hint="eastAsia"/>
        </w:rPr>
        <w:t>回顾其先前的建议，委员会建议缔约国应：</w:t>
      </w:r>
    </w:p>
    <w:p w:rsidR="00E30095" w:rsidRPr="00766466" w:rsidRDefault="00E30095" w:rsidP="00E30095">
      <w:pPr>
        <w:pStyle w:val="SingleTxt"/>
        <w:rPr>
          <w:rFonts w:ascii="SimHei" w:eastAsia="SimHei" w:hint="eastAsia"/>
        </w:rPr>
      </w:pPr>
      <w:r w:rsidRPr="00754CED">
        <w:tab/>
      </w:r>
      <w:r w:rsidRPr="00754CED">
        <w:rPr>
          <w:rFonts w:hint="eastAsia"/>
        </w:rPr>
        <w:t>(a)</w:t>
      </w:r>
      <w:r w:rsidRPr="00766466">
        <w:rPr>
          <w:rFonts w:ascii="SimHei" w:eastAsia="SimHei" w:hint="eastAsia"/>
        </w:rPr>
        <w:tab/>
        <w:t>让所有受到基于性别的暴力和剥削侵害的妇女豁免适用“不得求助于公款”政策；</w:t>
      </w:r>
    </w:p>
    <w:p w:rsidR="00E30095" w:rsidRPr="00766466" w:rsidRDefault="00E30095" w:rsidP="00E30095">
      <w:pPr>
        <w:pStyle w:val="SingleTxt"/>
        <w:rPr>
          <w:rFonts w:hint="eastAsia"/>
        </w:rPr>
      </w:pPr>
      <w:r w:rsidRPr="00754CED">
        <w:tab/>
      </w:r>
      <w:r w:rsidRPr="00754CED">
        <w:rPr>
          <w:rFonts w:hint="eastAsia"/>
        </w:rPr>
        <w:t>(b)</w:t>
      </w:r>
      <w:r w:rsidRPr="00766466">
        <w:rPr>
          <w:rFonts w:ascii="SimHei" w:eastAsia="SimHei" w:hint="eastAsia"/>
        </w:rPr>
        <w:tab/>
        <w:t>让所有具有无保障移民身份的妇女，包括寻求庇护者，能够求助于司法和获得保健，直到其返回原籍国为止</w:t>
      </w:r>
      <w:r w:rsidRPr="00766466">
        <w:rPr>
          <w:rFonts w:hint="eastAsia"/>
        </w:rPr>
        <w:t>。</w:t>
      </w:r>
    </w:p>
    <w:p w:rsidR="00E30095" w:rsidRPr="00766466" w:rsidRDefault="00E30095" w:rsidP="00E30095">
      <w:pPr>
        <w:pStyle w:val="SingleTxt"/>
        <w:rPr>
          <w:rFonts w:hint="eastAsia"/>
        </w:rPr>
      </w:pPr>
      <w:r w:rsidRPr="00766466">
        <w:rPr>
          <w:rFonts w:hint="eastAsia"/>
        </w:rPr>
        <w:t>58.</w:t>
      </w:r>
      <w:r w:rsidRPr="00766466">
        <w:rPr>
          <w:rFonts w:hint="eastAsia"/>
        </w:rPr>
        <w:tab/>
        <w:t>委员会关切的是，据报告说移民当局没有对暴力行为的女性受害者采取认识到性别问题重要性的方法。委员会还关切的是，很少黑人和少数民族妇女进入劳动力市场，她们集中在从事低薪工作，而她们具备的资格往往超过工作要求。</w:t>
      </w:r>
    </w:p>
    <w:p w:rsidR="00E30095" w:rsidRPr="00766466" w:rsidRDefault="00E30095" w:rsidP="00E30095">
      <w:pPr>
        <w:pStyle w:val="SingleTxt"/>
        <w:rPr>
          <w:rFonts w:ascii="SimHei" w:eastAsia="SimHei" w:hint="eastAsia"/>
        </w:rPr>
      </w:pPr>
      <w:r w:rsidRPr="00766466">
        <w:rPr>
          <w:rFonts w:hint="eastAsia"/>
        </w:rPr>
        <w:t>59.</w:t>
      </w:r>
      <w:r w:rsidRPr="00766466">
        <w:rPr>
          <w:rFonts w:hint="eastAsia"/>
        </w:rPr>
        <w:tab/>
      </w:r>
      <w:r w:rsidRPr="00766466">
        <w:rPr>
          <w:rFonts w:ascii="SimHei" w:eastAsia="SimHei" w:hint="eastAsia"/>
        </w:rPr>
        <w:t>委员会敦促缔约国：</w:t>
      </w:r>
    </w:p>
    <w:p w:rsidR="00E30095" w:rsidRPr="00766466" w:rsidRDefault="00E30095" w:rsidP="00E30095">
      <w:pPr>
        <w:pStyle w:val="SingleTxt"/>
        <w:rPr>
          <w:rFonts w:ascii="SimHei" w:eastAsia="SimHei" w:hint="eastAsia"/>
        </w:rPr>
      </w:pPr>
      <w:r w:rsidRPr="00754CED">
        <w:tab/>
      </w:r>
      <w:r w:rsidRPr="00754CED">
        <w:rPr>
          <w:rFonts w:hint="eastAsia"/>
        </w:rPr>
        <w:t>(a)</w:t>
      </w:r>
      <w:r w:rsidRPr="00754CED">
        <w:rPr>
          <w:rFonts w:hint="eastAsia"/>
        </w:rPr>
        <w:tab/>
      </w:r>
      <w:r w:rsidRPr="00766466">
        <w:rPr>
          <w:rFonts w:ascii="SimHei" w:eastAsia="SimHei" w:hint="eastAsia"/>
        </w:rPr>
        <w:t>继续训练负责移民和庇护申请事务的人员以认识到性别问题重要性的方法对待暴力受害者；</w:t>
      </w:r>
    </w:p>
    <w:p w:rsidR="00E30095" w:rsidRPr="00766466" w:rsidRDefault="00E30095" w:rsidP="00E30095">
      <w:pPr>
        <w:pStyle w:val="SingleTxt"/>
        <w:rPr>
          <w:rFonts w:hint="eastAsia"/>
        </w:rPr>
      </w:pPr>
      <w:r w:rsidRPr="00754CED">
        <w:tab/>
      </w:r>
      <w:r w:rsidRPr="00754CED">
        <w:rPr>
          <w:rFonts w:hint="eastAsia"/>
        </w:rPr>
        <w:t>(b)</w:t>
      </w:r>
      <w:r w:rsidRPr="00766466">
        <w:rPr>
          <w:rFonts w:ascii="SimHei" w:eastAsia="SimHei"/>
        </w:rPr>
        <w:tab/>
      </w:r>
      <w:r w:rsidRPr="00766466">
        <w:rPr>
          <w:rFonts w:ascii="SimHei" w:eastAsia="SimHei" w:hint="eastAsia"/>
        </w:rPr>
        <w:t>采取针对性措施，使黑人和少数族裔妇女能够进入劳动力市场，使其不要集中在低薪工作</w:t>
      </w:r>
      <w:r w:rsidRPr="00766466">
        <w:rPr>
          <w:rFonts w:hint="eastAsia"/>
        </w:rPr>
        <w:t>。</w:t>
      </w:r>
    </w:p>
    <w:p w:rsidR="00E30095" w:rsidRPr="00766466" w:rsidRDefault="00E30095" w:rsidP="00E30095">
      <w:pPr>
        <w:pStyle w:val="SingleTxt"/>
        <w:rPr>
          <w:rFonts w:hint="eastAsia"/>
        </w:rPr>
      </w:pPr>
      <w:r w:rsidRPr="00766466">
        <w:rPr>
          <w:rFonts w:hint="eastAsia"/>
        </w:rPr>
        <w:t>60.</w:t>
      </w:r>
      <w:r w:rsidRPr="00766466">
        <w:rPr>
          <w:rFonts w:hint="eastAsia"/>
        </w:rPr>
        <w:tab/>
        <w:t>委员会回顾其以前在2008年提出的结论性意见(同上，第292和294段)，它仍然关切的是，来自少数族裔社区包括“旅行者”社区的妇女在教育、卫生和就业方面的结果继续不佳。委员会还关切的是，缔约国境内没有适当的指定地区供“旅行者”社区的妇女及其家庭成员使用。</w:t>
      </w:r>
    </w:p>
    <w:p w:rsidR="00E30095" w:rsidRPr="00766466" w:rsidRDefault="00E30095" w:rsidP="00E30095">
      <w:pPr>
        <w:pStyle w:val="SingleTxt"/>
        <w:rPr>
          <w:rFonts w:ascii="SimHei" w:eastAsia="SimHei" w:hint="eastAsia"/>
        </w:rPr>
      </w:pPr>
      <w:r w:rsidRPr="00766466">
        <w:rPr>
          <w:rFonts w:hint="eastAsia"/>
        </w:rPr>
        <w:t>61.</w:t>
      </w:r>
      <w:r w:rsidRPr="00766466">
        <w:rPr>
          <w:rFonts w:hint="eastAsia"/>
        </w:rPr>
        <w:tab/>
      </w:r>
      <w:r w:rsidRPr="00766466">
        <w:rPr>
          <w:rFonts w:ascii="SimHei" w:eastAsia="SimHei" w:hint="eastAsia"/>
        </w:rPr>
        <w:t>委员会回顾其先前的建议，并建议缔约国应：</w:t>
      </w:r>
    </w:p>
    <w:p w:rsidR="00E30095" w:rsidRPr="00766466" w:rsidRDefault="00E30095" w:rsidP="00E30095">
      <w:pPr>
        <w:pStyle w:val="SingleTxt"/>
        <w:rPr>
          <w:rFonts w:ascii="SimHei" w:eastAsia="SimHei" w:hint="eastAsia"/>
        </w:rPr>
      </w:pPr>
      <w:r w:rsidRPr="00754CED">
        <w:rPr>
          <w:rFonts w:hAnsi="SimSun"/>
        </w:rPr>
        <w:tab/>
      </w:r>
      <w:r w:rsidRPr="00754CED">
        <w:rPr>
          <w:rFonts w:hAnsi="SimSun" w:hint="eastAsia"/>
        </w:rPr>
        <w:t>(a)</w:t>
      </w:r>
      <w:r w:rsidRPr="00766466">
        <w:rPr>
          <w:rFonts w:ascii="SimHei" w:eastAsia="SimHei" w:hint="eastAsia"/>
        </w:rPr>
        <w:tab/>
        <w:t>加紧努力，消除对少数民族妇女的歧视，并使其更容易获得社会服务，包括医疗、教育和就业；</w:t>
      </w:r>
    </w:p>
    <w:p w:rsidR="00E30095" w:rsidRPr="00766466" w:rsidRDefault="00E30095" w:rsidP="00E30095">
      <w:pPr>
        <w:pStyle w:val="SingleTxt"/>
        <w:rPr>
          <w:rFonts w:hint="eastAsia"/>
        </w:rPr>
      </w:pPr>
      <w:r w:rsidRPr="00754CED">
        <w:rPr>
          <w:rFonts w:hAnsi="SimSun"/>
        </w:rPr>
        <w:tab/>
      </w:r>
      <w:r w:rsidRPr="00754CED">
        <w:rPr>
          <w:rFonts w:hAnsi="SimSun" w:hint="eastAsia"/>
        </w:rPr>
        <w:t>(b)</w:t>
      </w:r>
      <w:r w:rsidRPr="00766466">
        <w:rPr>
          <w:rFonts w:ascii="SimHei" w:eastAsia="SimHei" w:hint="eastAsia"/>
        </w:rPr>
        <w:tab/>
        <w:t>指定适当地区供“旅行者”社区的妇女及其家庭成员使用</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社会经济利益</w:t>
      </w:r>
    </w:p>
    <w:p w:rsidR="00E30095" w:rsidRPr="00766466" w:rsidRDefault="00E30095" w:rsidP="00E30095">
      <w:pPr>
        <w:pStyle w:val="SingleTxt"/>
        <w:spacing w:after="0" w:line="120" w:lineRule="exact"/>
        <w:rPr>
          <w:rFonts w:hint="eastAsia"/>
          <w:sz w:val="10"/>
        </w:rPr>
      </w:pPr>
    </w:p>
    <w:p w:rsidR="00E30095" w:rsidRPr="000C1797" w:rsidRDefault="00E30095" w:rsidP="00E30095">
      <w:pPr>
        <w:pStyle w:val="SingleTxt"/>
        <w:rPr>
          <w:rFonts w:hint="eastAsia"/>
          <w:spacing w:val="-4"/>
        </w:rPr>
      </w:pPr>
      <w:r w:rsidRPr="000C1797">
        <w:rPr>
          <w:rFonts w:hint="eastAsia"/>
          <w:spacing w:val="-4"/>
        </w:rPr>
        <w:t>62.</w:t>
      </w:r>
      <w:r w:rsidRPr="000C1797">
        <w:rPr>
          <w:rFonts w:hint="eastAsia"/>
          <w:spacing w:val="-4"/>
        </w:rPr>
        <w:tab/>
        <w:t>委员会注意到缔约国对福利制度进行改革，以便将所提供的福利和税收优惠金合并成普遍优惠体系下的一个单一付款。然而，它关切的是，在普遍优惠体系下，福利和税收优惠金将付给家庭一名成员的银行账户，而在家庭权力不平衡的情况下，这会为妇女带来经济受到侵害的风险，特别是在款项支付给侵害配偶的男性时。</w:t>
      </w:r>
    </w:p>
    <w:p w:rsidR="00E30095" w:rsidRPr="00766466" w:rsidRDefault="00E30095" w:rsidP="00E30095">
      <w:pPr>
        <w:pStyle w:val="SingleTxt"/>
        <w:rPr>
          <w:rFonts w:hint="eastAsia"/>
        </w:rPr>
      </w:pPr>
      <w:r w:rsidRPr="00766466">
        <w:rPr>
          <w:rFonts w:hint="eastAsia"/>
        </w:rPr>
        <w:t>63.</w:t>
      </w:r>
      <w:r w:rsidRPr="00766466">
        <w:rPr>
          <w:rFonts w:hint="eastAsia"/>
        </w:rPr>
        <w:tab/>
      </w:r>
      <w:r w:rsidRPr="00766466">
        <w:rPr>
          <w:rFonts w:ascii="SimHei" w:eastAsia="SimHei" w:hint="eastAsia"/>
        </w:rPr>
        <w:t>委员会敦促缔约国采取措施预防侵害配偶的男性可能滥用通用优惠体系的情况</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离婚的经济后果</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64.</w:t>
      </w:r>
      <w:r w:rsidRPr="00766466">
        <w:rPr>
          <w:rFonts w:hint="eastAsia"/>
        </w:rPr>
        <w:tab/>
        <w:t>委员会回顾其以前提出的结论性意见(同上，第290和291段)，并注意到法律委员会在题为“同居关系破裂带来的经济后果” 报告中所载的建议。委员会关切的是，在这一领域没有取得进展，因此妇女在事实婚姻关系中的财产和利益权利可能没有得到适当保障。</w:t>
      </w:r>
    </w:p>
    <w:p w:rsidR="00E30095" w:rsidRPr="00766466" w:rsidRDefault="00E30095" w:rsidP="00E30095">
      <w:pPr>
        <w:pStyle w:val="SingleTxt"/>
        <w:rPr>
          <w:rFonts w:hint="eastAsia"/>
        </w:rPr>
      </w:pPr>
      <w:r w:rsidRPr="00766466">
        <w:rPr>
          <w:rFonts w:hint="eastAsia"/>
        </w:rPr>
        <w:t>65.</w:t>
      </w:r>
      <w:r w:rsidRPr="00766466">
        <w:rPr>
          <w:rFonts w:hint="eastAsia"/>
        </w:rPr>
        <w:tab/>
      </w:r>
      <w:r w:rsidRPr="00766466">
        <w:rPr>
          <w:rFonts w:ascii="SimHei" w:eastAsia="SimHei" w:hint="eastAsia"/>
        </w:rPr>
        <w:t>委员会敦促缔约国加快努力进行改革，以期在婚姻或事实婚姻破裂时，依照关于婚姻关系、家庭关系及这些关系解散的经济后果的第29号一般性建议和《公约》第16条，保护妇女的财产权</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《北京宣言》和《行动纲要》</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66.</w:t>
      </w:r>
      <w:r w:rsidRPr="00766466">
        <w:rPr>
          <w:rFonts w:hint="eastAsia"/>
        </w:rPr>
        <w:tab/>
      </w:r>
      <w:r w:rsidRPr="000C1797">
        <w:rPr>
          <w:rFonts w:ascii="SimHei" w:eastAsia="SimHei" w:hint="eastAsia"/>
        </w:rPr>
        <w:t>委员会呼吁缔约国在实施《公约》的规定时使用《北京宣言》和《行动纲要》</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千年发展目标和2015年后发展框架</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67.</w:t>
      </w:r>
      <w:r w:rsidRPr="00766466">
        <w:rPr>
          <w:rFonts w:hint="eastAsia"/>
        </w:rPr>
        <w:tab/>
      </w:r>
      <w:r w:rsidRPr="00766466">
        <w:rPr>
          <w:rFonts w:ascii="SimHei" w:eastAsia="SimHei" w:hint="eastAsia"/>
        </w:rPr>
        <w:t>委员会呼吁按照《公约》规定将性别观点纳入所有旨在实现千年发展目标的努力，以及纳入2015年后发展框架</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对结论性意见的后续行动</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68.</w:t>
      </w:r>
      <w:r w:rsidRPr="00766466">
        <w:rPr>
          <w:rFonts w:hint="eastAsia"/>
        </w:rPr>
        <w:tab/>
      </w:r>
      <w:r w:rsidRPr="000C1797">
        <w:rPr>
          <w:rFonts w:ascii="SimHei" w:eastAsia="SimHei" w:hint="eastAsia"/>
        </w:rPr>
        <w:t>委员会要求缔约国提供书面资料，说明分别在一年和两年内为实施上面第23和第51段所载建议而采取的措施</w:t>
      </w:r>
      <w:r w:rsidRPr="00766466">
        <w:rPr>
          <w:rFonts w:hint="eastAsia"/>
        </w:rPr>
        <w:t>。</w:t>
      </w:r>
    </w:p>
    <w:p w:rsidR="00E30095" w:rsidRPr="00766466" w:rsidRDefault="00E30095" w:rsidP="00E300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66466">
        <w:rPr>
          <w:rFonts w:hint="eastAsia"/>
        </w:rPr>
        <w:tab/>
      </w:r>
      <w:r w:rsidRPr="00766466">
        <w:rPr>
          <w:rFonts w:hint="eastAsia"/>
        </w:rPr>
        <w:tab/>
        <w:t>编写下一份报告</w:t>
      </w:r>
    </w:p>
    <w:p w:rsidR="00E30095" w:rsidRPr="00766466" w:rsidRDefault="00E30095" w:rsidP="00E30095">
      <w:pPr>
        <w:pStyle w:val="SingleTxt"/>
        <w:spacing w:after="0" w:line="120" w:lineRule="exact"/>
        <w:rPr>
          <w:rFonts w:hint="eastAsia"/>
          <w:sz w:val="10"/>
        </w:rPr>
      </w:pPr>
    </w:p>
    <w:p w:rsidR="00E30095" w:rsidRPr="00766466" w:rsidRDefault="00E30095" w:rsidP="00E30095">
      <w:pPr>
        <w:pStyle w:val="SingleTxt"/>
        <w:rPr>
          <w:rFonts w:hint="eastAsia"/>
        </w:rPr>
      </w:pPr>
      <w:r w:rsidRPr="00766466">
        <w:rPr>
          <w:rFonts w:hint="eastAsia"/>
        </w:rPr>
        <w:t>69.</w:t>
      </w:r>
      <w:r w:rsidRPr="00766466">
        <w:rPr>
          <w:rFonts w:hint="eastAsia"/>
        </w:rPr>
        <w:tab/>
      </w:r>
      <w:r w:rsidRPr="00766466">
        <w:rPr>
          <w:rFonts w:ascii="SimHei" w:eastAsia="SimHei" w:hint="eastAsia"/>
        </w:rPr>
        <w:t>委员会请缔约国在2017年7月提交第八次定期报告</w:t>
      </w:r>
      <w:r w:rsidRPr="00766466">
        <w:rPr>
          <w:rFonts w:hint="eastAsia"/>
        </w:rPr>
        <w:t>。</w:t>
      </w:r>
    </w:p>
    <w:p w:rsidR="00E30095" w:rsidRPr="00766466" w:rsidRDefault="00E30095" w:rsidP="00E30095">
      <w:pPr>
        <w:pStyle w:val="SingleTxt"/>
      </w:pPr>
      <w:r w:rsidRPr="00766466">
        <w:rPr>
          <w:rFonts w:hint="eastAsia"/>
        </w:rPr>
        <w:t>70.</w:t>
      </w:r>
      <w:r w:rsidRPr="00766466">
        <w:rPr>
          <w:rFonts w:hint="eastAsia"/>
        </w:rPr>
        <w:tab/>
      </w:r>
      <w:r w:rsidRPr="000C1797">
        <w:rPr>
          <w:rFonts w:ascii="SimHei" w:eastAsia="SimHei" w:hint="eastAsia"/>
        </w:rPr>
        <w:t>委员会要求缔约国遵循“根据国际人权条约提交报告的统一准则，包括编写核心文件、提交具体条约报告的准则”(</w:t>
      </w:r>
      <w:hyperlink r:id="rId23" w:history="1">
        <w:r w:rsidRPr="000C1797">
          <w:rPr>
            <w:rFonts w:ascii="SimHei" w:eastAsia="SimHei" w:hint="eastAsia"/>
          </w:rPr>
          <w:t>HRI/MC/2006/3</w:t>
        </w:r>
      </w:hyperlink>
      <w:r w:rsidRPr="000C1797">
        <w:rPr>
          <w:rFonts w:ascii="SimHei" w:eastAsia="SimHei" w:hint="eastAsia"/>
        </w:rPr>
        <w:t>和Corr.1)的指引</w:t>
      </w:r>
      <w:r w:rsidRPr="00766466">
        <w:rPr>
          <w:rFonts w:hint="eastAsia"/>
        </w:rPr>
        <w:t>。</w:t>
      </w:r>
    </w:p>
    <w:p w:rsidR="00E30095" w:rsidRPr="00766466" w:rsidRDefault="00E30095" w:rsidP="00E30095">
      <w:pPr>
        <w:pStyle w:val="SingleTxt"/>
        <w:spacing w:after="0" w:line="240" w:lineRule="auto"/>
        <w:rPr>
          <w:sz w:val="20"/>
        </w:rPr>
      </w:pPr>
      <w:r w:rsidRPr="00766466">
        <w:rPr>
          <w:noProof/>
          <w:sz w:val="20"/>
        </w:rPr>
        <w:pict>
          <v:line id="_x0000_s1028" style="position:absolute;left:0;text-align:left;z-index:3" from="210pt,15.4pt" to="282pt,15.4pt" strokeweight=".25pt"/>
        </w:pict>
      </w:r>
    </w:p>
    <w:sectPr w:rsidR="00E30095" w:rsidRPr="00766466" w:rsidSect="004B6DC9">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09T08:57:00Z" w:initials="Start">
    <w:p w:rsidR="000C1797" w:rsidRDefault="000C179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NO&gt;&gt;N1341197C&lt;&lt;ODS JOB NO&gt;&gt;</w:t>
      </w:r>
    </w:p>
    <w:p w:rsidR="000C1797" w:rsidRDefault="000C1797">
      <w:pPr>
        <w:pStyle w:val="CommentText"/>
      </w:pPr>
      <w:r>
        <w:t>&lt;&lt;ODS DOC SYMBOL1&gt;&gt;CEDAW/C/GBR/CO/7&lt;&lt;ODS DOC SYMBOL1&gt;&gt;</w:t>
      </w:r>
    </w:p>
    <w:p w:rsidR="000C1797" w:rsidRDefault="000C179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540E" w:rsidRDefault="0003540E">
      <w:r>
        <w:separator/>
      </w:r>
    </w:p>
  </w:endnote>
  <w:endnote w:type="continuationSeparator" w:id="0">
    <w:p w:rsidR="0003540E" w:rsidRDefault="000354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C1797" w:rsidTr="004B6DC9">
      <w:tblPrEx>
        <w:tblCellMar>
          <w:top w:w="0" w:type="dxa"/>
          <w:bottom w:w="0" w:type="dxa"/>
        </w:tblCellMar>
      </w:tblPrEx>
      <w:tc>
        <w:tcPr>
          <w:tcW w:w="5033" w:type="dxa"/>
          <w:shd w:val="clear" w:color="auto" w:fill="auto"/>
        </w:tcPr>
        <w:p w:rsidR="000C1797" w:rsidRPr="004B6DC9" w:rsidRDefault="000C1797" w:rsidP="004B6DC9">
          <w:pPr>
            <w:pStyle w:val="Footer"/>
            <w:jc w:val="right"/>
            <w:rPr>
              <w:b w:val="0"/>
              <w:w w:val="103"/>
              <w:sz w:val="14"/>
            </w:rPr>
          </w:pPr>
          <w:fldSimple w:instr=" DOCVARIABLE &quot;FooterJN&quot; \* MERGEFORMAT ">
            <w:r w:rsidR="00715899">
              <w:rPr>
                <w:b w:val="0"/>
                <w:w w:val="103"/>
                <w:sz w:val="14"/>
              </w:rPr>
              <w:t>13-41197 (C)</w:t>
            </w:r>
          </w:fldSimple>
        </w:p>
      </w:tc>
      <w:tc>
        <w:tcPr>
          <w:tcW w:w="5033" w:type="dxa"/>
          <w:shd w:val="clear" w:color="auto" w:fill="auto"/>
        </w:tcPr>
        <w:p w:rsidR="000C1797" w:rsidRPr="004B6DC9" w:rsidRDefault="000C1797" w:rsidP="004B6DC9">
          <w:pPr>
            <w:pStyle w:val="Footer"/>
            <w:jc w:val="left"/>
            <w:rPr>
              <w:w w:val="103"/>
            </w:rPr>
          </w:pPr>
          <w:r>
            <w:rPr>
              <w:w w:val="103"/>
            </w:rPr>
            <w:fldChar w:fldCharType="begin"/>
          </w:r>
          <w:r>
            <w:rPr>
              <w:w w:val="103"/>
            </w:rPr>
            <w:instrText xml:space="preserve"> PAGE  \* Arabic  \* MERGEFORMAT </w:instrText>
          </w:r>
          <w:r>
            <w:rPr>
              <w:w w:val="103"/>
            </w:rPr>
            <w:fldChar w:fldCharType="separate"/>
          </w:r>
          <w:r w:rsidR="00715899">
            <w:rPr>
              <w:w w:val="103"/>
            </w:rPr>
            <w:t>2</w:t>
          </w:r>
          <w:r>
            <w:rPr>
              <w:w w:val="103"/>
            </w:rPr>
            <w:fldChar w:fldCharType="end"/>
          </w:r>
          <w:r>
            <w:rPr>
              <w:w w:val="103"/>
            </w:rPr>
            <w:t>/</w:t>
          </w:r>
          <w:fldSimple w:instr=" NUMPAGES  \* Arabic  \* MERGEFORMAT ">
            <w:r w:rsidR="00715899">
              <w:rPr>
                <w:w w:val="103"/>
              </w:rPr>
              <w:t>11</w:t>
            </w:r>
          </w:fldSimple>
        </w:p>
      </w:tc>
    </w:tr>
  </w:tbl>
  <w:p w:rsidR="000C1797" w:rsidRPr="004B6DC9" w:rsidRDefault="000C1797" w:rsidP="004B6DC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C1797" w:rsidTr="004B6DC9">
      <w:tblPrEx>
        <w:tblCellMar>
          <w:top w:w="0" w:type="dxa"/>
          <w:bottom w:w="0" w:type="dxa"/>
        </w:tblCellMar>
      </w:tblPrEx>
      <w:tc>
        <w:tcPr>
          <w:tcW w:w="5033" w:type="dxa"/>
          <w:shd w:val="clear" w:color="auto" w:fill="auto"/>
        </w:tcPr>
        <w:p w:rsidR="000C1797" w:rsidRPr="004B6DC9" w:rsidRDefault="000C1797" w:rsidP="004B6DC9">
          <w:pPr>
            <w:pStyle w:val="Footer"/>
            <w:jc w:val="right"/>
          </w:pPr>
          <w:fldSimple w:instr=" PAGE  \* Arabic  \* MERGEFORMAT ">
            <w:r w:rsidR="00715899">
              <w:t>7</w:t>
            </w:r>
          </w:fldSimple>
          <w:r>
            <w:t>/</w:t>
          </w:r>
          <w:fldSimple w:instr=" NUMPAGES  \* Arabic  \* MERGEFORMAT ">
            <w:r w:rsidR="00715899">
              <w:t>11</w:t>
            </w:r>
          </w:fldSimple>
        </w:p>
      </w:tc>
      <w:tc>
        <w:tcPr>
          <w:tcW w:w="5033" w:type="dxa"/>
          <w:shd w:val="clear" w:color="auto" w:fill="auto"/>
        </w:tcPr>
        <w:p w:rsidR="000C1797" w:rsidRPr="004B6DC9" w:rsidRDefault="000C1797" w:rsidP="004B6DC9">
          <w:pPr>
            <w:pStyle w:val="Footer"/>
            <w:jc w:val="left"/>
            <w:rPr>
              <w:b w:val="0"/>
              <w:w w:val="103"/>
              <w:sz w:val="14"/>
            </w:rPr>
          </w:pPr>
          <w:fldSimple w:instr=" DOCVARIABLE &quot;FooterJN&quot; \* MERGEFORMAT ">
            <w:r w:rsidR="00715899">
              <w:rPr>
                <w:b w:val="0"/>
                <w:w w:val="103"/>
                <w:sz w:val="14"/>
              </w:rPr>
              <w:t>13-41197 (C)</w:t>
            </w:r>
          </w:fldSimple>
        </w:p>
      </w:tc>
    </w:tr>
  </w:tbl>
  <w:p w:rsidR="000C1797" w:rsidRPr="004B6DC9" w:rsidRDefault="000C1797" w:rsidP="004B6DC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0C1797" w:rsidTr="004B6DC9">
      <w:tblPrEx>
        <w:tblCellMar>
          <w:top w:w="0" w:type="dxa"/>
          <w:bottom w:w="0" w:type="dxa"/>
        </w:tblCellMar>
      </w:tblPrEx>
      <w:tc>
        <w:tcPr>
          <w:tcW w:w="5033" w:type="dxa"/>
        </w:tcPr>
        <w:p w:rsidR="000C1797" w:rsidRPr="00E30095" w:rsidRDefault="000C1797" w:rsidP="004B6DC9">
          <w:pPr>
            <w:pStyle w:val="Footer"/>
            <w:rPr>
              <w:b w:val="0"/>
              <w:sz w:val="21"/>
            </w:rPr>
          </w:pPr>
          <w:r w:rsidRPr="00E30095">
            <w:rPr>
              <w:b w:val="0"/>
              <w:sz w:val="21"/>
            </w:rPr>
            <w:t>13-41197 X (C)    071013    091013</w:t>
          </w:r>
        </w:p>
        <w:p w:rsidR="000C1797" w:rsidRPr="004B6DC9" w:rsidRDefault="000C1797" w:rsidP="004B6DC9">
          <w:pPr>
            <w:spacing w:before="80" w:line="210" w:lineRule="exact"/>
            <w:rPr>
              <w:rFonts w:ascii="Barcode 3 of 9 by request" w:hAnsi="Barcode 3 of 9 by request"/>
              <w:sz w:val="24"/>
            </w:rPr>
          </w:pPr>
          <w:r>
            <w:rPr>
              <w:rFonts w:ascii="Barcode 3 of 9 by request" w:hAnsi="Barcode 3 of 9 by request" w:hint="eastAsia"/>
              <w:sz w:val="24"/>
            </w:rPr>
            <w:t>*1341197C*</w:t>
          </w:r>
        </w:p>
      </w:tc>
      <w:tc>
        <w:tcPr>
          <w:tcW w:w="3686" w:type="dxa"/>
        </w:tcPr>
        <w:p w:rsidR="000C1797" w:rsidRDefault="000C1797" w:rsidP="004B6DC9">
          <w:pPr>
            <w:pStyle w:val="Footer"/>
            <w:jc w:val="right"/>
            <w:rPr>
              <w:b w:val="0"/>
              <w:sz w:val="21"/>
            </w:rPr>
          </w:pPr>
          <w:r w:rsidRPr="004B6DC9">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0C1797" w:rsidRPr="004B6DC9" w:rsidRDefault="000C1797" w:rsidP="004B6DC9">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540E" w:rsidRDefault="0003540E">
      <w:r>
        <w:separator/>
      </w:r>
    </w:p>
  </w:footnote>
  <w:footnote w:type="continuationSeparator" w:id="0">
    <w:p w:rsidR="0003540E" w:rsidRDefault="000354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C1797" w:rsidTr="004B6DC9">
      <w:tblPrEx>
        <w:tblCellMar>
          <w:top w:w="0" w:type="dxa"/>
          <w:bottom w:w="0" w:type="dxa"/>
        </w:tblCellMar>
      </w:tblPrEx>
      <w:trPr>
        <w:trHeight w:hRule="exact" w:val="864"/>
      </w:trPr>
      <w:tc>
        <w:tcPr>
          <w:tcW w:w="4838" w:type="dxa"/>
          <w:shd w:val="clear" w:color="auto" w:fill="auto"/>
          <w:vAlign w:val="bottom"/>
        </w:tcPr>
        <w:p w:rsidR="000C1797" w:rsidRPr="004B6DC9" w:rsidRDefault="000C1797" w:rsidP="004B6DC9">
          <w:pPr>
            <w:pStyle w:val="Header"/>
            <w:spacing w:after="80"/>
            <w:jc w:val="left"/>
            <w:rPr>
              <w:b/>
              <w:sz w:val="17"/>
            </w:rPr>
          </w:pPr>
          <w:fldSimple w:instr=" DOCVARIABLE &quot;sss1&quot; \* MERGEFORMAT ">
            <w:r w:rsidR="00715899">
              <w:rPr>
                <w:b/>
                <w:sz w:val="17"/>
              </w:rPr>
              <w:t xml:space="preserve">CEDAW/C/GBR/CO/7 </w:t>
            </w:r>
          </w:fldSimple>
        </w:p>
      </w:tc>
      <w:tc>
        <w:tcPr>
          <w:tcW w:w="5033" w:type="dxa"/>
          <w:shd w:val="clear" w:color="auto" w:fill="auto"/>
          <w:vAlign w:val="bottom"/>
        </w:tcPr>
        <w:p w:rsidR="000C1797" w:rsidRDefault="000C1797" w:rsidP="004B6DC9">
          <w:pPr>
            <w:pStyle w:val="Header"/>
          </w:pPr>
        </w:p>
      </w:tc>
    </w:tr>
  </w:tbl>
  <w:p w:rsidR="000C1797" w:rsidRPr="004B6DC9" w:rsidRDefault="000C1797" w:rsidP="004B6DC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C1797" w:rsidTr="004B6DC9">
      <w:tblPrEx>
        <w:tblCellMar>
          <w:top w:w="0" w:type="dxa"/>
          <w:bottom w:w="0" w:type="dxa"/>
        </w:tblCellMar>
      </w:tblPrEx>
      <w:trPr>
        <w:trHeight w:hRule="exact" w:val="864"/>
      </w:trPr>
      <w:tc>
        <w:tcPr>
          <w:tcW w:w="4838" w:type="dxa"/>
          <w:shd w:val="clear" w:color="auto" w:fill="auto"/>
          <w:vAlign w:val="bottom"/>
        </w:tcPr>
        <w:p w:rsidR="000C1797" w:rsidRDefault="000C1797" w:rsidP="004B6DC9">
          <w:pPr>
            <w:pStyle w:val="Header"/>
          </w:pPr>
        </w:p>
      </w:tc>
      <w:tc>
        <w:tcPr>
          <w:tcW w:w="5033" w:type="dxa"/>
          <w:shd w:val="clear" w:color="auto" w:fill="auto"/>
          <w:vAlign w:val="bottom"/>
        </w:tcPr>
        <w:p w:rsidR="000C1797" w:rsidRPr="004B6DC9" w:rsidRDefault="000C1797" w:rsidP="004B6DC9">
          <w:pPr>
            <w:pStyle w:val="Header"/>
            <w:spacing w:after="80"/>
            <w:jc w:val="right"/>
            <w:rPr>
              <w:b/>
              <w:sz w:val="17"/>
            </w:rPr>
          </w:pPr>
          <w:fldSimple w:instr=" DOCVARIABLE &quot;sss1&quot; \* MERGEFORMAT ">
            <w:r w:rsidR="00715899">
              <w:rPr>
                <w:b/>
                <w:sz w:val="17"/>
              </w:rPr>
              <w:t xml:space="preserve">CEDAW/C/GBR/CO/7 </w:t>
            </w:r>
          </w:fldSimple>
        </w:p>
      </w:tc>
    </w:tr>
  </w:tbl>
  <w:p w:rsidR="000C1797" w:rsidRPr="004B6DC9" w:rsidRDefault="000C1797" w:rsidP="004B6DC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0C1797" w:rsidTr="004B6DC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C1797" w:rsidRDefault="000C1797" w:rsidP="004B6DC9">
          <w:pPr>
            <w:pStyle w:val="Header"/>
            <w:spacing w:after="120"/>
          </w:pPr>
        </w:p>
      </w:tc>
      <w:tc>
        <w:tcPr>
          <w:tcW w:w="1872" w:type="dxa"/>
          <w:tcBorders>
            <w:bottom w:val="single" w:sz="4" w:space="0" w:color="auto"/>
          </w:tcBorders>
          <w:shd w:val="clear" w:color="auto" w:fill="auto"/>
          <w:vAlign w:val="bottom"/>
        </w:tcPr>
        <w:p w:rsidR="000C1797" w:rsidRPr="004B6DC9" w:rsidRDefault="000C1797" w:rsidP="004B6DC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C1797" w:rsidRDefault="000C1797" w:rsidP="004B6DC9">
          <w:pPr>
            <w:pStyle w:val="Header"/>
            <w:spacing w:after="120"/>
          </w:pPr>
        </w:p>
      </w:tc>
      <w:tc>
        <w:tcPr>
          <w:tcW w:w="6523" w:type="dxa"/>
          <w:gridSpan w:val="3"/>
          <w:tcBorders>
            <w:bottom w:val="single" w:sz="4" w:space="0" w:color="auto"/>
          </w:tcBorders>
          <w:shd w:val="clear" w:color="auto" w:fill="auto"/>
          <w:vAlign w:val="bottom"/>
        </w:tcPr>
        <w:p w:rsidR="000C1797" w:rsidRPr="004B6DC9" w:rsidRDefault="000C1797" w:rsidP="004B6DC9">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/C/GBR/CO/7 </w:t>
          </w:r>
        </w:p>
      </w:tc>
    </w:tr>
    <w:tr w:rsidR="000C1797" w:rsidRPr="004B6DC9" w:rsidTr="004B6DC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C1797" w:rsidRDefault="000C1797" w:rsidP="004B6DC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C1797" w:rsidRPr="004B6DC9" w:rsidRDefault="000C1797" w:rsidP="004B6DC9">
          <w:pPr>
            <w:pStyle w:val="Header"/>
            <w:spacing w:before="109"/>
            <w:ind w:left="-72"/>
          </w:pPr>
        </w:p>
      </w:tc>
      <w:tc>
        <w:tcPr>
          <w:tcW w:w="5227" w:type="dxa"/>
          <w:gridSpan w:val="3"/>
          <w:tcBorders>
            <w:top w:val="single" w:sz="4" w:space="0" w:color="auto"/>
            <w:bottom w:val="single" w:sz="12" w:space="0" w:color="auto"/>
          </w:tcBorders>
          <w:shd w:val="clear" w:color="auto" w:fill="auto"/>
        </w:tcPr>
        <w:p w:rsidR="000C1797" w:rsidRPr="004B6DC9" w:rsidRDefault="000C1797" w:rsidP="004B6DC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C1797" w:rsidRPr="004B6DC9" w:rsidRDefault="000C1797" w:rsidP="004B6DC9">
          <w:pPr>
            <w:pStyle w:val="Header"/>
            <w:spacing w:before="109"/>
          </w:pPr>
        </w:p>
      </w:tc>
      <w:tc>
        <w:tcPr>
          <w:tcW w:w="3180" w:type="dxa"/>
          <w:gridSpan w:val="2"/>
          <w:tcBorders>
            <w:top w:val="single" w:sz="4" w:space="0" w:color="auto"/>
            <w:bottom w:val="single" w:sz="12" w:space="0" w:color="auto"/>
          </w:tcBorders>
          <w:shd w:val="clear" w:color="auto" w:fill="auto"/>
        </w:tcPr>
        <w:p w:rsidR="000C1797" w:rsidRDefault="000C1797" w:rsidP="004B6DC9">
          <w:pPr>
            <w:spacing w:before="240" w:line="240" w:lineRule="exact"/>
            <w:rPr>
              <w:rFonts w:ascii="Times New Roman"/>
            </w:rPr>
          </w:pPr>
          <w:r>
            <w:rPr>
              <w:rFonts w:ascii="Times New Roman"/>
            </w:rPr>
            <w:t>Distr.: General</w:t>
          </w:r>
        </w:p>
        <w:p w:rsidR="000C1797" w:rsidRDefault="000C1797" w:rsidP="004B6DC9">
          <w:pPr>
            <w:spacing w:line="240" w:lineRule="exact"/>
            <w:rPr>
              <w:rFonts w:ascii="Times New Roman"/>
            </w:rPr>
          </w:pPr>
          <w:r>
            <w:rPr>
              <w:rFonts w:ascii="Times New Roman"/>
            </w:rPr>
            <w:t>30 July 2013</w:t>
          </w:r>
        </w:p>
        <w:p w:rsidR="000C1797" w:rsidRDefault="000C1797" w:rsidP="004B6DC9">
          <w:pPr>
            <w:spacing w:line="240" w:lineRule="exact"/>
            <w:rPr>
              <w:rFonts w:ascii="Times New Roman"/>
            </w:rPr>
          </w:pPr>
          <w:r>
            <w:rPr>
              <w:rFonts w:ascii="Times New Roman"/>
            </w:rPr>
            <w:t>Chinese</w:t>
          </w:r>
        </w:p>
        <w:p w:rsidR="000C1797" w:rsidRPr="004B6DC9" w:rsidRDefault="000C1797" w:rsidP="004B6DC9">
          <w:pPr>
            <w:spacing w:line="240" w:lineRule="exact"/>
            <w:rPr>
              <w:rFonts w:ascii="Times New Roman"/>
            </w:rPr>
          </w:pPr>
          <w:r>
            <w:rPr>
              <w:rFonts w:ascii="Times New Roman"/>
            </w:rPr>
            <w:t>Original: English</w:t>
          </w:r>
        </w:p>
      </w:tc>
    </w:tr>
  </w:tbl>
  <w:p w:rsidR="000C1797" w:rsidRPr="004B6DC9" w:rsidRDefault="000C1797" w:rsidP="004B6DC9">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197*"/>
    <w:docVar w:name="CreationDt" w:val="09/10/2013 08:41:27"/>
    <w:docVar w:name="DocCategory" w:val="Doc"/>
    <w:docVar w:name="DocType" w:val="Final"/>
    <w:docVar w:name="FooterJN" w:val="13-41197 (C)"/>
    <w:docVar w:name="jobn" w:val="13-41197 (C)"/>
    <w:docVar w:name="jobnDT" w:val="13-41197 (C)   091013"/>
    <w:docVar w:name="jobnDTDT" w:val="13-41197 (C)   091013   091013"/>
    <w:docVar w:name="JobNo" w:val="1341197C"/>
    <w:docVar w:name="OandT" w:val="yanghua"/>
    <w:docVar w:name="sss1" w:val="CEDAW/C/GBR/CO/7 "/>
    <w:docVar w:name="sss2" w:val="-"/>
    <w:docVar w:name="Symbol1" w:val="CEDAW/C/GBR/CO/7 "/>
    <w:docVar w:name="Symbol2" w:val="-"/>
  </w:docVars>
  <w:rsids>
    <w:rsidRoot w:val="00D474B6"/>
    <w:rsid w:val="0000347C"/>
    <w:rsid w:val="000125BC"/>
    <w:rsid w:val="0001645E"/>
    <w:rsid w:val="00021A2B"/>
    <w:rsid w:val="00034465"/>
    <w:rsid w:val="0003540E"/>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1797"/>
    <w:rsid w:val="000C4DDE"/>
    <w:rsid w:val="000E240F"/>
    <w:rsid w:val="000E49A4"/>
    <w:rsid w:val="000F1058"/>
    <w:rsid w:val="000F55DC"/>
    <w:rsid w:val="00101C4E"/>
    <w:rsid w:val="001113F8"/>
    <w:rsid w:val="001212F9"/>
    <w:rsid w:val="00121328"/>
    <w:rsid w:val="0012708E"/>
    <w:rsid w:val="001329F7"/>
    <w:rsid w:val="00141322"/>
    <w:rsid w:val="0015066B"/>
    <w:rsid w:val="00150D3A"/>
    <w:rsid w:val="00153D29"/>
    <w:rsid w:val="00161E69"/>
    <w:rsid w:val="00161F54"/>
    <w:rsid w:val="00170FBE"/>
    <w:rsid w:val="00174233"/>
    <w:rsid w:val="001746A8"/>
    <w:rsid w:val="0017506F"/>
    <w:rsid w:val="001B2814"/>
    <w:rsid w:val="001B4F95"/>
    <w:rsid w:val="001C3329"/>
    <w:rsid w:val="001C3F7F"/>
    <w:rsid w:val="001C5166"/>
    <w:rsid w:val="001D0354"/>
    <w:rsid w:val="001D3F72"/>
    <w:rsid w:val="001E20EC"/>
    <w:rsid w:val="001E4442"/>
    <w:rsid w:val="001E5A51"/>
    <w:rsid w:val="001F03A7"/>
    <w:rsid w:val="001F2F76"/>
    <w:rsid w:val="00203760"/>
    <w:rsid w:val="00207135"/>
    <w:rsid w:val="002145EA"/>
    <w:rsid w:val="00231575"/>
    <w:rsid w:val="00241DB7"/>
    <w:rsid w:val="00247382"/>
    <w:rsid w:val="00252E35"/>
    <w:rsid w:val="00254858"/>
    <w:rsid w:val="00257053"/>
    <w:rsid w:val="00263B7B"/>
    <w:rsid w:val="00266257"/>
    <w:rsid w:val="00271BE6"/>
    <w:rsid w:val="0027454D"/>
    <w:rsid w:val="00277AAE"/>
    <w:rsid w:val="00280671"/>
    <w:rsid w:val="002814F9"/>
    <w:rsid w:val="00282B40"/>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4601"/>
    <w:rsid w:val="00346223"/>
    <w:rsid w:val="00363610"/>
    <w:rsid w:val="003649EE"/>
    <w:rsid w:val="00371BC6"/>
    <w:rsid w:val="00373A15"/>
    <w:rsid w:val="00376C04"/>
    <w:rsid w:val="00383ACA"/>
    <w:rsid w:val="00384CB1"/>
    <w:rsid w:val="00394A02"/>
    <w:rsid w:val="003966E8"/>
    <w:rsid w:val="003C7B20"/>
    <w:rsid w:val="003D075F"/>
    <w:rsid w:val="003E4565"/>
    <w:rsid w:val="003E748F"/>
    <w:rsid w:val="003E7612"/>
    <w:rsid w:val="00414423"/>
    <w:rsid w:val="004268D9"/>
    <w:rsid w:val="00433853"/>
    <w:rsid w:val="00440B0D"/>
    <w:rsid w:val="004411AD"/>
    <w:rsid w:val="004424EF"/>
    <w:rsid w:val="00453BB0"/>
    <w:rsid w:val="00460162"/>
    <w:rsid w:val="004620A8"/>
    <w:rsid w:val="00466BB5"/>
    <w:rsid w:val="004700CF"/>
    <w:rsid w:val="00487444"/>
    <w:rsid w:val="00493C9C"/>
    <w:rsid w:val="004A06D1"/>
    <w:rsid w:val="004A11FC"/>
    <w:rsid w:val="004B2C67"/>
    <w:rsid w:val="004B6DC9"/>
    <w:rsid w:val="004C0224"/>
    <w:rsid w:val="004C053E"/>
    <w:rsid w:val="004C3255"/>
    <w:rsid w:val="004D07E1"/>
    <w:rsid w:val="004D1C19"/>
    <w:rsid w:val="004E739A"/>
    <w:rsid w:val="004F29B8"/>
    <w:rsid w:val="004F5E26"/>
    <w:rsid w:val="0050413E"/>
    <w:rsid w:val="00515657"/>
    <w:rsid w:val="00515C01"/>
    <w:rsid w:val="00521275"/>
    <w:rsid w:val="0052216F"/>
    <w:rsid w:val="005232CA"/>
    <w:rsid w:val="00523636"/>
    <w:rsid w:val="0053111B"/>
    <w:rsid w:val="005335B9"/>
    <w:rsid w:val="00536CCE"/>
    <w:rsid w:val="00552CE5"/>
    <w:rsid w:val="005541E4"/>
    <w:rsid w:val="00554F60"/>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328DE"/>
    <w:rsid w:val="006353DE"/>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899"/>
    <w:rsid w:val="00715C4B"/>
    <w:rsid w:val="007319E0"/>
    <w:rsid w:val="007345AA"/>
    <w:rsid w:val="00737B00"/>
    <w:rsid w:val="0075155C"/>
    <w:rsid w:val="00753A05"/>
    <w:rsid w:val="00754CED"/>
    <w:rsid w:val="00757193"/>
    <w:rsid w:val="00761190"/>
    <w:rsid w:val="00766466"/>
    <w:rsid w:val="00776537"/>
    <w:rsid w:val="00783A25"/>
    <w:rsid w:val="007843DB"/>
    <w:rsid w:val="007877F4"/>
    <w:rsid w:val="007B6BAE"/>
    <w:rsid w:val="007C74B9"/>
    <w:rsid w:val="007E1B5E"/>
    <w:rsid w:val="007E6253"/>
    <w:rsid w:val="007F2278"/>
    <w:rsid w:val="00803014"/>
    <w:rsid w:val="0080459B"/>
    <w:rsid w:val="00805783"/>
    <w:rsid w:val="00806F57"/>
    <w:rsid w:val="00806F90"/>
    <w:rsid w:val="008246FC"/>
    <w:rsid w:val="00824C19"/>
    <w:rsid w:val="00826250"/>
    <w:rsid w:val="0083056F"/>
    <w:rsid w:val="008378D1"/>
    <w:rsid w:val="00846462"/>
    <w:rsid w:val="00860742"/>
    <w:rsid w:val="0086691F"/>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252DF"/>
    <w:rsid w:val="00A26C97"/>
    <w:rsid w:val="00A27E35"/>
    <w:rsid w:val="00A33D6D"/>
    <w:rsid w:val="00A37345"/>
    <w:rsid w:val="00A40AAE"/>
    <w:rsid w:val="00A40EA9"/>
    <w:rsid w:val="00A4532A"/>
    <w:rsid w:val="00A5206D"/>
    <w:rsid w:val="00A72E47"/>
    <w:rsid w:val="00A778F1"/>
    <w:rsid w:val="00A90956"/>
    <w:rsid w:val="00A95404"/>
    <w:rsid w:val="00A968C5"/>
    <w:rsid w:val="00AA3C28"/>
    <w:rsid w:val="00AA759D"/>
    <w:rsid w:val="00AB2786"/>
    <w:rsid w:val="00AC550F"/>
    <w:rsid w:val="00AD4308"/>
    <w:rsid w:val="00AE7810"/>
    <w:rsid w:val="00AF2A33"/>
    <w:rsid w:val="00B03EFA"/>
    <w:rsid w:val="00B309DD"/>
    <w:rsid w:val="00B36621"/>
    <w:rsid w:val="00B36D64"/>
    <w:rsid w:val="00B41B48"/>
    <w:rsid w:val="00B55E1D"/>
    <w:rsid w:val="00B56194"/>
    <w:rsid w:val="00B60F41"/>
    <w:rsid w:val="00B61A34"/>
    <w:rsid w:val="00B64E8E"/>
    <w:rsid w:val="00B65E8B"/>
    <w:rsid w:val="00B8025A"/>
    <w:rsid w:val="00B827B1"/>
    <w:rsid w:val="00B9116F"/>
    <w:rsid w:val="00BB23A4"/>
    <w:rsid w:val="00BC2276"/>
    <w:rsid w:val="00BD1BFF"/>
    <w:rsid w:val="00BD2150"/>
    <w:rsid w:val="00BE1CC3"/>
    <w:rsid w:val="00BE365A"/>
    <w:rsid w:val="00BE47C4"/>
    <w:rsid w:val="00BE70B7"/>
    <w:rsid w:val="00C052A2"/>
    <w:rsid w:val="00C06A4A"/>
    <w:rsid w:val="00C1391A"/>
    <w:rsid w:val="00C14CE6"/>
    <w:rsid w:val="00C15218"/>
    <w:rsid w:val="00C22BB2"/>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B2B1E"/>
    <w:rsid w:val="00CC053E"/>
    <w:rsid w:val="00CC1E2C"/>
    <w:rsid w:val="00CC3E8B"/>
    <w:rsid w:val="00CC4E84"/>
    <w:rsid w:val="00CD5641"/>
    <w:rsid w:val="00CE474E"/>
    <w:rsid w:val="00CE64AC"/>
    <w:rsid w:val="00CE7DFC"/>
    <w:rsid w:val="00CF49BA"/>
    <w:rsid w:val="00CF7718"/>
    <w:rsid w:val="00D177F1"/>
    <w:rsid w:val="00D323B5"/>
    <w:rsid w:val="00D42ACC"/>
    <w:rsid w:val="00D474B6"/>
    <w:rsid w:val="00D51DC5"/>
    <w:rsid w:val="00D676D7"/>
    <w:rsid w:val="00D71517"/>
    <w:rsid w:val="00D7168D"/>
    <w:rsid w:val="00D874E1"/>
    <w:rsid w:val="00D9586D"/>
    <w:rsid w:val="00D9749C"/>
    <w:rsid w:val="00DA51B2"/>
    <w:rsid w:val="00DA6965"/>
    <w:rsid w:val="00DB0932"/>
    <w:rsid w:val="00DC2506"/>
    <w:rsid w:val="00DC49FA"/>
    <w:rsid w:val="00DD3D6B"/>
    <w:rsid w:val="00DD4467"/>
    <w:rsid w:val="00DD61C8"/>
    <w:rsid w:val="00DD772B"/>
    <w:rsid w:val="00DF742A"/>
    <w:rsid w:val="00E041F4"/>
    <w:rsid w:val="00E050BA"/>
    <w:rsid w:val="00E25442"/>
    <w:rsid w:val="00E25A1F"/>
    <w:rsid w:val="00E30095"/>
    <w:rsid w:val="00E35B72"/>
    <w:rsid w:val="00E37EEB"/>
    <w:rsid w:val="00E5153D"/>
    <w:rsid w:val="00E6687B"/>
    <w:rsid w:val="00E710FB"/>
    <w:rsid w:val="00E806D9"/>
    <w:rsid w:val="00E82CA2"/>
    <w:rsid w:val="00E94E5A"/>
    <w:rsid w:val="00E95594"/>
    <w:rsid w:val="00EA31C3"/>
    <w:rsid w:val="00EB33AC"/>
    <w:rsid w:val="00EC669D"/>
    <w:rsid w:val="00EC6F21"/>
    <w:rsid w:val="00EE0913"/>
    <w:rsid w:val="00F01440"/>
    <w:rsid w:val="00F020E7"/>
    <w:rsid w:val="00F02B69"/>
    <w:rsid w:val="00F03676"/>
    <w:rsid w:val="00F04C64"/>
    <w:rsid w:val="00F13305"/>
    <w:rsid w:val="00F23744"/>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A/63/38" TargetMode="External"/><Relationship Id="rId3" Type="http://schemas.openxmlformats.org/officeDocument/2006/relationships/webSettings" Target="webSettings.xml"/><Relationship Id="rId21" Type="http://schemas.openxmlformats.org/officeDocument/2006/relationships/hyperlink" Target="http://undocs.org/ch/S/RES/1325(2000)"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CEDAW/C/GBR/Q/7/Add.1"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undocs.org/ch/CEDAW/C/GBR/Q/7" TargetMode="External"/><Relationship Id="rId20" Type="http://schemas.openxmlformats.org/officeDocument/2006/relationships/hyperlink" Target="http://undocs.org/ch/A/63/38"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undocs.org/ch/CEDAW/C/GBR/7" TargetMode="External"/><Relationship Id="rId23" Type="http://schemas.openxmlformats.org/officeDocument/2006/relationships/hyperlink" Target="http://undocs.org/ch/HRI/MC/2006/3" TargetMode="External"/><Relationship Id="rId10" Type="http://schemas.openxmlformats.org/officeDocument/2006/relationships/header" Target="header3.xml"/><Relationship Id="rId19" Type="http://schemas.openxmlformats.org/officeDocument/2006/relationships/hyperlink" Target="http://undocs.org/ch/A/54/38/Rev.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SR.1142" TargetMode="External"/><Relationship Id="rId22" Type="http://schemas.openxmlformats.org/officeDocument/2006/relationships/hyperlink" Target="http://undocs.org/ch/S/RES/1325(2000)"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TotalTime>
  <Pages>1</Pages>
  <Words>4945</Words>
  <Characters>5243</Characters>
  <Application>Microsoft Office Outlook</Application>
  <DocSecurity>4</DocSecurity>
  <Lines>218</Lines>
  <Paragraphs>154</Paragraphs>
  <ScaleCrop>false</ScaleCrop>
  <Company>United Nations</Company>
  <LinksUpToDate>false</LinksUpToDate>
  <CharactersWithSpaces>10034</CharactersWithSpaces>
  <SharedDoc>false</SharedDoc>
  <HLinks>
    <vt:vector size="60" baseType="variant">
      <vt:variant>
        <vt:i4>3407916</vt:i4>
      </vt:variant>
      <vt:variant>
        <vt:i4>27</vt:i4>
      </vt:variant>
      <vt:variant>
        <vt:i4>0</vt:i4>
      </vt:variant>
      <vt:variant>
        <vt:i4>5</vt:i4>
      </vt:variant>
      <vt:variant>
        <vt:lpwstr>http://undocs.org/ch/HRI/MC/2006/3</vt:lpwstr>
      </vt:variant>
      <vt:variant>
        <vt:lpwstr/>
      </vt:variant>
      <vt:variant>
        <vt:i4>1769566</vt:i4>
      </vt:variant>
      <vt:variant>
        <vt:i4>24</vt:i4>
      </vt:variant>
      <vt:variant>
        <vt:i4>0</vt:i4>
      </vt:variant>
      <vt:variant>
        <vt:i4>5</vt:i4>
      </vt:variant>
      <vt:variant>
        <vt:lpwstr>http://undocs.org/ch/S/RES/1325(2000)</vt:lpwstr>
      </vt:variant>
      <vt:variant>
        <vt:lpwstr/>
      </vt:variant>
      <vt:variant>
        <vt:i4>1769566</vt:i4>
      </vt:variant>
      <vt:variant>
        <vt:i4>21</vt:i4>
      </vt:variant>
      <vt:variant>
        <vt:i4>0</vt:i4>
      </vt:variant>
      <vt:variant>
        <vt:i4>5</vt:i4>
      </vt:variant>
      <vt:variant>
        <vt:lpwstr>http://undocs.org/ch/S/RES/1325(2000)</vt:lpwstr>
      </vt:variant>
      <vt:variant>
        <vt:lpwstr/>
      </vt:variant>
      <vt:variant>
        <vt:i4>131088</vt:i4>
      </vt:variant>
      <vt:variant>
        <vt:i4>18</vt:i4>
      </vt:variant>
      <vt:variant>
        <vt:i4>0</vt:i4>
      </vt:variant>
      <vt:variant>
        <vt:i4>5</vt:i4>
      </vt:variant>
      <vt:variant>
        <vt:lpwstr>http://undocs.org/ch/A/63/38</vt:lpwstr>
      </vt:variant>
      <vt:variant>
        <vt:lpwstr/>
      </vt:variant>
      <vt:variant>
        <vt:i4>3407987</vt:i4>
      </vt:variant>
      <vt:variant>
        <vt:i4>15</vt:i4>
      </vt:variant>
      <vt:variant>
        <vt:i4>0</vt:i4>
      </vt:variant>
      <vt:variant>
        <vt:i4>5</vt:i4>
      </vt:variant>
      <vt:variant>
        <vt:lpwstr>http://undocs.org/ch/A/54/38/Rev.1</vt:lpwstr>
      </vt:variant>
      <vt:variant>
        <vt:lpwstr/>
      </vt:variant>
      <vt:variant>
        <vt:i4>131088</vt:i4>
      </vt:variant>
      <vt:variant>
        <vt:i4>12</vt:i4>
      </vt:variant>
      <vt:variant>
        <vt:i4>0</vt:i4>
      </vt:variant>
      <vt:variant>
        <vt:i4>5</vt:i4>
      </vt:variant>
      <vt:variant>
        <vt:lpwstr>http://undocs.org/ch/A/63/38</vt:lpwstr>
      </vt:variant>
      <vt:variant>
        <vt:lpwstr/>
      </vt:variant>
      <vt:variant>
        <vt:i4>3539004</vt:i4>
      </vt:variant>
      <vt:variant>
        <vt:i4>9</vt:i4>
      </vt:variant>
      <vt:variant>
        <vt:i4>0</vt:i4>
      </vt:variant>
      <vt:variant>
        <vt:i4>5</vt:i4>
      </vt:variant>
      <vt:variant>
        <vt:lpwstr>http://undocs.org/ch/CEDAW/C/GBR/Q/7/Add.1</vt:lpwstr>
      </vt:variant>
      <vt:variant>
        <vt:lpwstr/>
      </vt:variant>
      <vt:variant>
        <vt:i4>131161</vt:i4>
      </vt:variant>
      <vt:variant>
        <vt:i4>6</vt:i4>
      </vt:variant>
      <vt:variant>
        <vt:i4>0</vt:i4>
      </vt:variant>
      <vt:variant>
        <vt:i4>5</vt:i4>
      </vt:variant>
      <vt:variant>
        <vt:lpwstr>http://undocs.org/ch/CEDAW/C/GBR/Q/7</vt:lpwstr>
      </vt:variant>
      <vt:variant>
        <vt:lpwstr/>
      </vt:variant>
      <vt:variant>
        <vt:i4>7536758</vt:i4>
      </vt:variant>
      <vt:variant>
        <vt:i4>3</vt:i4>
      </vt:variant>
      <vt:variant>
        <vt:i4>0</vt:i4>
      </vt:variant>
      <vt:variant>
        <vt:i4>5</vt:i4>
      </vt:variant>
      <vt:variant>
        <vt:lpwstr>http://undocs.org/ch/CEDAW/C/GBR/7</vt:lpwstr>
      </vt:variant>
      <vt:variant>
        <vt:lpwstr/>
      </vt:variant>
      <vt:variant>
        <vt:i4>983116</vt:i4>
      </vt:variant>
      <vt:variant>
        <vt:i4>0</vt:i4>
      </vt:variant>
      <vt:variant>
        <vt:i4>0</vt:i4>
      </vt:variant>
      <vt:variant>
        <vt:i4>5</vt:i4>
      </vt:variant>
      <vt:variant>
        <vt:lpwstr>http://undocs.org/ch/CEDAW/C/SR.1142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12</cp:revision>
  <cp:lastPrinted>2013-10-09T08:30:00Z</cp:lastPrinted>
  <dcterms:created xsi:type="dcterms:W3CDTF">2013-10-09T06:40:00Z</dcterms:created>
  <dcterms:modified xsi:type="dcterms:W3CDTF">2013-10-09T08:31:00Z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1341197</vt:lpwstr>
  </property>
  <property fmtid="{D5CDD505-2E9C-101B-9397-08002B2CF9AE}" pid="3" name="Symbol1">
    <vt:lpwstr>CEDAW/C/GBR/CO/7 </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yanghua</vt:lpwstr>
  </property>
</Properties>
</file>