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2343977" w14:textId="77777777" w:rsidTr="009D5F1A">
        <w:trPr>
          <w:trHeight w:hRule="exact" w:val="851"/>
        </w:trPr>
        <w:tc>
          <w:tcPr>
            <w:tcW w:w="1276" w:type="dxa"/>
            <w:tcBorders>
              <w:bottom w:val="single" w:sz="4" w:space="0" w:color="auto"/>
            </w:tcBorders>
          </w:tcPr>
          <w:p w14:paraId="3C0F343A" w14:textId="77777777" w:rsidR="00DC0149" w:rsidRPr="00DB58B5" w:rsidRDefault="00DC0149" w:rsidP="009D5F1A"/>
        </w:tc>
        <w:tc>
          <w:tcPr>
            <w:tcW w:w="2268" w:type="dxa"/>
            <w:tcBorders>
              <w:bottom w:val="single" w:sz="4" w:space="0" w:color="auto"/>
            </w:tcBorders>
            <w:vAlign w:val="bottom"/>
          </w:tcPr>
          <w:p w14:paraId="2E5364DF"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5183A5" w14:textId="12721C5A" w:rsidR="00DC0149" w:rsidRPr="003E5944" w:rsidRDefault="003E5944" w:rsidP="003E5944">
            <w:pPr>
              <w:jc w:val="right"/>
            </w:pPr>
            <w:r w:rsidRPr="003E5944">
              <w:rPr>
                <w:sz w:val="40"/>
              </w:rPr>
              <w:t>CERD</w:t>
            </w:r>
            <w:r>
              <w:t>/C/CMR/Q/22-23</w:t>
            </w:r>
          </w:p>
        </w:tc>
      </w:tr>
      <w:tr w:rsidR="00DC0149" w:rsidRPr="00DB58B5" w14:paraId="5A46984D" w14:textId="77777777" w:rsidTr="009D5F1A">
        <w:trPr>
          <w:trHeight w:hRule="exact" w:val="2835"/>
        </w:trPr>
        <w:tc>
          <w:tcPr>
            <w:tcW w:w="1276" w:type="dxa"/>
            <w:tcBorders>
              <w:top w:val="single" w:sz="4" w:space="0" w:color="auto"/>
              <w:bottom w:val="single" w:sz="12" w:space="0" w:color="auto"/>
            </w:tcBorders>
          </w:tcPr>
          <w:p w14:paraId="088D72FC" w14:textId="77777777" w:rsidR="00DC0149" w:rsidRPr="00DB58B5" w:rsidRDefault="00DC0149" w:rsidP="009D5F1A">
            <w:pPr>
              <w:spacing w:before="120"/>
              <w:jc w:val="center"/>
            </w:pPr>
            <w:r>
              <w:rPr>
                <w:noProof/>
                <w:lang w:val="en-GB" w:eastAsia="en-GB"/>
              </w:rPr>
              <w:drawing>
                <wp:inline distT="0" distB="0" distL="0" distR="0" wp14:anchorId="656BCCBD" wp14:editId="739A5C9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80DE7A"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4C5C40D" w14:textId="77777777" w:rsidR="00DC0149" w:rsidRDefault="006C5287" w:rsidP="009D5F1A">
            <w:pPr>
              <w:spacing w:before="240"/>
            </w:pPr>
            <w:r>
              <w:t>Distr. générale</w:t>
            </w:r>
          </w:p>
          <w:p w14:paraId="0E783019" w14:textId="65E47D6F" w:rsidR="006C5287" w:rsidRDefault="006C5287" w:rsidP="006C5287">
            <w:pPr>
              <w:spacing w:line="240" w:lineRule="exact"/>
            </w:pPr>
            <w:r>
              <w:t>1</w:t>
            </w:r>
            <w:r w:rsidR="00A40FFC">
              <w:t>0</w:t>
            </w:r>
            <w:r>
              <w:t xml:space="preserve"> février 2022</w:t>
            </w:r>
          </w:p>
          <w:p w14:paraId="24106888" w14:textId="6982EC7F" w:rsidR="006C5287" w:rsidRDefault="006C5287" w:rsidP="006C5287">
            <w:pPr>
              <w:spacing w:line="240" w:lineRule="exact"/>
            </w:pPr>
          </w:p>
          <w:p w14:paraId="4603482E" w14:textId="77777777" w:rsidR="006C5287" w:rsidRDefault="006C5287" w:rsidP="006C5287">
            <w:pPr>
              <w:spacing w:line="240" w:lineRule="exact"/>
            </w:pPr>
            <w:r>
              <w:t>Original : français</w:t>
            </w:r>
          </w:p>
          <w:p w14:paraId="2BE3B940" w14:textId="0D00178C" w:rsidR="006C5287" w:rsidRPr="00DB58B5" w:rsidRDefault="006C5287" w:rsidP="006C5287">
            <w:pPr>
              <w:spacing w:line="240" w:lineRule="exact"/>
            </w:pPr>
            <w:r>
              <w:t>Anglais, espagnol et français seulement</w:t>
            </w:r>
          </w:p>
        </w:tc>
      </w:tr>
    </w:tbl>
    <w:p w14:paraId="614DA9D2" w14:textId="77777777" w:rsidR="00623CA8" w:rsidRDefault="00623CA8" w:rsidP="00623CA8">
      <w:pPr>
        <w:spacing w:before="120"/>
        <w:rPr>
          <w:b/>
          <w:sz w:val="24"/>
          <w:szCs w:val="24"/>
        </w:rPr>
      </w:pPr>
      <w:r w:rsidRPr="00C56102">
        <w:rPr>
          <w:b/>
          <w:sz w:val="24"/>
          <w:szCs w:val="24"/>
        </w:rPr>
        <w:t>Comité pour l’élimination de la discrimination raciale</w:t>
      </w:r>
    </w:p>
    <w:p w14:paraId="30DA3704" w14:textId="2489793A" w:rsidR="006C5287" w:rsidRDefault="006C5287" w:rsidP="006C5287">
      <w:pPr>
        <w:rPr>
          <w:b/>
        </w:rPr>
      </w:pPr>
      <w:r>
        <w:rPr>
          <w:b/>
        </w:rPr>
        <w:t>106ᵉ session</w:t>
      </w:r>
    </w:p>
    <w:p w14:paraId="3E7D67B3" w14:textId="77777777" w:rsidR="006C5287" w:rsidRDefault="006C5287" w:rsidP="006C5287">
      <w:r>
        <w:t>11-29 avril 2022</w:t>
      </w:r>
    </w:p>
    <w:p w14:paraId="6C00104C" w14:textId="77777777" w:rsidR="006C5287" w:rsidRDefault="006C5287" w:rsidP="006C5287">
      <w:r w:rsidRPr="00FD24B6">
        <w:t xml:space="preserve">Point 6 </w:t>
      </w:r>
      <w:r>
        <w:t>de l’ordre du jour provisoire</w:t>
      </w:r>
    </w:p>
    <w:p w14:paraId="597E1E62" w14:textId="77777777" w:rsidR="006C5287" w:rsidRDefault="006C5287" w:rsidP="006C5287">
      <w:pPr>
        <w:rPr>
          <w:b/>
          <w:bCs/>
        </w:rPr>
      </w:pPr>
      <w:r w:rsidRPr="00876A0B">
        <w:rPr>
          <w:b/>
          <w:lang w:val="fr-FR"/>
        </w:rPr>
        <w:t xml:space="preserve">Examen des rapports, observations et renseignements soumis </w:t>
      </w:r>
      <w:r w:rsidRPr="00876A0B">
        <w:rPr>
          <w:b/>
          <w:lang w:val="fr-FR"/>
        </w:rPr>
        <w:br/>
        <w:t>par les États parties en application de l</w:t>
      </w:r>
      <w:r>
        <w:rPr>
          <w:b/>
          <w:lang w:val="fr-FR"/>
        </w:rPr>
        <w:t>’</w:t>
      </w:r>
      <w:r w:rsidRPr="00876A0B">
        <w:rPr>
          <w:b/>
          <w:lang w:val="fr-FR"/>
        </w:rPr>
        <w:t>article</w:t>
      </w:r>
      <w:r>
        <w:rPr>
          <w:b/>
          <w:lang w:val="fr-FR"/>
        </w:rPr>
        <w:t xml:space="preserve"> </w:t>
      </w:r>
      <w:r w:rsidRPr="00876A0B">
        <w:rPr>
          <w:b/>
          <w:lang w:val="fr-FR"/>
        </w:rPr>
        <w:t>9 de la Convention</w:t>
      </w:r>
    </w:p>
    <w:p w14:paraId="5660694C" w14:textId="77777777" w:rsidR="006C5287" w:rsidRDefault="006C5287" w:rsidP="00920806">
      <w:pPr>
        <w:pStyle w:val="HChG"/>
      </w:pPr>
      <w:r>
        <w:tab/>
      </w:r>
      <w:r>
        <w:tab/>
        <w:t xml:space="preserve">Liste </w:t>
      </w:r>
      <w:r w:rsidRPr="00876A0B">
        <w:rPr>
          <w:lang w:val="fr-FR"/>
        </w:rPr>
        <w:t xml:space="preserve">de thèmes </w:t>
      </w:r>
      <w:r>
        <w:t>concernant le rapport du Cameroun valant vingt-deuxième et vingt-troisième rapports périodiques</w:t>
      </w:r>
    </w:p>
    <w:p w14:paraId="4BB45E54" w14:textId="77777777" w:rsidR="006C5287" w:rsidRDefault="006C5287" w:rsidP="00920806">
      <w:pPr>
        <w:pStyle w:val="H1G"/>
      </w:pPr>
      <w:r>
        <w:tab/>
      </w:r>
      <w:r>
        <w:tab/>
        <w:t>Note du rapporteur pour le pays</w:t>
      </w:r>
      <w:r w:rsidRPr="00143521">
        <w:rPr>
          <w:rStyle w:val="Appelnotedebasdep"/>
          <w:b w:val="0"/>
          <w:bCs/>
          <w:sz w:val="20"/>
          <w:vertAlign w:val="baseline"/>
        </w:rPr>
        <w:footnoteReference w:customMarkFollows="1" w:id="2"/>
        <w:t>*</w:t>
      </w:r>
    </w:p>
    <w:p w14:paraId="61938E8F" w14:textId="71E6CD4E" w:rsidR="006C5287" w:rsidRPr="00FD24B6" w:rsidRDefault="000871A8" w:rsidP="00920806">
      <w:pPr>
        <w:pStyle w:val="SingleTxtG"/>
      </w:pPr>
      <w:r>
        <w:t>1.</w:t>
      </w:r>
      <w:r>
        <w:tab/>
      </w:r>
      <w:r w:rsidR="006C5287" w:rsidRPr="00FD24B6">
        <w:t>À sa soixante-seizième session</w:t>
      </w:r>
      <w:r w:rsidR="006C5287" w:rsidRPr="00BE60FC">
        <w:rPr>
          <w:rStyle w:val="Appelnotedebasdep"/>
        </w:rPr>
        <w:footnoteReference w:id="3"/>
      </w:r>
      <w:r w:rsidR="006C5287" w:rsidRPr="00FD24B6">
        <w:t>, le Comité pour l</w:t>
      </w:r>
      <w:r w:rsidR="006C5287">
        <w:t>’</w:t>
      </w:r>
      <w:r w:rsidR="006C5287" w:rsidRPr="00FD24B6">
        <w:t xml:space="preserve">élimination de la discrimination raciale a décidé que le rapporteur </w:t>
      </w:r>
      <w:r w:rsidR="006C5287">
        <w:t>pour le</w:t>
      </w:r>
      <w:r w:rsidR="006C5287" w:rsidRPr="00FD24B6">
        <w:t xml:space="preserve"> pays ferait parvenir à l</w:t>
      </w:r>
      <w:r w:rsidR="006C5287">
        <w:t>’</w:t>
      </w:r>
      <w:r w:rsidR="006C5287" w:rsidRPr="00FD24B6">
        <w:t>État partie concerné une courte liste de thèmes en vue de guider et de structurer le dialogue entre la délégation de l</w:t>
      </w:r>
      <w:r w:rsidR="006C5287">
        <w:t>’</w:t>
      </w:r>
      <w:r w:rsidR="006C5287" w:rsidRPr="00FD24B6">
        <w:t>État partie et le Comité pendant l</w:t>
      </w:r>
      <w:r w:rsidR="006C5287">
        <w:t>’</w:t>
      </w:r>
      <w:r w:rsidR="006C5287" w:rsidRPr="00FD24B6">
        <w:t>examen du rapport de l</w:t>
      </w:r>
      <w:r w:rsidR="006C5287">
        <w:t>’</w:t>
      </w:r>
      <w:r w:rsidR="006C5287" w:rsidRPr="00FD24B6">
        <w:t>État partie. On trouvera ci-après une liste de thèmes non exhaustive, d</w:t>
      </w:r>
      <w:r w:rsidR="006C5287">
        <w:t>’</w:t>
      </w:r>
      <w:r w:rsidR="006C5287" w:rsidRPr="00FD24B6">
        <w:t>autres questions pouvant être traitées au cours du dialogue. Cette liste n</w:t>
      </w:r>
      <w:r w:rsidR="006C5287">
        <w:t>’</w:t>
      </w:r>
      <w:r w:rsidR="006C5287" w:rsidRPr="00FD24B6">
        <w:t>appelle pas de réponses écrites.</w:t>
      </w:r>
    </w:p>
    <w:p w14:paraId="74D1002D" w14:textId="115C3C6E" w:rsidR="006C5287" w:rsidRPr="00D94988" w:rsidRDefault="006C5287" w:rsidP="00920806">
      <w:pPr>
        <w:pStyle w:val="H1G"/>
      </w:pPr>
      <w:r>
        <w:tab/>
      </w:r>
      <w:r>
        <w:tab/>
        <w:t xml:space="preserve">La Convention dans le droit interne et le cadre institutionnel </w:t>
      </w:r>
      <w:r w:rsidR="000871A8">
        <w:br/>
      </w:r>
      <w:r>
        <w:t>et politique de sa mise en œuvre (</w:t>
      </w:r>
      <w:r w:rsidRPr="00D94988">
        <w:t>art. 1</w:t>
      </w:r>
      <w:r w:rsidRPr="004A6F51">
        <w:rPr>
          <w:vertAlign w:val="superscript"/>
        </w:rPr>
        <w:t>er</w:t>
      </w:r>
      <w:r w:rsidRPr="00D94988">
        <w:t>, 2, 4, 6 et 7)</w:t>
      </w:r>
    </w:p>
    <w:p w14:paraId="1100C4B3" w14:textId="2B5DE69A" w:rsidR="006C5287" w:rsidRDefault="000871A8" w:rsidP="00920806">
      <w:pPr>
        <w:pStyle w:val="SingleTxtG"/>
      </w:pPr>
      <w:r>
        <w:t>2.</w:t>
      </w:r>
      <w:r>
        <w:tab/>
      </w:r>
      <w:r w:rsidR="006C5287" w:rsidRPr="00D94988">
        <w:t>Données statistiques sur la composition démographique de la population, ventilées par origine ethnique, langues parlées et situation (migrants, réfugiés, demandeurs d</w:t>
      </w:r>
      <w:r w:rsidR="006C5287">
        <w:t>’</w:t>
      </w:r>
      <w:r w:rsidR="006C5287" w:rsidRPr="00D94988">
        <w:t>asile, apatrides</w:t>
      </w:r>
      <w:r w:rsidR="006C5287">
        <w:t>,</w:t>
      </w:r>
      <w:r w:rsidR="006C5287" w:rsidRPr="00D94988">
        <w:t xml:space="preserve"> personnes déplacées à l</w:t>
      </w:r>
      <w:r w:rsidR="006C5287">
        <w:t>’</w:t>
      </w:r>
      <w:r w:rsidR="006C5287" w:rsidRPr="00D94988">
        <w:t xml:space="preserve">intérieur du pays). Indicateurs économiques et sociaux des différents groupes vivant sur </w:t>
      </w:r>
      <w:r w:rsidR="006C5287">
        <w:t>le</w:t>
      </w:r>
      <w:r w:rsidR="006C5287" w:rsidRPr="00D94988">
        <w:t xml:space="preserve"> territoire</w:t>
      </w:r>
      <w:r w:rsidR="006C5287">
        <w:t xml:space="preserve"> de l’État partie</w:t>
      </w:r>
      <w:r w:rsidR="006C5287" w:rsidRPr="00D94988">
        <w:t xml:space="preserve">, ventilés par origine ethnique, sexe et âge, en particulier les groupes minoritaires et peuples autochtones, à la lumière du </w:t>
      </w:r>
      <w:r w:rsidR="006C5287">
        <w:t>q</w:t>
      </w:r>
      <w:r w:rsidR="006C5287" w:rsidRPr="00D94988">
        <w:t xml:space="preserve">uatrième </w:t>
      </w:r>
      <w:r w:rsidR="006C5287">
        <w:t>r</w:t>
      </w:r>
      <w:r w:rsidR="006C5287" w:rsidRPr="00D94988">
        <w:t xml:space="preserve">ecensement </w:t>
      </w:r>
      <w:r w:rsidR="006C5287">
        <w:t>g</w:t>
      </w:r>
      <w:r w:rsidR="006C5287" w:rsidRPr="00D94988">
        <w:t xml:space="preserve">énéral de la </w:t>
      </w:r>
      <w:r w:rsidR="006C5287">
        <w:t>p</w:t>
      </w:r>
      <w:r w:rsidR="006C5287" w:rsidRPr="00D94988">
        <w:t>opulation et de l</w:t>
      </w:r>
      <w:r w:rsidR="006C5287">
        <w:t>’h</w:t>
      </w:r>
      <w:r w:rsidR="006C5287" w:rsidRPr="00D94988">
        <w:t>abitat</w:t>
      </w:r>
      <w:r w:rsidR="006C5287" w:rsidRPr="00BE60FC">
        <w:rPr>
          <w:rStyle w:val="Appelnotedebasdep"/>
        </w:rPr>
        <w:footnoteReference w:id="4"/>
      </w:r>
      <w:r w:rsidR="006C5287" w:rsidRPr="00D94988">
        <w:t>.</w:t>
      </w:r>
    </w:p>
    <w:p w14:paraId="6586AE5D" w14:textId="03A0D990" w:rsidR="006C5287" w:rsidRDefault="000871A8" w:rsidP="00920806">
      <w:pPr>
        <w:pStyle w:val="SingleTxtG"/>
      </w:pPr>
      <w:r>
        <w:t>3.</w:t>
      </w:r>
      <w:r>
        <w:tab/>
      </w:r>
      <w:r w:rsidR="006C5287">
        <w:t xml:space="preserve">Informations sur l’interdiction de la discrimination raciale conformément aux </w:t>
      </w:r>
      <w:r>
        <w:t>articles </w:t>
      </w:r>
      <w:r w:rsidR="006C5287">
        <w:t>1</w:t>
      </w:r>
      <w:r w:rsidR="006C5287" w:rsidRPr="00143521">
        <w:rPr>
          <w:vertAlign w:val="superscript"/>
        </w:rPr>
        <w:t>er</w:t>
      </w:r>
      <w:r w:rsidR="006C5287">
        <w:t>, 2 et 4 de la Convention, et sur la définition et la criminalisation des actes de discrimination raciale et d’incitation à la haine raciale, notamment à la lumière de la réforme du Code pénal menée en 2016. Informations et données statistiques sur les plaintes enregistrées devant les tribunaux pour des actes de discrimination raciale, des discours de haine raciste et des crimes de haine raciste, y compris sur Internet et dans les médias, et sur le nombre d’enquêtes, de poursuites et de condamnations des auteurs</w:t>
      </w:r>
      <w:r w:rsidR="006C5287" w:rsidRPr="00BE60FC">
        <w:rPr>
          <w:rStyle w:val="Appelnotedebasdep"/>
        </w:rPr>
        <w:footnoteReference w:id="5"/>
      </w:r>
      <w:r w:rsidR="006C5287">
        <w:t>.</w:t>
      </w:r>
    </w:p>
    <w:p w14:paraId="7ADC0D7C" w14:textId="4CC72568" w:rsidR="006C5287" w:rsidRDefault="000871A8" w:rsidP="00920806">
      <w:pPr>
        <w:pStyle w:val="SingleTxtG"/>
      </w:pPr>
      <w:r>
        <w:t>4.</w:t>
      </w:r>
      <w:r>
        <w:tab/>
      </w:r>
      <w:r w:rsidR="006C5287">
        <w:t xml:space="preserve">Informations sur la création et la mise en place </w:t>
      </w:r>
      <w:r>
        <w:t xml:space="preserve">en </w:t>
      </w:r>
      <w:r w:rsidR="006C5287">
        <w:t xml:space="preserve">2019 de la Commission des droits de l’homme du Cameroun en tant qu’institution nationale indépendante pour la promotion et </w:t>
      </w:r>
      <w:r w:rsidR="006C5287">
        <w:lastRenderedPageBreak/>
        <w:t xml:space="preserve">la protection des droits humains, en remplacement de la Commission nationale des droits de l’homme et des libertés, et sur sa conformité aux </w:t>
      </w:r>
      <w:r w:rsidR="006C5287" w:rsidRPr="009D5FB1">
        <w:t>Principes concernant le statut des institutions nationales pour la promotion et la protection des droits de l</w:t>
      </w:r>
      <w:r w:rsidR="006C5287">
        <w:t>’</w:t>
      </w:r>
      <w:r w:rsidR="006C5287" w:rsidRPr="009D5FB1">
        <w:t>homme</w:t>
      </w:r>
      <w:r w:rsidR="006C5287">
        <w:t xml:space="preserve"> (Principes de Paris), notamment en matière d’indépendance et d’autonomie financière, ainsi que sur son mandat de suivi et d’évaluation des progrès de la mise en œuvre de la Convention, de manière indépendante et transparente</w:t>
      </w:r>
      <w:r w:rsidR="006C5287" w:rsidRPr="00BE60FC">
        <w:rPr>
          <w:rStyle w:val="Appelnotedebasdep"/>
        </w:rPr>
        <w:footnoteReference w:id="6"/>
      </w:r>
      <w:r w:rsidR="006C5287">
        <w:t>.</w:t>
      </w:r>
    </w:p>
    <w:p w14:paraId="66FE36DF" w14:textId="47526811" w:rsidR="006C5287" w:rsidRDefault="000871A8" w:rsidP="00920806">
      <w:pPr>
        <w:pStyle w:val="SingleTxtG"/>
      </w:pPr>
      <w:r>
        <w:t>5.</w:t>
      </w:r>
      <w:r>
        <w:tab/>
      </w:r>
      <w:r w:rsidR="006C5287">
        <w:t>Informations à jour sur la mise en œuvre du Programme de réhabilitation de l’état civil, et statistiques ventilées sur les taux d’enregistrement des naissances et les cartes d’identité délivrées, en particulier parmi les groupes en situation de vulnérabilité, tels que les personnes déplacées à l’intérieur du pays, les peuples autochtones et la population vivant dans les zones rurales et reculées</w:t>
      </w:r>
      <w:r w:rsidR="006C5287" w:rsidRPr="00BE60FC">
        <w:rPr>
          <w:rStyle w:val="Appelnotedebasdep"/>
        </w:rPr>
        <w:footnoteReference w:id="7"/>
      </w:r>
      <w:r w:rsidR="006C5287">
        <w:t>.</w:t>
      </w:r>
    </w:p>
    <w:p w14:paraId="418BE759" w14:textId="77777777" w:rsidR="006C5287" w:rsidRDefault="006C5287" w:rsidP="00920806">
      <w:pPr>
        <w:pStyle w:val="H1G"/>
      </w:pPr>
      <w:r>
        <w:tab/>
      </w:r>
      <w:r>
        <w:tab/>
      </w:r>
      <w:r w:rsidRPr="00D94988">
        <w:t>Situation des minorités et des peuples autochtones (art.</w:t>
      </w:r>
      <w:r>
        <w:t xml:space="preserve"> </w:t>
      </w:r>
      <w:r w:rsidRPr="00D94988">
        <w:t>5)</w:t>
      </w:r>
    </w:p>
    <w:p w14:paraId="2F370F1C" w14:textId="0EF2D42F" w:rsidR="006C5287" w:rsidRDefault="000871A8" w:rsidP="00920806">
      <w:pPr>
        <w:pStyle w:val="SingleTxtG"/>
      </w:pPr>
      <w:r>
        <w:t>6.</w:t>
      </w:r>
      <w:r>
        <w:tab/>
      </w:r>
      <w:r w:rsidR="006C5287">
        <w:t xml:space="preserve">Mise à jour des études visant à identifier et à définir les minorités </w:t>
      </w:r>
      <w:r w:rsidR="006C5287" w:rsidRPr="003B1243">
        <w:t>nationales</w:t>
      </w:r>
      <w:r w:rsidR="006C5287">
        <w:t xml:space="preserve"> et </w:t>
      </w:r>
      <w:r w:rsidR="006C5287" w:rsidRPr="003B1243">
        <w:t>ethniques</w:t>
      </w:r>
      <w:r w:rsidR="006C5287">
        <w:t xml:space="preserve"> et les peuples autochtones dans l’État partie, et résultats de ces études</w:t>
      </w:r>
      <w:r w:rsidR="006C5287" w:rsidRPr="00BE60FC">
        <w:rPr>
          <w:rStyle w:val="Appelnotedebasdep"/>
        </w:rPr>
        <w:footnoteReference w:id="8"/>
      </w:r>
      <w:r w:rsidR="006C5287">
        <w:t>.</w:t>
      </w:r>
    </w:p>
    <w:p w14:paraId="6E4B6D7A" w14:textId="53F8D50C" w:rsidR="006C5287" w:rsidRDefault="000871A8" w:rsidP="00920806">
      <w:pPr>
        <w:pStyle w:val="SingleTxtG"/>
      </w:pPr>
      <w:r>
        <w:t>7.</w:t>
      </w:r>
      <w:r>
        <w:tab/>
      </w:r>
      <w:r w:rsidR="006C5287">
        <w:t>Mesures visant à élaborer et à adopter une stratégie globale sur la situation des groupes minoritaires et des peuples autochtones</w:t>
      </w:r>
      <w:r w:rsidR="006C5287" w:rsidRPr="00BE60FC">
        <w:rPr>
          <w:rStyle w:val="Appelnotedebasdep"/>
        </w:rPr>
        <w:footnoteReference w:id="9"/>
      </w:r>
      <w:r w:rsidR="006C5287">
        <w:t>, et mesures prises pour : a</w:t>
      </w:r>
      <w:r>
        <w:t>) </w:t>
      </w:r>
      <w:r w:rsidR="006C5287">
        <w:t>renforcer la participation et la représentation effectives des groupes minoritaires et des peuples autochtones dans la vie publique et politique, et mettre à jour les données statistiques en vue des élections législatives, municipales et présidentielle ; b</w:t>
      </w:r>
      <w:r>
        <w:t>) </w:t>
      </w:r>
      <w:r w:rsidR="006C5287">
        <w:t>garantir leur accès à l’éducation sans discrimination ; et c</w:t>
      </w:r>
      <w:r>
        <w:t>) </w:t>
      </w:r>
      <w:r w:rsidR="006C5287">
        <w:t>assurer leur accès à la justice, notamment en mettant à leur disposition des tribunaux et des services d’interprétation</w:t>
      </w:r>
      <w:r w:rsidR="006C5287" w:rsidRPr="00BE60FC">
        <w:rPr>
          <w:rStyle w:val="Appelnotedebasdep"/>
        </w:rPr>
        <w:footnoteReference w:id="10"/>
      </w:r>
      <w:r w:rsidR="006C5287">
        <w:t xml:space="preserve">. </w:t>
      </w:r>
    </w:p>
    <w:p w14:paraId="5EB3C606" w14:textId="21838A37" w:rsidR="006C5287" w:rsidRDefault="000871A8" w:rsidP="00920806">
      <w:pPr>
        <w:pStyle w:val="SingleTxtG"/>
      </w:pPr>
      <w:r>
        <w:t>8.</w:t>
      </w:r>
      <w:r>
        <w:tab/>
      </w:r>
      <w:r w:rsidR="006C5287">
        <w:t>Mesures prises pour : a</w:t>
      </w:r>
      <w:r>
        <w:t>) </w:t>
      </w:r>
      <w:r w:rsidR="006C5287">
        <w:t>adopter une législation protégeant le droit des peuples autochtones de posséder leurs terres, territoires et ressources, de les utiliser, de les mettre en valeur et d’exercer un contrôle total sur ceux-ci ; b</w:t>
      </w:r>
      <w:r>
        <w:t>) </w:t>
      </w:r>
      <w:r w:rsidR="006C5287">
        <w:t>garantir le droit à la consultation et au consentement préalable, libre et éclairé sur les procédures administratives et législatives les concernant ; et c</w:t>
      </w:r>
      <w:r>
        <w:t>) </w:t>
      </w:r>
      <w:r w:rsidR="006C5287">
        <w:t>garantir une indemnisation et une réparation justes et immédiates aux communautés qui ont été chassées de leurs terres et territoires traditionnels</w:t>
      </w:r>
      <w:r w:rsidR="006C5287" w:rsidRPr="00BE60FC">
        <w:rPr>
          <w:rStyle w:val="Appelnotedebasdep"/>
        </w:rPr>
        <w:footnoteReference w:id="11"/>
      </w:r>
      <w:r w:rsidR="006C5287">
        <w:t>.</w:t>
      </w:r>
    </w:p>
    <w:p w14:paraId="31C0B2D1" w14:textId="0759284E" w:rsidR="006C5287" w:rsidRDefault="000871A8" w:rsidP="00920806">
      <w:pPr>
        <w:pStyle w:val="SingleTxtG"/>
      </w:pPr>
      <w:r>
        <w:t>9.</w:t>
      </w:r>
      <w:r>
        <w:tab/>
      </w:r>
      <w:r w:rsidR="006C5287">
        <w:t xml:space="preserve">Mesures visant à mettre en œuvre efficacement le bilinguisme et à mettre fin à l’inégalité et à la discrimination </w:t>
      </w:r>
      <w:r w:rsidR="006C5287" w:rsidRPr="00D44853">
        <w:t>des minorités</w:t>
      </w:r>
      <w:r w:rsidR="006C5287" w:rsidRPr="003F315B">
        <w:t xml:space="preserve"> nationales et ethniques</w:t>
      </w:r>
      <w:r w:rsidR="006C5287">
        <w:t xml:space="preserve">, notamment dans les domaines de l’emploi, de l’éducation et de l’accès à la justice. Données statistiques sur les écoles, les universités et les étudiants des régions du Nord-Ouest et du Sud-Ouest, ainsi que sur la représentation </w:t>
      </w:r>
      <w:r w:rsidR="006C5287" w:rsidRPr="00D44853">
        <w:t>des minorités</w:t>
      </w:r>
      <w:r w:rsidR="006C5287" w:rsidRPr="003F315B">
        <w:t xml:space="preserve"> nationales et ethniques</w:t>
      </w:r>
      <w:r w:rsidR="006C5287">
        <w:t xml:space="preserve"> dans les postes de haut rang et dans la fonction publique, en particulier dans le secteur de l’éducation et de la justice</w:t>
      </w:r>
      <w:r w:rsidR="006C5287" w:rsidRPr="00BE60FC">
        <w:rPr>
          <w:rStyle w:val="Appelnotedebasdep"/>
        </w:rPr>
        <w:footnoteReference w:id="12"/>
      </w:r>
      <w:r w:rsidR="006C5287">
        <w:t>. Informations sur les mesures prises pour évaluer et renforcer ces politiques linguistiques.</w:t>
      </w:r>
    </w:p>
    <w:p w14:paraId="4898BF36" w14:textId="2594A209" w:rsidR="006C5287" w:rsidRDefault="000871A8" w:rsidP="00920806">
      <w:pPr>
        <w:pStyle w:val="SingleTxtG"/>
      </w:pPr>
      <w:r>
        <w:t>10.</w:t>
      </w:r>
      <w:r>
        <w:tab/>
      </w:r>
      <w:r w:rsidR="006C5287">
        <w:t>Informations sur : a</w:t>
      </w:r>
      <w:r>
        <w:t>) </w:t>
      </w:r>
      <w:r w:rsidR="006C5287">
        <w:t>les ressources humaines et financières allouées à la Commission nationale pour la promotion du bilinguisme et du multiculturalisme ; b</w:t>
      </w:r>
      <w:r>
        <w:t>) </w:t>
      </w:r>
      <w:r w:rsidR="006C5287">
        <w:t>les résultats obtenus par la Commission jusqu’à présent, y compris les recommandations soumises au Président et le nombre de plaintes reçues concernant le non-respect du bilinguisme et du multiculturalisme ; et c</w:t>
      </w:r>
      <w:r>
        <w:t>) </w:t>
      </w:r>
      <w:r w:rsidR="006C5287">
        <w:t>les mesures prises pour évaluer et renforcer le mandat de la Commission</w:t>
      </w:r>
      <w:r w:rsidR="006C5287" w:rsidRPr="00BE60FC">
        <w:rPr>
          <w:rStyle w:val="Appelnotedebasdep"/>
        </w:rPr>
        <w:footnoteReference w:id="13"/>
      </w:r>
      <w:r w:rsidR="006C5287">
        <w:t>.</w:t>
      </w:r>
    </w:p>
    <w:p w14:paraId="224E1F15" w14:textId="2A0B3090" w:rsidR="006C5287" w:rsidRPr="006C5287" w:rsidRDefault="006C5287" w:rsidP="006C5287">
      <w:pPr>
        <w:pStyle w:val="SingleTxtG"/>
        <w:spacing w:before="240" w:after="0"/>
        <w:jc w:val="center"/>
        <w:rPr>
          <w:u w:val="single"/>
        </w:rPr>
      </w:pPr>
      <w:r>
        <w:rPr>
          <w:u w:val="single"/>
        </w:rPr>
        <w:tab/>
      </w:r>
      <w:r>
        <w:rPr>
          <w:u w:val="single"/>
        </w:rPr>
        <w:tab/>
      </w:r>
      <w:r>
        <w:rPr>
          <w:u w:val="single"/>
        </w:rPr>
        <w:tab/>
      </w:r>
    </w:p>
    <w:sectPr w:rsidR="006C5287" w:rsidRPr="006C5287" w:rsidSect="006C528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D2D1C" w14:textId="77777777" w:rsidR="004D3A31" w:rsidRDefault="004D3A31" w:rsidP="00F95C08">
      <w:pPr>
        <w:spacing w:line="240" w:lineRule="auto"/>
      </w:pPr>
    </w:p>
  </w:endnote>
  <w:endnote w:type="continuationSeparator" w:id="0">
    <w:p w14:paraId="5939246E" w14:textId="77777777" w:rsidR="004D3A31" w:rsidRPr="00AC3823" w:rsidRDefault="004D3A31" w:rsidP="00AC3823">
      <w:pPr>
        <w:pStyle w:val="Pieddepage"/>
      </w:pPr>
    </w:p>
  </w:endnote>
  <w:endnote w:type="continuationNotice" w:id="1">
    <w:p w14:paraId="6C4C87D4" w14:textId="77777777" w:rsidR="004D3A31" w:rsidRDefault="004D3A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DC43B" w14:textId="4BE86B03" w:rsidR="006C5287" w:rsidRPr="006C5287" w:rsidRDefault="006C5287" w:rsidP="006C5287">
    <w:pPr>
      <w:pStyle w:val="Pieddepage"/>
      <w:tabs>
        <w:tab w:val="right" w:pos="9638"/>
      </w:tabs>
    </w:pPr>
    <w:r w:rsidRPr="006C5287">
      <w:rPr>
        <w:b/>
        <w:sz w:val="18"/>
      </w:rPr>
      <w:fldChar w:fldCharType="begin"/>
    </w:r>
    <w:r w:rsidRPr="006C5287">
      <w:rPr>
        <w:b/>
        <w:sz w:val="18"/>
      </w:rPr>
      <w:instrText xml:space="preserve"> PAGE  \* MERGEFORMAT </w:instrText>
    </w:r>
    <w:r w:rsidRPr="006C5287">
      <w:rPr>
        <w:b/>
        <w:sz w:val="18"/>
      </w:rPr>
      <w:fldChar w:fldCharType="separate"/>
    </w:r>
    <w:r w:rsidR="00A40FFC">
      <w:rPr>
        <w:b/>
        <w:noProof/>
        <w:sz w:val="18"/>
      </w:rPr>
      <w:t>2</w:t>
    </w:r>
    <w:r w:rsidRPr="006C528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C2B2E" w14:textId="1CF26DC8" w:rsidR="006C5287" w:rsidRPr="006C5287" w:rsidRDefault="006C5287" w:rsidP="006C5287">
    <w:pPr>
      <w:pStyle w:val="Pieddepage"/>
      <w:tabs>
        <w:tab w:val="right" w:pos="9638"/>
      </w:tabs>
      <w:rPr>
        <w:b/>
        <w:sz w:val="18"/>
      </w:rPr>
    </w:pPr>
    <w:r>
      <w:tab/>
    </w:r>
    <w:r w:rsidRPr="006C5287">
      <w:rPr>
        <w:b/>
        <w:sz w:val="18"/>
      </w:rPr>
      <w:fldChar w:fldCharType="begin"/>
    </w:r>
    <w:r w:rsidRPr="006C5287">
      <w:rPr>
        <w:b/>
        <w:sz w:val="18"/>
      </w:rPr>
      <w:instrText xml:space="preserve"> PAGE  \* MERGEFORMAT </w:instrText>
    </w:r>
    <w:r w:rsidRPr="006C5287">
      <w:rPr>
        <w:b/>
        <w:sz w:val="18"/>
      </w:rPr>
      <w:fldChar w:fldCharType="separate"/>
    </w:r>
    <w:r w:rsidRPr="006C5287">
      <w:rPr>
        <w:b/>
        <w:noProof/>
        <w:sz w:val="18"/>
      </w:rPr>
      <w:t>3</w:t>
    </w:r>
    <w:r w:rsidRPr="006C52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DEC5E" w14:textId="5126E892" w:rsidR="003E5944" w:rsidRPr="003E5944" w:rsidRDefault="003E5944" w:rsidP="003E5944">
    <w:pPr>
      <w:pStyle w:val="Pieddepage"/>
      <w:tabs>
        <w:tab w:val="left" w:pos="6520"/>
        <w:tab w:val="right" w:pos="9638"/>
      </w:tabs>
      <w:spacing w:before="120"/>
      <w:rPr>
        <w:sz w:val="20"/>
      </w:rPr>
    </w:pPr>
    <w:r>
      <w:rPr>
        <w:sz w:val="20"/>
      </w:rPr>
      <w:t>GE.22-01806  (F)</w:t>
    </w:r>
    <w:bookmarkStart w:id="0" w:name="_GoBack"/>
    <w:bookmarkEnd w:id="0"/>
    <w:r>
      <w:rPr>
        <w:sz w:val="20"/>
      </w:rPr>
      <w:tab/>
    </w:r>
    <w:r w:rsidRPr="003E5944">
      <w:rPr>
        <w:noProof/>
        <w:sz w:val="20"/>
        <w:lang w:eastAsia="fr-CH"/>
      </w:rPr>
      <w:drawing>
        <wp:inline distT="0" distB="0" distL="0" distR="0" wp14:anchorId="21F98A4D" wp14:editId="7D3B6D75">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37266B6" wp14:editId="78B4A5E8">
          <wp:extent cx="563245" cy="563245"/>
          <wp:effectExtent l="0" t="0" r="8255"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E8584" w14:textId="77777777" w:rsidR="004D3A31" w:rsidRPr="00AC3823" w:rsidRDefault="004D3A31" w:rsidP="00AC3823">
      <w:pPr>
        <w:pStyle w:val="Pieddepage"/>
        <w:tabs>
          <w:tab w:val="right" w:pos="2155"/>
        </w:tabs>
        <w:spacing w:after="80" w:line="240" w:lineRule="atLeast"/>
        <w:ind w:left="680"/>
        <w:rPr>
          <w:u w:val="single"/>
        </w:rPr>
      </w:pPr>
      <w:r>
        <w:rPr>
          <w:u w:val="single"/>
        </w:rPr>
        <w:tab/>
      </w:r>
    </w:p>
  </w:footnote>
  <w:footnote w:type="continuationSeparator" w:id="0">
    <w:p w14:paraId="563E5C2F" w14:textId="77777777" w:rsidR="004D3A31" w:rsidRPr="00AC3823" w:rsidRDefault="004D3A31" w:rsidP="00AC3823">
      <w:pPr>
        <w:pStyle w:val="Pieddepage"/>
        <w:tabs>
          <w:tab w:val="right" w:pos="2155"/>
        </w:tabs>
        <w:spacing w:after="80" w:line="240" w:lineRule="atLeast"/>
        <w:ind w:left="680"/>
        <w:rPr>
          <w:u w:val="single"/>
        </w:rPr>
      </w:pPr>
      <w:r>
        <w:rPr>
          <w:u w:val="single"/>
        </w:rPr>
        <w:tab/>
      </w:r>
    </w:p>
  </w:footnote>
  <w:footnote w:type="continuationNotice" w:id="1">
    <w:p w14:paraId="4915BED6" w14:textId="77777777" w:rsidR="004D3A31" w:rsidRPr="00AC3823" w:rsidRDefault="004D3A31">
      <w:pPr>
        <w:spacing w:line="240" w:lineRule="auto"/>
        <w:rPr>
          <w:sz w:val="2"/>
          <w:szCs w:val="2"/>
        </w:rPr>
      </w:pPr>
    </w:p>
  </w:footnote>
  <w:footnote w:id="2">
    <w:p w14:paraId="27FC3B66" w14:textId="77777777" w:rsidR="006C5287" w:rsidRPr="00143521" w:rsidRDefault="006C5287" w:rsidP="006C5287">
      <w:pPr>
        <w:pStyle w:val="Notedebasdepage"/>
      </w:pPr>
      <w:r>
        <w:rPr>
          <w:rStyle w:val="Appelnotedebasdep"/>
        </w:rPr>
        <w:tab/>
      </w:r>
      <w:r w:rsidRPr="00CE0299">
        <w:rPr>
          <w:rStyle w:val="Appelnotedebasdep"/>
          <w:sz w:val="20"/>
          <w:vertAlign w:val="baseline"/>
        </w:rPr>
        <w:t>*</w:t>
      </w:r>
      <w:r>
        <w:rPr>
          <w:rStyle w:val="Appelnotedebasdep"/>
          <w:sz w:val="20"/>
          <w:vertAlign w:val="baseline"/>
        </w:rPr>
        <w:tab/>
      </w:r>
      <w:r w:rsidRPr="008440A0">
        <w:t>Le présent rapport a été soumis après la date limite pour tenir compte des faits les plus récents</w:t>
      </w:r>
      <w:r>
        <w:t>.</w:t>
      </w:r>
    </w:p>
  </w:footnote>
  <w:footnote w:id="3">
    <w:p w14:paraId="127F75A6" w14:textId="018ED9A5" w:rsidR="006C5287" w:rsidRPr="00C535DD" w:rsidRDefault="006C5287" w:rsidP="006C5287">
      <w:pPr>
        <w:pStyle w:val="Notedebasdepage"/>
      </w:pPr>
      <w:r>
        <w:tab/>
      </w:r>
      <w:r w:rsidRPr="00BE60FC">
        <w:rPr>
          <w:rStyle w:val="Appelnotedebasdep"/>
        </w:rPr>
        <w:footnoteRef/>
      </w:r>
      <w:r>
        <w:tab/>
      </w:r>
      <w:hyperlink r:id="rId1" w:history="1">
        <w:r w:rsidRPr="00920806">
          <w:rPr>
            <w:rStyle w:val="Lienhypertexte"/>
          </w:rPr>
          <w:t>A/65/18</w:t>
        </w:r>
      </w:hyperlink>
      <w:r w:rsidRPr="00FD24B6">
        <w:t>, par. 85</w:t>
      </w:r>
      <w:r>
        <w:t>.</w:t>
      </w:r>
    </w:p>
  </w:footnote>
  <w:footnote w:id="4">
    <w:p w14:paraId="3ED1209F" w14:textId="1AB42665" w:rsidR="006C5287" w:rsidRPr="00C535DD" w:rsidRDefault="006C5287" w:rsidP="006C5287">
      <w:pPr>
        <w:pStyle w:val="Notedebasdepage"/>
      </w:pPr>
      <w:r>
        <w:tab/>
      </w:r>
      <w:r w:rsidRPr="00BE60FC">
        <w:rPr>
          <w:rStyle w:val="Appelnotedebasdep"/>
        </w:rPr>
        <w:footnoteRef/>
      </w:r>
      <w:r>
        <w:tab/>
      </w:r>
      <w:hyperlink r:id="rId2" w:history="1">
        <w:r w:rsidRPr="00920806">
          <w:rPr>
            <w:rStyle w:val="Lienhypertexte"/>
          </w:rPr>
          <w:t>CERD/C/CMR/CO/19-21</w:t>
        </w:r>
      </w:hyperlink>
      <w:r w:rsidRPr="00D94988">
        <w:t>, par.</w:t>
      </w:r>
      <w:r>
        <w:t> </w:t>
      </w:r>
      <w:r w:rsidRPr="00D94988">
        <w:t>6</w:t>
      </w:r>
      <w:r>
        <w:t> </w:t>
      </w:r>
      <w:r w:rsidRPr="00D94988">
        <w:t>;</w:t>
      </w:r>
      <w:r>
        <w:t xml:space="preserve"> et</w:t>
      </w:r>
      <w:r w:rsidRPr="00D94988">
        <w:t xml:space="preserve"> </w:t>
      </w:r>
      <w:hyperlink r:id="rId3" w:history="1">
        <w:r w:rsidRPr="00920806">
          <w:rPr>
            <w:rStyle w:val="Lienhypertexte"/>
          </w:rPr>
          <w:t>CERD/C/CMR/22-23</w:t>
        </w:r>
      </w:hyperlink>
      <w:r w:rsidRPr="00D94988">
        <w:t>, par.</w:t>
      </w:r>
      <w:r>
        <w:t> </w:t>
      </w:r>
      <w:r w:rsidRPr="00D94988">
        <w:t>31</w:t>
      </w:r>
      <w:r>
        <w:t xml:space="preserve"> </w:t>
      </w:r>
      <w:r w:rsidR="000871A8">
        <w:t xml:space="preserve">à </w:t>
      </w:r>
      <w:r w:rsidRPr="00D94988">
        <w:t>34</w:t>
      </w:r>
      <w:r>
        <w:t>.</w:t>
      </w:r>
    </w:p>
  </w:footnote>
  <w:footnote w:id="5">
    <w:p w14:paraId="77DD39E4" w14:textId="6817AFEB" w:rsidR="006C5287" w:rsidRPr="00C535DD" w:rsidRDefault="006C5287" w:rsidP="006C5287">
      <w:pPr>
        <w:pStyle w:val="Notedebasdepage"/>
      </w:pPr>
      <w:r>
        <w:tab/>
      </w:r>
      <w:r w:rsidRPr="00BE60FC">
        <w:rPr>
          <w:rStyle w:val="Appelnotedebasdep"/>
        </w:rPr>
        <w:footnoteRef/>
      </w:r>
      <w:r>
        <w:tab/>
      </w:r>
      <w:hyperlink r:id="rId4" w:history="1">
        <w:r w:rsidRPr="00920806">
          <w:rPr>
            <w:rStyle w:val="Lienhypertexte"/>
          </w:rPr>
          <w:t>CERD/C/CMR/CO/19-21</w:t>
        </w:r>
      </w:hyperlink>
      <w:r>
        <w:t>, par</w:t>
      </w:r>
      <w:r w:rsidR="000871A8">
        <w:t>. </w:t>
      </w:r>
      <w:r>
        <w:t xml:space="preserve">7 et 9 ; et </w:t>
      </w:r>
      <w:hyperlink r:id="rId5" w:history="1">
        <w:r w:rsidRPr="00920806">
          <w:rPr>
            <w:rStyle w:val="Lienhypertexte"/>
          </w:rPr>
          <w:t>CERD/C/CMR/22-23</w:t>
        </w:r>
      </w:hyperlink>
      <w:r>
        <w:t>, par</w:t>
      </w:r>
      <w:r w:rsidR="000871A8">
        <w:t>. </w:t>
      </w:r>
      <w:r>
        <w:t>14, 28, 35, 36 et 46.</w:t>
      </w:r>
    </w:p>
  </w:footnote>
  <w:footnote w:id="6">
    <w:p w14:paraId="7D02E0A0" w14:textId="6AD5E3FF" w:rsidR="006C5287" w:rsidRPr="00C535DD" w:rsidRDefault="006C5287" w:rsidP="006C5287">
      <w:pPr>
        <w:pStyle w:val="Notedebasdepage"/>
      </w:pPr>
      <w:r>
        <w:tab/>
      </w:r>
      <w:r w:rsidRPr="00BE60FC">
        <w:rPr>
          <w:rStyle w:val="Appelnotedebasdep"/>
        </w:rPr>
        <w:footnoteRef/>
      </w:r>
      <w:r>
        <w:tab/>
      </w:r>
      <w:hyperlink r:id="rId6" w:history="1">
        <w:r w:rsidRPr="00920806">
          <w:rPr>
            <w:rStyle w:val="Lienhypertexte"/>
          </w:rPr>
          <w:t>CERD/C/CMR/CO/19-21</w:t>
        </w:r>
      </w:hyperlink>
      <w:r>
        <w:t xml:space="preserve">, par. 8 ; et </w:t>
      </w:r>
      <w:hyperlink r:id="rId7" w:history="1">
        <w:r w:rsidRPr="00920806">
          <w:rPr>
            <w:rStyle w:val="Lienhypertexte"/>
          </w:rPr>
          <w:t>CERD/C/CMR/22-23</w:t>
        </w:r>
      </w:hyperlink>
      <w:r>
        <w:t xml:space="preserve">, par. 37 </w:t>
      </w:r>
      <w:r w:rsidR="00EB087E">
        <w:t xml:space="preserve">à </w:t>
      </w:r>
      <w:r>
        <w:t>42.</w:t>
      </w:r>
    </w:p>
  </w:footnote>
  <w:footnote w:id="7">
    <w:p w14:paraId="7270639E" w14:textId="3AE24A6D" w:rsidR="006C5287" w:rsidRPr="00C535DD" w:rsidRDefault="006C5287" w:rsidP="006C5287">
      <w:pPr>
        <w:pStyle w:val="Notedebasdepage"/>
      </w:pPr>
      <w:r>
        <w:tab/>
      </w:r>
      <w:r w:rsidRPr="00BE60FC">
        <w:rPr>
          <w:rStyle w:val="Appelnotedebasdep"/>
        </w:rPr>
        <w:footnoteRef/>
      </w:r>
      <w:r>
        <w:tab/>
      </w:r>
      <w:hyperlink r:id="rId8" w:history="1">
        <w:r w:rsidR="00920806" w:rsidRPr="00920806">
          <w:rPr>
            <w:rStyle w:val="Lienhypertexte"/>
          </w:rPr>
          <w:t>CERD/C/CMR/CO/19-21</w:t>
        </w:r>
      </w:hyperlink>
      <w:r>
        <w:t xml:space="preserve">, par. 19 ; et </w:t>
      </w:r>
      <w:hyperlink r:id="rId9" w:history="1">
        <w:r w:rsidR="00920806" w:rsidRPr="00920806">
          <w:rPr>
            <w:rStyle w:val="Lienhypertexte"/>
          </w:rPr>
          <w:t>CERD/C/CMR/22-23</w:t>
        </w:r>
      </w:hyperlink>
      <w:r>
        <w:t xml:space="preserve">, par. 194 </w:t>
      </w:r>
      <w:r w:rsidR="00EB087E">
        <w:t xml:space="preserve">à </w:t>
      </w:r>
      <w:r>
        <w:t>211.</w:t>
      </w:r>
    </w:p>
  </w:footnote>
  <w:footnote w:id="8">
    <w:p w14:paraId="5CAA8A39" w14:textId="4C3C24A5" w:rsidR="006C5287" w:rsidRPr="00C535DD" w:rsidRDefault="006C5287" w:rsidP="006C5287">
      <w:pPr>
        <w:pStyle w:val="Notedebasdepage"/>
      </w:pPr>
      <w:r>
        <w:tab/>
      </w:r>
      <w:r w:rsidRPr="00BE60FC">
        <w:rPr>
          <w:rStyle w:val="Appelnotedebasdep"/>
        </w:rPr>
        <w:footnoteRef/>
      </w:r>
      <w:r>
        <w:tab/>
      </w:r>
      <w:hyperlink r:id="rId10" w:history="1">
        <w:r w:rsidR="00920806" w:rsidRPr="00920806">
          <w:rPr>
            <w:rStyle w:val="Lienhypertexte"/>
          </w:rPr>
          <w:t>CERD/C/CMR/CO/19-21</w:t>
        </w:r>
      </w:hyperlink>
      <w:r>
        <w:t xml:space="preserve">, par. 14 ; et </w:t>
      </w:r>
      <w:hyperlink r:id="rId11" w:history="1">
        <w:r w:rsidR="00920806" w:rsidRPr="00920806">
          <w:rPr>
            <w:rStyle w:val="Lienhypertexte"/>
          </w:rPr>
          <w:t>CERD/C/CMR/22-23</w:t>
        </w:r>
      </w:hyperlink>
      <w:r>
        <w:t xml:space="preserve">, par. 30 et 103 </w:t>
      </w:r>
      <w:r w:rsidR="00EB087E">
        <w:t xml:space="preserve">à </w:t>
      </w:r>
      <w:r>
        <w:t>107.</w:t>
      </w:r>
    </w:p>
  </w:footnote>
  <w:footnote w:id="9">
    <w:p w14:paraId="1585A738" w14:textId="27E5A70C" w:rsidR="006C5287" w:rsidRPr="00C535DD" w:rsidRDefault="006C5287" w:rsidP="006C5287">
      <w:pPr>
        <w:pStyle w:val="Notedebasdepage"/>
      </w:pPr>
      <w:r>
        <w:tab/>
      </w:r>
      <w:r w:rsidRPr="00BE60FC">
        <w:rPr>
          <w:rStyle w:val="Appelnotedebasdep"/>
        </w:rPr>
        <w:footnoteRef/>
      </w:r>
      <w:r>
        <w:tab/>
      </w:r>
      <w:hyperlink r:id="rId12" w:history="1">
        <w:r w:rsidR="00920806" w:rsidRPr="00920806">
          <w:rPr>
            <w:rStyle w:val="Lienhypertexte"/>
          </w:rPr>
          <w:t>CERD/C/CMR/CO/19-21</w:t>
        </w:r>
      </w:hyperlink>
      <w:r>
        <w:t xml:space="preserve">, par. 10 ; et </w:t>
      </w:r>
      <w:hyperlink r:id="rId13" w:history="1">
        <w:r w:rsidR="00920806" w:rsidRPr="00920806">
          <w:rPr>
            <w:rStyle w:val="Lienhypertexte"/>
          </w:rPr>
          <w:t>CERD/C/CMR/22-23</w:t>
        </w:r>
      </w:hyperlink>
      <w:r>
        <w:t>, par</w:t>
      </w:r>
      <w:r w:rsidR="00EB087E">
        <w:t>. </w:t>
      </w:r>
      <w:r>
        <w:t xml:space="preserve">30 et 47 </w:t>
      </w:r>
      <w:r w:rsidR="00EB087E">
        <w:t xml:space="preserve">à </w:t>
      </w:r>
      <w:r>
        <w:t>50.</w:t>
      </w:r>
    </w:p>
  </w:footnote>
  <w:footnote w:id="10">
    <w:p w14:paraId="436CC225" w14:textId="12F3D6BB" w:rsidR="006C5287" w:rsidRPr="00C535DD" w:rsidRDefault="006C5287" w:rsidP="006C5287">
      <w:pPr>
        <w:pStyle w:val="Notedebasdepage"/>
      </w:pPr>
      <w:r>
        <w:tab/>
      </w:r>
      <w:r w:rsidRPr="00BE60FC">
        <w:rPr>
          <w:rStyle w:val="Appelnotedebasdep"/>
        </w:rPr>
        <w:footnoteRef/>
      </w:r>
      <w:r>
        <w:tab/>
      </w:r>
      <w:hyperlink r:id="rId14" w:history="1">
        <w:r w:rsidR="00920806" w:rsidRPr="00920806">
          <w:rPr>
            <w:rStyle w:val="Lienhypertexte"/>
          </w:rPr>
          <w:t>CERD/C/CMR/CO/19-21</w:t>
        </w:r>
      </w:hyperlink>
      <w:r>
        <w:t xml:space="preserve">, par. 11, 15 et 17 ; et </w:t>
      </w:r>
      <w:hyperlink r:id="rId15" w:history="1">
        <w:r w:rsidR="00920806" w:rsidRPr="00920806">
          <w:rPr>
            <w:rStyle w:val="Lienhypertexte"/>
          </w:rPr>
          <w:t>CERD/C/CMR/22-23</w:t>
        </w:r>
      </w:hyperlink>
      <w:r>
        <w:t xml:space="preserve">, par. 51 </w:t>
      </w:r>
      <w:r w:rsidR="00EB087E">
        <w:t xml:space="preserve">à </w:t>
      </w:r>
      <w:r>
        <w:t xml:space="preserve">60, 108 </w:t>
      </w:r>
      <w:r w:rsidR="00EB087E">
        <w:t xml:space="preserve">à </w:t>
      </w:r>
      <w:r>
        <w:t>119 et 155 à 159.</w:t>
      </w:r>
    </w:p>
  </w:footnote>
  <w:footnote w:id="11">
    <w:p w14:paraId="3E60E520" w14:textId="16025AFB" w:rsidR="006C5287" w:rsidRPr="00C535DD" w:rsidRDefault="006C5287" w:rsidP="006C5287">
      <w:pPr>
        <w:pStyle w:val="Notedebasdepage"/>
      </w:pPr>
      <w:r>
        <w:tab/>
      </w:r>
      <w:r w:rsidRPr="00BE60FC">
        <w:rPr>
          <w:rStyle w:val="Appelnotedebasdep"/>
        </w:rPr>
        <w:footnoteRef/>
      </w:r>
      <w:r>
        <w:tab/>
      </w:r>
      <w:hyperlink r:id="rId16" w:history="1">
        <w:r w:rsidR="00920806" w:rsidRPr="00920806">
          <w:rPr>
            <w:rStyle w:val="Lienhypertexte"/>
          </w:rPr>
          <w:t>CERD/C/CMR/CO/19-21</w:t>
        </w:r>
      </w:hyperlink>
      <w:r>
        <w:t xml:space="preserve">, par. 16 ; et </w:t>
      </w:r>
      <w:hyperlink r:id="rId17" w:history="1">
        <w:r w:rsidR="00920806" w:rsidRPr="00920806">
          <w:rPr>
            <w:rStyle w:val="Lienhypertexte"/>
          </w:rPr>
          <w:t>CERD/C/CMR/22-23</w:t>
        </w:r>
      </w:hyperlink>
      <w:r>
        <w:t xml:space="preserve">, par. 131 </w:t>
      </w:r>
      <w:r w:rsidR="00EB087E">
        <w:t xml:space="preserve">à </w:t>
      </w:r>
      <w:r>
        <w:t>153.</w:t>
      </w:r>
    </w:p>
  </w:footnote>
  <w:footnote w:id="12">
    <w:p w14:paraId="2642D4BE" w14:textId="216F1E59" w:rsidR="006C5287" w:rsidRPr="00C535DD" w:rsidRDefault="006C5287" w:rsidP="006C5287">
      <w:pPr>
        <w:pStyle w:val="Notedebasdepage"/>
      </w:pPr>
      <w:r>
        <w:tab/>
      </w:r>
      <w:r w:rsidRPr="00BE60FC">
        <w:rPr>
          <w:rStyle w:val="Appelnotedebasdep"/>
        </w:rPr>
        <w:footnoteRef/>
      </w:r>
      <w:r>
        <w:tab/>
      </w:r>
      <w:hyperlink r:id="rId18" w:history="1">
        <w:r w:rsidR="00920806" w:rsidRPr="00920806">
          <w:rPr>
            <w:rStyle w:val="Lienhypertexte"/>
          </w:rPr>
          <w:t>CERD/C/CMR/CO/19-21</w:t>
        </w:r>
      </w:hyperlink>
      <w:r>
        <w:t xml:space="preserve">, par. 13 ; et </w:t>
      </w:r>
      <w:hyperlink r:id="rId19" w:history="1">
        <w:r w:rsidR="00920806" w:rsidRPr="00920806">
          <w:rPr>
            <w:rStyle w:val="Lienhypertexte"/>
          </w:rPr>
          <w:t>CERD/C/CMR/22-23</w:t>
        </w:r>
      </w:hyperlink>
      <w:r>
        <w:t xml:space="preserve">, par. 68 </w:t>
      </w:r>
      <w:r w:rsidR="00EB087E">
        <w:t xml:space="preserve">à </w:t>
      </w:r>
      <w:r>
        <w:t>102.</w:t>
      </w:r>
    </w:p>
  </w:footnote>
  <w:footnote w:id="13">
    <w:p w14:paraId="6CE847E0" w14:textId="01077413" w:rsidR="006C5287" w:rsidRPr="00C535DD" w:rsidRDefault="006C5287" w:rsidP="006C5287">
      <w:pPr>
        <w:pStyle w:val="Notedebasdepage"/>
      </w:pPr>
      <w:r>
        <w:tab/>
      </w:r>
      <w:r w:rsidRPr="00BE60FC">
        <w:rPr>
          <w:rStyle w:val="Appelnotedebasdep"/>
        </w:rPr>
        <w:footnoteRef/>
      </w:r>
      <w:r>
        <w:tab/>
      </w:r>
      <w:hyperlink r:id="rId20" w:history="1">
        <w:r w:rsidR="00920806" w:rsidRPr="00920806">
          <w:rPr>
            <w:rStyle w:val="Lienhypertexte"/>
          </w:rPr>
          <w:t>CERD/C/CMR/CO/19-21</w:t>
        </w:r>
      </w:hyperlink>
      <w:r>
        <w:t xml:space="preserve">, par. 13 ; et </w:t>
      </w:r>
      <w:hyperlink r:id="rId21" w:history="1">
        <w:r w:rsidR="00920806" w:rsidRPr="00920806">
          <w:rPr>
            <w:rStyle w:val="Lienhypertexte"/>
          </w:rPr>
          <w:t>CERD/C/CMR/22-23</w:t>
        </w:r>
      </w:hyperlink>
      <w:r>
        <w:t xml:space="preserve">, par. 8 </w:t>
      </w:r>
      <w:r w:rsidR="00EB087E">
        <w:t xml:space="preserve">et </w:t>
      </w:r>
      <w:r>
        <w:t>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9335B" w14:textId="34E5F3E1" w:rsidR="006C5287" w:rsidRPr="006C5287" w:rsidRDefault="000E7F0F">
    <w:pPr>
      <w:pStyle w:val="En-tte"/>
    </w:pPr>
    <w:r>
      <w:fldChar w:fldCharType="begin"/>
    </w:r>
    <w:r>
      <w:instrText xml:space="preserve"> TITLE  \* MERGEFORMAT </w:instrText>
    </w:r>
    <w:r>
      <w:fldChar w:fldCharType="separate"/>
    </w:r>
    <w:r>
      <w:t>CERD/C/CMR/Q/22-23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077DF" w14:textId="7F808C2F" w:rsidR="006C5287" w:rsidRPr="006C5287" w:rsidRDefault="000E7F0F" w:rsidP="006C5287">
    <w:pPr>
      <w:pStyle w:val="En-tte"/>
      <w:jc w:val="right"/>
    </w:pPr>
    <w:r>
      <w:fldChar w:fldCharType="begin"/>
    </w:r>
    <w:r>
      <w:instrText xml:space="preserve"> TITLE  \* MERGEFORMAT </w:instrText>
    </w:r>
    <w:r>
      <w:fldChar w:fldCharType="separate"/>
    </w:r>
    <w:r>
      <w:t>CERD/C/CMR/Q/22-23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A31"/>
    <w:rsid w:val="00017F94"/>
    <w:rsid w:val="00023842"/>
    <w:rsid w:val="000334F9"/>
    <w:rsid w:val="00076F5A"/>
    <w:rsid w:val="0007796D"/>
    <w:rsid w:val="000871A8"/>
    <w:rsid w:val="000B7790"/>
    <w:rsid w:val="000E7F0F"/>
    <w:rsid w:val="00111F2F"/>
    <w:rsid w:val="0014365E"/>
    <w:rsid w:val="00176178"/>
    <w:rsid w:val="001F525A"/>
    <w:rsid w:val="00215BEC"/>
    <w:rsid w:val="00223272"/>
    <w:rsid w:val="0024779E"/>
    <w:rsid w:val="00262657"/>
    <w:rsid w:val="002C390C"/>
    <w:rsid w:val="003E18C1"/>
    <w:rsid w:val="003E5944"/>
    <w:rsid w:val="0043239D"/>
    <w:rsid w:val="00446FE5"/>
    <w:rsid w:val="00452396"/>
    <w:rsid w:val="004D3A31"/>
    <w:rsid w:val="004F094E"/>
    <w:rsid w:val="005505B7"/>
    <w:rsid w:val="00573BE5"/>
    <w:rsid w:val="00586ED3"/>
    <w:rsid w:val="00596AA9"/>
    <w:rsid w:val="00623CA8"/>
    <w:rsid w:val="006B1A41"/>
    <w:rsid w:val="006C5287"/>
    <w:rsid w:val="006E0451"/>
    <w:rsid w:val="00712E6E"/>
    <w:rsid w:val="0071601D"/>
    <w:rsid w:val="00780585"/>
    <w:rsid w:val="00783E9F"/>
    <w:rsid w:val="007A62E6"/>
    <w:rsid w:val="0080684C"/>
    <w:rsid w:val="00871C75"/>
    <w:rsid w:val="008776DC"/>
    <w:rsid w:val="00885774"/>
    <w:rsid w:val="0091131D"/>
    <w:rsid w:val="00920806"/>
    <w:rsid w:val="009705C8"/>
    <w:rsid w:val="00984B29"/>
    <w:rsid w:val="009D5F1A"/>
    <w:rsid w:val="00A30353"/>
    <w:rsid w:val="00A40FFC"/>
    <w:rsid w:val="00AC3823"/>
    <w:rsid w:val="00AE323C"/>
    <w:rsid w:val="00AF2CE6"/>
    <w:rsid w:val="00B00181"/>
    <w:rsid w:val="00B765F7"/>
    <w:rsid w:val="00B87E1D"/>
    <w:rsid w:val="00BA0CA9"/>
    <w:rsid w:val="00BB0B66"/>
    <w:rsid w:val="00BB19C3"/>
    <w:rsid w:val="00BB5F4E"/>
    <w:rsid w:val="00C02897"/>
    <w:rsid w:val="00D04216"/>
    <w:rsid w:val="00D3439C"/>
    <w:rsid w:val="00DB1831"/>
    <w:rsid w:val="00DC0149"/>
    <w:rsid w:val="00DD3BFD"/>
    <w:rsid w:val="00DF6678"/>
    <w:rsid w:val="00EB087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A35641C"/>
  <w15:docId w15:val="{00D7B25F-3DD6-4F0D-9B7C-F4F9284B2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Mentionnonrsolue1">
    <w:name w:val="Mention non résolue1"/>
    <w:basedOn w:val="Policepardfaut"/>
    <w:uiPriority w:val="99"/>
    <w:semiHidden/>
    <w:unhideWhenUsed/>
    <w:rsid w:val="000871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ERD/C/CMR/CO/19-21" TargetMode="External"/><Relationship Id="rId13" Type="http://schemas.openxmlformats.org/officeDocument/2006/relationships/hyperlink" Target="https://undocs.org/fr/CERD/C/CMR/22-23" TargetMode="External"/><Relationship Id="rId18" Type="http://schemas.openxmlformats.org/officeDocument/2006/relationships/hyperlink" Target="https://undocs.org/fr/CERD/C/CMR/CO/19-21" TargetMode="External"/><Relationship Id="rId3" Type="http://schemas.openxmlformats.org/officeDocument/2006/relationships/hyperlink" Target="https://undocs.org/fr/CERD/C/CMR/22-23" TargetMode="External"/><Relationship Id="rId21" Type="http://schemas.openxmlformats.org/officeDocument/2006/relationships/hyperlink" Target="https://undocs.org/fr/CERD/C/CMR/22-23" TargetMode="External"/><Relationship Id="rId7" Type="http://schemas.openxmlformats.org/officeDocument/2006/relationships/hyperlink" Target="https://undocs.org/fr/CERD/C/CMR/22-23" TargetMode="External"/><Relationship Id="rId12" Type="http://schemas.openxmlformats.org/officeDocument/2006/relationships/hyperlink" Target="https://undocs.org/fr/CERD/C/CMR/CO/19-21" TargetMode="External"/><Relationship Id="rId17" Type="http://schemas.openxmlformats.org/officeDocument/2006/relationships/hyperlink" Target="https://undocs.org/fr/CERD/C/CMR/22-23" TargetMode="External"/><Relationship Id="rId2" Type="http://schemas.openxmlformats.org/officeDocument/2006/relationships/hyperlink" Target="https://undocs.org/fr/CERD/C/CMR/CO/19-21" TargetMode="External"/><Relationship Id="rId16" Type="http://schemas.openxmlformats.org/officeDocument/2006/relationships/hyperlink" Target="https://undocs.org/fr/CERD/C/CMR/CO/19-21" TargetMode="External"/><Relationship Id="rId20" Type="http://schemas.openxmlformats.org/officeDocument/2006/relationships/hyperlink" Target="https://undocs.org/fr/CERD/C/CMR/CO/19-21" TargetMode="External"/><Relationship Id="rId1" Type="http://schemas.openxmlformats.org/officeDocument/2006/relationships/hyperlink" Target="https://undocs.org/fr/A/65/18" TargetMode="External"/><Relationship Id="rId6" Type="http://schemas.openxmlformats.org/officeDocument/2006/relationships/hyperlink" Target="https://undocs.org/fr/CERD/C/CMR/CO/19-21" TargetMode="External"/><Relationship Id="rId11" Type="http://schemas.openxmlformats.org/officeDocument/2006/relationships/hyperlink" Target="https://undocs.org/fr/CERD/C/CMR/22-23" TargetMode="External"/><Relationship Id="rId5" Type="http://schemas.openxmlformats.org/officeDocument/2006/relationships/hyperlink" Target="https://undocs.org/fr/CERD/C/CMR/22-23" TargetMode="External"/><Relationship Id="rId15" Type="http://schemas.openxmlformats.org/officeDocument/2006/relationships/hyperlink" Target="https://undocs.org/fr/CERD/C/CMR/22-23" TargetMode="External"/><Relationship Id="rId10" Type="http://schemas.openxmlformats.org/officeDocument/2006/relationships/hyperlink" Target="https://undocs.org/fr/CERD/C/CMR/CO/19-21" TargetMode="External"/><Relationship Id="rId19" Type="http://schemas.openxmlformats.org/officeDocument/2006/relationships/hyperlink" Target="https://undocs.org/fr/CERD/C/CMR/22-23" TargetMode="External"/><Relationship Id="rId4" Type="http://schemas.openxmlformats.org/officeDocument/2006/relationships/hyperlink" Target="https://undocs.org/fr/CERD/C/CMR/CO/19-21" TargetMode="External"/><Relationship Id="rId9" Type="http://schemas.openxmlformats.org/officeDocument/2006/relationships/hyperlink" Target="https://undocs.org/fr/CERD/C/CMR/22-23" TargetMode="External"/><Relationship Id="rId14" Type="http://schemas.openxmlformats.org/officeDocument/2006/relationships/hyperlink" Target="https://undocs.org/fr/CERD/C/CMR/CO/19-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Pages>
  <Words>920</Words>
  <Characters>5018</Characters>
  <Application>Microsoft Office Word</Application>
  <DocSecurity>0</DocSecurity>
  <Lines>86</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CERD/C/CMR/Q/22-23</vt:lpstr>
      <vt:lpstr>CERD/C/CMR/Q/22-23</vt:lpstr>
    </vt:vector>
  </TitlesOfParts>
  <Company>DCM</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CERD/C/CMR/Q/22-23</dc:title>
  <dc:subject/>
  <dc:creator>Christine CHAUTAGNAT</dc:creator>
  <cp:keywords/>
  <cp:lastModifiedBy>Valerie Bertin</cp:lastModifiedBy>
  <cp:revision>3</cp:revision>
  <cp:lastPrinted>2022-02-11T07:05:00Z</cp:lastPrinted>
  <dcterms:created xsi:type="dcterms:W3CDTF">2022-02-11T07:05:00Z</dcterms:created>
  <dcterms:modified xsi:type="dcterms:W3CDTF">2022-02-11T07:06:00Z</dcterms:modified>
</cp:coreProperties>
</file>