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F3A201" w14:textId="77777777" w:rsidR="00646BB0" w:rsidRPr="000941D1" w:rsidRDefault="00646BB0" w:rsidP="00646BB0">
      <w:pPr>
        <w:spacing w:line="240" w:lineRule="auto"/>
        <w:rPr>
          <w:sz w:val="2"/>
        </w:rPr>
        <w:sectPr w:rsidR="00646BB0" w:rsidRPr="000941D1" w:rsidSect="000941D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941D1">
        <w:rPr>
          <w:rStyle w:val="CommentReference"/>
          <w:szCs w:val="20"/>
        </w:rPr>
        <w:commentReference w:id="0"/>
      </w:r>
    </w:p>
    <w:p w14:paraId="7A96BFB1" w14:textId="77777777" w:rsidR="000941D1" w:rsidRPr="005F70B3" w:rsidRDefault="000941D1" w:rsidP="000941D1">
      <w:pPr>
        <w:pStyle w:val="H1"/>
        <w:ind w:right="4147"/>
      </w:pPr>
      <w:r w:rsidRPr="005F70B3">
        <w:rPr>
          <w:bCs/>
        </w:rPr>
        <w:t>Comité para la Eliminación de la Discriminación contra la Mujer</w:t>
      </w:r>
    </w:p>
    <w:p w14:paraId="0444E742" w14:textId="77777777" w:rsidR="000941D1" w:rsidRPr="005F70B3" w:rsidRDefault="000941D1" w:rsidP="000941D1">
      <w:pPr>
        <w:pStyle w:val="Session"/>
        <w:ind w:right="4147"/>
      </w:pPr>
      <w:r w:rsidRPr="005F70B3">
        <w:rPr>
          <w:bCs/>
        </w:rPr>
        <w:t>78º período de sesiones</w:t>
      </w:r>
    </w:p>
    <w:p w14:paraId="62688F7D" w14:textId="77777777" w:rsidR="000941D1" w:rsidRPr="005F70B3" w:rsidRDefault="000941D1" w:rsidP="000941D1">
      <w:pPr>
        <w:ind w:right="4147"/>
      </w:pPr>
      <w:r w:rsidRPr="005F70B3">
        <w:t>8 a 26 de febrero de 2021</w:t>
      </w:r>
    </w:p>
    <w:p w14:paraId="6055974F" w14:textId="77777777" w:rsidR="000941D1" w:rsidRPr="005F70B3" w:rsidRDefault="000941D1" w:rsidP="000941D1">
      <w:pPr>
        <w:pStyle w:val="AgendaItemNormal"/>
        <w:ind w:right="4147"/>
      </w:pPr>
      <w:r w:rsidRPr="005F70B3">
        <w:t>Tema 4 del programa provisional</w:t>
      </w:r>
    </w:p>
    <w:p w14:paraId="4E9A96ED" w14:textId="77777777" w:rsidR="000941D1" w:rsidRPr="005F70B3" w:rsidRDefault="000941D1" w:rsidP="000941D1">
      <w:pPr>
        <w:pStyle w:val="AgendaTitleH2"/>
      </w:pPr>
      <w:r w:rsidRPr="005F70B3">
        <w:t>Examen de los informes presentados por los Estados partes en virtud del artículo 18 de la Convención sobre la Eliminación de Todas las Formas de Discriminación contra la Mujer</w:t>
      </w:r>
    </w:p>
    <w:p w14:paraId="1B9CEB26" w14:textId="77777777" w:rsidR="000941D1" w:rsidRPr="005F70B3" w:rsidRDefault="000941D1" w:rsidP="000941D1">
      <w:pPr>
        <w:pStyle w:val="SingleTxt"/>
        <w:spacing w:after="0" w:line="120" w:lineRule="exact"/>
        <w:rPr>
          <w:sz w:val="10"/>
        </w:rPr>
      </w:pPr>
    </w:p>
    <w:p w14:paraId="6DF5DD9B" w14:textId="77777777" w:rsidR="000941D1" w:rsidRPr="005F70B3" w:rsidRDefault="000941D1" w:rsidP="000941D1">
      <w:pPr>
        <w:pStyle w:val="SingleTxt"/>
        <w:spacing w:after="0" w:line="120" w:lineRule="exact"/>
        <w:rPr>
          <w:sz w:val="10"/>
        </w:rPr>
      </w:pPr>
    </w:p>
    <w:p w14:paraId="0C43641F" w14:textId="77777777" w:rsidR="000941D1" w:rsidRPr="005F70B3" w:rsidRDefault="000941D1" w:rsidP="000941D1">
      <w:pPr>
        <w:pStyle w:val="SingleTxt"/>
        <w:spacing w:after="0" w:line="120" w:lineRule="exact"/>
        <w:rPr>
          <w:sz w:val="10"/>
        </w:rPr>
      </w:pPr>
    </w:p>
    <w:p w14:paraId="3C73077D" w14:textId="706A96E6" w:rsidR="008640B7" w:rsidRDefault="008640B7" w:rsidP="00E97D2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2336" behindDoc="0" locked="0" layoutInCell="1" allowOverlap="1" wp14:anchorId="3BB1B5F1" wp14:editId="5BB4F1A3">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20788281"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t>*</w:t>
      </w:r>
      <w:r>
        <w:rPr>
          <w:spacing w:val="5"/>
          <w:w w:val="104"/>
          <w:kern w:val="14"/>
          <w:sz w:val="17"/>
          <w:szCs w:val="20"/>
        </w:rPr>
        <w:tab/>
      </w:r>
      <w:r w:rsidR="00E97D29" w:rsidRPr="00E97D29">
        <w:rPr>
          <w:spacing w:val="5"/>
          <w:w w:val="104"/>
          <w:kern w:val="14"/>
          <w:sz w:val="17"/>
          <w:szCs w:val="20"/>
        </w:rPr>
        <w:t>Publicado nuevamente por razones técnicas el 15 de febrero de 2021</w:t>
      </w:r>
      <w:r w:rsidR="00E97D29">
        <w:rPr>
          <w:spacing w:val="5"/>
          <w:w w:val="104"/>
          <w:kern w:val="14"/>
          <w:sz w:val="17"/>
          <w:szCs w:val="20"/>
        </w:rPr>
        <w:t>.</w:t>
      </w:r>
    </w:p>
    <w:p w14:paraId="442BE5CC" w14:textId="0A122ACD" w:rsidR="00E97D29" w:rsidRDefault="00E97D29" w:rsidP="00E97D2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rPr>
      </w:pPr>
      <w:r>
        <w:rPr>
          <w:spacing w:val="5"/>
          <w:w w:val="104"/>
          <w:kern w:val="14"/>
          <w:sz w:val="17"/>
          <w:szCs w:val="20"/>
        </w:rPr>
        <w:tab/>
        <w:t>**</w:t>
      </w:r>
      <w:r>
        <w:rPr>
          <w:spacing w:val="5"/>
          <w:w w:val="104"/>
          <w:kern w:val="14"/>
          <w:sz w:val="17"/>
          <w:szCs w:val="20"/>
        </w:rPr>
        <w:tab/>
      </w:r>
      <w:r w:rsidRPr="00E97D29">
        <w:rPr>
          <w:spacing w:val="5"/>
          <w:w w:val="104"/>
          <w:kern w:val="14"/>
          <w:sz w:val="17"/>
          <w:szCs w:val="20"/>
        </w:rPr>
        <w:t>La versión original del presente documento no fue objeto de revisión editorial oficial</w:t>
      </w:r>
      <w:r>
        <w:rPr>
          <w:spacing w:val="5"/>
          <w:w w:val="104"/>
          <w:kern w:val="14"/>
          <w:sz w:val="17"/>
          <w:szCs w:val="20"/>
        </w:rPr>
        <w:t>.</w:t>
      </w:r>
    </w:p>
    <w:p w14:paraId="7600C313" w14:textId="6843E572" w:rsidR="00E97D29" w:rsidRPr="008640B7" w:rsidRDefault="00E97D29" w:rsidP="00E97D2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Pr>
          <w:spacing w:val="5"/>
          <w:w w:val="104"/>
          <w:kern w:val="14"/>
          <w:sz w:val="17"/>
          <w:szCs w:val="20"/>
        </w:rPr>
        <w:tab/>
        <w:t>***</w:t>
      </w:r>
      <w:r>
        <w:rPr>
          <w:spacing w:val="5"/>
          <w:w w:val="104"/>
          <w:kern w:val="14"/>
          <w:sz w:val="17"/>
          <w:szCs w:val="20"/>
        </w:rPr>
        <w:tab/>
      </w:r>
      <w:r w:rsidRPr="00E97D29">
        <w:rPr>
          <w:spacing w:val="5"/>
          <w:w w:val="104"/>
          <w:kern w:val="14"/>
          <w:sz w:val="17"/>
          <w:szCs w:val="20"/>
        </w:rPr>
        <w:t>El anexo del presente documento puede consultarse en la página web del Comité</w:t>
      </w:r>
      <w:r>
        <w:rPr>
          <w:spacing w:val="5"/>
          <w:w w:val="104"/>
          <w:kern w:val="14"/>
          <w:sz w:val="17"/>
          <w:szCs w:val="20"/>
        </w:rPr>
        <w:t>.</w:t>
      </w:r>
    </w:p>
    <w:p w14:paraId="1064A074" w14:textId="6FD1112E" w:rsidR="000941D1" w:rsidRPr="005F70B3" w:rsidRDefault="000941D1" w:rsidP="000941D1">
      <w:pPr>
        <w:pStyle w:val="TitleHCH"/>
        <w:rPr>
          <w:lang w:val="es-ES_tradnl"/>
        </w:rPr>
      </w:pPr>
      <w:r w:rsidRPr="005F70B3">
        <w:rPr>
          <w:lang w:val="es-ES_tradnl"/>
        </w:rPr>
        <w:tab/>
      </w:r>
      <w:r w:rsidRPr="005F70B3">
        <w:rPr>
          <w:lang w:val="es-ES_tradnl"/>
        </w:rPr>
        <w:tab/>
        <w:t>Respuestas de la Federación de Rusia a la lista de cuestiones y preguntas relativas a su noveno informe periódico</w:t>
      </w:r>
      <w:bookmarkStart w:id="1" w:name="TmpSave"/>
      <w:bookmarkEnd w:id="1"/>
      <w:r w:rsidRPr="00525D79">
        <w:rPr>
          <w:b w:val="0"/>
          <w:bCs/>
          <w:sz w:val="20"/>
          <w:szCs w:val="20"/>
          <w:lang w:val="es-ES_tradnl"/>
        </w:rPr>
        <w:t>**</w:t>
      </w:r>
      <w:r w:rsidR="00166786" w:rsidRPr="008640B7">
        <w:rPr>
          <w:b w:val="0"/>
          <w:bCs/>
          <w:sz w:val="20"/>
          <w:vertAlign w:val="superscript"/>
          <w:lang w:val="es-ES_tradnl"/>
        </w:rPr>
        <w:t>,</w:t>
      </w:r>
      <w:r w:rsidR="00166786">
        <w:rPr>
          <w:b w:val="0"/>
          <w:bCs/>
          <w:sz w:val="20"/>
          <w:szCs w:val="20"/>
          <w:lang w:val="es-ES_tradnl"/>
        </w:rPr>
        <w:t>***</w:t>
      </w:r>
    </w:p>
    <w:p w14:paraId="6BA71928" w14:textId="77777777" w:rsidR="000941D1" w:rsidRPr="005F70B3" w:rsidRDefault="000941D1" w:rsidP="000941D1">
      <w:pPr>
        <w:pStyle w:val="SingleTxt"/>
        <w:spacing w:after="0" w:line="120" w:lineRule="exact"/>
        <w:rPr>
          <w:sz w:val="10"/>
        </w:rPr>
      </w:pPr>
    </w:p>
    <w:p w14:paraId="047CF76A" w14:textId="77777777" w:rsidR="000941D1" w:rsidRPr="005F70B3" w:rsidRDefault="000941D1" w:rsidP="000941D1">
      <w:pPr>
        <w:pStyle w:val="SingleTxt"/>
        <w:spacing w:after="0" w:line="120" w:lineRule="exact"/>
        <w:rPr>
          <w:sz w:val="10"/>
        </w:rPr>
      </w:pPr>
    </w:p>
    <w:p w14:paraId="492C55EE" w14:textId="77777777" w:rsidR="000941D1" w:rsidRPr="005F70B3" w:rsidRDefault="000941D1" w:rsidP="000941D1">
      <w:pPr>
        <w:pStyle w:val="SingleTxt"/>
        <w:jc w:val="right"/>
      </w:pPr>
      <w:r w:rsidRPr="005F70B3">
        <w:t>[Fecha de recepción: 5 de noviembre de 2020]</w:t>
      </w:r>
    </w:p>
    <w:p w14:paraId="44E95CAF" w14:textId="77777777" w:rsidR="000941D1" w:rsidRPr="005F70B3" w:rsidRDefault="000941D1" w:rsidP="000941D1">
      <w:pPr>
        <w:suppressAutoHyphens w:val="0"/>
        <w:spacing w:after="200" w:line="276" w:lineRule="auto"/>
      </w:pPr>
      <w:r w:rsidRPr="005F70B3">
        <w:br w:type="page"/>
      </w:r>
      <w:bookmarkStart w:id="2" w:name="_GoBack"/>
      <w:bookmarkEnd w:id="2"/>
    </w:p>
    <w:p w14:paraId="47957B84" w14:textId="77777777" w:rsidR="000941D1" w:rsidRPr="003B0CBB" w:rsidRDefault="000941D1" w:rsidP="005021E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0B7">
        <w:rPr>
          <w:sz w:val="20"/>
        </w:rPr>
        <w:lastRenderedPageBreak/>
        <w:tab/>
      </w:r>
      <w:r w:rsidRPr="005F70B3">
        <w:tab/>
      </w:r>
      <w:r w:rsidRPr="003B0CBB">
        <w:t>Legislación</w:t>
      </w:r>
    </w:p>
    <w:p w14:paraId="4CB05DE7" w14:textId="77777777" w:rsidR="000941D1" w:rsidRPr="003B0CBB" w:rsidRDefault="000941D1" w:rsidP="000941D1">
      <w:pPr>
        <w:pStyle w:val="SingleTxt"/>
        <w:spacing w:after="0" w:line="120" w:lineRule="exact"/>
        <w:rPr>
          <w:sz w:val="10"/>
        </w:rPr>
      </w:pPr>
    </w:p>
    <w:p w14:paraId="250F56CA" w14:textId="77777777" w:rsidR="000941D1" w:rsidRPr="00525D79" w:rsidRDefault="000941D1" w:rsidP="000941D1">
      <w:pPr>
        <w:pStyle w:val="SingleTxt"/>
        <w:spacing w:after="0" w:line="120" w:lineRule="exact"/>
        <w:rPr>
          <w:sz w:val="10"/>
        </w:rPr>
      </w:pPr>
    </w:p>
    <w:p w14:paraId="58813E20" w14:textId="77777777" w:rsidR="000941D1" w:rsidRPr="00525D79"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25D79">
        <w:tab/>
      </w:r>
      <w:r w:rsidRPr="00525D79">
        <w:tab/>
        <w:t>Pregunta 1</w:t>
      </w:r>
    </w:p>
    <w:p w14:paraId="71393B0C" w14:textId="77777777" w:rsidR="000941D1" w:rsidRPr="00525D79" w:rsidRDefault="000941D1" w:rsidP="000941D1">
      <w:pPr>
        <w:pStyle w:val="SingleTxt"/>
        <w:spacing w:after="0" w:line="120" w:lineRule="exact"/>
        <w:rPr>
          <w:sz w:val="10"/>
        </w:rPr>
      </w:pPr>
    </w:p>
    <w:p w14:paraId="3B9B2B01" w14:textId="77777777" w:rsidR="000941D1" w:rsidRPr="00525D79" w:rsidRDefault="000941D1" w:rsidP="000941D1">
      <w:pPr>
        <w:pStyle w:val="SingleTxt"/>
        <w:spacing w:after="0" w:line="120" w:lineRule="exact"/>
        <w:rPr>
          <w:sz w:val="10"/>
        </w:rPr>
      </w:pPr>
    </w:p>
    <w:p w14:paraId="4ACD91B7" w14:textId="77777777" w:rsidR="000941D1" w:rsidRPr="00525D79" w:rsidRDefault="000941D1" w:rsidP="00050D5D">
      <w:pPr>
        <w:pStyle w:val="SingleTxt"/>
        <w:numPr>
          <w:ilvl w:val="0"/>
          <w:numId w:val="5"/>
        </w:numPr>
        <w:spacing w:line="240" w:lineRule="atLeast"/>
        <w:ind w:left="1267" w:firstLine="0"/>
      </w:pPr>
      <w:r w:rsidRPr="00525D79">
        <w:t>La legislación rusa que prohíbe la discriminación contra la mujer se ajusta a las disposiciones de la Convención sobre la Eliminación de Todas las Formas de Discriminación contra la Mujer.</w:t>
      </w:r>
    </w:p>
    <w:p w14:paraId="4B5BF6D7" w14:textId="77777777" w:rsidR="000941D1" w:rsidRPr="00525D79" w:rsidRDefault="000941D1" w:rsidP="00050D5D">
      <w:pPr>
        <w:pStyle w:val="SingleTxt"/>
        <w:numPr>
          <w:ilvl w:val="0"/>
          <w:numId w:val="5"/>
        </w:numPr>
        <w:spacing w:line="240" w:lineRule="atLeast"/>
        <w:ind w:left="1267" w:firstLine="0"/>
      </w:pPr>
      <w:r w:rsidRPr="00525D79">
        <w:t>La Constitución de la Federación de Rusia consagra y garantiza las libertades y los derechos humanos y civiles de conformidad con los principios y las normas del derecho internacional reconocidos universalmente, como se establece en su artículo 17 1). La Constitución garantiza asimismo la igualdad de libertades y derechos humanos y civiles con independencia del sexo, la raza, la nacionalidad</w:t>
      </w:r>
      <w:r w:rsidRPr="003B0CBB">
        <w:t>, el idioma, el origen, el patrimonio</w:t>
      </w:r>
      <w:r w:rsidRPr="00525D79">
        <w:t xml:space="preserve"> o cargo oficial, el lugar de residencia, la actitud hacia la religión, las creencias, la afiliación a asociaciones voluntarias u otras circunstancias y prohíbe toda restricción de los derechos de los ciudadanos por razón de su situación social, raza, nacionalidad, idioma o religión. El artículo 19 de la Constitución establece que los hombres y las mujeres disfrutarán de los mismos derechos y las mismas libertades y tendrán las mismas posibilidades de ejercerlos. Además de disponer que los hombres y las mujeres tienen las mismas oportunidades para hacer efectivos sus derechos y libertades, pone de relieve la necesidad de lograr que las mujeres disfruten plenamente de sus derechos y libertades y de alcanzar la igualdad sustantiva entre hombres y mujeres.</w:t>
      </w:r>
    </w:p>
    <w:p w14:paraId="22197C62" w14:textId="77777777" w:rsidR="000941D1" w:rsidRPr="00525D79" w:rsidRDefault="000941D1" w:rsidP="00050D5D">
      <w:pPr>
        <w:pStyle w:val="SingleTxt"/>
        <w:numPr>
          <w:ilvl w:val="0"/>
          <w:numId w:val="5"/>
        </w:numPr>
        <w:spacing w:line="240" w:lineRule="atLeast"/>
        <w:ind w:left="1267" w:firstLine="0"/>
      </w:pPr>
      <w:r w:rsidRPr="00525D79">
        <w:t>La definición de discriminación establecida en la legislación de la Federación de Rusia también es aplicable a la discriminación por razón de sexo.</w:t>
      </w:r>
    </w:p>
    <w:p w14:paraId="46C5931E" w14:textId="77777777" w:rsidR="000941D1" w:rsidRPr="00525D79" w:rsidRDefault="000941D1" w:rsidP="00050D5D">
      <w:pPr>
        <w:pStyle w:val="SingleTxt"/>
        <w:numPr>
          <w:ilvl w:val="0"/>
          <w:numId w:val="5"/>
        </w:numPr>
        <w:spacing w:line="240" w:lineRule="atLeast"/>
        <w:ind w:left="1267" w:firstLine="0"/>
      </w:pPr>
      <w:r w:rsidRPr="00525D79">
        <w:t>Con arreglo al artículo 5.62 del Código de Infracciones Administrativas de la Federación de Rusia, la discriminación es la vulneración de los derechos humanos y civiles, las libertades y los intereses legítimos por motivos de sexo, raza, color de la piel, nacionalidad, idioma, origen, situación financiera, familiar o social, cargo oficial, edad, lugar de residencia, actitud hacia la religión, creencias o afiliación o no afiliación a organizaciones comunitarias o grupos sociales.</w:t>
      </w:r>
    </w:p>
    <w:p w14:paraId="24A9C5BC" w14:textId="77777777" w:rsidR="000941D1" w:rsidRPr="00525D79" w:rsidRDefault="000941D1" w:rsidP="00050D5D">
      <w:pPr>
        <w:pStyle w:val="SingleTxt"/>
        <w:numPr>
          <w:ilvl w:val="0"/>
          <w:numId w:val="5"/>
        </w:numPr>
        <w:spacing w:line="240" w:lineRule="atLeast"/>
        <w:ind w:left="1267" w:firstLine="0"/>
      </w:pPr>
      <w:r w:rsidRPr="00525D79">
        <w:t>En virtud del artículo 136 del Código Penal de la Federación de Rusia, la discriminación es la vulneración de los derechos, las libertades y los intereses de las personas por motivos de sexo, raza, nacionalidad, idioma, origen, patrimonio o cargo oficial, lugar de residencia, actitud hacia la religión, creencias o afiliación a organizaciones comunitarias o cualquier otro grupo social cometida por una persona en el ejercicio de su cargo oficial.</w:t>
      </w:r>
    </w:p>
    <w:p w14:paraId="20137CFD" w14:textId="77777777" w:rsidR="000941D1" w:rsidRPr="00525D79" w:rsidRDefault="000941D1" w:rsidP="00050D5D">
      <w:pPr>
        <w:pStyle w:val="SingleTxt"/>
        <w:numPr>
          <w:ilvl w:val="0"/>
          <w:numId w:val="5"/>
        </w:numPr>
        <w:spacing w:line="240" w:lineRule="atLeast"/>
        <w:ind w:left="1267" w:firstLine="0"/>
      </w:pPr>
      <w:r w:rsidRPr="00525D79">
        <w:t>Tanto el Código Penal como el Código de Infracciones Administrativas prevén sanciones por actos de discriminación.</w:t>
      </w:r>
    </w:p>
    <w:p w14:paraId="26AEB886" w14:textId="77777777" w:rsidR="000941D1" w:rsidRPr="00525D79" w:rsidRDefault="000941D1" w:rsidP="00050D5D">
      <w:pPr>
        <w:pStyle w:val="SingleTxt"/>
        <w:numPr>
          <w:ilvl w:val="0"/>
          <w:numId w:val="5"/>
        </w:numPr>
        <w:spacing w:line="240" w:lineRule="atLeast"/>
        <w:ind w:left="1267" w:firstLine="0"/>
        <w:rPr>
          <w:spacing w:val="2"/>
          <w:w w:val="102"/>
        </w:rPr>
      </w:pPr>
      <w:r w:rsidRPr="00525D79">
        <w:t>En el octavo informe periódico de la Federación de Rusia se describen en detalle las normas del marco legislativo encaminadas a garantizar la igualdad entre hombres y mujeres y a prohibir la discriminación.</w:t>
      </w:r>
      <w:bookmarkStart w:id="3" w:name="BeginPage"/>
      <w:bookmarkEnd w:id="3"/>
    </w:p>
    <w:p w14:paraId="17E9B284" w14:textId="77777777" w:rsidR="000941D1" w:rsidRPr="00525D79" w:rsidRDefault="000941D1" w:rsidP="00050D5D">
      <w:pPr>
        <w:pStyle w:val="SingleTxt"/>
        <w:numPr>
          <w:ilvl w:val="0"/>
          <w:numId w:val="5"/>
        </w:numPr>
        <w:spacing w:line="240" w:lineRule="atLeast"/>
        <w:ind w:left="1267" w:firstLine="0"/>
      </w:pPr>
      <w:r w:rsidRPr="00525D79">
        <w:t>La adición en la legislación federal de disposiciones jurídicas suplementarias que prohíban la discriminación daría lugar a la duplicación de las normas jurídicas ya existentes.</w:t>
      </w:r>
    </w:p>
    <w:p w14:paraId="7B723084" w14:textId="77777777" w:rsidR="000941D1" w:rsidRPr="00525D79" w:rsidRDefault="000941D1" w:rsidP="00050D5D">
      <w:pPr>
        <w:pStyle w:val="SingleTxt"/>
        <w:numPr>
          <w:ilvl w:val="0"/>
          <w:numId w:val="5"/>
        </w:numPr>
        <w:spacing w:line="240" w:lineRule="atLeast"/>
        <w:ind w:left="1267" w:firstLine="0"/>
        <w:rPr>
          <w:w w:val="102"/>
        </w:rPr>
      </w:pPr>
      <w:r w:rsidRPr="00525D79">
        <w:t xml:space="preserve">Para asegurar el cumplimiento del principio constitucional de no discriminación por motivos de sexo, la protección judicial de los derechos y libertades está garantizada por la Constitución y por la existencia de mecanismos jurídicos especiales. Entre ellos están el examen por el Tribunal Constitucional de la Federación de Rusia de la constitucionalidad de las disposiciones jurídicas, incluida la aplicabilidad del principio constitucional de no discriminación en un determinado </w:t>
      </w:r>
      <w:r w:rsidRPr="00525D79">
        <w:lastRenderedPageBreak/>
        <w:t>caso; y la presentación de recursos al Comisionado de Derechos Humanos de la Federación de Rusia, los órganos de la fiscalía responsables de supervisar el cumplimiento de la Constitución y las leyes vigentes en el territorio de la Federación de Rusia, y el Servicio Federal de Trabajo y Empleo (Rostrud), que se encarga de la vigilancia y la supervisión del trabajo y el empleo.</w:t>
      </w:r>
    </w:p>
    <w:p w14:paraId="66BC2B7E" w14:textId="77777777" w:rsidR="000941D1" w:rsidRPr="003B0CBB" w:rsidRDefault="000941D1" w:rsidP="00050D5D">
      <w:pPr>
        <w:pStyle w:val="SingleTxt"/>
        <w:numPr>
          <w:ilvl w:val="0"/>
          <w:numId w:val="5"/>
        </w:numPr>
        <w:spacing w:line="240" w:lineRule="atLeast"/>
        <w:ind w:left="1267" w:firstLine="0"/>
      </w:pPr>
      <w:r w:rsidRPr="00525D79">
        <w:t xml:space="preserve"> Los gastos correspondientes a esas actividades se sufragan con cargo a los fondos previstos en el presupuesto federal para la ejecución de las actividades corrientes de las autoridades públicas.</w:t>
      </w:r>
    </w:p>
    <w:p w14:paraId="5BDD5E35" w14:textId="77777777" w:rsidR="000941D1" w:rsidRPr="003B0CBB" w:rsidRDefault="000941D1" w:rsidP="000941D1">
      <w:pPr>
        <w:pStyle w:val="SingleTxt"/>
        <w:spacing w:after="0" w:line="120" w:lineRule="exact"/>
        <w:rPr>
          <w:sz w:val="10"/>
        </w:rPr>
      </w:pPr>
    </w:p>
    <w:p w14:paraId="56740480" w14:textId="77777777" w:rsidR="000941D1" w:rsidRPr="003B0CBB" w:rsidRDefault="000941D1" w:rsidP="000941D1">
      <w:pPr>
        <w:pStyle w:val="SingleTxt"/>
        <w:spacing w:after="0" w:line="120" w:lineRule="exact"/>
        <w:rPr>
          <w:sz w:val="10"/>
        </w:rPr>
      </w:pPr>
    </w:p>
    <w:p w14:paraId="3BDD75E5" w14:textId="77777777" w:rsidR="000941D1" w:rsidRPr="00525D79"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5D79">
        <w:tab/>
      </w:r>
      <w:r w:rsidRPr="00525D79">
        <w:tab/>
        <w:t>Acceso de las mujeres a la justicia</w:t>
      </w:r>
    </w:p>
    <w:p w14:paraId="3A00B266" w14:textId="77777777" w:rsidR="000941D1" w:rsidRPr="00525D79" w:rsidRDefault="000941D1" w:rsidP="000941D1">
      <w:pPr>
        <w:pStyle w:val="SingleTxt"/>
        <w:spacing w:after="0" w:line="120" w:lineRule="exact"/>
        <w:rPr>
          <w:sz w:val="10"/>
        </w:rPr>
      </w:pPr>
    </w:p>
    <w:p w14:paraId="47C8D596" w14:textId="77777777" w:rsidR="000941D1" w:rsidRPr="00525D79" w:rsidRDefault="000941D1" w:rsidP="000941D1">
      <w:pPr>
        <w:pStyle w:val="SingleTxt"/>
        <w:spacing w:after="0" w:line="120" w:lineRule="exact"/>
        <w:rPr>
          <w:sz w:val="10"/>
        </w:rPr>
      </w:pPr>
    </w:p>
    <w:p w14:paraId="7EB6AFDC" w14:textId="77777777" w:rsidR="000941D1" w:rsidRPr="00525D79"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25D79">
        <w:tab/>
      </w:r>
      <w:r w:rsidRPr="00525D79">
        <w:tab/>
        <w:t>Pregunta 2</w:t>
      </w:r>
    </w:p>
    <w:p w14:paraId="418578FE" w14:textId="77777777" w:rsidR="000941D1" w:rsidRPr="00525D79" w:rsidRDefault="000941D1" w:rsidP="000941D1">
      <w:pPr>
        <w:pStyle w:val="SingleTxt"/>
        <w:spacing w:after="0" w:line="120" w:lineRule="exact"/>
        <w:rPr>
          <w:sz w:val="10"/>
        </w:rPr>
      </w:pPr>
    </w:p>
    <w:p w14:paraId="387F7BAB" w14:textId="77777777" w:rsidR="000941D1" w:rsidRPr="00525D79" w:rsidRDefault="000941D1" w:rsidP="000941D1">
      <w:pPr>
        <w:pStyle w:val="SingleTxt"/>
        <w:spacing w:after="0" w:line="120" w:lineRule="exact"/>
        <w:rPr>
          <w:sz w:val="10"/>
        </w:rPr>
      </w:pPr>
    </w:p>
    <w:p w14:paraId="0DB82F55" w14:textId="72BFA230" w:rsidR="000941D1" w:rsidRPr="00525D79" w:rsidRDefault="000941D1" w:rsidP="00050D5D">
      <w:pPr>
        <w:pStyle w:val="SingleTxt"/>
        <w:numPr>
          <w:ilvl w:val="0"/>
          <w:numId w:val="5"/>
        </w:numPr>
        <w:spacing w:line="240" w:lineRule="atLeast"/>
        <w:ind w:left="1267" w:firstLine="0"/>
        <w:rPr>
          <w:spacing w:val="2"/>
          <w:w w:val="102"/>
        </w:rPr>
      </w:pPr>
      <w:r w:rsidRPr="00525D79">
        <w:t xml:space="preserve">Los programas de </w:t>
      </w:r>
      <w:r w:rsidRPr="00D43723">
        <w:t xml:space="preserve">readiestramiento </w:t>
      </w:r>
      <w:r w:rsidR="00D43723" w:rsidRPr="00D43723">
        <w:t xml:space="preserve">y capacitación </w:t>
      </w:r>
      <w:r w:rsidRPr="00D43723">
        <w:t>del personal de</w:t>
      </w:r>
      <w:r w:rsidRPr="00525D79">
        <w:t xml:space="preserve"> la fiscalía cubren los siguientes temas relacionados con los derechos de la mujer: “Cuestiones jurídicas relativas a la igualdad de género”, “Garantías estatales de la igualdad de derechos y libertades de hombres y mujeres y la igualdad de oportunidades para hacer efectivos dichos derechos y libertades”, “Protección de los derechos de la mujer en la lucha contra la trata de personas” y “La condición jurídica de la mujer en el islam”.</w:t>
      </w:r>
    </w:p>
    <w:p w14:paraId="6DFC8C0B" w14:textId="77777777" w:rsidR="000941D1" w:rsidRPr="00525D79" w:rsidRDefault="000941D1" w:rsidP="00050D5D">
      <w:pPr>
        <w:pStyle w:val="SingleTxt"/>
        <w:numPr>
          <w:ilvl w:val="0"/>
          <w:numId w:val="5"/>
        </w:numPr>
        <w:spacing w:line="240" w:lineRule="atLeast"/>
        <w:ind w:left="1267" w:firstLine="0"/>
      </w:pPr>
      <w:r w:rsidRPr="00525D79">
        <w:t xml:space="preserve">Como se establece en el artículo 7 1) 3) de la Ley Federal núm. 63-FZ de 31 de mayo de 2002, relativa al ejercicio de la abogacía y al colegio de abogados, los abogados están en la obligación de perfeccionar continuamente sus conocimientos y elevar su nivel de especialización profesional, por iniciativa propia, de conformidad con los requisitos establecidos por el Consejo del Colegio Federal de Abogados y los colegios de abogados de las entidades constitutivas de la Federación de Rusia. Los consejos de los colegios de abogados de las entidades constitutivas de la Federación de Rusia contribuyen </w:t>
      </w:r>
      <w:r>
        <w:t>a</w:t>
      </w:r>
      <w:r w:rsidRPr="003B0CBB">
        <w:t xml:space="preserve">l desarrollo profesional de los abogados por medio de la </w:t>
      </w:r>
      <w:r w:rsidRPr="00525D79">
        <w:t>aprobación de programas de capacitación profesional de abogados,</w:t>
      </w:r>
      <w:r>
        <w:t xml:space="preserve"> </w:t>
      </w:r>
      <w:r w:rsidRPr="00525D79">
        <w:t>asistentes jurídicos y pasantes en los ámbitos indicados por el Consejo del Colegio Federal de Abogados y la organización de cursos de capacitación profesional en el marco de esos programas.</w:t>
      </w:r>
    </w:p>
    <w:p w14:paraId="0C957CBB" w14:textId="77777777" w:rsidR="000941D1" w:rsidRPr="00525D79" w:rsidRDefault="000941D1" w:rsidP="000941D1">
      <w:pPr>
        <w:pStyle w:val="SingleTxt"/>
        <w:spacing w:after="0" w:line="120" w:lineRule="exact"/>
        <w:rPr>
          <w:sz w:val="10"/>
        </w:rPr>
      </w:pPr>
    </w:p>
    <w:p w14:paraId="5DDED9CA" w14:textId="77777777" w:rsidR="000941D1" w:rsidRPr="00525D79" w:rsidRDefault="000941D1" w:rsidP="000941D1">
      <w:pPr>
        <w:pStyle w:val="SingleTxt"/>
        <w:spacing w:after="0" w:line="120" w:lineRule="exact"/>
        <w:rPr>
          <w:sz w:val="10"/>
        </w:rPr>
      </w:pPr>
    </w:p>
    <w:p w14:paraId="4955FBA4" w14:textId="77777777" w:rsidR="000941D1" w:rsidRPr="00525D79"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5D79">
        <w:tab/>
      </w:r>
      <w:r w:rsidRPr="00525D79">
        <w:tab/>
        <w:t>Mecanismos nacionales para el adelanto de la mujer</w:t>
      </w:r>
    </w:p>
    <w:p w14:paraId="02A39394" w14:textId="77777777" w:rsidR="000941D1" w:rsidRPr="00525D79" w:rsidRDefault="000941D1" w:rsidP="000941D1">
      <w:pPr>
        <w:pStyle w:val="SingleTxt"/>
        <w:spacing w:after="0" w:line="120" w:lineRule="exact"/>
        <w:rPr>
          <w:sz w:val="10"/>
        </w:rPr>
      </w:pPr>
    </w:p>
    <w:p w14:paraId="586155CD" w14:textId="77777777" w:rsidR="000941D1" w:rsidRPr="00525D79" w:rsidRDefault="000941D1" w:rsidP="000941D1">
      <w:pPr>
        <w:pStyle w:val="SingleTxt"/>
        <w:spacing w:after="0" w:line="120" w:lineRule="exact"/>
        <w:rPr>
          <w:sz w:val="10"/>
        </w:rPr>
      </w:pPr>
    </w:p>
    <w:p w14:paraId="29258CCB" w14:textId="77777777" w:rsidR="000941D1" w:rsidRPr="00525D79"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25D79">
        <w:tab/>
      </w:r>
      <w:r w:rsidRPr="00525D79">
        <w:tab/>
        <w:t>Pregunta 3</w:t>
      </w:r>
    </w:p>
    <w:p w14:paraId="209700C5" w14:textId="77777777" w:rsidR="000941D1" w:rsidRPr="00525D79" w:rsidRDefault="000941D1" w:rsidP="000941D1">
      <w:pPr>
        <w:pStyle w:val="SingleTxt"/>
        <w:spacing w:after="0" w:line="120" w:lineRule="exact"/>
        <w:rPr>
          <w:sz w:val="10"/>
        </w:rPr>
      </w:pPr>
    </w:p>
    <w:p w14:paraId="5C0541CF" w14:textId="77777777" w:rsidR="000941D1" w:rsidRPr="00525D79" w:rsidRDefault="000941D1" w:rsidP="000941D1">
      <w:pPr>
        <w:pStyle w:val="SingleTxt"/>
        <w:spacing w:after="0" w:line="120" w:lineRule="exact"/>
        <w:rPr>
          <w:sz w:val="10"/>
        </w:rPr>
      </w:pPr>
    </w:p>
    <w:p w14:paraId="50BA7D89" w14:textId="6F9B9D76" w:rsidR="000941D1" w:rsidRPr="00525D79" w:rsidRDefault="000941D1" w:rsidP="00050D5D">
      <w:pPr>
        <w:pStyle w:val="SingleTxt"/>
        <w:numPr>
          <w:ilvl w:val="0"/>
          <w:numId w:val="5"/>
        </w:numPr>
        <w:spacing w:line="240" w:lineRule="atLeast"/>
        <w:ind w:left="1267" w:firstLine="0"/>
        <w:rPr>
          <w:w w:val="102"/>
        </w:rPr>
      </w:pPr>
      <w:r w:rsidRPr="00525D79">
        <w:t>Las prioridades del Estado en favor de la mujer se establecen en documentos estratégicos y tienen como</w:t>
      </w:r>
      <w:r>
        <w:t xml:space="preserve"> </w:t>
      </w:r>
      <w:r w:rsidRPr="00525D79">
        <w:t>objetivo crear las condiciones necesarias para que las mujeres puedan ejercer plenamente sus derechos y libertades. En virtud del Decreto Presidencial núm. 204 de 7 de mayo de 2018, que establece los objetivos nacionales y los objetivos de desarrollo estratégicos de la Federación de Rusia hasta 2024, se han aprobado 12 proyectos nacionales en los ámbitos de la atención sanitaria, la educación, la demografía, la cultura, la seguridad vial y la calidad de las carreteras, la vivienda y los espacios urbanos, el medio ambiente, la ciencia, las pequeñas y medianas empresas y el emprendimiento individual, la economía digital, la productividad laboral y el empleo, y la cooperación internacional y las exportaciones, encaminados a acelerar el desarrollo científico, tecnológico y socioeconómico de la Federación de Rusia. Esos proyectos nacionales incluyen actividades diseñadas para aplicar la Estrategia Nacional de Adelanto de la Mujer para 2017-2022 y promover los derechos y el adelanto de la mujer.</w:t>
      </w:r>
    </w:p>
    <w:p w14:paraId="1D6EDAB8" w14:textId="77777777" w:rsidR="000941D1" w:rsidRPr="005F70B3" w:rsidRDefault="000941D1" w:rsidP="00050D5D">
      <w:pPr>
        <w:pStyle w:val="SingleTxt"/>
        <w:numPr>
          <w:ilvl w:val="0"/>
          <w:numId w:val="5"/>
        </w:numPr>
        <w:spacing w:line="240" w:lineRule="atLeast"/>
        <w:ind w:left="1267" w:firstLine="0"/>
      </w:pPr>
      <w:r w:rsidRPr="00525D79">
        <w:lastRenderedPageBreak/>
        <w:t>Por ejemplo, el proyecto nacional sobre demografía comprende</w:t>
      </w:r>
      <w:r w:rsidRPr="005F70B3">
        <w:t xml:space="preserve"> un proyecto federal titulado “Asistencia financiera a familias con niños recién nacidos”, cuyo propósito es asegurar a las familias con niños un nivel de vida digno proporcionando asistencia financiera en forma de subsidios y pagos en efectivo, pagos de capital de maternidad (familiar) y reducción de los tipos de crédito (préstamo hipotecarios) para vivienda. También engloba un proyecto federal titulado “Garantizar el acceso de los niños menores de tres años a la educación preescolar para apoyar el empleo de la mujer” que incluye actividades de capacitación y desarrollo profesional para mujeres que disfrutan de una licencia parental mientras cuidan de un niño menor de tres años y amplía la capacidad preescolar para que las mujeres con hijos puedan trabajar a tiempo completo. Otro proyecto federal titulado “Personas de edad” tiene como objetivo ayudar a los ancianos a mantener una buena salud y un estilo de vida activo y prolongar su esperanza de vida.</w:t>
      </w:r>
    </w:p>
    <w:p w14:paraId="40C9988A" w14:textId="77777777" w:rsidR="000941D1" w:rsidRPr="005F70B3" w:rsidRDefault="000941D1" w:rsidP="00050D5D">
      <w:pPr>
        <w:pStyle w:val="SingleTxt"/>
        <w:numPr>
          <w:ilvl w:val="0"/>
          <w:numId w:val="5"/>
        </w:numPr>
        <w:spacing w:line="240" w:lineRule="atLeast"/>
        <w:ind w:left="1267" w:firstLine="0"/>
      </w:pPr>
      <w:r w:rsidRPr="005F70B3">
        <w:t>Los objetivos y las actividades previstos en la Estrategia Nacional de Adelanto de la Mujer para 2017-2022 se han incorporado en proyectos nacionales y federales, programas gubernamentales y otras iniciativas que reciben financiación del presupuesto federal, los presupuestos de las entidades constitutivas de la Federación de Rusia y fuentes extrapresupuestarias. Por este motivo, no existe un presupuesto separado para la Estrategia.</w:t>
      </w:r>
    </w:p>
    <w:p w14:paraId="10EDBBDB" w14:textId="56DF6C95" w:rsidR="000941D1" w:rsidRPr="005F70B3" w:rsidRDefault="000941D1" w:rsidP="00050D5D">
      <w:pPr>
        <w:pStyle w:val="SingleTxt"/>
        <w:numPr>
          <w:ilvl w:val="0"/>
          <w:numId w:val="5"/>
        </w:numPr>
        <w:spacing w:line="240" w:lineRule="atLeast"/>
        <w:ind w:left="1267" w:firstLine="0"/>
      </w:pPr>
      <w:r w:rsidRPr="005F70B3">
        <w:t xml:space="preserve">La legislación rusa ya contiene todas las disposiciones sobre igualdad de género necesarias. De conformidad con el artículo 19 3) de la Constitución, se garantiza la igualdad de derechos y libertades a los hombres y las mujeres y la igualdad de oportunidades de ejercerlos. El principio de igualdad de derechos de los hombres y las mujeres está presente en todas las normativas principales y en todas las leyes federales y documentos programáticos pertinentes. Existen dos mecanismos para garantizar la igualdad de género con arreglo a la legislación federal: obligaciones positivas, derivadas de las garantías de igualdad de derechos establecidas en la Constitución y la legislación federal, y obligaciones negativas, derivadas de la prohibición de la discriminación. La mayoría de las leyes federales garantizan la igualdad de derechos disponiendo que la igualdad de acceso a los derechos previstos en ellas está garantizada con independencia del </w:t>
      </w:r>
      <w:r w:rsidR="00AA48A1">
        <w:t>sexo</w:t>
      </w:r>
      <w:r w:rsidR="00AA48A1" w:rsidRPr="005F70B3">
        <w:t xml:space="preserve"> </w:t>
      </w:r>
      <w:r w:rsidRPr="005F70B3">
        <w:t>o cualquier otro motivo, como la raza, la etnia, el origen social o la religión.</w:t>
      </w:r>
    </w:p>
    <w:p w14:paraId="0B4C6C3F" w14:textId="77777777" w:rsidR="000941D1" w:rsidRPr="005F70B3" w:rsidRDefault="000941D1" w:rsidP="00050D5D">
      <w:pPr>
        <w:pStyle w:val="SingleTxt"/>
        <w:numPr>
          <w:ilvl w:val="0"/>
          <w:numId w:val="5"/>
        </w:numPr>
        <w:spacing w:line="240" w:lineRule="atLeast"/>
        <w:ind w:left="1267" w:firstLine="0"/>
      </w:pPr>
      <w:r w:rsidRPr="005F70B3">
        <w:t>No es necesaria una ley separada sobre igualdad de género, puesto que duplicaría las leyes ya vigentes. El plan de acción para aplicar la Estrategia Nacional de Adelanto de la Mujer para 2017-2022 correspondiente al período 2019-2022 se aprobó mediante el Decreto Gubernamental núm. 2943-r de 7 de diciembre de 2019.</w:t>
      </w:r>
    </w:p>
    <w:p w14:paraId="0DE15C65" w14:textId="77777777" w:rsidR="000941D1" w:rsidRPr="005F70B3" w:rsidRDefault="000941D1" w:rsidP="00E97D29">
      <w:pPr>
        <w:pStyle w:val="SingleTxt"/>
        <w:numPr>
          <w:ilvl w:val="0"/>
          <w:numId w:val="5"/>
        </w:numPr>
        <w:spacing w:line="240" w:lineRule="atLeast"/>
        <w:ind w:left="1267" w:firstLine="0"/>
      </w:pPr>
      <w:r w:rsidRPr="005F70B3">
        <w:t>En la página web oficial del Ministerio de Trabajo y Protección Social y en el sistema de información sobre planificación estratégica federal puede encontrarse más información sobre la aplicación de la Estrategia.</w:t>
      </w:r>
    </w:p>
    <w:p w14:paraId="19A24850" w14:textId="77777777" w:rsidR="000941D1" w:rsidRPr="005F70B3" w:rsidRDefault="000941D1" w:rsidP="00E97D29">
      <w:pPr>
        <w:pStyle w:val="SingleTxt"/>
        <w:numPr>
          <w:ilvl w:val="0"/>
          <w:numId w:val="5"/>
        </w:numPr>
        <w:spacing w:line="240" w:lineRule="atLeast"/>
        <w:ind w:left="1267" w:firstLine="0"/>
      </w:pPr>
      <w:r w:rsidRPr="005F70B3">
        <w:t>En 2019, el Ministerio de Industria y Comercio realizó un estudio de las mujeres en el sector industrial, incluido el contexto de la digitalización y la cuarta Revolución Industrial. Se constató que las mujeres representan más de un tercio de las personas empleadas en el sector. Además, trabajaban en una amplia gama de ocupaciones y en numerosas categorías de puestos, desde técnico de nivel básico a gerente y propietario de empresa.</w:t>
      </w:r>
    </w:p>
    <w:p w14:paraId="01BCF2B1" w14:textId="521FA548" w:rsidR="000941D1" w:rsidRPr="005F70B3" w:rsidRDefault="000941D1" w:rsidP="00E97D29">
      <w:pPr>
        <w:pStyle w:val="SingleTxt"/>
        <w:numPr>
          <w:ilvl w:val="0"/>
          <w:numId w:val="5"/>
        </w:numPr>
        <w:spacing w:line="240" w:lineRule="atLeast"/>
        <w:ind w:left="1267" w:firstLine="0"/>
      </w:pPr>
      <w:r w:rsidRPr="005F70B3">
        <w:t>Según un estudio realizado en 2019 por el Servicio Federal de Estadísticas Estatales, el Ministerio de Educación y el Ministerio de Ciencia y Educación Superior, las chicas representaban el 24,6</w:t>
      </w:r>
      <w:r w:rsidR="00B26819">
        <w:t> %</w:t>
      </w:r>
      <w:r w:rsidRPr="005F70B3">
        <w:t xml:space="preserve"> (364.000) de los 1,5 millones de estudiantes que estudiaban ocupaciones industriales en programas de formación profesional secundaria y superior en la Federación de Rusia durante el año académico 2017-2018. </w:t>
      </w:r>
      <w:r w:rsidRPr="005F70B3">
        <w:lastRenderedPageBreak/>
        <w:t>Las chicas representaban el 52,6</w:t>
      </w:r>
      <w:r w:rsidR="00B26819">
        <w:t> %</w:t>
      </w:r>
      <w:r w:rsidRPr="005F70B3">
        <w:t xml:space="preserve"> de los estudiantes matriculados en todo el sistema de formación profesional.</w:t>
      </w:r>
    </w:p>
    <w:p w14:paraId="48B72AAB" w14:textId="77777777" w:rsidR="000941D1" w:rsidRPr="005F70B3" w:rsidRDefault="000941D1" w:rsidP="00E97D29">
      <w:pPr>
        <w:pStyle w:val="SingleTxt"/>
        <w:numPr>
          <w:ilvl w:val="0"/>
          <w:numId w:val="5"/>
        </w:numPr>
        <w:spacing w:line="240" w:lineRule="atLeast"/>
        <w:ind w:left="1267" w:firstLine="0"/>
      </w:pPr>
      <w:r w:rsidRPr="005F70B3">
        <w:t>Se celebraron varias conferencias internacionales y rusas para estudiar formas de atraer a más mujeres a diversos sectores industriales, promover el papel económico de la mujer en la era de la digitalización y preparar a trabajadores calificados para trabajar en el sector industrial. Algunos de estos actos fueron una mesa redonda titulada “El papel de las mujeres ejecutivas en la creación de modelos de negocio de éxito” en el Foro Económico Internacional de San Petersburgo de 2019 (San Petersburgo, 2019); un foro de mujeres titulado “El papel de la mujer en el desarrollo de las regiones industriales” (Novokuznetsk, 2019); la Cumbre Mundial de la Fabricación y la Industrialización (Ekaterimburgo, 2019); y una sesión titulada “Filosofía del espacio: la mujer en el trabajo y en el hogar” en el foro titulado “La salud de la mujer: el bienestar de la nación” (Moscú, 2020).</w:t>
      </w:r>
    </w:p>
    <w:p w14:paraId="35ECCF12" w14:textId="77777777" w:rsidR="000941D1" w:rsidRPr="005F70B3" w:rsidRDefault="000941D1" w:rsidP="00E97D29">
      <w:pPr>
        <w:pStyle w:val="SingleTxt"/>
        <w:numPr>
          <w:ilvl w:val="0"/>
          <w:numId w:val="5"/>
        </w:numPr>
        <w:spacing w:line="240" w:lineRule="atLeast"/>
        <w:ind w:left="1267" w:firstLine="0"/>
      </w:pPr>
      <w:r w:rsidRPr="005F70B3">
        <w:t>Cada tres años se celebra en la Federación de Rusia el Foro de Mujeres Euroasiáticas, un destacado foro internacional influyente sobre el papel de la mujer en la sociedad moderna. El Foro está organizado por el Consejo de la Federación de la Asamblea Federal de la Federación de Rusia y la Asamblea Interparlamentaria de los Estados miembros de la Comunidad de Estados Independientes. Atrae a parlamentarias, representantes del poder ejecutivo, organizaciones internacionales, líderes empresariales, empresas, la comunidad científica, organizaciones sin fines de lucro y líderes de movimientos internacionales de mujeres.</w:t>
      </w:r>
    </w:p>
    <w:p w14:paraId="58D0B410" w14:textId="54557A27" w:rsidR="000941D1" w:rsidRPr="005F70B3" w:rsidRDefault="000941D1" w:rsidP="00050D5D">
      <w:pPr>
        <w:pStyle w:val="SingleTxt"/>
        <w:numPr>
          <w:ilvl w:val="0"/>
          <w:numId w:val="5"/>
        </w:numPr>
        <w:spacing w:line="240" w:lineRule="atLeast"/>
        <w:ind w:left="1267" w:firstLine="0"/>
      </w:pPr>
      <w:r w:rsidRPr="005F70B3">
        <w:t xml:space="preserve">El segundo Foro de Mujeres Euroasiáticas se celebró en septiembre de 2018. El programa de actos del Foro atrajo a 2.000 participantes, incluidos más de 600 participantes extranjeros de 110 </w:t>
      </w:r>
      <w:r w:rsidR="00A67566">
        <w:t>países</w:t>
      </w:r>
      <w:r w:rsidR="00A67566" w:rsidRPr="005F70B3">
        <w:t xml:space="preserve"> </w:t>
      </w:r>
      <w:r w:rsidRPr="005F70B3">
        <w:t>y 27 organizaciones e instituciones internacionales.</w:t>
      </w:r>
    </w:p>
    <w:p w14:paraId="5998B170" w14:textId="77777777" w:rsidR="000941D1" w:rsidRPr="005F70B3" w:rsidRDefault="000941D1" w:rsidP="00050D5D">
      <w:pPr>
        <w:pStyle w:val="SingleTxt"/>
        <w:numPr>
          <w:ilvl w:val="0"/>
          <w:numId w:val="5"/>
        </w:numPr>
        <w:spacing w:line="240" w:lineRule="atLeast"/>
        <w:ind w:left="1267" w:firstLine="0"/>
      </w:pPr>
      <w:r w:rsidRPr="005F70B3">
        <w:t>Está previsto que el tercer Foro de Mujeres Euroasiáticas se celebre en septiembre de 2021.</w:t>
      </w:r>
    </w:p>
    <w:p w14:paraId="51DBF78B" w14:textId="77777777" w:rsidR="000941D1" w:rsidRPr="005F70B3" w:rsidRDefault="000941D1" w:rsidP="00050D5D">
      <w:pPr>
        <w:pStyle w:val="SingleTxt"/>
        <w:numPr>
          <w:ilvl w:val="0"/>
          <w:numId w:val="5"/>
        </w:numPr>
        <w:spacing w:line="240" w:lineRule="atLeast"/>
        <w:ind w:left="1267" w:firstLine="0"/>
      </w:pPr>
      <w:r w:rsidRPr="005F70B3">
        <w:t>En el marco del proyecto conjunto de la Federación de Rusia y el Consejo de Europa titulado “Cooperación en la aplicación de la Estrategia Nacional de Adelanto de la Mujer para 2017-2022 de la Federación de Rusia”, cuyo objetivo es aumentar la participación de las mujeres en la vida social y política, se han celebrado varios seminarios sobre formas de aumentar la participación femenina en la toma de decisiones sociales y políticas y una sesión de capacitación para periodistas sobre mejores prácticas de uso de los medios de comunicación para cubrir procesos de toma de decisiones gubernamentales y políticas. Se publicó un estudio sobre formas de lograr la participación equilibrada de mujeres y hombres en procesos de toma de decisiones políticas y sociales importantes en la Federación de Rusia, que también puso de relieve mejores prácticas en Europa en este sentido.</w:t>
      </w:r>
    </w:p>
    <w:p w14:paraId="7EB471E0" w14:textId="766DB950" w:rsidR="000941D1" w:rsidRPr="005F70B3" w:rsidRDefault="000941D1" w:rsidP="00050D5D">
      <w:pPr>
        <w:pStyle w:val="SingleTxt"/>
        <w:numPr>
          <w:ilvl w:val="0"/>
          <w:numId w:val="5"/>
        </w:numPr>
        <w:spacing w:line="240" w:lineRule="atLeast"/>
        <w:ind w:left="1267" w:firstLine="0"/>
      </w:pPr>
      <w:r w:rsidRPr="005F70B3">
        <w:t>En el período 2018-2020 se celebraron varios actos para ampliar el papel de la mujer en la vida pública y política, entre ellos el 14º concurso nacional de mujeres empresarias titulado “Éxito” (2018); la entrega del premio nacional a la Mujer del Año; el foro internacional “</w:t>
      </w:r>
      <w:r w:rsidR="00AB78B2">
        <w:t xml:space="preserve">La </w:t>
      </w:r>
      <w:r w:rsidRPr="005F70B3">
        <w:t xml:space="preserve">Mujer que </w:t>
      </w:r>
      <w:r w:rsidR="00845592">
        <w:t>I</w:t>
      </w:r>
      <w:r w:rsidRPr="005F70B3">
        <w:t>mporta”; y el 22º concurso nacional “Directora del Año”.</w:t>
      </w:r>
    </w:p>
    <w:p w14:paraId="6B818B2B" w14:textId="77777777" w:rsidR="000941D1" w:rsidRPr="005F70B3" w:rsidRDefault="000941D1" w:rsidP="00050D5D">
      <w:pPr>
        <w:pStyle w:val="SingleTxt"/>
        <w:numPr>
          <w:ilvl w:val="0"/>
          <w:numId w:val="5"/>
        </w:numPr>
        <w:spacing w:line="240" w:lineRule="atLeast"/>
        <w:ind w:left="1267" w:firstLine="0"/>
      </w:pPr>
      <w:r w:rsidRPr="005F70B3">
        <w:t>En un esfuerzo por prevenir delitos en la esfera familiar y doméstica, los agentes de policía están llevando a cabo un trabajo preventivo cara a cara con 1,1 millones de delincuentes fichados, de los cuales 72.000 han cometido este tipo de delitos.</w:t>
      </w:r>
    </w:p>
    <w:p w14:paraId="63C4E6EE" w14:textId="02F8F4B4" w:rsidR="000941D1" w:rsidRPr="005F70B3" w:rsidRDefault="000941D1" w:rsidP="00050D5D">
      <w:pPr>
        <w:pStyle w:val="SingleTxt"/>
        <w:numPr>
          <w:ilvl w:val="0"/>
          <w:numId w:val="5"/>
        </w:numPr>
        <w:spacing w:line="240" w:lineRule="atLeast"/>
        <w:ind w:left="1267" w:firstLine="0"/>
        <w:rPr>
          <w:spacing w:val="2"/>
          <w:w w:val="102"/>
        </w:rPr>
      </w:pPr>
      <w:r w:rsidRPr="005F70B3">
        <w:t>El número total de delitos en la esfera familiar y doméstica ha disminuido de forma constante durante los últimos tres años (39,7</w:t>
      </w:r>
      <w:r w:rsidR="00B26819">
        <w:t> %</w:t>
      </w:r>
      <w:r w:rsidRPr="005F70B3">
        <w:t xml:space="preserve"> en 2017, 10,7</w:t>
      </w:r>
      <w:r w:rsidR="00ED2788">
        <w:t> </w:t>
      </w:r>
      <w:r w:rsidR="00B26819">
        <w:t>%</w:t>
      </w:r>
      <w:r w:rsidRPr="005F70B3">
        <w:t xml:space="preserve"> en 2018 y 6,6</w:t>
      </w:r>
      <w:r w:rsidR="000D07DB">
        <w:t> </w:t>
      </w:r>
      <w:r w:rsidR="00B26819">
        <w:t>%</w:t>
      </w:r>
      <w:r w:rsidRPr="005F70B3">
        <w:t xml:space="preserve"> en 2019), al igual que su porcentaje en el número total de infracciones penales (3</w:t>
      </w:r>
      <w:r w:rsidR="00B26819">
        <w:t> %</w:t>
      </w:r>
      <w:r w:rsidRPr="005F70B3">
        <w:t xml:space="preserve"> en 2016, 1,9</w:t>
      </w:r>
      <w:r w:rsidR="00B26819">
        <w:t> %</w:t>
      </w:r>
      <w:r w:rsidRPr="005F70B3">
        <w:t xml:space="preserve"> en 2017, 1,8</w:t>
      </w:r>
      <w:r w:rsidR="00B26819">
        <w:t> %</w:t>
      </w:r>
      <w:r w:rsidRPr="005F70B3">
        <w:t xml:space="preserve"> en 2018 y 1,6</w:t>
      </w:r>
      <w:r w:rsidR="00B26819">
        <w:t> %</w:t>
      </w:r>
      <w:r w:rsidRPr="005F70B3">
        <w:t xml:space="preserve"> en 2019).</w:t>
      </w:r>
    </w:p>
    <w:p w14:paraId="13DC3179" w14:textId="23D0519E" w:rsidR="000941D1" w:rsidRPr="005F70B3" w:rsidRDefault="000941D1" w:rsidP="00050D5D">
      <w:pPr>
        <w:pStyle w:val="SingleTxt"/>
        <w:keepNext/>
        <w:keepLines/>
        <w:numPr>
          <w:ilvl w:val="0"/>
          <w:numId w:val="5"/>
        </w:numPr>
        <w:spacing w:line="240" w:lineRule="atLeast"/>
        <w:ind w:left="1264" w:right="1264" w:firstLine="0"/>
      </w:pPr>
      <w:r w:rsidRPr="005F70B3">
        <w:lastRenderedPageBreak/>
        <w:t>La gravedad de los delitos en el ámbito familiar y doméstico también se ha reducido. En los últimos cinco años, en el período comprendido entre 2015 y 2019, el número de delitos graves y especialmente graves en la esfera doméstica y familiar cayó un 24,3</w:t>
      </w:r>
      <w:r w:rsidR="00B26819">
        <w:t> %</w:t>
      </w:r>
      <w:r w:rsidRPr="005F70B3">
        <w:t>, pasando de 4.300 a 3.200.</w:t>
      </w:r>
    </w:p>
    <w:p w14:paraId="0162AFD9" w14:textId="77777777" w:rsidR="000941D1" w:rsidRPr="005F70B3" w:rsidRDefault="000941D1" w:rsidP="00050D5D">
      <w:pPr>
        <w:pStyle w:val="SingleTxt"/>
        <w:keepNext/>
        <w:keepLines/>
        <w:numPr>
          <w:ilvl w:val="0"/>
          <w:numId w:val="5"/>
        </w:numPr>
        <w:spacing w:line="240" w:lineRule="atLeast"/>
        <w:ind w:left="1264" w:right="1264" w:firstLine="0"/>
      </w:pPr>
      <w:r w:rsidRPr="005F70B3">
        <w:t>El número de este tipo de delitos continuó cayendo durante los primeros seis meses de 2020.</w:t>
      </w:r>
    </w:p>
    <w:p w14:paraId="4200D6D9" w14:textId="77777777" w:rsidR="000941D1" w:rsidRPr="005F70B3" w:rsidRDefault="000941D1" w:rsidP="00050D5D">
      <w:pPr>
        <w:pStyle w:val="SingleTxt"/>
        <w:numPr>
          <w:ilvl w:val="0"/>
          <w:numId w:val="5"/>
        </w:numPr>
        <w:spacing w:line="240" w:lineRule="atLeast"/>
        <w:ind w:left="1267" w:firstLine="0"/>
        <w:rPr>
          <w:w w:val="102"/>
        </w:rPr>
      </w:pPr>
      <w:r w:rsidRPr="005F70B3">
        <w:t>En el marco del proyecto conjunto de la Federación de Rusia y el Consejo de Europa se celebraron varios actos centrados en la prevención de la desventaja social de las mujeres y la violencia contra la mujer, como seminarios sobre prevención de la violencia contra la mujer en general y la violencia doméstica en particular, también a nivel regional; una sesión de capacitación para periodistas sobre concienciación de las medidas para prevenir y combatir la violencia contra la mujer; y un concurso a la mejor campaña de concienciación pública sobre el tema “Prevención de la violencia contra la mujer” y al mejor reportaje sobre el tema “Participación de las mujeres en la vida pública y política” destinado a exponer y difundir las mejores prácticas de los medios de comunicación en relación con estos temas.</w:t>
      </w:r>
    </w:p>
    <w:p w14:paraId="353F1375" w14:textId="77777777" w:rsidR="000941D1" w:rsidRPr="005F70B3" w:rsidRDefault="000941D1" w:rsidP="00050D5D">
      <w:pPr>
        <w:pStyle w:val="SingleTxt"/>
        <w:numPr>
          <w:ilvl w:val="0"/>
          <w:numId w:val="5"/>
        </w:numPr>
        <w:spacing w:line="240" w:lineRule="atLeast"/>
        <w:ind w:left="1267" w:firstLine="0"/>
      </w:pPr>
      <w:r w:rsidRPr="005F70B3">
        <w:t>Un grupo de expertos internacionales y rusos del Consejo de Europa publicó un estudio sobre formas de prevenir y combatir la violencia contra la mujer y la violencia doméstica, también en entornos socialmente desfavorecidos, en la Federación de Rusia. En el estudio se examinaba el marco jurídico ruso y se resumían buenas prácticas de otros países en la materia.</w:t>
      </w:r>
    </w:p>
    <w:p w14:paraId="4FDA3F87" w14:textId="77777777" w:rsidR="000941D1" w:rsidRPr="005F70B3" w:rsidRDefault="000941D1" w:rsidP="00050D5D">
      <w:pPr>
        <w:pStyle w:val="SingleTxt"/>
        <w:numPr>
          <w:ilvl w:val="0"/>
          <w:numId w:val="5"/>
        </w:numPr>
        <w:spacing w:line="240" w:lineRule="atLeast"/>
        <w:ind w:left="1267" w:firstLine="0"/>
      </w:pPr>
      <w:r w:rsidRPr="005F70B3">
        <w:t>Con el fin de ayudar a las mujeres con hijos menores a ser más competitivas en el mercado laboral, lograr una mayor movilidad profesional y aumentar su tasa de empleo, se están llevando a cabo varias actividades para organizar cursos de formación profesional y formación profesional complementaria para mujeres que tienen que cambiar su esfera de actividad o profesión o dominar nuevas aptitudes profesionales antes de volver a trabajar después de la licencia parental. Estas medidas permiten a las mujeres ser derivadas a formación profesional por las agencias de empleo gubernamentales y volver a su anterior trabajo habiendo actualizado sus conocimientos y aptitudes profesionales o encontrar un trabajo más compatible con las responsabilidades de crianza.</w:t>
      </w:r>
    </w:p>
    <w:p w14:paraId="02C3F796" w14:textId="77777777" w:rsidR="000941D1" w:rsidRPr="005F70B3" w:rsidRDefault="000941D1" w:rsidP="00050D5D">
      <w:pPr>
        <w:pStyle w:val="SingleTxt"/>
        <w:numPr>
          <w:ilvl w:val="0"/>
          <w:numId w:val="5"/>
        </w:numPr>
        <w:spacing w:line="240" w:lineRule="atLeast"/>
        <w:ind w:left="1267" w:firstLine="0"/>
      </w:pPr>
      <w:r w:rsidRPr="005F70B3">
        <w:t>Desde 2020, las entidades constitutivas de la Federación de Rusia se encargan de organizar cursos de capacitación y educación permanente, con financiación del presupuesto federal, para mujeres con hijos menores de tres años que disfrutan de una licencia parental y mujeres con hijos en edad preescolar que no tienen empleo y han recurrido a las agencias de empleo gubernamentales para recibir asistencia. Se espera que las actividades de capacitación lleguen a 40.000 mujeres de las categorías mencionadas cada año durante el período 2020-2021 y a 50.000 mujeres cada año durante el período 2022-2024.</w:t>
      </w:r>
    </w:p>
    <w:p w14:paraId="32FDEB4B" w14:textId="77777777" w:rsidR="000941D1" w:rsidRPr="005F70B3" w:rsidRDefault="000941D1" w:rsidP="00050D5D">
      <w:pPr>
        <w:pStyle w:val="SingleTxt"/>
        <w:numPr>
          <w:ilvl w:val="0"/>
          <w:numId w:val="5"/>
        </w:numPr>
        <w:spacing w:line="240" w:lineRule="atLeast"/>
        <w:ind w:left="1267" w:firstLine="0"/>
      </w:pPr>
      <w:r w:rsidRPr="005F70B3">
        <w:t>En los párrafos 203 a 210 del noveno informe periódico de la Federación de Rusia sobre la aplicación de las disposiciones de la Convención sobre la Eliminación de Todas las Formas de Discriminación contra la Mujer se facilita información sobre los resultados de mitad de período de la Estrategia Nacional de Adelanto de la Mujer para 2017-2022 con respecto a la mejora de la recopilación de estadísticas desglosadas por sexo.</w:t>
      </w:r>
    </w:p>
    <w:p w14:paraId="52385FC2" w14:textId="77777777" w:rsidR="000941D1" w:rsidRPr="005F70B3" w:rsidRDefault="000941D1" w:rsidP="00050D5D">
      <w:pPr>
        <w:pStyle w:val="SingleTxt"/>
        <w:numPr>
          <w:ilvl w:val="0"/>
          <w:numId w:val="5"/>
        </w:numPr>
        <w:spacing w:line="240" w:lineRule="atLeast"/>
        <w:ind w:left="1267" w:firstLine="0"/>
      </w:pPr>
      <w:r w:rsidRPr="005F70B3">
        <w:t>Además, desde 2020 se recopilan estadísticas sobre la tasa de empleo de mujeres con hijos menores de tres años y la tasa de empleo de mujeres con hijos en edad preescolar.</w:t>
      </w:r>
    </w:p>
    <w:p w14:paraId="57BE7934" w14:textId="77777777" w:rsidR="000941D1" w:rsidRPr="005F70B3" w:rsidRDefault="000941D1" w:rsidP="000941D1">
      <w:pPr>
        <w:pStyle w:val="SingleTxt"/>
        <w:spacing w:after="0" w:line="120" w:lineRule="exact"/>
        <w:rPr>
          <w:sz w:val="10"/>
        </w:rPr>
      </w:pPr>
    </w:p>
    <w:p w14:paraId="413CB707" w14:textId="77777777" w:rsidR="000941D1" w:rsidRPr="005F70B3" w:rsidRDefault="000941D1" w:rsidP="000941D1">
      <w:pPr>
        <w:pStyle w:val="SingleTxt"/>
        <w:spacing w:after="0" w:line="120" w:lineRule="exact"/>
        <w:rPr>
          <w:sz w:val="10"/>
        </w:rPr>
      </w:pPr>
    </w:p>
    <w:p w14:paraId="51465A0A"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lastRenderedPageBreak/>
        <w:tab/>
      </w:r>
      <w:r w:rsidRPr="005F70B3">
        <w:tab/>
        <w:t>Pregunta 4</w:t>
      </w:r>
    </w:p>
    <w:p w14:paraId="12F90AF3" w14:textId="77777777" w:rsidR="000941D1" w:rsidRPr="005F70B3" w:rsidRDefault="000941D1" w:rsidP="000941D1">
      <w:pPr>
        <w:pStyle w:val="SingleTxt"/>
        <w:keepNext/>
        <w:keepLines/>
        <w:spacing w:after="0" w:line="120" w:lineRule="exact"/>
        <w:ind w:left="1264"/>
        <w:rPr>
          <w:sz w:val="10"/>
        </w:rPr>
      </w:pPr>
    </w:p>
    <w:p w14:paraId="7725D388" w14:textId="77777777" w:rsidR="000941D1" w:rsidRPr="005F70B3" w:rsidRDefault="000941D1" w:rsidP="000941D1">
      <w:pPr>
        <w:pStyle w:val="SingleTxt"/>
        <w:keepNext/>
        <w:keepLines/>
        <w:spacing w:after="0" w:line="120" w:lineRule="exact"/>
        <w:ind w:left="1264"/>
        <w:rPr>
          <w:sz w:val="10"/>
        </w:rPr>
      </w:pPr>
    </w:p>
    <w:p w14:paraId="0130FEA6" w14:textId="6A6B31BD" w:rsidR="000941D1" w:rsidRPr="005F70B3" w:rsidRDefault="000941D1" w:rsidP="00050D5D">
      <w:pPr>
        <w:pStyle w:val="SingleTxt"/>
        <w:keepNext/>
        <w:keepLines/>
        <w:numPr>
          <w:ilvl w:val="0"/>
          <w:numId w:val="5"/>
        </w:numPr>
        <w:spacing w:line="240" w:lineRule="atLeast"/>
        <w:ind w:left="1264" w:firstLine="0"/>
      </w:pPr>
      <w:r w:rsidRPr="005F70B3">
        <w:t xml:space="preserve">El Comisionado de Derechos Humanos </w:t>
      </w:r>
      <w:r w:rsidR="004F10F6">
        <w:t>en</w:t>
      </w:r>
      <w:r w:rsidRPr="005F70B3">
        <w:t xml:space="preserve"> la Federación de Rusia examina las quejas relativas a decisiones y acciones (inacciones) de organismos estatales, órganos de gobierno local, funcionarios y empleados públicos, siempre que el solicitante haya presentado previamente una queja relativa a dichas decisiones y acciones (inacciones) utilizando un procedimiento judicial o administrativo y no esté conforme con la resolución dictada.</w:t>
      </w:r>
    </w:p>
    <w:p w14:paraId="4FA5CBB1" w14:textId="66624680" w:rsidR="000941D1" w:rsidRPr="005F70B3" w:rsidRDefault="000941D1" w:rsidP="00050D5D">
      <w:pPr>
        <w:pStyle w:val="SingleTxt"/>
        <w:numPr>
          <w:ilvl w:val="0"/>
          <w:numId w:val="5"/>
        </w:numPr>
        <w:spacing w:line="240" w:lineRule="atLeast"/>
        <w:ind w:left="1267" w:firstLine="0"/>
      </w:pPr>
      <w:r w:rsidRPr="005F70B3">
        <w:t>El Comisionado también recibe quejas de</w:t>
      </w:r>
      <w:r w:rsidR="00353AF1">
        <w:t xml:space="preserve"> </w:t>
      </w:r>
      <w:r w:rsidRPr="005F70B3">
        <w:t>l</w:t>
      </w:r>
      <w:r w:rsidR="00353AF1">
        <w:t>os</w:t>
      </w:r>
      <w:r w:rsidRPr="005F70B3">
        <w:t xml:space="preserve"> </w:t>
      </w:r>
      <w:r w:rsidR="00353AF1">
        <w:t>ciuda</w:t>
      </w:r>
      <w:r w:rsidR="000A4E02">
        <w:t>danos</w:t>
      </w:r>
      <w:r w:rsidR="00353AF1" w:rsidRPr="005F70B3">
        <w:t xml:space="preserve"> </w:t>
      </w:r>
      <w:r w:rsidRPr="005F70B3">
        <w:t xml:space="preserve">no solo con respecto a las acciones (inacciones) y decisiones de autoridades públicas, sino también con respecto a las acciones de instituciones no gubernamentales, en particular en relación con controversias laborales, </w:t>
      </w:r>
      <w:r w:rsidR="00C87B51">
        <w:t xml:space="preserve">la atención </w:t>
      </w:r>
      <w:r w:rsidR="00F86594">
        <w:t>de</w:t>
      </w:r>
      <w:r w:rsidR="00C87B51">
        <w:t xml:space="preserve"> la </w:t>
      </w:r>
      <w:r w:rsidRPr="005F70B3">
        <w:t>salud</w:t>
      </w:r>
      <w:r w:rsidR="00FD22FE">
        <w:t xml:space="preserve"> </w:t>
      </w:r>
      <w:r w:rsidRPr="005F70B3">
        <w:t xml:space="preserve">y </w:t>
      </w:r>
      <w:r w:rsidR="00F86594">
        <w:t xml:space="preserve">la </w:t>
      </w:r>
      <w:r w:rsidRPr="005F70B3">
        <w:t>educación, pero no está autorizado con arreglo a las normativas vigentes a examinar todo tipo de quejas.</w:t>
      </w:r>
    </w:p>
    <w:p w14:paraId="268437A5" w14:textId="6344E7F2" w:rsidR="000941D1" w:rsidRPr="005F70B3" w:rsidRDefault="000941D1" w:rsidP="00050D5D">
      <w:pPr>
        <w:pStyle w:val="SingleTxt"/>
        <w:numPr>
          <w:ilvl w:val="0"/>
          <w:numId w:val="5"/>
        </w:numPr>
        <w:spacing w:line="240" w:lineRule="atLeast"/>
        <w:ind w:left="1267" w:firstLine="0"/>
      </w:pPr>
      <w:r w:rsidRPr="005F70B3">
        <w:t xml:space="preserve">Actualmente se está estudiando una ley constitucional federal que modificaría las normativas que regulan las actividades del Comisionado y ampliaría la gama de instituciones cuyas acciones y decisiones pueden recurrirse ante él, incluidas las relacionadas con controversias laborales, </w:t>
      </w:r>
      <w:r w:rsidR="00F86594">
        <w:t xml:space="preserve">la atención de la </w:t>
      </w:r>
      <w:r w:rsidRPr="005F70B3">
        <w:t>salud</w:t>
      </w:r>
      <w:r w:rsidR="00FD22FE">
        <w:t xml:space="preserve"> </w:t>
      </w:r>
      <w:r w:rsidRPr="005F70B3">
        <w:t xml:space="preserve">y </w:t>
      </w:r>
      <w:r w:rsidR="00F86594">
        <w:t xml:space="preserve">la </w:t>
      </w:r>
      <w:r w:rsidRPr="005F70B3">
        <w:t>educación.</w:t>
      </w:r>
    </w:p>
    <w:p w14:paraId="39577AED" w14:textId="77777777" w:rsidR="000941D1" w:rsidRPr="005F70B3" w:rsidRDefault="000941D1" w:rsidP="000941D1">
      <w:pPr>
        <w:pStyle w:val="SingleTxt"/>
        <w:spacing w:after="0" w:line="120" w:lineRule="exact"/>
        <w:rPr>
          <w:sz w:val="10"/>
        </w:rPr>
      </w:pPr>
    </w:p>
    <w:p w14:paraId="6C13A299" w14:textId="77777777" w:rsidR="000941D1" w:rsidRPr="005F70B3" w:rsidRDefault="000941D1" w:rsidP="000941D1">
      <w:pPr>
        <w:pStyle w:val="SingleTxt"/>
        <w:spacing w:after="0" w:line="120" w:lineRule="exact"/>
        <w:rPr>
          <w:sz w:val="10"/>
        </w:rPr>
      </w:pPr>
    </w:p>
    <w:p w14:paraId="4851B2E1"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Sociedad civil y organizaciones no gubernamentales</w:t>
      </w:r>
    </w:p>
    <w:p w14:paraId="01483FC7" w14:textId="77777777" w:rsidR="000941D1" w:rsidRPr="005F70B3" w:rsidRDefault="000941D1" w:rsidP="000941D1">
      <w:pPr>
        <w:pStyle w:val="SingleTxt"/>
        <w:spacing w:after="0" w:line="120" w:lineRule="exact"/>
        <w:rPr>
          <w:sz w:val="10"/>
        </w:rPr>
      </w:pPr>
    </w:p>
    <w:p w14:paraId="4BC36732" w14:textId="77777777" w:rsidR="000941D1" w:rsidRPr="005F70B3" w:rsidRDefault="000941D1" w:rsidP="000941D1">
      <w:pPr>
        <w:pStyle w:val="SingleTxt"/>
        <w:spacing w:after="0" w:line="120" w:lineRule="exact"/>
        <w:rPr>
          <w:sz w:val="10"/>
        </w:rPr>
      </w:pPr>
    </w:p>
    <w:p w14:paraId="225AC1F5"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5</w:t>
      </w:r>
    </w:p>
    <w:p w14:paraId="0ECF9C50" w14:textId="77777777" w:rsidR="000941D1" w:rsidRPr="005F70B3" w:rsidRDefault="000941D1" w:rsidP="000941D1">
      <w:pPr>
        <w:pStyle w:val="SingleTxt"/>
        <w:spacing w:after="0" w:line="120" w:lineRule="exact"/>
        <w:rPr>
          <w:sz w:val="10"/>
        </w:rPr>
      </w:pPr>
    </w:p>
    <w:p w14:paraId="4DAC6767" w14:textId="77777777" w:rsidR="000941D1" w:rsidRPr="005F70B3" w:rsidRDefault="000941D1" w:rsidP="000941D1">
      <w:pPr>
        <w:pStyle w:val="SingleTxt"/>
        <w:spacing w:after="0" w:line="120" w:lineRule="exact"/>
        <w:rPr>
          <w:sz w:val="10"/>
        </w:rPr>
      </w:pPr>
    </w:p>
    <w:p w14:paraId="6A07B90D" w14:textId="21D08E86" w:rsidR="000941D1" w:rsidRPr="005F70B3" w:rsidRDefault="000941D1" w:rsidP="00050D5D">
      <w:pPr>
        <w:pStyle w:val="SingleTxt"/>
        <w:numPr>
          <w:ilvl w:val="0"/>
          <w:numId w:val="5"/>
        </w:numPr>
        <w:spacing w:line="240" w:lineRule="atLeast"/>
        <w:ind w:left="1267" w:firstLine="0"/>
        <w:rPr>
          <w:spacing w:val="2"/>
          <w:w w:val="102"/>
        </w:rPr>
      </w:pPr>
      <w:r w:rsidRPr="005F70B3">
        <w:t xml:space="preserve">El registro de organizaciones sin fines de lucro que actúan como agentes extranjeros contiene información sobre 12 organizaciones que se dedican (dedicaban) activamente a la promoción </w:t>
      </w:r>
      <w:r w:rsidR="004212CB">
        <w:t>y</w:t>
      </w:r>
      <w:r w:rsidR="004212CB" w:rsidRPr="005F70B3">
        <w:t xml:space="preserve"> </w:t>
      </w:r>
      <w:r w:rsidRPr="005F70B3">
        <w:t xml:space="preserve">protección de los derechos civiles, políticos, económicos y sociales de la mujer, la promoción de la participación y la independencia de la mujer y la </w:t>
      </w:r>
      <w:r w:rsidR="00FE3636">
        <w:t xml:space="preserve">activa </w:t>
      </w:r>
      <w:r w:rsidR="00884ADA">
        <w:t>movilización</w:t>
      </w:r>
      <w:r w:rsidR="00FE3636" w:rsidRPr="005F70B3">
        <w:t xml:space="preserve"> </w:t>
      </w:r>
      <w:r w:rsidRPr="005F70B3">
        <w:t xml:space="preserve">de </w:t>
      </w:r>
      <w:r w:rsidR="00BF5D08">
        <w:t xml:space="preserve">las </w:t>
      </w:r>
      <w:r w:rsidRPr="005F70B3">
        <w:t xml:space="preserve">mujeres </w:t>
      </w:r>
      <w:r w:rsidR="00BF5D08">
        <w:t>en la gest</w:t>
      </w:r>
      <w:r w:rsidR="00640EF7">
        <w:t xml:space="preserve">ión de los asuntos de la sociedad y el </w:t>
      </w:r>
      <w:r w:rsidR="00845592">
        <w:t>E</w:t>
      </w:r>
      <w:r w:rsidR="00640EF7">
        <w:t>stado</w:t>
      </w:r>
      <w:r w:rsidRPr="005F70B3">
        <w:t>. De ellas, 4 organizaciones sin fines de lucro se eliminaron del registro tras su cierre y 5 tras el cese de las actividades como agentes extranjeros.</w:t>
      </w:r>
    </w:p>
    <w:p w14:paraId="4553115F" w14:textId="77777777" w:rsidR="000941D1" w:rsidRPr="005F70B3" w:rsidRDefault="000941D1" w:rsidP="00050D5D">
      <w:pPr>
        <w:pStyle w:val="SingleTxt"/>
        <w:numPr>
          <w:ilvl w:val="0"/>
          <w:numId w:val="5"/>
        </w:numPr>
        <w:spacing w:line="240" w:lineRule="atLeast"/>
        <w:ind w:left="1267" w:firstLine="0"/>
      </w:pPr>
      <w:r w:rsidRPr="005F70B3">
        <w:t>El 17 de septiembre de 2020 seguían funcionando tres organizaciones sin fines de lucro que actúan como agentes extranjeros.</w:t>
      </w:r>
    </w:p>
    <w:p w14:paraId="1ECE47B3" w14:textId="77777777" w:rsidR="000941D1" w:rsidRPr="005F70B3" w:rsidRDefault="000941D1" w:rsidP="000941D1">
      <w:pPr>
        <w:pStyle w:val="SingleTxt"/>
        <w:spacing w:after="0" w:line="120" w:lineRule="exact"/>
        <w:rPr>
          <w:sz w:val="10"/>
        </w:rPr>
      </w:pPr>
    </w:p>
    <w:p w14:paraId="6AA15DDD" w14:textId="77777777" w:rsidR="000941D1" w:rsidRPr="005F70B3" w:rsidRDefault="000941D1" w:rsidP="000941D1">
      <w:pPr>
        <w:pStyle w:val="SingleTxt"/>
        <w:spacing w:after="0" w:line="120" w:lineRule="exact"/>
        <w:rPr>
          <w:sz w:val="10"/>
        </w:rPr>
      </w:pPr>
    </w:p>
    <w:p w14:paraId="4B9ADE32"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Medidas especiales de carácter temporal</w:t>
      </w:r>
    </w:p>
    <w:p w14:paraId="0F4B081F" w14:textId="77777777" w:rsidR="000941D1" w:rsidRPr="005F70B3" w:rsidRDefault="000941D1" w:rsidP="000941D1">
      <w:pPr>
        <w:pStyle w:val="SingleTxt"/>
        <w:keepNext/>
        <w:keepLines/>
        <w:spacing w:after="0" w:line="120" w:lineRule="exact"/>
        <w:rPr>
          <w:sz w:val="10"/>
        </w:rPr>
      </w:pPr>
    </w:p>
    <w:p w14:paraId="4C834C93" w14:textId="77777777" w:rsidR="000941D1" w:rsidRPr="005F70B3" w:rsidRDefault="000941D1" w:rsidP="000941D1">
      <w:pPr>
        <w:pStyle w:val="SingleTxt"/>
        <w:keepNext/>
        <w:keepLines/>
        <w:spacing w:after="0" w:line="120" w:lineRule="exact"/>
        <w:rPr>
          <w:sz w:val="10"/>
        </w:rPr>
      </w:pPr>
    </w:p>
    <w:p w14:paraId="641D8FE6"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6</w:t>
      </w:r>
    </w:p>
    <w:p w14:paraId="5D2644FE" w14:textId="77777777" w:rsidR="000941D1" w:rsidRPr="005F70B3" w:rsidRDefault="000941D1" w:rsidP="000941D1">
      <w:pPr>
        <w:pStyle w:val="SingleTxt"/>
        <w:keepNext/>
        <w:keepLines/>
        <w:spacing w:after="0" w:line="120" w:lineRule="exact"/>
        <w:rPr>
          <w:sz w:val="10"/>
        </w:rPr>
      </w:pPr>
    </w:p>
    <w:p w14:paraId="2031A755" w14:textId="77777777" w:rsidR="000941D1" w:rsidRPr="005F70B3" w:rsidRDefault="000941D1" w:rsidP="000941D1">
      <w:pPr>
        <w:pStyle w:val="SingleTxt"/>
        <w:keepNext/>
        <w:keepLines/>
        <w:spacing w:after="0" w:line="120" w:lineRule="exact"/>
        <w:rPr>
          <w:sz w:val="10"/>
        </w:rPr>
      </w:pPr>
    </w:p>
    <w:p w14:paraId="2BED204D" w14:textId="254A05B0" w:rsidR="000941D1" w:rsidRPr="005F70B3" w:rsidRDefault="000941D1" w:rsidP="00050D5D">
      <w:pPr>
        <w:pStyle w:val="SingleTxt"/>
        <w:keepNext/>
        <w:keepLines/>
        <w:numPr>
          <w:ilvl w:val="0"/>
          <w:numId w:val="5"/>
        </w:numPr>
        <w:spacing w:line="240" w:lineRule="atLeast"/>
        <w:ind w:left="1267" w:firstLine="0"/>
      </w:pPr>
      <w:r w:rsidRPr="005F70B3">
        <w:t xml:space="preserve">Esta información se facilita en la respuesta a la pregunta 3 en relación con la celebración del Foro de Mujeres Euroasiáticas y el proyecto conjunto de la Federación de Rusia y el Consejo de Europa titulado “Cooperación en la aplicación de la Estrategia Nacional de </w:t>
      </w:r>
      <w:r w:rsidR="00C07222" w:rsidRPr="005F70B3">
        <w:t>la Federación de Rusia</w:t>
      </w:r>
      <w:r w:rsidR="00C07222">
        <w:t xml:space="preserve"> en favor de </w:t>
      </w:r>
      <w:r w:rsidR="004F6149">
        <w:t xml:space="preserve">las </w:t>
      </w:r>
      <w:r w:rsidRPr="005F70B3">
        <w:t>Mujer</w:t>
      </w:r>
      <w:r w:rsidR="004F6149">
        <w:t>es</w:t>
      </w:r>
      <w:r w:rsidRPr="005F70B3">
        <w:t xml:space="preserve"> para 2017-2022 ”, cuyo objetivo es aumentar la participación de las mujeres en la vida </w:t>
      </w:r>
      <w:r w:rsidR="00640EF7">
        <w:t>pública</w:t>
      </w:r>
      <w:r w:rsidR="00640EF7" w:rsidRPr="005F70B3">
        <w:t xml:space="preserve"> </w:t>
      </w:r>
      <w:r w:rsidRPr="005F70B3">
        <w:t>y política.</w:t>
      </w:r>
    </w:p>
    <w:p w14:paraId="42FCFB32" w14:textId="77777777" w:rsidR="000941D1" w:rsidRPr="005F70B3" w:rsidRDefault="000941D1" w:rsidP="000941D1">
      <w:pPr>
        <w:pStyle w:val="SingleTxt"/>
        <w:spacing w:after="0" w:line="120" w:lineRule="exact"/>
        <w:rPr>
          <w:sz w:val="10"/>
        </w:rPr>
      </w:pPr>
    </w:p>
    <w:p w14:paraId="7E3D831A" w14:textId="77777777" w:rsidR="000941D1" w:rsidRPr="005F70B3" w:rsidRDefault="000941D1" w:rsidP="000941D1">
      <w:pPr>
        <w:pStyle w:val="SingleTxt"/>
        <w:spacing w:after="0" w:line="120" w:lineRule="exact"/>
        <w:rPr>
          <w:sz w:val="10"/>
        </w:rPr>
      </w:pPr>
    </w:p>
    <w:p w14:paraId="18DB89C3" w14:textId="77777777" w:rsidR="000941D1" w:rsidRPr="005F70B3" w:rsidRDefault="000941D1" w:rsidP="00060004">
      <w:pPr>
        <w:pStyle w:val="HCh0"/>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5F70B3">
        <w:tab/>
      </w:r>
      <w:r w:rsidRPr="005F70B3">
        <w:tab/>
        <w:t>Estereotipos y prácticas nocivas</w:t>
      </w:r>
    </w:p>
    <w:p w14:paraId="3940C77F" w14:textId="77777777" w:rsidR="000941D1" w:rsidRPr="005F70B3" w:rsidRDefault="000941D1" w:rsidP="000941D1">
      <w:pPr>
        <w:pStyle w:val="SingleTxt"/>
        <w:keepNext/>
        <w:keepLines/>
        <w:spacing w:after="0" w:line="120" w:lineRule="exact"/>
        <w:rPr>
          <w:sz w:val="10"/>
        </w:rPr>
      </w:pPr>
    </w:p>
    <w:p w14:paraId="05321BD2" w14:textId="77777777" w:rsidR="000941D1" w:rsidRPr="005F70B3" w:rsidRDefault="000941D1" w:rsidP="000941D1">
      <w:pPr>
        <w:pStyle w:val="SingleTxt"/>
        <w:keepNext/>
        <w:keepLines/>
        <w:spacing w:after="0" w:line="120" w:lineRule="exact"/>
        <w:rPr>
          <w:sz w:val="10"/>
        </w:rPr>
      </w:pPr>
    </w:p>
    <w:p w14:paraId="6E62021B" w14:textId="77777777" w:rsidR="000941D1" w:rsidRPr="005F70B3" w:rsidRDefault="000941D1" w:rsidP="00060004">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7</w:t>
      </w:r>
    </w:p>
    <w:p w14:paraId="40F7B634" w14:textId="77777777" w:rsidR="000941D1" w:rsidRPr="005F70B3" w:rsidRDefault="000941D1" w:rsidP="000941D1">
      <w:pPr>
        <w:pStyle w:val="SingleTxt"/>
        <w:keepNext/>
        <w:keepLines/>
        <w:spacing w:after="0" w:line="120" w:lineRule="exact"/>
        <w:rPr>
          <w:sz w:val="10"/>
        </w:rPr>
      </w:pPr>
    </w:p>
    <w:p w14:paraId="7A15AE0C" w14:textId="77777777" w:rsidR="000941D1" w:rsidRPr="005F70B3" w:rsidRDefault="000941D1" w:rsidP="000941D1">
      <w:pPr>
        <w:pStyle w:val="SingleTxt"/>
        <w:keepNext/>
        <w:keepLines/>
        <w:spacing w:after="0" w:line="120" w:lineRule="exact"/>
        <w:rPr>
          <w:sz w:val="10"/>
        </w:rPr>
      </w:pPr>
    </w:p>
    <w:p w14:paraId="2CC2F54D" w14:textId="2AF9B0C0" w:rsidR="000941D1" w:rsidRPr="005F70B3" w:rsidRDefault="000941D1" w:rsidP="00060004">
      <w:pPr>
        <w:pStyle w:val="SingleTxt"/>
        <w:numPr>
          <w:ilvl w:val="0"/>
          <w:numId w:val="5"/>
        </w:numPr>
        <w:spacing w:line="240" w:lineRule="atLeast"/>
        <w:ind w:left="1267" w:firstLine="0"/>
      </w:pPr>
      <w:r w:rsidRPr="005F70B3">
        <w:t xml:space="preserve">La Estrategia Nacional </w:t>
      </w:r>
      <w:r w:rsidR="004F6149">
        <w:t>en favor</w:t>
      </w:r>
      <w:r w:rsidRPr="005F70B3">
        <w:t xml:space="preserve"> de la</w:t>
      </w:r>
      <w:r w:rsidR="004F6149">
        <w:t>s</w:t>
      </w:r>
      <w:r w:rsidRPr="005F70B3">
        <w:t xml:space="preserve"> Mujer</w:t>
      </w:r>
      <w:r w:rsidR="004F6149">
        <w:t>es</w:t>
      </w:r>
      <w:r w:rsidRPr="005F70B3">
        <w:t xml:space="preserve"> para 2017-2022 prevé actividades de educación jurídica destinadas a educar a las mujeres sobre sus derechos </w:t>
      </w:r>
      <w:r w:rsidRPr="005F70B3">
        <w:lastRenderedPageBreak/>
        <w:t xml:space="preserve">y libertades con arreglo a la legislación rusa y con arreglo a los acuerdos internacionales en los que es parte la Federación de Rusia. También incluye medidas encaminadas a superar los estereotipos de género: aumentar la participación de las mujeres en la vida </w:t>
      </w:r>
      <w:r w:rsidR="004F6149">
        <w:t>pública</w:t>
      </w:r>
      <w:r w:rsidR="004F6149" w:rsidRPr="005F70B3">
        <w:t xml:space="preserve"> </w:t>
      </w:r>
      <w:r w:rsidRPr="005F70B3">
        <w:t xml:space="preserve">y política a través de programas informativos y educativos; promover la representación objetiva por parte de los medios de comunicación del papel de la mujer en diversas esferas de la vida; y cambiar a través de campañas mediáticas </w:t>
      </w:r>
      <w:r w:rsidR="008800CA">
        <w:t xml:space="preserve">específicamente </w:t>
      </w:r>
      <w:r w:rsidRPr="005F70B3">
        <w:t xml:space="preserve">dirigidas </w:t>
      </w:r>
      <w:r w:rsidR="008800CA">
        <w:t xml:space="preserve">a lograr ese objetivo </w:t>
      </w:r>
      <w:r w:rsidRPr="005F70B3">
        <w:t xml:space="preserve">las normas sociales y de comportamiento que </w:t>
      </w:r>
      <w:r w:rsidR="008800CA">
        <w:t>dan lugar a</w:t>
      </w:r>
      <w:r w:rsidR="008800CA" w:rsidRPr="005F70B3">
        <w:t xml:space="preserve"> </w:t>
      </w:r>
      <w:r w:rsidRPr="005F70B3">
        <w:t xml:space="preserve">la desigualdad </w:t>
      </w:r>
      <w:r w:rsidR="003559A0">
        <w:t>por razón del sexo</w:t>
      </w:r>
      <w:r w:rsidRPr="005F70B3">
        <w:t>.</w:t>
      </w:r>
    </w:p>
    <w:p w14:paraId="4E495706" w14:textId="77777777" w:rsidR="000941D1" w:rsidRPr="005F70B3" w:rsidRDefault="000941D1" w:rsidP="00050D5D">
      <w:pPr>
        <w:pStyle w:val="SingleTxt"/>
        <w:numPr>
          <w:ilvl w:val="0"/>
          <w:numId w:val="5"/>
        </w:numPr>
        <w:spacing w:line="240" w:lineRule="atLeast"/>
        <w:ind w:left="1267" w:firstLine="0"/>
      </w:pPr>
      <w:r w:rsidRPr="005F70B3">
        <w:t>En relación con el proyecto conjunto de la Federación de Rusia y el Consejo de Europa para el período 2019-2020 sobre cooperación en la aplicación de la Estrategia, los siguientes seminarios y actividades de capacitación abordaron la forma en que los medios de comunicación cubren la participación de las mujeres en la vida social y política: una sesión de capacitación para periodistas sobre mejores prácticas de uso de los medios de comunicación para cubrir procesos de toma de decisiones gubernamentales y políticas; un seminario sobre formas de aumentar la participación de las mujeres en la toma de decisiones sociales y políticas; una mesa redonda y una sesión de aprendizaje entre pares para mujeres políticas en ejercicio y aspirantes celebradas en un contexto de World Café; y un concurso nacional de medios de comunicación titulado “Las mujeres en el mundo moderno”.</w:t>
      </w:r>
    </w:p>
    <w:p w14:paraId="6E9C6907" w14:textId="77777777" w:rsidR="000941D1" w:rsidRPr="005F70B3" w:rsidRDefault="000941D1" w:rsidP="000941D1">
      <w:pPr>
        <w:pStyle w:val="SingleTxt"/>
        <w:spacing w:after="0" w:line="120" w:lineRule="exact"/>
        <w:rPr>
          <w:sz w:val="10"/>
        </w:rPr>
      </w:pPr>
    </w:p>
    <w:p w14:paraId="0176284F" w14:textId="77777777" w:rsidR="000941D1" w:rsidRPr="005F70B3" w:rsidRDefault="000941D1" w:rsidP="000941D1">
      <w:pPr>
        <w:pStyle w:val="SingleTxt"/>
        <w:spacing w:after="0" w:line="120" w:lineRule="exact"/>
        <w:rPr>
          <w:sz w:val="10"/>
        </w:rPr>
      </w:pPr>
    </w:p>
    <w:p w14:paraId="2CF50E6E"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Violencia de género contra la mujer</w:t>
      </w:r>
    </w:p>
    <w:p w14:paraId="5037607C" w14:textId="77777777" w:rsidR="000941D1" w:rsidRPr="005F70B3" w:rsidRDefault="000941D1" w:rsidP="000941D1">
      <w:pPr>
        <w:pStyle w:val="SingleTxt"/>
        <w:spacing w:after="0" w:line="120" w:lineRule="exact"/>
        <w:rPr>
          <w:sz w:val="10"/>
        </w:rPr>
      </w:pPr>
    </w:p>
    <w:p w14:paraId="777D682C" w14:textId="77777777" w:rsidR="000941D1" w:rsidRPr="005F70B3" w:rsidRDefault="000941D1" w:rsidP="000941D1">
      <w:pPr>
        <w:pStyle w:val="SingleTxt"/>
        <w:spacing w:after="0" w:line="120" w:lineRule="exact"/>
        <w:rPr>
          <w:sz w:val="10"/>
        </w:rPr>
      </w:pPr>
    </w:p>
    <w:p w14:paraId="21125087"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8</w:t>
      </w:r>
    </w:p>
    <w:p w14:paraId="56A81E4A" w14:textId="77777777" w:rsidR="000941D1" w:rsidRPr="005F70B3" w:rsidRDefault="000941D1" w:rsidP="000941D1">
      <w:pPr>
        <w:pStyle w:val="SingleTxt"/>
        <w:spacing w:after="0" w:line="120" w:lineRule="exact"/>
        <w:rPr>
          <w:sz w:val="10"/>
        </w:rPr>
      </w:pPr>
    </w:p>
    <w:p w14:paraId="0A9ECF28" w14:textId="77777777" w:rsidR="000941D1" w:rsidRPr="005F70B3" w:rsidRDefault="000941D1" w:rsidP="000941D1">
      <w:pPr>
        <w:pStyle w:val="SingleTxt"/>
        <w:spacing w:after="0" w:line="120" w:lineRule="exact"/>
        <w:rPr>
          <w:sz w:val="10"/>
        </w:rPr>
      </w:pPr>
    </w:p>
    <w:p w14:paraId="097DF5F2" w14:textId="77777777" w:rsidR="000941D1" w:rsidRPr="005F70B3" w:rsidRDefault="000941D1" w:rsidP="00050D5D">
      <w:pPr>
        <w:pStyle w:val="SingleTxt"/>
        <w:numPr>
          <w:ilvl w:val="0"/>
          <w:numId w:val="5"/>
        </w:numPr>
        <w:spacing w:line="240" w:lineRule="atLeast"/>
        <w:ind w:left="1267" w:firstLine="0"/>
      </w:pPr>
      <w:r w:rsidRPr="005F70B3">
        <w:t>De conformidad con las modificaciones introducidas por la Ley Federal núm. 8-FZ de 7 de febrero de 2017 en el artículo 116 (Agresión) del Código Penal, los actos de agresión se enjuician como infracción penal cuando se cometen en circunstancias agravantes, por ejemplo cuando están motivados por vandalismo o por odio u hostilidad políticos, ideológicos, raciales, nacionalistas o religiosos, u odio u hostilidad dirigidos contra cualquier grupo social específico. Los actos de agresión contra miembros de la familia u otros miembros del hogar se tratan como infracciones administrativas con arreglo al artículo 6.1.1. (Agresión) del Código de Infracciones Administrativas. Una persona considerada administrativamente responsable por un acto de agresión incurre en responsabilidad penal por la comisión de un segundo acto de agresión en virtud del artículo 116.1 del Código Penal (Agresión cometida por una persona que ha incurrido en una sanción administrativa).</w:t>
      </w:r>
    </w:p>
    <w:p w14:paraId="4050F22C" w14:textId="77777777" w:rsidR="000941D1" w:rsidRPr="005F70B3" w:rsidRDefault="000941D1" w:rsidP="00050D5D">
      <w:pPr>
        <w:pStyle w:val="SingleTxt"/>
        <w:numPr>
          <w:ilvl w:val="0"/>
          <w:numId w:val="5"/>
        </w:numPr>
        <w:spacing w:line="240" w:lineRule="atLeast"/>
        <w:ind w:left="1267" w:firstLine="0"/>
      </w:pPr>
      <w:r w:rsidRPr="005F70B3">
        <w:t>El propósito de estas modificaciones es humanizar y liberalizar el derecho penal. Considerar a los agresores administrativamente responsables ha demostrado ser una de las medidas de prevención más eficaces y se ha utilizado con excelentes resultados en los últimos cuatro años. Al establecer sanciones administrativas en lugar de sanciones penales para algunos actos de agresión, el número de infractores considerados efectivamente responsables de estos actos se cuadriplicó, pasando de 26.500 en 2015 a 110.700 en 2019.</w:t>
      </w:r>
    </w:p>
    <w:p w14:paraId="7C6750BB" w14:textId="77777777" w:rsidR="000941D1" w:rsidRPr="005F70B3" w:rsidRDefault="000941D1" w:rsidP="00050D5D">
      <w:pPr>
        <w:pStyle w:val="SingleTxt"/>
        <w:numPr>
          <w:ilvl w:val="0"/>
          <w:numId w:val="5"/>
        </w:numPr>
        <w:spacing w:line="240" w:lineRule="atLeast"/>
        <w:ind w:left="1267" w:firstLine="0"/>
      </w:pPr>
      <w:r w:rsidRPr="005F70B3">
        <w:t>Aunque no existe una disposición separada en el derecho penal que tipifique como delito la violencia doméstica, estos actos pueden calificarse como tales con arreglo a varios artículos del Código Penal.</w:t>
      </w:r>
    </w:p>
    <w:p w14:paraId="22911277" w14:textId="77777777" w:rsidR="000941D1" w:rsidRPr="005F70B3" w:rsidRDefault="000941D1" w:rsidP="00050D5D">
      <w:pPr>
        <w:pStyle w:val="SingleTxt"/>
        <w:numPr>
          <w:ilvl w:val="0"/>
          <w:numId w:val="5"/>
        </w:numPr>
        <w:spacing w:line="240" w:lineRule="atLeast"/>
        <w:ind w:left="1267" w:firstLine="0"/>
        <w:rPr>
          <w:spacing w:val="3"/>
          <w:w w:val="102"/>
        </w:rPr>
      </w:pPr>
      <w:r w:rsidRPr="005F70B3">
        <w:t xml:space="preserve">Los actos de violencia doméstica pueden incluir no solo agresión sino también otros actos ilícitos, incluidos elementos constitutivos de delito especificados en determinados artículos del Código Penal: artículo 111 (Lesiones corporales graves causadas intencionalmente), artículo 107 (Homicidio), artículo 109 (Muerte causada por negligencia), artículo 112 (Lesiones corporales moderadas causadas intencionalmente), artículo 115 (Lesiones corporales leves causadas </w:t>
      </w:r>
      <w:r w:rsidRPr="005F70B3">
        <w:lastRenderedPageBreak/>
        <w:t>intencionalmente), artículo 117 (Tortura) y artículo 119 (Amenaza de asesinato o lesiones corporales graves).</w:t>
      </w:r>
    </w:p>
    <w:p w14:paraId="327E34E0" w14:textId="77777777" w:rsidR="000941D1" w:rsidRPr="005F70B3" w:rsidRDefault="000941D1" w:rsidP="00050D5D">
      <w:pPr>
        <w:pStyle w:val="SingleTxt"/>
        <w:numPr>
          <w:ilvl w:val="0"/>
          <w:numId w:val="5"/>
        </w:numPr>
        <w:spacing w:line="240" w:lineRule="atLeast"/>
        <w:ind w:left="1267" w:firstLine="0"/>
      </w:pPr>
      <w:r w:rsidRPr="005F70B3">
        <w:t>Dependiendo de las circunstancias, los actos de violencia doméstica pueden calificarse como delitos con arreglo al artículo 131 (Violación), el artículo 132 (Agresión sexual) y el artículo 133 (Coacción sexual) del Código Penal.</w:t>
      </w:r>
    </w:p>
    <w:p w14:paraId="2EBF4074" w14:textId="77777777" w:rsidR="000941D1" w:rsidRPr="005F70B3" w:rsidRDefault="000941D1" w:rsidP="00050D5D">
      <w:pPr>
        <w:pStyle w:val="SingleTxt"/>
        <w:numPr>
          <w:ilvl w:val="0"/>
          <w:numId w:val="5"/>
        </w:numPr>
        <w:spacing w:line="240" w:lineRule="atLeast"/>
        <w:ind w:left="1267" w:firstLine="0"/>
      </w:pPr>
      <w:r w:rsidRPr="005F70B3">
        <w:t>La policía dispone de un amplio abanico de herramientas para prevenir delitos relacionados con la violencia doméstica, entre ellas asesoramiento preventivo, registro de los infractores y advertencias formales, que son muy similares a las medidas recomendadas en las órdenes de protección.</w:t>
      </w:r>
    </w:p>
    <w:p w14:paraId="7A187C20" w14:textId="77777777" w:rsidR="000941D1" w:rsidRPr="005F70B3" w:rsidRDefault="000941D1" w:rsidP="00050D5D">
      <w:pPr>
        <w:pStyle w:val="SingleTxt"/>
        <w:numPr>
          <w:ilvl w:val="0"/>
          <w:numId w:val="5"/>
        </w:numPr>
        <w:spacing w:line="240" w:lineRule="atLeast"/>
        <w:ind w:left="1267" w:firstLine="0"/>
      </w:pPr>
      <w:r w:rsidRPr="005F70B3">
        <w:t>La prevención de delitos en la esfera familiar y doméstica es una prioridad para el Ministerio del Interior y sus oficinas locales. Véase la respuesta a la pregunta 3.</w:t>
      </w:r>
    </w:p>
    <w:p w14:paraId="185EDD99" w14:textId="77777777" w:rsidR="000941D1" w:rsidRPr="005F70B3" w:rsidRDefault="000941D1" w:rsidP="00050D5D">
      <w:pPr>
        <w:pStyle w:val="SingleTxt"/>
        <w:numPr>
          <w:ilvl w:val="0"/>
          <w:numId w:val="5"/>
        </w:numPr>
        <w:spacing w:line="240" w:lineRule="atLeast"/>
        <w:ind w:left="1267" w:firstLine="0"/>
      </w:pPr>
      <w:r w:rsidRPr="005F70B3">
        <w:t>La Comisión Gubernamental para la Prevención de la Infracción de la Ley debatió medidas para prevenir delitos en la esfera familiar y doméstica en su reunión celebrada el 31 de marzo de 2020.</w:t>
      </w:r>
    </w:p>
    <w:p w14:paraId="0A6807BC" w14:textId="77777777" w:rsidR="000941D1" w:rsidRPr="005F70B3" w:rsidRDefault="000941D1" w:rsidP="00050D5D">
      <w:pPr>
        <w:pStyle w:val="SingleTxt"/>
        <w:numPr>
          <w:ilvl w:val="0"/>
          <w:numId w:val="5"/>
        </w:numPr>
        <w:spacing w:line="240" w:lineRule="atLeast"/>
        <w:ind w:left="1267" w:firstLine="0"/>
      </w:pPr>
      <w:r w:rsidRPr="005F70B3">
        <w:t>En el párrafo 47 del noveno informe periódico se proporcionó información acerca del proyecto de ley federal sobre la prevención de la violencia en la esfera familiar y doméstica. El proyecto de ley federal está siendo objeto de un examen que tendrá en cuenta las sugerencias y observaciones recibidas.</w:t>
      </w:r>
    </w:p>
    <w:p w14:paraId="53FD5FE8" w14:textId="77777777" w:rsidR="000941D1" w:rsidRPr="005F70B3" w:rsidRDefault="000941D1" w:rsidP="00050D5D">
      <w:pPr>
        <w:pStyle w:val="SingleTxt"/>
        <w:numPr>
          <w:ilvl w:val="0"/>
          <w:numId w:val="5"/>
        </w:numPr>
        <w:spacing w:line="240" w:lineRule="atLeast"/>
        <w:ind w:left="1267" w:firstLine="0"/>
      </w:pPr>
      <w:r w:rsidRPr="005F70B3">
        <w:t>En virtud del derecho penal ruso, la violación se define como la relación sexual (acto sexual) mantenida contra la voluntad y sin el consentimiento de la parte perjudicada y mediante el uso o la amenaza de uso de violencia o el abuso del estado de indefensión de la víctima. Todos los demás actos de violencia que entrañen una actividad sexual cometidos contra mujeres adultas acarrean una responsabilidad con arreglo al artículo 132 (Agresión sexual).</w:t>
      </w:r>
    </w:p>
    <w:p w14:paraId="3A55325B" w14:textId="77777777" w:rsidR="000941D1" w:rsidRPr="005F70B3" w:rsidRDefault="000941D1" w:rsidP="00050D5D">
      <w:pPr>
        <w:pStyle w:val="SingleTxt"/>
        <w:numPr>
          <w:ilvl w:val="0"/>
          <w:numId w:val="5"/>
        </w:numPr>
        <w:spacing w:line="240" w:lineRule="atLeast"/>
        <w:ind w:left="1267" w:firstLine="0"/>
      </w:pPr>
      <w:r w:rsidRPr="005F70B3">
        <w:t>Un elemento necesario de los delitos contemplados en los artículos 131 y 132 es la relación sexual con una mujer contra su voluntad y el uso o la amenaza de uso de violencia (física o psicológica) o el abuso de su estado de indefensión.</w:t>
      </w:r>
    </w:p>
    <w:p w14:paraId="71799630" w14:textId="77777777" w:rsidR="000941D1" w:rsidRPr="005F70B3" w:rsidRDefault="000941D1" w:rsidP="00050D5D">
      <w:pPr>
        <w:pStyle w:val="SingleTxt"/>
        <w:numPr>
          <w:ilvl w:val="0"/>
          <w:numId w:val="5"/>
        </w:numPr>
        <w:spacing w:line="240" w:lineRule="atLeast"/>
        <w:ind w:left="1267" w:firstLine="0"/>
      </w:pPr>
      <w:r w:rsidRPr="005F70B3">
        <w:t>En el cuadro 1 se facilita información sobre las personas que han cometido delitos contra mujeres en 2019.</w:t>
      </w:r>
    </w:p>
    <w:p w14:paraId="60839411" w14:textId="77777777" w:rsidR="000941D1" w:rsidRPr="005F70B3" w:rsidRDefault="000941D1" w:rsidP="00050D5D">
      <w:pPr>
        <w:pStyle w:val="SingleTxt"/>
        <w:numPr>
          <w:ilvl w:val="0"/>
          <w:numId w:val="5"/>
        </w:numPr>
        <w:spacing w:line="240" w:lineRule="atLeast"/>
        <w:ind w:left="1267" w:firstLine="0"/>
      </w:pPr>
      <w:r w:rsidRPr="005F70B3">
        <w:t>En el cuadro 2 se proporciona información sobre el número de mujeres que han sido víctimas de actos delictivos durante el período 2017-2019.</w:t>
      </w:r>
    </w:p>
    <w:p w14:paraId="32D427EB" w14:textId="77777777" w:rsidR="000941D1" w:rsidRPr="005F70B3" w:rsidRDefault="000941D1" w:rsidP="000941D1">
      <w:pPr>
        <w:pStyle w:val="SingleTxt"/>
        <w:spacing w:after="0" w:line="120" w:lineRule="exact"/>
        <w:rPr>
          <w:sz w:val="10"/>
        </w:rPr>
      </w:pPr>
    </w:p>
    <w:p w14:paraId="100C30C0" w14:textId="77777777" w:rsidR="000941D1" w:rsidRPr="005F70B3" w:rsidRDefault="000941D1" w:rsidP="000941D1">
      <w:pPr>
        <w:pStyle w:val="SingleTxt"/>
        <w:spacing w:after="0" w:line="120" w:lineRule="exact"/>
        <w:rPr>
          <w:sz w:val="10"/>
        </w:rPr>
      </w:pPr>
    </w:p>
    <w:p w14:paraId="3EB6E914"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Pregunta 9</w:t>
      </w:r>
    </w:p>
    <w:p w14:paraId="0A186801" w14:textId="77777777" w:rsidR="000941D1" w:rsidRPr="005F70B3" w:rsidRDefault="000941D1" w:rsidP="000941D1">
      <w:pPr>
        <w:pStyle w:val="SingleTxt"/>
        <w:spacing w:after="0" w:line="120" w:lineRule="exact"/>
        <w:ind w:left="1264"/>
        <w:rPr>
          <w:sz w:val="10"/>
        </w:rPr>
      </w:pPr>
    </w:p>
    <w:p w14:paraId="655AA9A1" w14:textId="77777777" w:rsidR="000941D1" w:rsidRPr="005F70B3" w:rsidRDefault="000941D1" w:rsidP="000941D1">
      <w:pPr>
        <w:pStyle w:val="SingleTxt"/>
        <w:spacing w:after="0" w:line="120" w:lineRule="exact"/>
        <w:ind w:left="1264"/>
        <w:rPr>
          <w:sz w:val="10"/>
        </w:rPr>
      </w:pPr>
    </w:p>
    <w:p w14:paraId="622A7953" w14:textId="47FE906A" w:rsidR="000941D1" w:rsidRPr="005F70B3" w:rsidRDefault="000941D1" w:rsidP="00050D5D">
      <w:pPr>
        <w:pStyle w:val="SingleTxt"/>
        <w:numPr>
          <w:ilvl w:val="0"/>
          <w:numId w:val="5"/>
        </w:numPr>
        <w:spacing w:line="240" w:lineRule="atLeast"/>
        <w:ind w:left="1264" w:firstLine="0"/>
      </w:pPr>
      <w:r w:rsidRPr="005F70B3">
        <w:t>Los cursos de desarrollo profesional y capacitación profesional para el personal de la fiscalía abordan la aplicación con perspectiva de género de las disposiciones del derecho penal en materia de violencia contra la mujer y el uso de procedimientos de investigación con perspectiva de género. Los cursos han tratado los siguientes temas: “Cuestiones jurídicas relativas a la equidad de género”, “Garantías estatales de la igualdad de derechos y libertades de hombres y mujeres y la igualdad de oportunidades para hacer efectivos dichos derechos y libertades”, “Lucha contra la violencia doméstica: aspectos jurídicos en la Federación de Rusia y el extranjero”, “Detección e investigación de delitos violentos en la familia”, “Defensa de los derechos e intereses jurídicos de las mujeres víctimas durante las actuaciones penales”, “Tácticas especiales y consideraciones psicológicas para interrogar a mujeres” y “Dificultades de aplicación de las normas internacionales que rigen la condición jurídica de las mujeres encarceladas”.</w:t>
      </w:r>
    </w:p>
    <w:p w14:paraId="127D5E51" w14:textId="77777777" w:rsidR="000941D1" w:rsidRPr="005F70B3" w:rsidRDefault="000941D1" w:rsidP="00050D5D">
      <w:pPr>
        <w:pStyle w:val="SingleTxt"/>
        <w:numPr>
          <w:ilvl w:val="0"/>
          <w:numId w:val="5"/>
        </w:numPr>
        <w:spacing w:line="240" w:lineRule="atLeast"/>
        <w:ind w:left="1267" w:firstLine="0"/>
      </w:pPr>
      <w:r w:rsidRPr="005F70B3">
        <w:t xml:space="preserve">Los cursos de desarrollo profesional y capacitación profesional para el personal de la fiscalía que supervisa las investigaciones de delitos contra personas abarcaron </w:t>
      </w:r>
      <w:r w:rsidRPr="005F70B3">
        <w:lastRenderedPageBreak/>
        <w:t>asuntos relacionados con la responsabilidad penal por delitos contra la inviolabilidad sexual y la libertad sexual del individuo y la supervisión por parte de la fiscalía del cumplimiento legal en la detección y la investigación de estos delitos.</w:t>
      </w:r>
    </w:p>
    <w:p w14:paraId="6E97F1E2" w14:textId="77777777" w:rsidR="000941D1" w:rsidRPr="005F70B3" w:rsidRDefault="000941D1" w:rsidP="00050D5D">
      <w:pPr>
        <w:pStyle w:val="SingleTxt"/>
        <w:numPr>
          <w:ilvl w:val="0"/>
          <w:numId w:val="5"/>
        </w:numPr>
        <w:spacing w:line="240" w:lineRule="atLeast"/>
        <w:ind w:left="1267" w:firstLine="0"/>
      </w:pPr>
      <w:r w:rsidRPr="005F70B3">
        <w:t>En general no se imparte una capacitación separada a los investigadores en la investigación de casos de violencia contra la mujer, matrimonio forzado, secuestro de mujeres y niñas con este fin, los denominados delitos en nombre del honor, mutilación genital femenina o poligamia, puesto que el asunto en estos casos no entraña la adopción de medidas de investigación especiales que no se adopten también en el marco de otras investigaciones.</w:t>
      </w:r>
    </w:p>
    <w:p w14:paraId="56276E9A" w14:textId="77777777" w:rsidR="000941D1" w:rsidRPr="005F70B3" w:rsidRDefault="000941D1" w:rsidP="00050D5D">
      <w:pPr>
        <w:pStyle w:val="SingleTxt"/>
        <w:numPr>
          <w:ilvl w:val="0"/>
          <w:numId w:val="5"/>
        </w:numPr>
        <w:spacing w:line="240" w:lineRule="atLeast"/>
        <w:ind w:left="1267" w:firstLine="0"/>
      </w:pPr>
      <w:r w:rsidRPr="005F70B3">
        <w:t>Un ejemplo de procedimiento de investigación con perspectiva de género es el cumplimiento estricto del artículo 179 4) y el artículo 184 3) del Código de Procedimiento Penal que prohíben la participación de investigadores varones en la realización de registros sin ropa o registros corporales de mujeres.</w:t>
      </w:r>
    </w:p>
    <w:p w14:paraId="41CADB65" w14:textId="77777777" w:rsidR="000941D1" w:rsidRPr="005F70B3" w:rsidRDefault="000941D1" w:rsidP="00050D5D">
      <w:pPr>
        <w:pStyle w:val="SingleTxt"/>
        <w:numPr>
          <w:ilvl w:val="0"/>
          <w:numId w:val="5"/>
        </w:numPr>
        <w:spacing w:line="240" w:lineRule="atLeast"/>
        <w:ind w:left="1267" w:firstLine="0"/>
      </w:pPr>
      <w:r w:rsidRPr="005F70B3">
        <w:t>Los investigadores están al tanto de la práctica del Tribunal Europeo de Derechos Humanos y los órganos interestatales para la protección de los derechos humanos y las libertades fundamentales, incluidos los relacionados con la lucha contra la violencia contra la mujer, y utilizan en su trabajo las opiniones de los mecanismos internacionales de seguimiento.</w:t>
      </w:r>
    </w:p>
    <w:p w14:paraId="1E4F762E" w14:textId="77777777" w:rsidR="000941D1" w:rsidRPr="005F70B3" w:rsidRDefault="000941D1" w:rsidP="00050D5D">
      <w:pPr>
        <w:pStyle w:val="SingleTxt"/>
        <w:numPr>
          <w:ilvl w:val="0"/>
          <w:numId w:val="5"/>
        </w:numPr>
        <w:spacing w:line="240" w:lineRule="atLeast"/>
        <w:ind w:left="1267" w:firstLine="0"/>
        <w:rPr>
          <w:spacing w:val="2"/>
          <w:w w:val="102"/>
        </w:rPr>
      </w:pPr>
      <w:r w:rsidRPr="005F70B3">
        <w:t>Dependiendo de las circunstancias específicas, una mujer que comete un asesinato en un contexto de violencia doméstica puede alegar legítima defensa para librarse de la responsabilidad penal con arreglo al artículo 37 (Legítima defensa necesaria) del Código Penal o para atenuar la pena, como se prevé en el artículo 61 (Circunstancias atenuantes) y el artículo 108 (Asesinato cometido como resultado de la superación de los límites de la defensa necesaria o la adopción de medidas más allá de las necesarias para aprehender al autor del delito) del Código Penal.</w:t>
      </w:r>
    </w:p>
    <w:p w14:paraId="697576EF" w14:textId="77777777" w:rsidR="000941D1" w:rsidRPr="005F70B3" w:rsidRDefault="000941D1" w:rsidP="00050D5D">
      <w:pPr>
        <w:pStyle w:val="SingleTxt"/>
        <w:numPr>
          <w:ilvl w:val="0"/>
          <w:numId w:val="5"/>
        </w:numPr>
        <w:spacing w:line="240" w:lineRule="atLeast"/>
        <w:ind w:left="1267" w:firstLine="0"/>
      </w:pPr>
      <w:r w:rsidRPr="005F70B3">
        <w:t>En virtud del artículo 37 del Código Penal, no se incurre en responsabilidad penal cuando se inflige daño a un atacante mientras se actúa en legítima defensa justificable, por ejemplo para proteger a la persona y los derechos de la persona que se defiende contra un acto socialmente peligroso, si dicho ataque entraña violencia que supone una amenaza para la vida o una amenaza directa de uso de dicha violencia.</w:t>
      </w:r>
    </w:p>
    <w:p w14:paraId="5A609FD1" w14:textId="77777777" w:rsidR="000941D1" w:rsidRPr="005F70B3" w:rsidRDefault="000941D1" w:rsidP="00050D5D">
      <w:pPr>
        <w:pStyle w:val="SingleTxt"/>
        <w:keepLines/>
        <w:numPr>
          <w:ilvl w:val="0"/>
          <w:numId w:val="5"/>
        </w:numPr>
        <w:spacing w:line="240" w:lineRule="atLeast"/>
        <w:ind w:left="1267" w:firstLine="0"/>
      </w:pPr>
      <w:r w:rsidRPr="005F70B3">
        <w:t>Al defenderse contra un acto socialmente peligroso que entraña violencia que supone una amenaza para la vida o una amenaza directa de uso de dicha violencia, la persona puede infligir daño de cualquier naturaleza y alcance al atacante.</w:t>
      </w:r>
    </w:p>
    <w:p w14:paraId="47DFEB78" w14:textId="77777777" w:rsidR="000941D1" w:rsidRPr="005F70B3" w:rsidRDefault="000941D1" w:rsidP="00050D5D">
      <w:pPr>
        <w:pStyle w:val="SingleTxt"/>
        <w:numPr>
          <w:ilvl w:val="0"/>
          <w:numId w:val="5"/>
        </w:numPr>
        <w:spacing w:line="240" w:lineRule="atLeast"/>
        <w:ind w:left="1267" w:firstLine="0"/>
      </w:pPr>
      <w:r w:rsidRPr="005F70B3">
        <w:t>Se incurre en responsabilidad penal cuando se superan los límites de la defensa necesaria, en particular si se determina que la persona que se defiende era consciente de que el daño que se estaba ocasionando no era necesario para prevenir o detener un acto socialmente peligroso específico.</w:t>
      </w:r>
    </w:p>
    <w:p w14:paraId="74592C90" w14:textId="77777777" w:rsidR="000941D1" w:rsidRPr="005F70B3" w:rsidRDefault="000941D1" w:rsidP="00050D5D">
      <w:pPr>
        <w:pStyle w:val="SingleTxt"/>
        <w:numPr>
          <w:ilvl w:val="0"/>
          <w:numId w:val="5"/>
        </w:numPr>
        <w:spacing w:line="240" w:lineRule="atLeast"/>
        <w:ind w:left="1267" w:firstLine="0"/>
      </w:pPr>
      <w:r w:rsidRPr="005F70B3">
        <w:t>En virtud del artículo 61 del Código Penal, las circunstancias atenuantes en el caso de un asesinato cometido por una mujer en legítima defensa en un contexto de violencia doméstica son las siguientes: el delito se cometió en un contexto de circunstancias de vida difíciles; el delito se cometió cuando se superaron los límites legales de la defensa necesaria; la víctima mantenía una conducta ilegal o inmoral, que fue el motivo del delito.</w:t>
      </w:r>
    </w:p>
    <w:p w14:paraId="1C0F8594" w14:textId="77777777" w:rsidR="000941D1" w:rsidRPr="005F70B3" w:rsidRDefault="000941D1" w:rsidP="00050D5D">
      <w:pPr>
        <w:pStyle w:val="SingleTxt"/>
        <w:numPr>
          <w:ilvl w:val="0"/>
          <w:numId w:val="5"/>
        </w:numPr>
        <w:spacing w:line="240" w:lineRule="atLeast"/>
        <w:ind w:left="1267" w:firstLine="0"/>
      </w:pPr>
      <w:r w:rsidRPr="005F70B3">
        <w:t>Un asesinato cometido en la llamada legítima defensa puede clasificarse como “privilegiado” y acarrear una pena más leve. De conformidad con el artículo 105 (Asesinato) del Código Penal, el asesinato se castiga con una pena privativa de libertad de 6 a 15 años y un período adicional de restricción del movimiento de hasta 2 años, mientras que el asesinato cometido como resultado de la superación de los límites de la defensa necesaria puede castigarse con la privación de libertad durante un período de hasta 3 años o una pena más leve.</w:t>
      </w:r>
    </w:p>
    <w:p w14:paraId="1A843C96" w14:textId="77777777" w:rsidR="000941D1" w:rsidRPr="005F70B3" w:rsidRDefault="000941D1" w:rsidP="00050D5D">
      <w:pPr>
        <w:pStyle w:val="SingleTxt"/>
        <w:numPr>
          <w:ilvl w:val="0"/>
          <w:numId w:val="5"/>
        </w:numPr>
        <w:spacing w:line="240" w:lineRule="atLeast"/>
        <w:ind w:left="1267" w:firstLine="0"/>
        <w:rPr>
          <w:w w:val="102"/>
        </w:rPr>
      </w:pPr>
      <w:r w:rsidRPr="005F70B3">
        <w:lastRenderedPageBreak/>
        <w:t>Los tribunales tienen facultad discrecional para imponer penas a una persona acusada de un delito por el que ha sido condenada, teniendo en cuenta la naturaleza y el grado de peligro social que plantea el acto y la persona, en la medida permitida con arreglo al artículo pertinente de la Parte Especial del Código Penal y las disposiciones de la Parte General del Código. Por lo tanto, la legislación nacional garantiza plenamente que las mujeres que cometen homicidios en legítima defensa en el contexto de la violencia doméstica sean condenadas a un castigo justo y adecuado en cuanto a tipo y duración.</w:t>
      </w:r>
    </w:p>
    <w:p w14:paraId="5E14F459" w14:textId="77777777" w:rsidR="000941D1" w:rsidRPr="005F70B3" w:rsidRDefault="000941D1" w:rsidP="000941D1">
      <w:pPr>
        <w:pStyle w:val="SingleTxt"/>
        <w:spacing w:after="0" w:line="120" w:lineRule="exact"/>
        <w:rPr>
          <w:sz w:val="10"/>
        </w:rPr>
      </w:pPr>
    </w:p>
    <w:p w14:paraId="64EEDA77" w14:textId="77777777" w:rsidR="000941D1" w:rsidRPr="005F70B3" w:rsidRDefault="000941D1" w:rsidP="000941D1">
      <w:pPr>
        <w:pStyle w:val="SingleTxt"/>
        <w:spacing w:after="0" w:line="120" w:lineRule="exact"/>
        <w:rPr>
          <w:sz w:val="10"/>
        </w:rPr>
      </w:pPr>
    </w:p>
    <w:p w14:paraId="3A3FE2CB" w14:textId="77777777" w:rsidR="000941D1" w:rsidRPr="005F70B3" w:rsidRDefault="000941D1" w:rsidP="00E97D2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5F70B3">
        <w:tab/>
      </w:r>
      <w:r w:rsidRPr="005F70B3">
        <w:tab/>
        <w:t>Violencia de género y prácticas nocivas contra la mujer en la región del Cáucaso septentrional</w:t>
      </w:r>
    </w:p>
    <w:p w14:paraId="3FEC5E3D" w14:textId="77777777" w:rsidR="000941D1" w:rsidRPr="005F70B3" w:rsidRDefault="000941D1" w:rsidP="000941D1">
      <w:pPr>
        <w:pStyle w:val="SingleTxt"/>
        <w:spacing w:after="0" w:line="120" w:lineRule="exact"/>
        <w:rPr>
          <w:sz w:val="10"/>
        </w:rPr>
      </w:pPr>
    </w:p>
    <w:p w14:paraId="69E8117D" w14:textId="77777777" w:rsidR="000941D1" w:rsidRPr="005F70B3" w:rsidRDefault="000941D1" w:rsidP="000941D1">
      <w:pPr>
        <w:pStyle w:val="SingleTxt"/>
        <w:spacing w:after="0" w:line="120" w:lineRule="exact"/>
        <w:rPr>
          <w:sz w:val="10"/>
        </w:rPr>
      </w:pPr>
    </w:p>
    <w:p w14:paraId="06F3E59E"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10</w:t>
      </w:r>
    </w:p>
    <w:p w14:paraId="55BCA5E1" w14:textId="77777777" w:rsidR="000941D1" w:rsidRPr="005F70B3" w:rsidRDefault="000941D1" w:rsidP="000941D1">
      <w:pPr>
        <w:pStyle w:val="SingleTxt"/>
        <w:spacing w:after="0" w:line="120" w:lineRule="exact"/>
        <w:rPr>
          <w:sz w:val="10"/>
        </w:rPr>
      </w:pPr>
    </w:p>
    <w:p w14:paraId="41348D84" w14:textId="77777777" w:rsidR="000941D1" w:rsidRPr="005F70B3" w:rsidRDefault="000941D1" w:rsidP="000941D1">
      <w:pPr>
        <w:pStyle w:val="SingleTxt"/>
        <w:spacing w:after="0" w:line="120" w:lineRule="exact"/>
        <w:rPr>
          <w:sz w:val="10"/>
        </w:rPr>
      </w:pPr>
    </w:p>
    <w:p w14:paraId="1825E68F" w14:textId="7BD3DA42" w:rsidR="000941D1" w:rsidRPr="005F70B3" w:rsidRDefault="000941D1" w:rsidP="00050D5D">
      <w:pPr>
        <w:pStyle w:val="SingleTxt"/>
        <w:numPr>
          <w:ilvl w:val="0"/>
          <w:numId w:val="5"/>
        </w:numPr>
        <w:spacing w:line="240" w:lineRule="atLeast"/>
        <w:ind w:left="1267" w:firstLine="0"/>
      </w:pPr>
      <w:r w:rsidRPr="005F70B3">
        <w:t>En 2019, según las estadísticas oficiales, 18.500 mujeres fueron víctimas de delitos en el área federal del Cáucaso septentrional, lo que representa el 44,6</w:t>
      </w:r>
      <w:r w:rsidR="00B26819">
        <w:t> %</w:t>
      </w:r>
      <w:r w:rsidRPr="005F70B3">
        <w:t xml:space="preserve"> del número total de víctimas. Los delitos violentos contra mujeres en el área federal representaron el 37,5</w:t>
      </w:r>
      <w:r w:rsidR="00B26819">
        <w:t> %</w:t>
      </w:r>
      <w:r w:rsidRPr="005F70B3">
        <w:t xml:space="preserve"> de los delitos de este tipo (la tasa más baja de todas las áreas federales). Los delitos de naturaleza sexual constituyen un tercio de los delitos violentos cometidos contra mujeres que causan víctimas (30,1</w:t>
      </w:r>
      <w:r w:rsidR="00B26819">
        <w:t> %</w:t>
      </w:r>
      <w:r w:rsidRPr="005F70B3">
        <w:t xml:space="preserve"> en 2019).</w:t>
      </w:r>
    </w:p>
    <w:p w14:paraId="010ABB1E" w14:textId="77777777" w:rsidR="000941D1" w:rsidRPr="005F70B3" w:rsidRDefault="000941D1" w:rsidP="00050D5D">
      <w:pPr>
        <w:pStyle w:val="SingleTxt"/>
        <w:numPr>
          <w:ilvl w:val="0"/>
          <w:numId w:val="5"/>
        </w:numPr>
        <w:spacing w:line="240" w:lineRule="atLeast"/>
        <w:ind w:left="1267" w:firstLine="0"/>
      </w:pPr>
      <w:r w:rsidRPr="005F70B3">
        <w:t>La Federación de Rusia tiene competencia exclusiva sobre el derecho penal y las leyes de procedimiento penal, como se establece en el artículo 71 o) de la Constitución. De conformidad con el artículo 76 de la Constitución, las leyes constitucionales federales y las leyes federales aprobadas sobre asuntos que son competencia del Gobierno federal producen efectos directos en todo el territorio de la Federación de Rusia.</w:t>
      </w:r>
    </w:p>
    <w:p w14:paraId="13B92619" w14:textId="77777777" w:rsidR="000941D1" w:rsidRPr="005F70B3" w:rsidRDefault="000941D1" w:rsidP="00050D5D">
      <w:pPr>
        <w:pStyle w:val="SingleTxt"/>
        <w:numPr>
          <w:ilvl w:val="0"/>
          <w:numId w:val="5"/>
        </w:numPr>
        <w:spacing w:line="240" w:lineRule="atLeast"/>
        <w:ind w:left="1267" w:firstLine="0"/>
      </w:pPr>
      <w:r w:rsidRPr="005F70B3">
        <w:t>El Código Penal es el único instrumento normativo que establece los elementos constitutivos de delito y las penas por su comisión.</w:t>
      </w:r>
    </w:p>
    <w:p w14:paraId="40F74967" w14:textId="77777777" w:rsidR="000941D1" w:rsidRPr="005F70B3" w:rsidRDefault="000941D1" w:rsidP="00050D5D">
      <w:pPr>
        <w:pStyle w:val="SingleTxt"/>
        <w:keepLines/>
        <w:numPr>
          <w:ilvl w:val="0"/>
          <w:numId w:val="5"/>
        </w:numPr>
        <w:spacing w:line="240" w:lineRule="atLeast"/>
        <w:ind w:left="1267" w:firstLine="0"/>
        <w:rPr>
          <w:spacing w:val="2"/>
          <w:w w:val="102"/>
        </w:rPr>
      </w:pPr>
      <w:r w:rsidRPr="005F70B3">
        <w:t>Los actos ilícitos también son punibles en toda la Federación de Rusia independientemente de la región donde se cometan. Para definir de manera coherente los delitos que entrañan violencia contra la mujer, también deben ser coherentes los elementos constitutivos de los delitos pertinentes y todo el conjunto de normas aplicables de la parte general del Código Penal. Por lo tanto, no existen diferencias regionales en la aplicación del derecho penal.</w:t>
      </w:r>
    </w:p>
    <w:p w14:paraId="69C7BBDC" w14:textId="77777777" w:rsidR="000941D1" w:rsidRPr="005F70B3" w:rsidRDefault="000941D1" w:rsidP="00050D5D">
      <w:pPr>
        <w:pStyle w:val="SingleTxt"/>
        <w:numPr>
          <w:ilvl w:val="0"/>
          <w:numId w:val="5"/>
        </w:numPr>
        <w:spacing w:line="240" w:lineRule="atLeast"/>
        <w:ind w:left="1267" w:firstLine="0"/>
        <w:rPr>
          <w:spacing w:val="2"/>
          <w:w w:val="102"/>
        </w:rPr>
      </w:pPr>
      <w:r w:rsidRPr="005F70B3">
        <w:t>En la Federación de Rusia, la edad para contraer matrimonio se corresponde con la edad prescrita en la Declaración de los Derechos del Niño de 20 de noviembre de 1959 y en la Convención sobre el Consentimiento para el Matrimonio, la Edad Mínima para Contraer Matrimonio y el Registro de los Matrimonios, cuyo artículo 2 establece que no podrán contraer legalmente matrimonio las personas que no hayan cumplido la edad para contraer matrimonio, salvo que la autoridad competente, por causas justificadas y en interés de los contrayentes, dispense el requisito de la edad.</w:t>
      </w:r>
    </w:p>
    <w:p w14:paraId="2E7EDB5D" w14:textId="77777777" w:rsidR="000941D1" w:rsidRPr="005F70B3" w:rsidRDefault="000941D1" w:rsidP="00060004">
      <w:pPr>
        <w:pStyle w:val="SingleTxt"/>
        <w:numPr>
          <w:ilvl w:val="0"/>
          <w:numId w:val="5"/>
        </w:numPr>
        <w:spacing w:line="240" w:lineRule="atLeast"/>
        <w:ind w:left="1267" w:firstLine="0"/>
      </w:pPr>
      <w:r w:rsidRPr="005F70B3">
        <w:t>El artículo 13 del Código de Familia de la Federación de Rusia fija la edad para contraer matrimonio en 18 años. El mismo artículo establece el derecho de las autoridades de gobierno local a permitir el matrimonio de personas que hayan cumplido 16 años, a petición propia y siempre que existan razones válidas, de acuerdo con su lugar de residencia y teniendo en cuenta los intereses constitucionalmente protegidos de la familia y el niño. El artículo 13 también prevé el derecho de las entidades constitutivas de la Federación de Rusia a aprobar leyes que establezcan el procedimiento y las condiciones que deben cumplirse antes de conceder permiso a las personas menores de 16 años para contraer matrimonio en vista de circunstancias especiales y con carácter excepcional.</w:t>
      </w:r>
    </w:p>
    <w:p w14:paraId="53B23C9A" w14:textId="77777777" w:rsidR="000941D1" w:rsidRPr="005F70B3" w:rsidRDefault="000941D1" w:rsidP="00050D5D">
      <w:pPr>
        <w:pStyle w:val="SingleTxt"/>
        <w:keepNext/>
        <w:keepLines/>
        <w:numPr>
          <w:ilvl w:val="0"/>
          <w:numId w:val="5"/>
        </w:numPr>
        <w:spacing w:line="240" w:lineRule="atLeast"/>
        <w:ind w:left="1264" w:right="1264" w:firstLine="0"/>
      </w:pPr>
      <w:r w:rsidRPr="005F70B3">
        <w:lastRenderedPageBreak/>
        <w:t>El matrimonio con una persona que no haya cumplido 18 años, en ausencia de la razón válida descrita en el artículo 13 del Código de Familia, también en el Cáucaso septentrional, constituye un delito con arreglo al artículo 134 del Código Penal (Relaciones sexuales y otros actos de naturaleza sexual con una persona menor de 16 años) y se inician actuaciones penales de acuerdo con los elementos constitutivos del delito.</w:t>
      </w:r>
    </w:p>
    <w:p w14:paraId="77CBB429" w14:textId="77777777" w:rsidR="000941D1" w:rsidRPr="005F70B3" w:rsidRDefault="000941D1" w:rsidP="00050D5D">
      <w:pPr>
        <w:pStyle w:val="SingleTxt"/>
        <w:numPr>
          <w:ilvl w:val="0"/>
          <w:numId w:val="5"/>
        </w:numPr>
        <w:spacing w:line="240" w:lineRule="atLeast"/>
        <w:ind w:left="1267" w:firstLine="0"/>
      </w:pPr>
      <w:r w:rsidRPr="005F70B3">
        <w:t>Los secuestros de mujeres y niñas se inscriben en el artículo 126 (Secuestro) del Código Penal.</w:t>
      </w:r>
    </w:p>
    <w:p w14:paraId="5CCB8F64" w14:textId="77777777" w:rsidR="000941D1" w:rsidRPr="005F70B3" w:rsidRDefault="000941D1" w:rsidP="00050D5D">
      <w:pPr>
        <w:pStyle w:val="SingleTxt"/>
        <w:numPr>
          <w:ilvl w:val="0"/>
          <w:numId w:val="5"/>
        </w:numPr>
        <w:spacing w:line="240" w:lineRule="atLeast"/>
        <w:ind w:left="1267" w:firstLine="0"/>
      </w:pPr>
      <w:r w:rsidRPr="005F70B3">
        <w:t>La mutilación genital femenina se define como una lesión corporal moderada o grave causada intencionalmente que supone una amenaza para la vida humana o da lugar a la pérdida de un órgano o a la pérdida de las funciones del órgano (artículo 111 y 112 del Código Penal).</w:t>
      </w:r>
    </w:p>
    <w:p w14:paraId="0848CAF8" w14:textId="77777777" w:rsidR="000941D1" w:rsidRPr="005F70B3" w:rsidRDefault="000941D1" w:rsidP="00050D5D">
      <w:pPr>
        <w:pStyle w:val="SingleTxt"/>
        <w:numPr>
          <w:ilvl w:val="0"/>
          <w:numId w:val="5"/>
        </w:numPr>
        <w:spacing w:line="240" w:lineRule="atLeast"/>
        <w:ind w:left="1267" w:firstLine="0"/>
      </w:pPr>
      <w:r w:rsidRPr="005F70B3">
        <w:t>La poligamia no acarrea una responsabilidad penal con arreglo a la legislación federal. Sin embargo, el artículo 14 del Código de Familia prohíbe el matrimonio entre personas de las cuales al menos una ya conste en otro matrimonio registrado.</w:t>
      </w:r>
    </w:p>
    <w:p w14:paraId="6B9F4530" w14:textId="77777777" w:rsidR="000941D1" w:rsidRPr="005F70B3" w:rsidRDefault="000941D1" w:rsidP="000941D1">
      <w:pPr>
        <w:pStyle w:val="SingleTxt"/>
        <w:spacing w:after="0" w:line="120" w:lineRule="exact"/>
        <w:rPr>
          <w:sz w:val="10"/>
        </w:rPr>
      </w:pPr>
    </w:p>
    <w:p w14:paraId="582E2C03" w14:textId="77777777" w:rsidR="000941D1" w:rsidRPr="005F70B3" w:rsidRDefault="000941D1" w:rsidP="000941D1">
      <w:pPr>
        <w:pStyle w:val="SingleTxt"/>
        <w:spacing w:after="0" w:line="120" w:lineRule="exact"/>
        <w:rPr>
          <w:sz w:val="10"/>
        </w:rPr>
      </w:pPr>
    </w:p>
    <w:p w14:paraId="7E5B4661"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Trata y explotación de la prostitución</w:t>
      </w:r>
    </w:p>
    <w:p w14:paraId="0EA7E888" w14:textId="77777777" w:rsidR="000941D1" w:rsidRPr="005F70B3" w:rsidRDefault="000941D1" w:rsidP="000941D1">
      <w:pPr>
        <w:pStyle w:val="SingleTxt"/>
        <w:spacing w:after="0" w:line="120" w:lineRule="exact"/>
        <w:rPr>
          <w:sz w:val="10"/>
        </w:rPr>
      </w:pPr>
    </w:p>
    <w:p w14:paraId="5A907575" w14:textId="77777777" w:rsidR="000941D1" w:rsidRPr="005F70B3" w:rsidRDefault="000941D1" w:rsidP="000941D1">
      <w:pPr>
        <w:pStyle w:val="SingleTxt"/>
        <w:spacing w:after="0" w:line="120" w:lineRule="exact"/>
        <w:rPr>
          <w:sz w:val="10"/>
        </w:rPr>
      </w:pPr>
    </w:p>
    <w:p w14:paraId="72F6F15A"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11</w:t>
      </w:r>
    </w:p>
    <w:p w14:paraId="06960076" w14:textId="77777777" w:rsidR="000941D1" w:rsidRPr="005F70B3" w:rsidRDefault="000941D1" w:rsidP="000941D1">
      <w:pPr>
        <w:pStyle w:val="SingleTxt"/>
        <w:spacing w:after="0" w:line="120" w:lineRule="exact"/>
        <w:rPr>
          <w:sz w:val="10"/>
        </w:rPr>
      </w:pPr>
    </w:p>
    <w:p w14:paraId="439C5E99" w14:textId="77777777" w:rsidR="000941D1" w:rsidRPr="005F70B3" w:rsidRDefault="000941D1" w:rsidP="000941D1">
      <w:pPr>
        <w:pStyle w:val="SingleTxt"/>
        <w:spacing w:after="0" w:line="120" w:lineRule="exact"/>
        <w:rPr>
          <w:sz w:val="10"/>
        </w:rPr>
      </w:pPr>
    </w:p>
    <w:p w14:paraId="60E5E21B" w14:textId="77777777" w:rsidR="000941D1" w:rsidRPr="005F70B3" w:rsidRDefault="000941D1" w:rsidP="00050D5D">
      <w:pPr>
        <w:pStyle w:val="SingleTxt"/>
        <w:numPr>
          <w:ilvl w:val="0"/>
          <w:numId w:val="5"/>
        </w:numPr>
        <w:spacing w:line="240" w:lineRule="atLeast"/>
        <w:ind w:left="1267" w:firstLine="0"/>
      </w:pPr>
      <w:r w:rsidRPr="005F70B3">
        <w:t>En los párrafos 69 a 71 y 74 a 81 del noveno informe periódico se ofrece información detallada al respecto.</w:t>
      </w:r>
    </w:p>
    <w:p w14:paraId="6E200D6F" w14:textId="77777777" w:rsidR="000941D1" w:rsidRPr="005F70B3" w:rsidRDefault="000941D1" w:rsidP="00050D5D">
      <w:pPr>
        <w:pStyle w:val="SingleTxt"/>
        <w:numPr>
          <w:ilvl w:val="0"/>
          <w:numId w:val="5"/>
        </w:numPr>
        <w:spacing w:line="240" w:lineRule="atLeast"/>
        <w:ind w:left="1267" w:firstLine="0"/>
      </w:pPr>
      <w:r w:rsidRPr="005F70B3">
        <w:t>Según los datos disponibles, se cometieron 22 delitos contemplados en el artículo 127.1 del Código Penal (Trata de personas) en 2019 y 15 en el período comprendido entre enero y junio de 2020. Se llevó ante la justicia a un total de 33 personas en 2019 y 11 en el período comprendido entre enero y junio de 2020.</w:t>
      </w:r>
    </w:p>
    <w:p w14:paraId="5EB03D2E" w14:textId="77777777" w:rsidR="000941D1" w:rsidRPr="005F70B3" w:rsidRDefault="000941D1" w:rsidP="00050D5D">
      <w:pPr>
        <w:pStyle w:val="SingleTxt"/>
        <w:numPr>
          <w:ilvl w:val="0"/>
          <w:numId w:val="5"/>
        </w:numPr>
        <w:spacing w:line="240" w:lineRule="atLeast"/>
        <w:ind w:left="1267" w:firstLine="0"/>
        <w:rPr>
          <w:spacing w:val="2"/>
          <w:w w:val="102"/>
        </w:rPr>
      </w:pPr>
      <w:r w:rsidRPr="005F70B3">
        <w:t>De conformidad con el artículo 6.11 del Código de Infracciones Administrativas, el ejercicio de la prostitución se castiga con una multa administrativa. La prostitución constituye un delito contra la decencia pública y la salud pública. Causa un daño social en vista de su potencial para propagar enfermedades de transmisión sexual y la infección por VIH a gran escala.</w:t>
      </w:r>
    </w:p>
    <w:p w14:paraId="2A27F03E" w14:textId="77777777" w:rsidR="000941D1" w:rsidRPr="005F70B3" w:rsidRDefault="000941D1" w:rsidP="000941D1">
      <w:pPr>
        <w:pStyle w:val="SingleTxt"/>
        <w:spacing w:after="0" w:line="120" w:lineRule="exact"/>
        <w:rPr>
          <w:sz w:val="10"/>
        </w:rPr>
      </w:pPr>
    </w:p>
    <w:p w14:paraId="59384EE4" w14:textId="77777777" w:rsidR="000941D1" w:rsidRPr="005F70B3" w:rsidRDefault="000941D1" w:rsidP="000941D1">
      <w:pPr>
        <w:pStyle w:val="SingleTxt"/>
        <w:spacing w:after="0" w:line="120" w:lineRule="exact"/>
        <w:rPr>
          <w:sz w:val="10"/>
        </w:rPr>
      </w:pPr>
    </w:p>
    <w:p w14:paraId="60376EE5"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Participación en la vida política y pública</w:t>
      </w:r>
    </w:p>
    <w:p w14:paraId="49A640E0" w14:textId="77777777" w:rsidR="000941D1" w:rsidRPr="005F70B3" w:rsidRDefault="000941D1" w:rsidP="000941D1">
      <w:pPr>
        <w:pStyle w:val="SingleTxt"/>
        <w:spacing w:after="0" w:line="120" w:lineRule="exact"/>
        <w:rPr>
          <w:sz w:val="10"/>
        </w:rPr>
      </w:pPr>
    </w:p>
    <w:p w14:paraId="0A13AA9E" w14:textId="77777777" w:rsidR="000941D1" w:rsidRPr="005F70B3" w:rsidRDefault="000941D1" w:rsidP="000941D1">
      <w:pPr>
        <w:pStyle w:val="SingleTxt"/>
        <w:spacing w:after="0" w:line="120" w:lineRule="exact"/>
        <w:rPr>
          <w:sz w:val="10"/>
        </w:rPr>
      </w:pPr>
    </w:p>
    <w:p w14:paraId="2F852FB0"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12</w:t>
      </w:r>
    </w:p>
    <w:p w14:paraId="238346EF" w14:textId="77777777" w:rsidR="000941D1" w:rsidRPr="005F70B3" w:rsidRDefault="000941D1" w:rsidP="000941D1">
      <w:pPr>
        <w:pStyle w:val="SingleTxt"/>
        <w:spacing w:after="0" w:line="120" w:lineRule="exact"/>
        <w:rPr>
          <w:sz w:val="10"/>
        </w:rPr>
      </w:pPr>
    </w:p>
    <w:p w14:paraId="7E450A0C" w14:textId="77777777" w:rsidR="000941D1" w:rsidRPr="005F70B3" w:rsidRDefault="000941D1" w:rsidP="000941D1">
      <w:pPr>
        <w:pStyle w:val="SingleTxt"/>
        <w:spacing w:after="0" w:line="120" w:lineRule="exact"/>
        <w:rPr>
          <w:sz w:val="10"/>
        </w:rPr>
      </w:pPr>
    </w:p>
    <w:p w14:paraId="399F7CA6" w14:textId="77777777" w:rsidR="000941D1" w:rsidRPr="005F70B3" w:rsidRDefault="000941D1" w:rsidP="00050D5D">
      <w:pPr>
        <w:pStyle w:val="SingleTxt"/>
        <w:numPr>
          <w:ilvl w:val="0"/>
          <w:numId w:val="5"/>
        </w:numPr>
        <w:spacing w:line="240" w:lineRule="atLeast"/>
        <w:ind w:left="1267" w:firstLine="0"/>
      </w:pPr>
      <w:r w:rsidRPr="005F70B3">
        <w:t>Hay 2 Viceprimeras Ministras de la Federación de Rusia y 1 Ministra Federal (de Cultura).</w:t>
      </w:r>
    </w:p>
    <w:p w14:paraId="367DC3BF" w14:textId="77777777" w:rsidR="000941D1" w:rsidRPr="005F70B3" w:rsidRDefault="000941D1" w:rsidP="00050D5D">
      <w:pPr>
        <w:pStyle w:val="SingleTxt"/>
        <w:numPr>
          <w:ilvl w:val="0"/>
          <w:numId w:val="5"/>
        </w:numPr>
        <w:spacing w:line="240" w:lineRule="atLeast"/>
        <w:ind w:left="1267" w:firstLine="0"/>
        <w:rPr>
          <w:spacing w:val="1"/>
          <w:w w:val="101"/>
        </w:rPr>
      </w:pPr>
      <w:r w:rsidRPr="005F70B3">
        <w:t>En el Consejo de la Federación de la Asamblea Federal hay 28 senadoras, entre ellas la Presidenta y una Vicepresidenta, de un total de 170 senadores. Dos de las diez comisiones del Consejo de la Federación están presididas por mujeres (política social y ciencia y educación y cultura), mientras que hay 4 Vicepresidentas Primeras de Comisión y 4 Vicepresidentas de Comisión.</w:t>
      </w:r>
    </w:p>
    <w:p w14:paraId="11CB4F41" w14:textId="77777777" w:rsidR="000941D1" w:rsidRPr="005F70B3" w:rsidRDefault="000941D1" w:rsidP="00050D5D">
      <w:pPr>
        <w:pStyle w:val="SingleTxt"/>
        <w:numPr>
          <w:ilvl w:val="0"/>
          <w:numId w:val="5"/>
        </w:numPr>
        <w:spacing w:line="240" w:lineRule="atLeast"/>
        <w:ind w:left="1267" w:firstLine="0"/>
      </w:pPr>
      <w:r w:rsidRPr="005F70B3">
        <w:t>Del total de 450 diputados de la Séptima Duma Estatal, 70 son mujeres, frente a 21 en la cohorte anterior. Cuatro de las veintiséis comisiones de la Duma Estatal están presididas por mujeres, mientras que hay 7 Vicepresidentas Primeras de Comisión y 15 Vicepresidentas de Comisión.</w:t>
      </w:r>
    </w:p>
    <w:p w14:paraId="3FAC346C" w14:textId="77777777" w:rsidR="000941D1" w:rsidRPr="005F70B3" w:rsidRDefault="000941D1" w:rsidP="00050D5D">
      <w:pPr>
        <w:pStyle w:val="SingleTxt"/>
        <w:numPr>
          <w:ilvl w:val="0"/>
          <w:numId w:val="5"/>
        </w:numPr>
        <w:spacing w:line="240" w:lineRule="atLeast"/>
        <w:ind w:left="1267" w:firstLine="0"/>
      </w:pPr>
      <w:r w:rsidRPr="005F70B3">
        <w:t xml:space="preserve">Tres mujeres ocupan los cargos de Presidenta del Banco Central, Comisionada para los Derechos Humanos y Comisionada para los Derechos del Niño adscrita a la </w:t>
      </w:r>
      <w:r w:rsidRPr="005F70B3">
        <w:lastRenderedPageBreak/>
        <w:t>Presidencia de la Federación de Rusia. Una mujer es Gobernadora del Distrito Autónomo de Janti-Mansisk.</w:t>
      </w:r>
    </w:p>
    <w:p w14:paraId="4C63FBD5" w14:textId="513A4F20" w:rsidR="000941D1" w:rsidRPr="005F70B3" w:rsidRDefault="000941D1" w:rsidP="00050D5D">
      <w:pPr>
        <w:pStyle w:val="SingleTxt"/>
        <w:numPr>
          <w:ilvl w:val="0"/>
          <w:numId w:val="5"/>
        </w:numPr>
        <w:spacing w:line="240" w:lineRule="atLeast"/>
        <w:ind w:left="1267" w:firstLine="0"/>
      </w:pPr>
      <w:r w:rsidRPr="005F70B3">
        <w:t>Ahora hay más mujeres que ocupan cargos municipales (33</w:t>
      </w:r>
      <w:r w:rsidR="00B26819">
        <w:t> %</w:t>
      </w:r>
      <w:r w:rsidRPr="005F70B3">
        <w:t xml:space="preserve"> en 2019 frente a 31</w:t>
      </w:r>
      <w:r w:rsidR="00B26819">
        <w:t> %</w:t>
      </w:r>
      <w:r w:rsidRPr="005F70B3">
        <w:t xml:space="preserve"> en 2016) y también hay más mujeres en gobiernos locales y en cargos legislativos y ejecutivos a nivel municipal (32</w:t>
      </w:r>
      <w:r w:rsidR="00B26819">
        <w:t> %</w:t>
      </w:r>
      <w:r w:rsidRPr="005F70B3">
        <w:t xml:space="preserve"> en 2019 frente a 30</w:t>
      </w:r>
      <w:r w:rsidR="00B26819">
        <w:t> %</w:t>
      </w:r>
      <w:r w:rsidRPr="005F70B3">
        <w:t xml:space="preserve"> en 2016).</w:t>
      </w:r>
    </w:p>
    <w:p w14:paraId="32C10A19" w14:textId="77777777" w:rsidR="000941D1" w:rsidRPr="005F70B3" w:rsidRDefault="000941D1" w:rsidP="00050D5D">
      <w:pPr>
        <w:pStyle w:val="SingleTxt"/>
        <w:numPr>
          <w:ilvl w:val="0"/>
          <w:numId w:val="5"/>
        </w:numPr>
        <w:spacing w:line="240" w:lineRule="atLeast"/>
        <w:ind w:left="1267" w:firstLine="0"/>
      </w:pPr>
      <w:r w:rsidRPr="005F70B3">
        <w:t>Se han establecido medidas para mejorar la condición económica de las mujeres, ayudarlas con el reciclaje profesional, el desarrollo de aptitudes y el empleo y crear condiciones que les permitan cumplir sus responsabilidades laborales y familiares.</w:t>
      </w:r>
    </w:p>
    <w:p w14:paraId="32AD3441" w14:textId="77777777" w:rsidR="000941D1" w:rsidRPr="005F70B3" w:rsidRDefault="000941D1" w:rsidP="00050D5D">
      <w:pPr>
        <w:pStyle w:val="SingleTxt"/>
        <w:numPr>
          <w:ilvl w:val="0"/>
          <w:numId w:val="5"/>
        </w:numPr>
        <w:spacing w:line="240" w:lineRule="atLeast"/>
        <w:ind w:left="1267" w:firstLine="0"/>
      </w:pPr>
      <w:r w:rsidRPr="005F70B3">
        <w:t>Con arreglo a la Ley Federal núm. 67-FZ de 12 de junio de 2002 sobre las Garantías Fundamentales de los Derechos Electorales y el Derecho a Participar en Referendos de Ciudadanos de la Federación de Rusia, los ciudadanos tienen derecho a votar y a ser elegidos independientemente del sexo, la raza, la etnia, el idioma, el origen, la situación financiera, el cargo oficial, el lugar de residencia, la actitud hacia la religión, las creencias, la afiliación a organizaciones comunitarias u otras circunstancias. Los candidatos deben reunir sus propios fondos para financiar las campañas electorales, que pueden establecerse utilizando los fondos propios del candidato, los fondos que le han sido asignados por la asociación electoral y las contribuciones voluntarias de particulares o personas jurídicas.</w:t>
      </w:r>
    </w:p>
    <w:p w14:paraId="39BA6CEB" w14:textId="77777777" w:rsidR="000941D1" w:rsidRPr="005F70B3" w:rsidRDefault="000941D1" w:rsidP="00060004">
      <w:pPr>
        <w:pStyle w:val="SingleTxt"/>
        <w:numPr>
          <w:ilvl w:val="0"/>
          <w:numId w:val="5"/>
        </w:numPr>
        <w:spacing w:line="240" w:lineRule="atLeast"/>
        <w:ind w:left="1267" w:firstLine="0"/>
      </w:pPr>
      <w:r w:rsidRPr="005F70B3">
        <w:t>La legislación federal no contiene disposiciones que restrinjan el acceso de las mujeres a la financiación de las campañas.</w:t>
      </w:r>
    </w:p>
    <w:p w14:paraId="3FF13BE7" w14:textId="1E65523B" w:rsidR="000941D1" w:rsidRPr="005F70B3" w:rsidRDefault="000941D1" w:rsidP="00060004">
      <w:pPr>
        <w:pStyle w:val="SingleTxt"/>
        <w:numPr>
          <w:ilvl w:val="0"/>
          <w:numId w:val="5"/>
        </w:numPr>
        <w:spacing w:line="240" w:lineRule="atLeast"/>
        <w:ind w:left="1267" w:firstLine="0"/>
        <w:rPr>
          <w:spacing w:val="2"/>
          <w:w w:val="102"/>
        </w:rPr>
      </w:pPr>
      <w:r w:rsidRPr="005F70B3">
        <w:t xml:space="preserve">Entre los aspirantes a puestos de la administración pública en el Ministerio de Asuntos Exteriores se da preferencia a los candidatos que mejor cumplen los requisitos reglamentarios de cualificación con respecto al nivel de educación profesional, antigüedad en el servicio o experiencia profesional, ámbito de especialización, conocimientos y aptitudes necesarias para el desempeño de las funciones oficiales. Estos criterios se establecen en el artículo 12 1) de la Ley Federal núm. 79-FZ de 27 de julio de 2004 sobre la Administración Pública Estatal. No existen disposiciones que </w:t>
      </w:r>
      <w:r w:rsidR="00876052">
        <w:t>hagan depender</w:t>
      </w:r>
      <w:r w:rsidR="00876052" w:rsidRPr="005F70B3">
        <w:t xml:space="preserve"> </w:t>
      </w:r>
      <w:r w:rsidRPr="005F70B3">
        <w:t>la contratación de ciudadanos en la administración pública a</w:t>
      </w:r>
      <w:r w:rsidR="00876052">
        <w:t xml:space="preserve"> consideraciones de</w:t>
      </w:r>
      <w:r w:rsidRPr="005F70B3">
        <w:t xml:space="preserve"> género. Además, uno de los principios de la administración pública estatal establecidos por la Ley Federal núm. 79-FZ (art. 4 3)) es la igualdad de derechos de todos los ciudadanos que dominan el idioma oficial de la Federación de Rusia a entrar en la administración pública y disfrutar de las mismas condiciones de servicio, independientemente del sexo, la raza, la etnia, el origen, la situación financiera, el cargo oficial, el lugar de residencia, la actitud hacia la religión, las creencia, la afiliación a organizaciones comunitarias u otras circunstancias no relacionadas con las cualidades profesionales o el desempeño de un funcionario público. Por lo tanto, no existen disposiciones jurídicas que impidan a las mujeres entrar en el servicio diplomático.</w:t>
      </w:r>
    </w:p>
    <w:p w14:paraId="2493E02A" w14:textId="044E12F3" w:rsidR="000941D1" w:rsidRPr="00060004" w:rsidRDefault="000941D1" w:rsidP="00050D5D">
      <w:pPr>
        <w:pStyle w:val="SingleTxt"/>
        <w:numPr>
          <w:ilvl w:val="0"/>
          <w:numId w:val="5"/>
        </w:numPr>
        <w:spacing w:line="240" w:lineRule="atLeast"/>
        <w:ind w:left="1267" w:firstLine="0"/>
        <w:rPr>
          <w:w w:val="100"/>
        </w:rPr>
      </w:pPr>
      <w:r w:rsidRPr="00060004">
        <w:rPr>
          <w:w w:val="100"/>
        </w:rPr>
        <w:t xml:space="preserve">La proporción de mujeres en el cuerpo diplomático en la oficina central del Ministerio es mayor que el número de mujeres en misiones diplomáticas en el extranjero debido a las especificidades del servicio diplomático. El artículo 8 1) de la Ley Federal núm. 205-FZ establece la rotación obligatoria del cuerpo diplomático. Las mujeres diplomáticas, junto con sus homólogos masculinos, son enviadas a trabajar desde la oficina central del Ministerio a sus oficinas en el extranjero, de acuerdo con sus cualificaciones y especialización. Estas oficinas no siempre pueden ofrecer empleo a los cónyuges de las mujeres diplomáticas que se corresponda con las cualificaciones del cónyuge y sus expectativas profesionales o su salario en la Federación de Rusia. El </w:t>
      </w:r>
      <w:r w:rsidR="003E7FE2">
        <w:rPr>
          <w:w w:val="100"/>
        </w:rPr>
        <w:t xml:space="preserve">personal </w:t>
      </w:r>
      <w:r w:rsidRPr="00060004">
        <w:rPr>
          <w:w w:val="100"/>
        </w:rPr>
        <w:t>diplomático también rota en países con condiciones climáticas</w:t>
      </w:r>
      <w:r w:rsidR="00821D7A">
        <w:rPr>
          <w:w w:val="100"/>
        </w:rPr>
        <w:t>,</w:t>
      </w:r>
      <w:r w:rsidR="00116CFB">
        <w:rPr>
          <w:w w:val="100"/>
        </w:rPr>
        <w:t xml:space="preserve"> epidemiológicas, sociales </w:t>
      </w:r>
      <w:r w:rsidR="00884ADA">
        <w:rPr>
          <w:w w:val="100"/>
        </w:rPr>
        <w:t>y de</w:t>
      </w:r>
      <w:r w:rsidRPr="00060004">
        <w:rPr>
          <w:w w:val="100"/>
        </w:rPr>
        <w:t xml:space="preserve"> vida difíciles. Trabajar en estos países puede entrañar riesgos para las propias mujeres y para sus hijos, incluidos los que puedan tener en el futuro.</w:t>
      </w:r>
    </w:p>
    <w:p w14:paraId="580B7D87" w14:textId="77777777" w:rsidR="000941D1" w:rsidRPr="005F70B3" w:rsidRDefault="000941D1" w:rsidP="00050D5D">
      <w:pPr>
        <w:pStyle w:val="SingleTxt"/>
        <w:numPr>
          <w:ilvl w:val="0"/>
          <w:numId w:val="5"/>
        </w:numPr>
        <w:spacing w:line="240" w:lineRule="atLeast"/>
        <w:ind w:left="1267" w:firstLine="0"/>
      </w:pPr>
      <w:r w:rsidRPr="005F70B3">
        <w:lastRenderedPageBreak/>
        <w:t>Para evitar poner en peligro la salud de sus funcionarias u obligarlas a elegir entre su familia y su carrera, el empleador, en este caso el Estado, que actúa en interés de las propias mujeres, en general no las obliga a trabajar en el extranjero, salvo que existan razones específicas para hacerlo. Así, la “disparidad” mencionada por el Comité no es consecuencia de la discriminación, sino de haber tenido en cuenta los intereses de las mujeres.</w:t>
      </w:r>
    </w:p>
    <w:p w14:paraId="4BDB8ED1" w14:textId="77777777" w:rsidR="000941D1" w:rsidRPr="005F70B3" w:rsidRDefault="000941D1" w:rsidP="000941D1">
      <w:pPr>
        <w:pStyle w:val="SingleTxt"/>
        <w:spacing w:after="0" w:line="120" w:lineRule="exact"/>
        <w:rPr>
          <w:sz w:val="10"/>
        </w:rPr>
      </w:pPr>
    </w:p>
    <w:p w14:paraId="4102BB8C" w14:textId="77777777" w:rsidR="000941D1" w:rsidRPr="005F70B3" w:rsidRDefault="000941D1" w:rsidP="000941D1">
      <w:pPr>
        <w:pStyle w:val="SingleTxt"/>
        <w:spacing w:after="0" w:line="120" w:lineRule="exact"/>
        <w:rPr>
          <w:sz w:val="10"/>
        </w:rPr>
      </w:pPr>
    </w:p>
    <w:p w14:paraId="20E1B89C"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Las mujeres y la paz y la seguridad</w:t>
      </w:r>
    </w:p>
    <w:p w14:paraId="0E740ED8" w14:textId="77777777" w:rsidR="000941D1" w:rsidRPr="005F70B3" w:rsidRDefault="000941D1" w:rsidP="000941D1">
      <w:pPr>
        <w:pStyle w:val="SingleTxt"/>
        <w:spacing w:after="0" w:line="120" w:lineRule="exact"/>
        <w:rPr>
          <w:sz w:val="10"/>
        </w:rPr>
      </w:pPr>
    </w:p>
    <w:p w14:paraId="156A239A" w14:textId="28C5A206" w:rsidR="000941D1" w:rsidRPr="00060004"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23E48817"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13</w:t>
      </w:r>
    </w:p>
    <w:p w14:paraId="1145963A" w14:textId="77777777" w:rsidR="000941D1" w:rsidRPr="005F70B3" w:rsidRDefault="000941D1" w:rsidP="000941D1">
      <w:pPr>
        <w:pStyle w:val="SingleTxt"/>
        <w:spacing w:after="0" w:line="120" w:lineRule="exact"/>
        <w:rPr>
          <w:sz w:val="10"/>
        </w:rPr>
      </w:pPr>
    </w:p>
    <w:p w14:paraId="35A0E791" w14:textId="77777777" w:rsidR="000941D1" w:rsidRPr="005F70B3" w:rsidRDefault="000941D1" w:rsidP="000941D1">
      <w:pPr>
        <w:pStyle w:val="SingleTxt"/>
        <w:spacing w:after="0" w:line="120" w:lineRule="exact"/>
        <w:rPr>
          <w:sz w:val="10"/>
        </w:rPr>
      </w:pPr>
    </w:p>
    <w:p w14:paraId="78E07DDD" w14:textId="77777777" w:rsidR="000941D1" w:rsidRPr="005F70B3" w:rsidRDefault="000941D1" w:rsidP="00050D5D">
      <w:pPr>
        <w:pStyle w:val="SingleTxt"/>
        <w:numPr>
          <w:ilvl w:val="0"/>
          <w:numId w:val="5"/>
        </w:numPr>
        <w:spacing w:line="240" w:lineRule="atLeast"/>
        <w:ind w:left="1267" w:firstLine="0"/>
      </w:pPr>
      <w:r w:rsidRPr="005F70B3">
        <w:t>La Federación de Rusia no es parte en ningún conflicto armado. Al mismo tiempo, como miembro permanente del Consejo de Seguridad, concede una gran importancia a la consideración que da el Consejo al tema de las mujeres, la paz y la seguridad. Un acto importante que se celebrará durante la Presidencia rusa del Consejo de Seguridad en octubre de 2020 es un debate abierto sobre este tema con motivo del 20º aniversario de la aprobación de la resolución 1325 (2000) del Consejo de Seguridad.</w:t>
      </w:r>
    </w:p>
    <w:p w14:paraId="57497F78" w14:textId="77777777" w:rsidR="000941D1" w:rsidRPr="005F70B3" w:rsidRDefault="000941D1" w:rsidP="00060004">
      <w:pPr>
        <w:pStyle w:val="SingleTxt"/>
        <w:numPr>
          <w:ilvl w:val="0"/>
          <w:numId w:val="5"/>
        </w:numPr>
        <w:spacing w:line="240" w:lineRule="atLeast"/>
        <w:ind w:left="1267" w:firstLine="0"/>
        <w:rPr>
          <w:spacing w:val="3"/>
          <w:w w:val="102"/>
        </w:rPr>
      </w:pPr>
      <w:r w:rsidRPr="005F70B3">
        <w:t>La Federación de Rusia en general respalda las iniciativas del Secretario General para aumentar la participación de las mujeres en el mantenimiento de la paz, especialmente en el ámbito policial. Debe observarse estrictamente el principio de representación geográfica amplia al asignar mujeres a misiones de mantenimiento de la paz de las Naciones Unidas, incluidos los puestos de categoría superior. Para ello, el Gobierno ruso está ayudando a los países en desarrollo a capacitar a mujeres para que formen parte del personal de mantenimiento de la paz, en particular en el centro de capacitación de personal de mantenimiento de la paz del Ministerio del Interior en Domededovo, que ofrece cursos de capacitación anuales para agentes de la autoridad extranjeros e intenta aumentar al máximo la inscripción de mujeres.</w:t>
      </w:r>
    </w:p>
    <w:p w14:paraId="39AC05EC" w14:textId="77777777" w:rsidR="000941D1" w:rsidRPr="00060004" w:rsidRDefault="000941D1" w:rsidP="00050D5D">
      <w:pPr>
        <w:pStyle w:val="SingleTxt"/>
        <w:numPr>
          <w:ilvl w:val="0"/>
          <w:numId w:val="5"/>
        </w:numPr>
        <w:spacing w:line="240" w:lineRule="atLeast"/>
        <w:ind w:left="1267" w:firstLine="0"/>
        <w:rPr>
          <w:w w:val="100"/>
        </w:rPr>
      </w:pPr>
      <w:r w:rsidRPr="00060004">
        <w:rPr>
          <w:w w:val="100"/>
        </w:rPr>
        <w:t>Los agentes del orden público rusos han participado en operaciones de mantenimiento de la paz y misiones políticas especiales de las Naciones Unidas desde 1998.</w:t>
      </w:r>
    </w:p>
    <w:p w14:paraId="176BF4B8" w14:textId="77777777" w:rsidR="000941D1" w:rsidRPr="005F70B3" w:rsidRDefault="000941D1" w:rsidP="00050D5D">
      <w:pPr>
        <w:pStyle w:val="SingleTxt"/>
        <w:numPr>
          <w:ilvl w:val="0"/>
          <w:numId w:val="5"/>
        </w:numPr>
        <w:spacing w:line="240" w:lineRule="atLeast"/>
        <w:ind w:left="1267" w:firstLine="0"/>
      </w:pPr>
      <w:r w:rsidRPr="005F70B3">
        <w:t>En los últimos cinco años, más de 20 agentes de policía rusas han participado en operaciones de mantenimiento de la paz para llevar a cabo tareas de vigilancia del cumplimiento de la ley encomendadas. Muchas de ellas han participado en dos o más misiones de las Naciones Unidas.</w:t>
      </w:r>
    </w:p>
    <w:p w14:paraId="23980359" w14:textId="725D7E78" w:rsidR="000941D1" w:rsidRPr="005F70B3" w:rsidRDefault="000941D1" w:rsidP="00050D5D">
      <w:pPr>
        <w:pStyle w:val="SingleTxt"/>
        <w:keepNext/>
        <w:keepLines/>
        <w:numPr>
          <w:ilvl w:val="0"/>
          <w:numId w:val="5"/>
        </w:numPr>
        <w:spacing w:line="240" w:lineRule="atLeast"/>
        <w:ind w:left="1264" w:right="1264" w:firstLine="0"/>
      </w:pPr>
      <w:r w:rsidRPr="005F70B3">
        <w:t>El Ministerio del Interior procura garantizar que las agentes de policía constituyan como mínimo el 20</w:t>
      </w:r>
      <w:r w:rsidR="00FD22FE">
        <w:t xml:space="preserve"> </w:t>
      </w:r>
      <w:r w:rsidR="00B26819">
        <w:t>%</w:t>
      </w:r>
      <w:r w:rsidRPr="005F70B3">
        <w:t xml:space="preserve"> del número total de agentes del orden público asignados para servir en la fuerza de policía de las Naciones Unidas, en consonancia con sus requisitos.</w:t>
      </w:r>
    </w:p>
    <w:p w14:paraId="19C53245" w14:textId="77777777" w:rsidR="000941D1" w:rsidRPr="005F70B3" w:rsidRDefault="000941D1" w:rsidP="00050D5D">
      <w:pPr>
        <w:pStyle w:val="SingleTxt"/>
        <w:keepNext/>
        <w:keepLines/>
        <w:numPr>
          <w:ilvl w:val="0"/>
          <w:numId w:val="5"/>
        </w:numPr>
        <w:spacing w:line="240" w:lineRule="atLeast"/>
        <w:ind w:left="1264" w:right="1264" w:firstLine="0"/>
      </w:pPr>
      <w:r w:rsidRPr="005F70B3">
        <w:t>Los candidatos a formar parte de la fuerza de policía de mantenimiento de la paz, incluidas las mujeres, reciben capacitación en el centro de capacitación de los órganos del Ministerio del Interior.</w:t>
      </w:r>
    </w:p>
    <w:p w14:paraId="3D2638BD" w14:textId="423998FE" w:rsidR="000941D1" w:rsidRPr="005F70B3" w:rsidRDefault="000941D1" w:rsidP="00050D5D">
      <w:pPr>
        <w:pStyle w:val="SingleTxt"/>
        <w:numPr>
          <w:ilvl w:val="0"/>
          <w:numId w:val="5"/>
        </w:numPr>
        <w:spacing w:line="240" w:lineRule="atLeast"/>
        <w:ind w:left="1267" w:firstLine="0"/>
        <w:rPr>
          <w:spacing w:val="2"/>
          <w:w w:val="102"/>
        </w:rPr>
      </w:pPr>
      <w:r w:rsidRPr="005F70B3">
        <w:t xml:space="preserve">El centro imparte cursos dos veces al año a hasta 100 agentes del orden en el marco de un programa de capacitación para candidatos a misiones de mantenimiento de la paz y a hasta 80 agentes de la autoridad de Estados de África. En 2017 se creó un curso de capacitación en mantenimiento de la paz </w:t>
      </w:r>
      <w:r w:rsidR="00BE7474">
        <w:t xml:space="preserve">en </w:t>
      </w:r>
      <w:r w:rsidR="005E48F6">
        <w:t xml:space="preserve">que </w:t>
      </w:r>
      <w:r w:rsidR="00BE7474">
        <w:t>se prestaba particular atención a las cuestiones</w:t>
      </w:r>
      <w:r w:rsidRPr="005F70B3">
        <w:t xml:space="preserve"> de género, en el que se inscribieron 29 mujeres agentes de policía como parte de la primera promoción, de las cuales 17 aprobaron posteriormente el examen de cualificación internacional SAAT.</w:t>
      </w:r>
    </w:p>
    <w:p w14:paraId="7E5B82EC" w14:textId="77777777" w:rsidR="000941D1" w:rsidRPr="005F70B3" w:rsidRDefault="000941D1" w:rsidP="00050D5D">
      <w:pPr>
        <w:pStyle w:val="SingleTxt"/>
        <w:numPr>
          <w:ilvl w:val="0"/>
          <w:numId w:val="5"/>
        </w:numPr>
        <w:spacing w:line="240" w:lineRule="atLeast"/>
        <w:ind w:left="1267" w:firstLine="0"/>
      </w:pPr>
      <w:r w:rsidRPr="005F70B3">
        <w:lastRenderedPageBreak/>
        <w:t>El curso especializado supuso una contribución importante de la Federación de Rusia a la campaña internacional de Convocatoria Mundial de las Naciones Unidas destinada a aumentar el número de mujeres policías en el mantenimiento de la paz.</w:t>
      </w:r>
    </w:p>
    <w:p w14:paraId="17BA96E4" w14:textId="77777777" w:rsidR="000941D1" w:rsidRPr="005F70B3" w:rsidRDefault="000941D1" w:rsidP="00050D5D">
      <w:pPr>
        <w:pStyle w:val="SingleTxt"/>
        <w:numPr>
          <w:ilvl w:val="0"/>
          <w:numId w:val="5"/>
        </w:numPr>
        <w:spacing w:line="240" w:lineRule="atLeast"/>
        <w:ind w:left="1267" w:firstLine="0"/>
      </w:pPr>
      <w:r w:rsidRPr="005F70B3">
        <w:t>En la actualidad, la reserva de candidatos rusos disponibles para participar en operaciones de mantenimiento de la paz de las Naciones Unidas consta de 53 agentes de policía, de los cuales 10 son mujeres.</w:t>
      </w:r>
    </w:p>
    <w:p w14:paraId="6C3B65BE" w14:textId="77777777" w:rsidR="000941D1" w:rsidRPr="005F70B3" w:rsidRDefault="000941D1" w:rsidP="000941D1">
      <w:pPr>
        <w:pStyle w:val="SingleTxt"/>
        <w:spacing w:after="0" w:line="120" w:lineRule="exact"/>
        <w:rPr>
          <w:sz w:val="10"/>
        </w:rPr>
      </w:pPr>
    </w:p>
    <w:p w14:paraId="3DBB1DB7" w14:textId="77777777" w:rsidR="000941D1" w:rsidRPr="005F70B3" w:rsidRDefault="000941D1" w:rsidP="000941D1">
      <w:pPr>
        <w:pStyle w:val="SingleTxt"/>
        <w:spacing w:after="0" w:line="120" w:lineRule="exact"/>
        <w:rPr>
          <w:sz w:val="10"/>
        </w:rPr>
      </w:pPr>
    </w:p>
    <w:p w14:paraId="4E6FBA57"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Educación</w:t>
      </w:r>
    </w:p>
    <w:p w14:paraId="2F4C72AC" w14:textId="76A4DAA0" w:rsidR="000941D1" w:rsidRPr="00060004"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22D80CE0" w14:textId="77777777" w:rsidR="000941D1" w:rsidRPr="005F70B3" w:rsidRDefault="000941D1" w:rsidP="000941D1">
      <w:pPr>
        <w:pStyle w:val="SingleTxt"/>
        <w:spacing w:after="0" w:line="120" w:lineRule="exact"/>
        <w:rPr>
          <w:sz w:val="10"/>
        </w:rPr>
      </w:pPr>
    </w:p>
    <w:p w14:paraId="55729F6D"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14</w:t>
      </w:r>
    </w:p>
    <w:p w14:paraId="295AFF53" w14:textId="77777777" w:rsidR="000941D1" w:rsidRPr="005F70B3" w:rsidRDefault="000941D1" w:rsidP="000941D1">
      <w:pPr>
        <w:pStyle w:val="SingleTxt"/>
        <w:spacing w:after="0" w:line="120" w:lineRule="exact"/>
        <w:rPr>
          <w:sz w:val="10"/>
        </w:rPr>
      </w:pPr>
    </w:p>
    <w:p w14:paraId="2301EE1E" w14:textId="77777777" w:rsidR="000941D1" w:rsidRPr="005F70B3" w:rsidRDefault="000941D1" w:rsidP="000941D1">
      <w:pPr>
        <w:pStyle w:val="SingleTxt"/>
        <w:spacing w:after="0" w:line="120" w:lineRule="exact"/>
        <w:rPr>
          <w:sz w:val="10"/>
        </w:rPr>
      </w:pPr>
    </w:p>
    <w:p w14:paraId="1C18BC02" w14:textId="77777777" w:rsidR="000941D1" w:rsidRPr="005F70B3" w:rsidRDefault="000941D1" w:rsidP="00050D5D">
      <w:pPr>
        <w:pStyle w:val="SingleTxt"/>
        <w:numPr>
          <w:ilvl w:val="0"/>
          <w:numId w:val="5"/>
        </w:numPr>
        <w:spacing w:line="240" w:lineRule="atLeast"/>
        <w:ind w:left="1267" w:firstLine="0"/>
        <w:rPr>
          <w:spacing w:val="2"/>
          <w:w w:val="102"/>
        </w:rPr>
      </w:pPr>
      <w:r w:rsidRPr="005F70B3">
        <w:t>De conformidad con los artículos 12 y 28 de la Ley Federal núm. 273-FZ de 29 de diciembre de 2012, la Ley de Educación, el contenido de los materiales educativos se determina en el plan de estudios de la institución educativa, que esta elabora de manera independiente sobre la base de las normas educativas federales y los modelos de planes de estudios aplicables. Los planes de estudios se adaptan a las necesidades de desarrollo de los niños de acuerdo con el grupo de edad.</w:t>
      </w:r>
    </w:p>
    <w:p w14:paraId="7BF15AA9" w14:textId="77777777" w:rsidR="000941D1" w:rsidRPr="005F70B3" w:rsidRDefault="000941D1" w:rsidP="00050D5D">
      <w:pPr>
        <w:pStyle w:val="SingleTxt"/>
        <w:numPr>
          <w:ilvl w:val="0"/>
          <w:numId w:val="5"/>
        </w:numPr>
        <w:spacing w:line="240" w:lineRule="atLeast"/>
        <w:ind w:left="1267" w:firstLine="0"/>
      </w:pPr>
      <w:r w:rsidRPr="005F70B3">
        <w:t>En consonancia con el modelo de plan de estudios de la enseñanza secundaria general aprobado por la asociación pedagógica federal para la educación general (véase el Acta núm. 2/16-z de 28 de junio de 2016), al finalizar la unidad titulada “Fundamentos de un estilo de vida saludable”, impartida en el marco de la asignatura “Fundamentos de seguridad cotidianos”, los estudiantes deben poder:</w:t>
      </w:r>
    </w:p>
    <w:p w14:paraId="752FFF9A" w14:textId="77777777" w:rsidR="000941D1" w:rsidRPr="005F70B3" w:rsidRDefault="000941D1" w:rsidP="000941D1">
      <w:pPr>
        <w:pStyle w:val="SingleTxt"/>
        <w:tabs>
          <w:tab w:val="right" w:pos="1685"/>
        </w:tabs>
        <w:ind w:left="1742" w:hanging="475"/>
      </w:pPr>
      <w:r w:rsidRPr="005F70B3">
        <w:tab/>
      </w:r>
      <w:r w:rsidRPr="005F70B3">
        <w:rPr>
          <w:lang w:val="es-ES_tradnl"/>
        </w:rPr>
        <w:t>•</w:t>
      </w:r>
      <w:r w:rsidRPr="005F70B3">
        <w:tab/>
        <w:t>explicar los elementos principales de la salud reproductiva;</w:t>
      </w:r>
    </w:p>
    <w:p w14:paraId="4D6D9AAD" w14:textId="77777777" w:rsidR="000941D1" w:rsidRPr="005F70B3" w:rsidRDefault="000941D1" w:rsidP="000941D1">
      <w:pPr>
        <w:pStyle w:val="SingleTxt"/>
        <w:tabs>
          <w:tab w:val="right" w:pos="1685"/>
        </w:tabs>
        <w:ind w:left="1742" w:hanging="475"/>
      </w:pPr>
      <w:r w:rsidRPr="005F70B3">
        <w:tab/>
      </w:r>
      <w:r w:rsidRPr="005F70B3">
        <w:rPr>
          <w:lang w:val="es-ES_tradnl"/>
        </w:rPr>
        <w:t>•</w:t>
      </w:r>
      <w:r w:rsidRPr="005F70B3">
        <w:tab/>
        <w:t>identificar los factores que pueden tener un efecto positivo o negativo en la salud reproductiva;</w:t>
      </w:r>
    </w:p>
    <w:p w14:paraId="00D3AFB3" w14:textId="77777777" w:rsidR="000941D1" w:rsidRPr="005F70B3" w:rsidRDefault="000941D1" w:rsidP="000941D1">
      <w:pPr>
        <w:pStyle w:val="SingleTxt"/>
        <w:tabs>
          <w:tab w:val="right" w:pos="1685"/>
        </w:tabs>
        <w:ind w:left="1742" w:hanging="475"/>
      </w:pPr>
      <w:r w:rsidRPr="005F70B3">
        <w:tab/>
      </w:r>
      <w:r w:rsidRPr="005F70B3">
        <w:rPr>
          <w:lang w:val="es-ES_tradnl"/>
        </w:rPr>
        <w:t>•</w:t>
      </w:r>
      <w:r w:rsidRPr="005F70B3">
        <w:tab/>
        <w:t>utilizar fuentes oficiales para obtener información sobre salud, el mantenimiento de un estilo de vida saludable y el mantenimiento y el refuerzo de la salud reproductiva.</w:t>
      </w:r>
    </w:p>
    <w:p w14:paraId="54081921" w14:textId="77777777" w:rsidR="000941D1" w:rsidRPr="005F70B3" w:rsidRDefault="000941D1" w:rsidP="00050D5D">
      <w:pPr>
        <w:pStyle w:val="SingleTxt"/>
        <w:numPr>
          <w:ilvl w:val="0"/>
          <w:numId w:val="5"/>
        </w:numPr>
        <w:spacing w:line="240" w:lineRule="atLeast"/>
        <w:ind w:left="1267" w:firstLine="0"/>
      </w:pPr>
      <w:r w:rsidRPr="005F70B3">
        <w:t>No se han adoptado medidas para revisar los programas y libros de texto de las escuelas para eliminar los estereotipos negativos sobre las mujeres y las niñas, puesto que no existen pruebas de la existencia de dichos estereotipos negativos.</w:t>
      </w:r>
    </w:p>
    <w:p w14:paraId="55B8DC2F" w14:textId="77777777" w:rsidR="000941D1" w:rsidRPr="005F70B3" w:rsidRDefault="000941D1" w:rsidP="000941D1">
      <w:pPr>
        <w:pStyle w:val="SingleTxt"/>
        <w:spacing w:after="0" w:line="120" w:lineRule="exact"/>
        <w:rPr>
          <w:sz w:val="10"/>
        </w:rPr>
      </w:pPr>
    </w:p>
    <w:p w14:paraId="2FE3CA2C" w14:textId="77777777" w:rsidR="000941D1" w:rsidRPr="005F70B3" w:rsidRDefault="000941D1" w:rsidP="000941D1">
      <w:pPr>
        <w:pStyle w:val="SingleTxt"/>
        <w:spacing w:after="0" w:line="120" w:lineRule="exact"/>
        <w:rPr>
          <w:sz w:val="10"/>
        </w:rPr>
      </w:pPr>
    </w:p>
    <w:p w14:paraId="50CFBE51"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Empleo</w:t>
      </w:r>
    </w:p>
    <w:p w14:paraId="4CC51C71" w14:textId="77777777" w:rsidR="000941D1" w:rsidRPr="005F70B3" w:rsidRDefault="000941D1" w:rsidP="000941D1">
      <w:pPr>
        <w:pStyle w:val="SingleTxt"/>
        <w:keepNext/>
        <w:keepLines/>
        <w:spacing w:after="0" w:line="120" w:lineRule="exact"/>
        <w:ind w:left="1264"/>
        <w:rPr>
          <w:sz w:val="10"/>
        </w:rPr>
      </w:pPr>
    </w:p>
    <w:p w14:paraId="40E0EDEC" w14:textId="77777777" w:rsidR="000941D1" w:rsidRPr="005F70B3" w:rsidRDefault="000941D1" w:rsidP="000941D1">
      <w:pPr>
        <w:pStyle w:val="SingleTxt"/>
        <w:keepNext/>
        <w:keepLines/>
        <w:spacing w:after="0" w:line="120" w:lineRule="exact"/>
        <w:ind w:left="1264"/>
        <w:rPr>
          <w:sz w:val="10"/>
        </w:rPr>
      </w:pPr>
    </w:p>
    <w:p w14:paraId="10144C88"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Pregunta 15</w:t>
      </w:r>
    </w:p>
    <w:p w14:paraId="75C8B00E" w14:textId="77777777" w:rsidR="000941D1" w:rsidRPr="005F70B3" w:rsidRDefault="000941D1" w:rsidP="000941D1">
      <w:pPr>
        <w:pStyle w:val="SingleTxt"/>
        <w:keepNext/>
        <w:keepLines/>
        <w:spacing w:after="0" w:line="120" w:lineRule="exact"/>
        <w:ind w:left="1264"/>
        <w:rPr>
          <w:sz w:val="10"/>
        </w:rPr>
      </w:pPr>
    </w:p>
    <w:p w14:paraId="2F170133" w14:textId="77777777" w:rsidR="000941D1" w:rsidRPr="005F70B3" w:rsidRDefault="000941D1" w:rsidP="000941D1">
      <w:pPr>
        <w:pStyle w:val="SingleTxt"/>
        <w:keepNext/>
        <w:keepLines/>
        <w:spacing w:after="0" w:line="120" w:lineRule="exact"/>
        <w:ind w:left="1264"/>
        <w:rPr>
          <w:sz w:val="10"/>
        </w:rPr>
      </w:pPr>
    </w:p>
    <w:p w14:paraId="2095BB99" w14:textId="77777777" w:rsidR="000941D1" w:rsidRPr="005F70B3" w:rsidRDefault="000941D1" w:rsidP="00050D5D">
      <w:pPr>
        <w:pStyle w:val="SingleTxt"/>
        <w:keepNext/>
        <w:keepLines/>
        <w:numPr>
          <w:ilvl w:val="0"/>
          <w:numId w:val="5"/>
        </w:numPr>
        <w:spacing w:line="240" w:lineRule="atLeast"/>
        <w:ind w:left="1264" w:firstLine="0"/>
      </w:pPr>
      <w:r w:rsidRPr="005F70B3">
        <w:t>La legislación laboral de la Federación de Rusia establece la igualdad de derechos de la madre y el padre de un niño en su crianza desde el nacimiento.</w:t>
      </w:r>
    </w:p>
    <w:p w14:paraId="2B4AADA8" w14:textId="77777777" w:rsidR="000941D1" w:rsidRPr="005F70B3" w:rsidRDefault="000941D1" w:rsidP="00050D5D">
      <w:pPr>
        <w:pStyle w:val="SingleTxt"/>
        <w:keepNext/>
        <w:keepLines/>
        <w:numPr>
          <w:ilvl w:val="0"/>
          <w:numId w:val="5"/>
        </w:numPr>
        <w:spacing w:line="240" w:lineRule="atLeast"/>
        <w:ind w:left="1264" w:firstLine="0"/>
      </w:pPr>
      <w:r w:rsidRPr="005F70B3">
        <w:t>Las mujeres tienen derecho a una licencia parental remunerada hasta que el niño cumple tres años. La licencia parental remunerada puede ser disfrutada en su totalidad o en parte por el padre del niño, la abuela, el abuelo, otro pariente o un tutor que lo cuide efectivamente (artículo 256 del Código del Trabajo de la Federación de Rusia).</w:t>
      </w:r>
    </w:p>
    <w:p w14:paraId="6AF4CE09" w14:textId="77777777" w:rsidR="000941D1" w:rsidRPr="005F70B3" w:rsidRDefault="000941D1" w:rsidP="00050D5D">
      <w:pPr>
        <w:pStyle w:val="SingleTxt"/>
        <w:numPr>
          <w:ilvl w:val="0"/>
          <w:numId w:val="5"/>
        </w:numPr>
        <w:spacing w:line="240" w:lineRule="atLeast"/>
        <w:ind w:left="1267" w:firstLine="0"/>
      </w:pPr>
      <w:r w:rsidRPr="005F70B3">
        <w:t>Mientras disfrutan de la licencia parental, la madre, el padre u otra persona que cuide del niño pueden trabajar a tiempo parcial o desde el hogar y siguen teniendo derecho a una prestación del seguro social del Estado.</w:t>
      </w:r>
    </w:p>
    <w:p w14:paraId="4C911E76" w14:textId="36AF2243" w:rsidR="000941D1" w:rsidRPr="005F70B3" w:rsidRDefault="000941D1" w:rsidP="00050D5D">
      <w:pPr>
        <w:pStyle w:val="SingleTxt"/>
        <w:numPr>
          <w:ilvl w:val="0"/>
          <w:numId w:val="5"/>
        </w:numPr>
        <w:spacing w:line="240" w:lineRule="atLeast"/>
        <w:ind w:left="1267" w:firstLine="0"/>
      </w:pPr>
      <w:r w:rsidRPr="005F70B3">
        <w:t xml:space="preserve">Los trabajadores conservan su </w:t>
      </w:r>
      <w:r w:rsidR="00D0053B">
        <w:t>empleo</w:t>
      </w:r>
      <w:r w:rsidR="00D0053B" w:rsidRPr="005F70B3">
        <w:t xml:space="preserve"> </w:t>
      </w:r>
      <w:r w:rsidRPr="005F70B3">
        <w:t>(puesto) durante su licencia parental.</w:t>
      </w:r>
    </w:p>
    <w:p w14:paraId="764A83FC" w14:textId="77777777" w:rsidR="000941D1" w:rsidRPr="005F70B3" w:rsidRDefault="000941D1" w:rsidP="00050D5D">
      <w:pPr>
        <w:pStyle w:val="SingleTxt"/>
        <w:numPr>
          <w:ilvl w:val="0"/>
          <w:numId w:val="5"/>
        </w:numPr>
        <w:spacing w:line="240" w:lineRule="atLeast"/>
        <w:ind w:left="1267" w:firstLine="0"/>
      </w:pPr>
      <w:r w:rsidRPr="005F70B3">
        <w:t>La licencia parental computa en los años de antigüedad totales y continuos y en la experiencia laboral en la profesión (excepto en casos de jubilación anticipada).</w:t>
      </w:r>
    </w:p>
    <w:p w14:paraId="23B642B3" w14:textId="77777777" w:rsidR="000941D1" w:rsidRPr="005F70B3" w:rsidRDefault="000941D1" w:rsidP="00050D5D">
      <w:pPr>
        <w:pStyle w:val="SingleTxt"/>
        <w:numPr>
          <w:ilvl w:val="0"/>
          <w:numId w:val="5"/>
        </w:numPr>
        <w:spacing w:line="240" w:lineRule="atLeast"/>
        <w:ind w:left="1267" w:firstLine="0"/>
      </w:pPr>
      <w:r w:rsidRPr="005F70B3">
        <w:lastRenderedPageBreak/>
        <w:t>El marido, si lo desea, puede disfrutar de las vacaciones anuales mientras su mujer (madre de su hijo) disfruta de la licencia de maternidad independientemente de la duración de su empleo continuo con el empleador. Un trabajador puede solicitar por escrito que se le conceda una licencia no remunerada de hasta cinco días naturales en relación con el nacimiento de un hijo (artículo 128 del Código del Trabajo).</w:t>
      </w:r>
    </w:p>
    <w:p w14:paraId="22299316" w14:textId="77777777" w:rsidR="000941D1" w:rsidRPr="005F70B3" w:rsidRDefault="000941D1" w:rsidP="00050D5D">
      <w:pPr>
        <w:pStyle w:val="SingleTxt"/>
        <w:numPr>
          <w:ilvl w:val="0"/>
          <w:numId w:val="5"/>
        </w:numPr>
        <w:spacing w:line="240" w:lineRule="atLeast"/>
        <w:ind w:left="1267" w:firstLine="0"/>
      </w:pPr>
      <w:r w:rsidRPr="005F70B3">
        <w:t>Las garantías y las prestaciones concedidas a las mujeres en relación con la maternidad, como los límites de trabajo nocturno, horas extraordinarias, trabajo en fines de semana y festivos no laborales y viajes de negocios, así como el acceso a una licencia adicional, horas de trabajo preferentes y otras garantías y prestaciones establecidas por ley y otros instrumentos normativos, se aplican también a los padres que crían a sus hijos sin una madre y a los cuidadores (tutores) de menores (artículo 264 del Código del Trabajo).</w:t>
      </w:r>
    </w:p>
    <w:p w14:paraId="2FFC8677" w14:textId="77777777" w:rsidR="000941D1" w:rsidRPr="005F70B3" w:rsidRDefault="000941D1" w:rsidP="00050D5D">
      <w:pPr>
        <w:pStyle w:val="SingleTxt"/>
        <w:keepLines/>
        <w:numPr>
          <w:ilvl w:val="0"/>
          <w:numId w:val="5"/>
        </w:numPr>
        <w:spacing w:line="240" w:lineRule="atLeast"/>
        <w:ind w:left="1267" w:firstLine="0"/>
      </w:pPr>
      <w:r w:rsidRPr="005F70B3">
        <w:t>En caso de que un miembro de la familia enfermo, incluido un hijo, necesite cuidados, puede expedirse un certificado de discapacidad al miembro de la familia (cuidador, tutor u otro pariente) que presta los cuidados. En esas circunstancias, el padre del niño tiene derecho a obtener un certificado de discapacidad temporal para cuidar del hijo enfermo o un subsidio.</w:t>
      </w:r>
    </w:p>
    <w:p w14:paraId="05BF440C" w14:textId="77777777" w:rsidR="000941D1" w:rsidRPr="005F70B3" w:rsidRDefault="000941D1" w:rsidP="00050D5D">
      <w:pPr>
        <w:pStyle w:val="SingleTxt"/>
        <w:numPr>
          <w:ilvl w:val="0"/>
          <w:numId w:val="5"/>
        </w:numPr>
        <w:spacing w:line="240" w:lineRule="atLeast"/>
        <w:ind w:left="1267" w:firstLine="0"/>
      </w:pPr>
      <w:r w:rsidRPr="005F70B3">
        <w:t>La lista de procesos de producción, trabajos y ocupaciones con condiciones de trabajo perjudiciales o peligrosas en las que se restringe el trabajo femenino se estableció debido al peligro que plantean determinados tipos de trabajo para la salud reproductiva de la mujer y la salud de los hijos que pueda tener en el futuro.</w:t>
      </w:r>
    </w:p>
    <w:p w14:paraId="15A23869" w14:textId="3ABF2EA6" w:rsidR="000941D1" w:rsidRPr="005F70B3" w:rsidRDefault="000941D1" w:rsidP="00050D5D">
      <w:pPr>
        <w:pStyle w:val="SingleTxt"/>
        <w:numPr>
          <w:ilvl w:val="0"/>
          <w:numId w:val="5"/>
        </w:numPr>
        <w:spacing w:line="240" w:lineRule="atLeast"/>
        <w:ind w:left="1267" w:firstLine="0"/>
      </w:pPr>
      <w:r w:rsidRPr="005F70B3">
        <w:t xml:space="preserve">La lista, que fue aprobada mediante la Orden núm. 512n del Ministerio de Trabajo </w:t>
      </w:r>
      <w:r w:rsidR="005458B5">
        <w:t xml:space="preserve">y Protección Social </w:t>
      </w:r>
      <w:r w:rsidRPr="005F70B3">
        <w:t xml:space="preserve">de 18 de julio de 2019, incluye solo profesiones y trabajos cuyo desempeño está asociado a aspectos del proceso de producción que son peligrosos para la salud reproductiva de la mujer y podrían afectar a la salud de la futura generación, como la exposición a productos químicos perjudiciales, el levantamiento y transporte de cargas por encima de las normas </w:t>
      </w:r>
      <w:r w:rsidR="00884ADA" w:rsidRPr="005F70B3">
        <w:t>establecidas</w:t>
      </w:r>
      <w:r w:rsidR="00884ADA">
        <w:t>,</w:t>
      </w:r>
      <w:r w:rsidR="00884ADA" w:rsidRPr="005F70B3">
        <w:t xml:space="preserve"> las</w:t>
      </w:r>
      <w:r w:rsidRPr="005F70B3">
        <w:t xml:space="preserve"> vibraciones</w:t>
      </w:r>
      <w:r w:rsidR="00E66930">
        <w:t xml:space="preserve"> y otros as</w:t>
      </w:r>
      <w:r w:rsidR="00895520">
        <w:t>p</w:t>
      </w:r>
      <w:r w:rsidR="00E66930">
        <w:t>ectos</w:t>
      </w:r>
      <w:r w:rsidRPr="005F70B3">
        <w:t>.</w:t>
      </w:r>
    </w:p>
    <w:p w14:paraId="0B5AC287" w14:textId="77777777" w:rsidR="000941D1" w:rsidRPr="005F70B3" w:rsidRDefault="000941D1" w:rsidP="00050D5D">
      <w:pPr>
        <w:pStyle w:val="SingleTxt"/>
        <w:numPr>
          <w:ilvl w:val="0"/>
          <w:numId w:val="5"/>
        </w:numPr>
        <w:spacing w:line="240" w:lineRule="atLeast"/>
        <w:ind w:left="1267" w:firstLine="0"/>
      </w:pPr>
      <w:r w:rsidRPr="005F70B3">
        <w:t>La lista se elaboró tras mantener una serie de reuniones con representantes de asociaciones de empleadores, asociaciones sindicales, representantes de empleadores de diversos sectores económicos y con contribuciones de la comunidad científica. En particular, la Asociación de Mujeres de la Industria Naviera y el Comercio participó en los debates sobre la lista de profesiones y trabajos relacionados con la industria naviera.</w:t>
      </w:r>
    </w:p>
    <w:p w14:paraId="33E5793B" w14:textId="77777777" w:rsidR="000941D1" w:rsidRPr="005F70B3" w:rsidRDefault="000941D1" w:rsidP="00050D5D">
      <w:pPr>
        <w:pStyle w:val="SingleTxt"/>
        <w:numPr>
          <w:ilvl w:val="0"/>
          <w:numId w:val="5"/>
        </w:numPr>
        <w:spacing w:line="240" w:lineRule="atLeast"/>
        <w:ind w:left="1267" w:firstLine="0"/>
      </w:pPr>
      <w:r w:rsidRPr="005F70B3">
        <w:t>De conformidad con la legislación sobre la elaboración de actos jurídicos normativos, se publicó un borrador de la lista en la página web oficial regulation.gov.ru para que el público pudiese formular observaciones, brindando así a todos ciudadanos y organizaciones interesados la oportunidad de participar y expresar su posición respecto al borrador. Una vez finalizado el período para enviar observaciones, estas se examinaron, analizaron y tuvieron en cuenta al ultimar la lista.</w:t>
      </w:r>
    </w:p>
    <w:p w14:paraId="05688B27" w14:textId="77777777" w:rsidR="000941D1" w:rsidRPr="005F70B3" w:rsidRDefault="000941D1" w:rsidP="00050D5D">
      <w:pPr>
        <w:pStyle w:val="SingleTxt"/>
        <w:numPr>
          <w:ilvl w:val="0"/>
          <w:numId w:val="5"/>
        </w:numPr>
        <w:spacing w:line="240" w:lineRule="atLeast"/>
        <w:ind w:left="1267" w:firstLine="0"/>
        <w:rPr>
          <w:w w:val="102"/>
        </w:rPr>
      </w:pPr>
      <w:r w:rsidRPr="005F70B3">
        <w:t>La lista contiene los nombres de las profesiones y trabajos en los que se restringe el uso de trabajo femenino. No impone restricciones al uso de trabajo femenino una vez que se crean condiciones de trabajo seguras, momento en el que las mujeres tienen derecho a ser contratadas en dichos trabajos y los empleadores tienen derecho a emplear a mujeres en ellos.</w:t>
      </w:r>
    </w:p>
    <w:p w14:paraId="16AF0BEC" w14:textId="77777777" w:rsidR="000941D1" w:rsidRPr="005F70B3" w:rsidRDefault="000941D1" w:rsidP="00050D5D">
      <w:pPr>
        <w:pStyle w:val="SingleTxt"/>
        <w:numPr>
          <w:ilvl w:val="0"/>
          <w:numId w:val="5"/>
        </w:numPr>
        <w:spacing w:line="240" w:lineRule="atLeast"/>
        <w:ind w:left="1267" w:firstLine="0"/>
      </w:pPr>
      <w:r w:rsidRPr="005F70B3">
        <w:t>Todos los ciudadanos tienen derecho a ser protegidos contra la violencia y el acoso independientemente de su situación laboral y del lugar donde se cometa el delito, es decir, esté relacionado o no con el trabajo.</w:t>
      </w:r>
    </w:p>
    <w:p w14:paraId="54690B6A" w14:textId="77777777" w:rsidR="000941D1" w:rsidRPr="005F70B3" w:rsidRDefault="000941D1" w:rsidP="00050D5D">
      <w:pPr>
        <w:pStyle w:val="SingleTxt"/>
        <w:numPr>
          <w:ilvl w:val="0"/>
          <w:numId w:val="5"/>
        </w:numPr>
        <w:spacing w:line="240" w:lineRule="atLeast"/>
        <w:ind w:left="1267" w:firstLine="0"/>
      </w:pPr>
      <w:r w:rsidRPr="005F70B3">
        <w:lastRenderedPageBreak/>
        <w:t>La responsabilidad penal por delitos contra la inviolabilidad sexual y la libertad sexual del individuo, entre ellos la violación, la agresión sexual y la coacción sexual, está regulada por el Código Penal.</w:t>
      </w:r>
    </w:p>
    <w:p w14:paraId="5CE7C190" w14:textId="77777777" w:rsidR="000941D1" w:rsidRPr="005F70B3" w:rsidRDefault="000941D1" w:rsidP="00050D5D">
      <w:pPr>
        <w:pStyle w:val="SingleTxt"/>
        <w:numPr>
          <w:ilvl w:val="0"/>
          <w:numId w:val="5"/>
        </w:numPr>
        <w:spacing w:line="240" w:lineRule="atLeast"/>
        <w:ind w:left="1267" w:firstLine="0"/>
      </w:pPr>
      <w:r w:rsidRPr="005F70B3">
        <w:t>La responsabilidad penal se aplica a los culpables independientemente del lugar donde se haya cometido el delito, es decir, la responsabilidad se aplica a las personas que hayan cometido el delito en el trabajo, en un lugar público, en el entorno doméstico, o en otros ámbitos.</w:t>
      </w:r>
    </w:p>
    <w:p w14:paraId="41F9AC45" w14:textId="77777777" w:rsidR="000941D1" w:rsidRPr="005F70B3" w:rsidRDefault="000941D1" w:rsidP="00050D5D">
      <w:pPr>
        <w:pStyle w:val="SingleTxt"/>
        <w:numPr>
          <w:ilvl w:val="0"/>
          <w:numId w:val="5"/>
        </w:numPr>
        <w:spacing w:line="240" w:lineRule="atLeast"/>
        <w:ind w:left="1267" w:firstLine="0"/>
      </w:pPr>
      <w:r w:rsidRPr="005F70B3">
        <w:t>El acoso sexual en el lugar de trabajo puede calificarse en el ámbito del artículo 133 del Código Penal (Coacción sexual). El artículo enumera el chantaje y el uso de material u otra dependencia de la víctima entre los medios que pueden utilizarse para coaccionar a la víctima a realizar actos de naturaleza sexual.</w:t>
      </w:r>
    </w:p>
    <w:p w14:paraId="2252AFAE" w14:textId="77777777" w:rsidR="000941D1" w:rsidRPr="005F70B3" w:rsidRDefault="000941D1" w:rsidP="00050D5D">
      <w:pPr>
        <w:pStyle w:val="SingleTxt"/>
        <w:numPr>
          <w:ilvl w:val="0"/>
          <w:numId w:val="5"/>
        </w:numPr>
        <w:spacing w:line="240" w:lineRule="atLeast"/>
        <w:ind w:left="1267" w:firstLine="0"/>
      </w:pPr>
      <w:r w:rsidRPr="005F70B3">
        <w:t>La responsabilidad administrativa por acoso sexual en el lugar de trabajo puede aplicarse a través de una ley que prohíbe el trato insultante, es decir, el trato indecente destinado a humillar el honor y la dignidad de otra persona.</w:t>
      </w:r>
    </w:p>
    <w:p w14:paraId="592A6D2B" w14:textId="77777777" w:rsidR="000941D1" w:rsidRPr="005F70B3" w:rsidRDefault="000941D1" w:rsidP="00050D5D">
      <w:pPr>
        <w:pStyle w:val="SingleTxt"/>
        <w:numPr>
          <w:ilvl w:val="0"/>
          <w:numId w:val="5"/>
        </w:numPr>
        <w:spacing w:line="240" w:lineRule="atLeast"/>
        <w:ind w:left="1267" w:firstLine="0"/>
      </w:pPr>
      <w:r w:rsidRPr="005F70B3">
        <w:t>En el contexto del derecho civil, puede garantizarse la obligación de rendir cuentas por acoso sexual en el lugar de trabajo presentando una demanda de indemnización por daños morales (sufrimiento físico y moral).</w:t>
      </w:r>
    </w:p>
    <w:p w14:paraId="4BAAE4FC" w14:textId="77777777" w:rsidR="000941D1" w:rsidRPr="005F70B3" w:rsidRDefault="000941D1" w:rsidP="00050D5D">
      <w:pPr>
        <w:pStyle w:val="SingleTxt"/>
        <w:numPr>
          <w:ilvl w:val="0"/>
          <w:numId w:val="5"/>
        </w:numPr>
        <w:spacing w:line="240" w:lineRule="atLeast"/>
        <w:ind w:left="1267" w:firstLine="0"/>
      </w:pPr>
      <w:r w:rsidRPr="005F70B3">
        <w:t>Se están tomando medidas en varios frentes para aumentar el número de oportunidades laborales para las mujeres y reducir la diferencia salarial entre hombres y mujeres.</w:t>
      </w:r>
    </w:p>
    <w:p w14:paraId="761F73A1" w14:textId="77777777" w:rsidR="000941D1" w:rsidRPr="005F70B3" w:rsidRDefault="000941D1" w:rsidP="00050D5D">
      <w:pPr>
        <w:pStyle w:val="SingleTxt"/>
        <w:numPr>
          <w:ilvl w:val="0"/>
          <w:numId w:val="5"/>
        </w:numPr>
        <w:spacing w:line="240" w:lineRule="atLeast"/>
        <w:ind w:left="1267" w:firstLine="0"/>
      </w:pPr>
      <w:r w:rsidRPr="005F70B3">
        <w:t>La lista de procesos de producción, trabajos y ocupaciones con condiciones de trabajo perjudiciales o peligrosas en las que se restringe el uso de trabajo femenino (en lugar de estar prohibido como antes) se ha reducido en más de tres cuartas partes, de 456 a 100 puestos.</w:t>
      </w:r>
    </w:p>
    <w:p w14:paraId="2FA3F0C2" w14:textId="77777777" w:rsidR="000941D1" w:rsidRPr="005F70B3" w:rsidRDefault="000941D1" w:rsidP="00050D5D">
      <w:pPr>
        <w:pStyle w:val="SingleTxt"/>
        <w:numPr>
          <w:ilvl w:val="0"/>
          <w:numId w:val="5"/>
        </w:numPr>
        <w:spacing w:line="240" w:lineRule="atLeast"/>
        <w:ind w:left="1267" w:firstLine="0"/>
      </w:pPr>
      <w:r w:rsidRPr="005F70B3">
        <w:t>En el marco del proyecto federal titulado “Garantizar el acceso de los niños menores de tres años a la educación preescolar para apoyar el empleo de la mujer”, que forma parte del proyecto nacional sobre demografía, se han adoptado medidas para organizar cursos de formación profesional y formación profesional complementaria para mujeres que disfrutan de una licencia parental para cuidar de un hijo menor de tres años a fin de que dominen nuevas aptitudes profesionales antes de volver al trabajo después de la licencia parental o en relación con la necesidad de cambiar su esfera de actividad profesional.</w:t>
      </w:r>
    </w:p>
    <w:p w14:paraId="3F581353" w14:textId="77777777" w:rsidR="000941D1" w:rsidRPr="005F70B3" w:rsidRDefault="000941D1" w:rsidP="00050D5D">
      <w:pPr>
        <w:pStyle w:val="SingleTxt"/>
        <w:numPr>
          <w:ilvl w:val="0"/>
          <w:numId w:val="5"/>
        </w:numPr>
        <w:spacing w:line="240" w:lineRule="atLeast"/>
        <w:ind w:left="1267" w:firstLine="0"/>
      </w:pPr>
      <w:r w:rsidRPr="005F70B3">
        <w:t>Las mujeres tienen acceso a la enseñanza de diversas profesiones y ocupaciones, que se ajusta a su nivel de educación y cualificaciones profesionales, experiencia laboral y la complejidad de las profesiones (especialidades) que se adquieren.</w:t>
      </w:r>
    </w:p>
    <w:p w14:paraId="30EA309E" w14:textId="77777777" w:rsidR="000941D1" w:rsidRPr="005F70B3" w:rsidRDefault="000941D1" w:rsidP="00050D5D">
      <w:pPr>
        <w:pStyle w:val="SingleTxt"/>
        <w:numPr>
          <w:ilvl w:val="0"/>
          <w:numId w:val="5"/>
        </w:numPr>
        <w:spacing w:line="240" w:lineRule="atLeast"/>
        <w:ind w:left="1267" w:firstLine="0"/>
      </w:pPr>
      <w:r w:rsidRPr="005F70B3">
        <w:t>Son informadas sobre estas oportunidades en las entidades constitutivas de la Federación de Rusia a través de la emisión de videoclips en la televisión y folletos distribuidos en centros comunitarios, organizaciones de servicios sociales, centros de salud (policlínicos infantiles), instituciones educativas extraescolares y jardines de infancia y a través de seminarios, mesas redondas y visitas sobre el terreno a organizaciones locales.</w:t>
      </w:r>
    </w:p>
    <w:p w14:paraId="2357F298" w14:textId="77777777" w:rsidR="000941D1" w:rsidRPr="005F70B3" w:rsidRDefault="000941D1" w:rsidP="00050D5D">
      <w:pPr>
        <w:pStyle w:val="SingleTxt"/>
        <w:numPr>
          <w:ilvl w:val="0"/>
          <w:numId w:val="5"/>
        </w:numPr>
        <w:spacing w:line="240" w:lineRule="atLeast"/>
        <w:ind w:left="1267" w:firstLine="0"/>
      </w:pPr>
      <w:r w:rsidRPr="005F70B3">
        <w:t>En el marco de este proyecto federal, se están adoptando medidas para crear plazas adicionales en las instituciones de educación preescolar a fin de que las mujeres con hijos puedan trabajar a tiempo completo.</w:t>
      </w:r>
    </w:p>
    <w:p w14:paraId="000278DB" w14:textId="6DFCA920" w:rsidR="000941D1" w:rsidRPr="005F70B3" w:rsidRDefault="000941D1" w:rsidP="00050D5D">
      <w:pPr>
        <w:pStyle w:val="SingleTxt"/>
        <w:numPr>
          <w:ilvl w:val="0"/>
          <w:numId w:val="5"/>
        </w:numPr>
        <w:spacing w:line="240" w:lineRule="atLeast"/>
        <w:ind w:left="1267" w:firstLine="0"/>
      </w:pPr>
      <w:r w:rsidRPr="005F70B3">
        <w:t>Según los datos del Servicio Federal de Estadísticas, en el conjunto del país, la relación porcentual entre los salarios de las mujeres y los de los hombres era del 72,1</w:t>
      </w:r>
      <w:r w:rsidR="00FD22FE">
        <w:t xml:space="preserve"> </w:t>
      </w:r>
      <w:r w:rsidR="00B26819">
        <w:t>%</w:t>
      </w:r>
      <w:r w:rsidRPr="005F70B3">
        <w:t xml:space="preserve"> en octubre de 2019 frente al 71,7</w:t>
      </w:r>
      <w:r w:rsidR="00FD22FE">
        <w:t xml:space="preserve"> </w:t>
      </w:r>
      <w:r w:rsidR="00B26819">
        <w:t>%</w:t>
      </w:r>
      <w:r w:rsidRPr="005F70B3">
        <w:t xml:space="preserve"> en octubre de 2017. Sin embargo, la diferencia salarial entre mujeres y hombres se explica por la mayor proporción de mujeres empleadas en los sectores menos remunerados de la economía.</w:t>
      </w:r>
    </w:p>
    <w:p w14:paraId="02CA9790"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lastRenderedPageBreak/>
        <w:tab/>
      </w:r>
      <w:r w:rsidRPr="005F70B3">
        <w:tab/>
        <w:t>Salud</w:t>
      </w:r>
    </w:p>
    <w:p w14:paraId="31251839" w14:textId="77777777" w:rsidR="000941D1" w:rsidRPr="005F70B3" w:rsidRDefault="000941D1" w:rsidP="000941D1">
      <w:pPr>
        <w:pStyle w:val="SingleTxt"/>
        <w:spacing w:after="0" w:line="120" w:lineRule="exact"/>
        <w:rPr>
          <w:sz w:val="10"/>
        </w:rPr>
      </w:pPr>
    </w:p>
    <w:p w14:paraId="771F234A" w14:textId="77777777" w:rsidR="000941D1" w:rsidRPr="005F70B3" w:rsidRDefault="000941D1" w:rsidP="000941D1">
      <w:pPr>
        <w:pStyle w:val="SingleTxt"/>
        <w:spacing w:after="0" w:line="120" w:lineRule="exact"/>
        <w:rPr>
          <w:sz w:val="10"/>
        </w:rPr>
      </w:pPr>
    </w:p>
    <w:p w14:paraId="0099C3E6"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16</w:t>
      </w:r>
    </w:p>
    <w:p w14:paraId="25FD0554" w14:textId="77777777" w:rsidR="000941D1" w:rsidRPr="005F70B3" w:rsidRDefault="000941D1" w:rsidP="000941D1">
      <w:pPr>
        <w:pStyle w:val="SingleTxt"/>
        <w:spacing w:after="0" w:line="120" w:lineRule="exact"/>
        <w:rPr>
          <w:sz w:val="10"/>
        </w:rPr>
      </w:pPr>
    </w:p>
    <w:p w14:paraId="76C238E3" w14:textId="77777777" w:rsidR="000941D1" w:rsidRPr="005F70B3" w:rsidRDefault="000941D1" w:rsidP="000941D1">
      <w:pPr>
        <w:pStyle w:val="SingleTxt"/>
        <w:spacing w:after="0" w:line="120" w:lineRule="exact"/>
        <w:rPr>
          <w:sz w:val="10"/>
        </w:rPr>
      </w:pPr>
    </w:p>
    <w:p w14:paraId="140D4BD9" w14:textId="77777777" w:rsidR="000941D1" w:rsidRPr="005F70B3" w:rsidRDefault="000941D1" w:rsidP="00050D5D">
      <w:pPr>
        <w:pStyle w:val="SingleTxt"/>
        <w:numPr>
          <w:ilvl w:val="0"/>
          <w:numId w:val="5"/>
        </w:numPr>
        <w:spacing w:line="240" w:lineRule="atLeast"/>
        <w:ind w:left="1267" w:firstLine="0"/>
      </w:pPr>
      <w:r w:rsidRPr="005F70B3">
        <w:t>Con arreglo al artículo 56 de la Ley Federal núm. 323-FZ de 21 de noviembre de 2011 sobre los principios de la asistencia sanitaria para los ciudadanos de la Federación de Rusia, todas las mujeres pueden decidir por sí mismas si desean tener un hijo. El aborto se practica a petición de la mujer siempre que haya dado su consentimiento libre e informado.</w:t>
      </w:r>
    </w:p>
    <w:p w14:paraId="5D238AF0" w14:textId="77777777" w:rsidR="000941D1" w:rsidRPr="005F70B3" w:rsidRDefault="000941D1" w:rsidP="00050D5D">
      <w:pPr>
        <w:pStyle w:val="SingleTxt"/>
        <w:numPr>
          <w:ilvl w:val="0"/>
          <w:numId w:val="5"/>
        </w:numPr>
        <w:spacing w:line="240" w:lineRule="atLeast"/>
        <w:ind w:left="1267" w:firstLine="0"/>
      </w:pPr>
      <w:r w:rsidRPr="005F70B3">
        <w:t>Se presta asistencia médica a las mujeres en relación con los abortos de conformidad con la Orden núm. 572n del Ministerio de Salud de 1 de noviembre de 2012, que regula la prestación de asistencia médica en el ámbito de la obstetricia y la ginecología (excepto con respecto al uso de tecnología de reproducción asistida) y también con arreglo a las directrices clínicas actuales (protocolos de tratamiento).</w:t>
      </w:r>
    </w:p>
    <w:p w14:paraId="3796017D" w14:textId="77777777" w:rsidR="000941D1" w:rsidRPr="005F70B3" w:rsidRDefault="000941D1" w:rsidP="00050D5D">
      <w:pPr>
        <w:pStyle w:val="SingleTxt"/>
        <w:numPr>
          <w:ilvl w:val="0"/>
          <w:numId w:val="5"/>
        </w:numPr>
        <w:spacing w:line="240" w:lineRule="atLeast"/>
        <w:ind w:left="1267" w:firstLine="0"/>
      </w:pPr>
      <w:r w:rsidRPr="005F70B3">
        <w:t>Los datos estadísticos sobre el número de casos de toxicomanía entre mujeres en la Federación de Rusia se indican en el cuadro 3.</w:t>
      </w:r>
    </w:p>
    <w:p w14:paraId="10C3EC42" w14:textId="77777777" w:rsidR="000941D1" w:rsidRPr="005F70B3" w:rsidRDefault="000941D1" w:rsidP="00050D5D">
      <w:pPr>
        <w:pStyle w:val="SingleTxt"/>
        <w:numPr>
          <w:ilvl w:val="0"/>
          <w:numId w:val="5"/>
        </w:numPr>
        <w:spacing w:line="240" w:lineRule="atLeast"/>
        <w:ind w:left="1267" w:firstLine="0"/>
      </w:pPr>
      <w:r w:rsidRPr="005F70B3">
        <w:t>En el párrafo 141 del noveno informe periódico se facilita información sobre el programa de terapia de sustitución para mujeres que consumen estupefacientes. Los datos sobre la tasa de infección por VIH, desglosados por región, se recogen en el cuadro 4.</w:t>
      </w:r>
    </w:p>
    <w:p w14:paraId="474B5D45" w14:textId="77777777" w:rsidR="000941D1" w:rsidRPr="005F70B3" w:rsidRDefault="000941D1" w:rsidP="000941D1">
      <w:pPr>
        <w:pStyle w:val="SingleTxt"/>
        <w:spacing w:after="0" w:line="120" w:lineRule="exact"/>
        <w:rPr>
          <w:sz w:val="10"/>
        </w:rPr>
      </w:pPr>
    </w:p>
    <w:p w14:paraId="3145E9DF" w14:textId="77777777" w:rsidR="000941D1" w:rsidRPr="005F70B3" w:rsidRDefault="000941D1" w:rsidP="000941D1">
      <w:pPr>
        <w:pStyle w:val="SingleTxt"/>
        <w:spacing w:after="0" w:line="120" w:lineRule="exact"/>
        <w:rPr>
          <w:sz w:val="10"/>
        </w:rPr>
      </w:pPr>
    </w:p>
    <w:p w14:paraId="6229E6A1"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Mujeres del medio rural</w:t>
      </w:r>
    </w:p>
    <w:p w14:paraId="7C81876D" w14:textId="77777777" w:rsidR="000941D1" w:rsidRPr="005F70B3" w:rsidRDefault="000941D1" w:rsidP="000941D1">
      <w:pPr>
        <w:pStyle w:val="SingleTxt"/>
        <w:spacing w:after="0" w:line="120" w:lineRule="exact"/>
        <w:rPr>
          <w:sz w:val="10"/>
        </w:rPr>
      </w:pPr>
    </w:p>
    <w:p w14:paraId="103551BE" w14:textId="77777777" w:rsidR="000941D1" w:rsidRPr="005F70B3" w:rsidRDefault="000941D1" w:rsidP="000941D1">
      <w:pPr>
        <w:pStyle w:val="SingleTxt"/>
        <w:spacing w:after="0" w:line="120" w:lineRule="exact"/>
        <w:rPr>
          <w:sz w:val="10"/>
        </w:rPr>
      </w:pPr>
    </w:p>
    <w:p w14:paraId="688DA449"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17</w:t>
      </w:r>
    </w:p>
    <w:p w14:paraId="1CE4828D" w14:textId="77777777" w:rsidR="000941D1" w:rsidRPr="005F70B3" w:rsidRDefault="000941D1" w:rsidP="000941D1">
      <w:pPr>
        <w:pStyle w:val="SingleTxt"/>
        <w:spacing w:after="0" w:line="120" w:lineRule="exact"/>
        <w:rPr>
          <w:sz w:val="10"/>
        </w:rPr>
      </w:pPr>
    </w:p>
    <w:p w14:paraId="057122A2" w14:textId="77777777" w:rsidR="000941D1" w:rsidRPr="005F70B3" w:rsidRDefault="000941D1" w:rsidP="000941D1">
      <w:pPr>
        <w:pStyle w:val="SingleTxt"/>
        <w:spacing w:after="0" w:line="120" w:lineRule="exact"/>
        <w:rPr>
          <w:sz w:val="10"/>
        </w:rPr>
      </w:pPr>
    </w:p>
    <w:p w14:paraId="604A584C" w14:textId="0AACD213" w:rsidR="000941D1" w:rsidRPr="005F70B3" w:rsidRDefault="000941D1" w:rsidP="00050D5D">
      <w:pPr>
        <w:pStyle w:val="SingleTxt"/>
        <w:numPr>
          <w:ilvl w:val="0"/>
          <w:numId w:val="5"/>
        </w:numPr>
        <w:spacing w:line="240" w:lineRule="atLeast"/>
        <w:ind w:left="1267" w:firstLine="0"/>
      </w:pPr>
      <w:r w:rsidRPr="005F70B3">
        <w:t>Un total de 19,2 millones de mujeres, el 51,7</w:t>
      </w:r>
      <w:r w:rsidR="00B26819">
        <w:t> %</w:t>
      </w:r>
      <w:r w:rsidRPr="005F70B3">
        <w:t xml:space="preserve"> de la población total de las zonas rurales, vivían de forma permanente en estas zonas en 2019. Las mujeres del medio rural representaban el 24,5</w:t>
      </w:r>
      <w:r w:rsidR="000D07DB">
        <w:t> </w:t>
      </w:r>
      <w:r w:rsidR="00B26819">
        <w:t>%</w:t>
      </w:r>
      <w:r w:rsidRPr="005F70B3">
        <w:t xml:space="preserve"> de las mujeres de la Federación de Rusia.</w:t>
      </w:r>
    </w:p>
    <w:p w14:paraId="1F2A4556" w14:textId="725273D6" w:rsidR="000941D1" w:rsidRPr="005F70B3" w:rsidRDefault="000941D1" w:rsidP="00050D5D">
      <w:pPr>
        <w:pStyle w:val="SingleTxt"/>
        <w:numPr>
          <w:ilvl w:val="0"/>
          <w:numId w:val="5"/>
        </w:numPr>
        <w:spacing w:line="240" w:lineRule="atLeast"/>
        <w:ind w:left="1267" w:firstLine="0"/>
      </w:pPr>
      <w:r w:rsidRPr="005F70B3">
        <w:t>Una encuesta sobre la renta de los hogares y la inscripción en programas sociales indicó que el número de mujeres del medio rural en hogares con una renta per cápita inferior al mínimo de subsistencia, en comparación con el número total de mujeres del medio rural, se ha reducido del 26,4</w:t>
      </w:r>
      <w:r w:rsidR="000D07DB">
        <w:t> </w:t>
      </w:r>
      <w:r w:rsidR="00B26819">
        <w:t>%</w:t>
      </w:r>
      <w:r w:rsidRPr="005F70B3">
        <w:t xml:space="preserve"> en 2016 al 24,6</w:t>
      </w:r>
      <w:r w:rsidR="00B26819">
        <w:t> %</w:t>
      </w:r>
      <w:r w:rsidRPr="005F70B3">
        <w:t xml:space="preserve"> en 2017 y al 21,3</w:t>
      </w:r>
      <w:r w:rsidR="00B26819">
        <w:t> %</w:t>
      </w:r>
      <w:r w:rsidRPr="005F70B3">
        <w:t xml:space="preserve"> en 2018.</w:t>
      </w:r>
    </w:p>
    <w:p w14:paraId="33B2B308" w14:textId="44FA5970" w:rsidR="000941D1" w:rsidRPr="005F70B3" w:rsidRDefault="000941D1" w:rsidP="00050D5D">
      <w:pPr>
        <w:pStyle w:val="SingleTxt"/>
        <w:numPr>
          <w:ilvl w:val="0"/>
          <w:numId w:val="5"/>
        </w:numPr>
        <w:spacing w:line="240" w:lineRule="atLeast"/>
        <w:ind w:left="1267" w:firstLine="0"/>
        <w:rPr>
          <w:w w:val="102"/>
        </w:rPr>
      </w:pPr>
      <w:r w:rsidRPr="005F70B3">
        <w:t>El estudio integral de las condiciones de vida de 2018 mostró que la mayoría (71,5</w:t>
      </w:r>
      <w:r w:rsidR="000D07DB">
        <w:t> </w:t>
      </w:r>
      <w:r w:rsidR="00B26819">
        <w:t>%</w:t>
      </w:r>
      <w:r w:rsidRPr="005F70B3">
        <w:t>) de las familias (hogares) en el medio rural entre cuyos miembros había mujeres vivían en casas particulares o compartían casa (71,6</w:t>
      </w:r>
      <w:r w:rsidR="000D07DB">
        <w:t> </w:t>
      </w:r>
      <w:r w:rsidR="00B26819">
        <w:t>%</w:t>
      </w:r>
      <w:r w:rsidRPr="005F70B3">
        <w:t xml:space="preserve"> en 2016), mientras que el 28,4</w:t>
      </w:r>
      <w:r w:rsidR="000D07DB">
        <w:t> </w:t>
      </w:r>
      <w:r w:rsidR="00B26819">
        <w:t>%</w:t>
      </w:r>
      <w:r w:rsidRPr="005F70B3">
        <w:t xml:space="preserve"> de las familias vivían en apartamentos (28,3</w:t>
      </w:r>
      <w:r w:rsidR="00B26819">
        <w:t> %</w:t>
      </w:r>
      <w:r w:rsidRPr="005F70B3">
        <w:t xml:space="preserve"> en 2016) y el 0,1</w:t>
      </w:r>
      <w:r w:rsidR="000D07DB">
        <w:t> </w:t>
      </w:r>
      <w:r w:rsidR="00B26819">
        <w:t>%</w:t>
      </w:r>
      <w:r w:rsidRPr="005F70B3">
        <w:t xml:space="preserve"> vivían en residencias. De estas viviendas, el 88,6</w:t>
      </w:r>
      <w:r w:rsidR="000D07DB">
        <w:t> </w:t>
      </w:r>
      <w:r w:rsidR="00B26819">
        <w:t>%</w:t>
      </w:r>
      <w:r w:rsidRPr="005F70B3">
        <w:t xml:space="preserve"> disponía de agua corriente, de las cuales el 70,6</w:t>
      </w:r>
      <w:r w:rsidR="000D07DB">
        <w:t> </w:t>
      </w:r>
      <w:r w:rsidR="00B26819">
        <w:t>%</w:t>
      </w:r>
      <w:r w:rsidRPr="005F70B3">
        <w:t xml:space="preserve"> tenía agua corriente central (estas cifras correspondían al 86,3</w:t>
      </w:r>
      <w:r w:rsidR="000D07DB">
        <w:t> </w:t>
      </w:r>
      <w:r w:rsidR="00B26819">
        <w:t>%</w:t>
      </w:r>
      <w:r w:rsidRPr="005F70B3">
        <w:t xml:space="preserve"> y el 68,4</w:t>
      </w:r>
      <w:r w:rsidR="000D07DB">
        <w:t> </w:t>
      </w:r>
      <w:r w:rsidR="00B26819">
        <w:t>%</w:t>
      </w:r>
      <w:r w:rsidRPr="005F70B3">
        <w:t>, respectivamente, en 2016). El número de viviendas sin agua corriente se ha reducido del 13,7</w:t>
      </w:r>
      <w:r w:rsidR="000D07DB">
        <w:t> </w:t>
      </w:r>
      <w:r w:rsidR="00B26819">
        <w:t>%</w:t>
      </w:r>
      <w:r w:rsidRPr="005F70B3">
        <w:t xml:space="preserve"> en 2016 al 11,4</w:t>
      </w:r>
      <w:r w:rsidR="000D07DB">
        <w:t> </w:t>
      </w:r>
      <w:r w:rsidR="00B26819">
        <w:t>%</w:t>
      </w:r>
      <w:r w:rsidRPr="005F70B3">
        <w:t xml:space="preserve"> en 2018. El 68,5</w:t>
      </w:r>
      <w:r w:rsidR="00B26819">
        <w:t> %</w:t>
      </w:r>
      <w:r w:rsidRPr="005F70B3">
        <w:t xml:space="preserve"> de las viviendas disponían de bañera o ducha (frente al 65,7</w:t>
      </w:r>
      <w:r w:rsidR="000D07DB">
        <w:t> </w:t>
      </w:r>
      <w:r w:rsidR="00B26819">
        <w:t>%</w:t>
      </w:r>
      <w:r w:rsidRPr="005F70B3">
        <w:t xml:space="preserve"> en 2016) y el 42</w:t>
      </w:r>
      <w:r w:rsidR="00B26819">
        <w:t> %</w:t>
      </w:r>
      <w:r w:rsidRPr="005F70B3">
        <w:t xml:space="preserve"> de las viviendas contaban con un baño de agua o una sauna (frente al 43,1</w:t>
      </w:r>
      <w:r w:rsidR="000D07DB">
        <w:t> </w:t>
      </w:r>
      <w:r w:rsidR="00B26819">
        <w:t>%</w:t>
      </w:r>
      <w:r w:rsidRPr="005F70B3">
        <w:t xml:space="preserve"> en 2016). En el 60,9</w:t>
      </w:r>
      <w:r w:rsidR="000D07DB">
        <w:t> </w:t>
      </w:r>
      <w:r w:rsidR="00B26819">
        <w:t>%</w:t>
      </w:r>
      <w:r w:rsidRPr="005F70B3">
        <w:t xml:space="preserve"> de los hogares había un inodoro en la casa o el apartamento, mientras que en el 38,4</w:t>
      </w:r>
      <w:r w:rsidR="000D07DB">
        <w:t> </w:t>
      </w:r>
      <w:r w:rsidR="00B26819">
        <w:t>%</w:t>
      </w:r>
      <w:r w:rsidRPr="005F70B3">
        <w:t xml:space="preserve"> de los hogares el inodoro se encontraba en zonas comunes, en una estructura separada o en una dependencia adyacente (en 2016, estas cifras correspondían al 55,9</w:t>
      </w:r>
      <w:r w:rsidR="000D07DB">
        <w:t> </w:t>
      </w:r>
      <w:r w:rsidR="00B26819">
        <w:t>%</w:t>
      </w:r>
      <w:r w:rsidRPr="005F70B3">
        <w:t xml:space="preserve"> y el 43,1</w:t>
      </w:r>
      <w:r w:rsidR="00B26819">
        <w:t> %</w:t>
      </w:r>
      <w:r w:rsidRPr="005F70B3">
        <w:t>, respectivamente). Un total del 23,2</w:t>
      </w:r>
      <w:r w:rsidR="00B26819">
        <w:t> %</w:t>
      </w:r>
      <w:r w:rsidRPr="005F70B3">
        <w:t xml:space="preserve"> de los hogares están conectados a un sistema central de evacuación de aguas residuales y el 8,8</w:t>
      </w:r>
      <w:r w:rsidR="00B26819">
        <w:t> %</w:t>
      </w:r>
      <w:r w:rsidRPr="005F70B3">
        <w:t xml:space="preserve"> de los hogares están dotados de un sistema separado (incluidos tanques sépticos), mientras que el 51,7</w:t>
      </w:r>
      <w:r w:rsidR="00ED2788">
        <w:t> </w:t>
      </w:r>
      <w:r w:rsidR="00B26819">
        <w:t>%</w:t>
      </w:r>
      <w:r w:rsidRPr="005F70B3">
        <w:t xml:space="preserve"> de los hogares están conectados a letrinas de pozos excavados o similares con un conjunto de tuberías.</w:t>
      </w:r>
    </w:p>
    <w:p w14:paraId="698B1BFC" w14:textId="77777777" w:rsidR="000941D1" w:rsidRPr="005F70B3" w:rsidRDefault="000941D1" w:rsidP="00050D5D">
      <w:pPr>
        <w:pStyle w:val="SingleTxt"/>
        <w:numPr>
          <w:ilvl w:val="0"/>
          <w:numId w:val="5"/>
        </w:numPr>
        <w:spacing w:line="240" w:lineRule="atLeast"/>
        <w:ind w:left="1267" w:firstLine="0"/>
      </w:pPr>
      <w:r w:rsidRPr="005F70B3">
        <w:lastRenderedPageBreak/>
        <w:t>El número de educadores que trabajaban en organizaciones educativas situadas en zonas rurales en el período 2017-2019 se muestra en el cuadro 5.</w:t>
      </w:r>
    </w:p>
    <w:p w14:paraId="18BD89D6" w14:textId="77777777" w:rsidR="000941D1" w:rsidRPr="005F70B3" w:rsidRDefault="000941D1" w:rsidP="00050D5D">
      <w:pPr>
        <w:pStyle w:val="SingleTxt"/>
        <w:numPr>
          <w:ilvl w:val="0"/>
          <w:numId w:val="5"/>
        </w:numPr>
        <w:spacing w:line="240" w:lineRule="atLeast"/>
        <w:ind w:left="1267" w:firstLine="0"/>
      </w:pPr>
      <w:r w:rsidRPr="005F70B3">
        <w:t>El número y la proporción de mujeres empleadas en los servicios de asistencia sanitaria y social en las zonas rurales se indican en el cuadro 6.</w:t>
      </w:r>
    </w:p>
    <w:p w14:paraId="3A5D90D0" w14:textId="77777777" w:rsidR="000941D1" w:rsidRPr="005F70B3" w:rsidRDefault="000941D1" w:rsidP="00050D5D">
      <w:pPr>
        <w:pStyle w:val="SingleTxt"/>
        <w:numPr>
          <w:ilvl w:val="0"/>
          <w:numId w:val="5"/>
        </w:numPr>
        <w:spacing w:line="240" w:lineRule="atLeast"/>
        <w:ind w:left="1267" w:firstLine="0"/>
      </w:pPr>
      <w:r w:rsidRPr="005F70B3">
        <w:t>En el cuadro 7 se muestra la información sobre el número de mujeres que encabezaban hogares rurales (agrícolas) a fecha de 1 de julio de 2016, sobre la base de los resultados del censo nacional agrícola de 2016.</w:t>
      </w:r>
    </w:p>
    <w:p w14:paraId="32894CA3" w14:textId="45227F2A" w:rsidR="000941D1" w:rsidRPr="005F70B3" w:rsidRDefault="000941D1" w:rsidP="00050D5D">
      <w:pPr>
        <w:pStyle w:val="SingleTxt"/>
        <w:numPr>
          <w:ilvl w:val="0"/>
          <w:numId w:val="5"/>
        </w:numPr>
        <w:spacing w:line="240" w:lineRule="atLeast"/>
        <w:ind w:left="1267" w:firstLine="0"/>
      </w:pPr>
      <w:r w:rsidRPr="005F70B3">
        <w:t>A fecha de 1 de octubre de 2019, el 34,7</w:t>
      </w:r>
      <w:r w:rsidR="000D07DB">
        <w:t> </w:t>
      </w:r>
      <w:r w:rsidR="00B26819">
        <w:t>%</w:t>
      </w:r>
      <w:r w:rsidRPr="005F70B3">
        <w:t xml:space="preserve"> de los cargos municipales en órganos de gobierno local y comisiones electorales en entornos rurales estaban ocupados por mujeres, frente al 32,4</w:t>
      </w:r>
      <w:r w:rsidR="000D07DB">
        <w:t> </w:t>
      </w:r>
      <w:r w:rsidR="00B26819">
        <w:t>%</w:t>
      </w:r>
      <w:r w:rsidRPr="005F70B3">
        <w:t xml:space="preserve"> en 2016, una cifra superior a la media nacional del 33,4</w:t>
      </w:r>
      <w:r w:rsidR="000D07DB">
        <w:t> </w:t>
      </w:r>
      <w:r w:rsidR="00B26819">
        <w:t>%</w:t>
      </w:r>
      <w:r w:rsidRPr="005F70B3">
        <w:t>.</w:t>
      </w:r>
    </w:p>
    <w:p w14:paraId="584DD138" w14:textId="77777777" w:rsidR="000941D1" w:rsidRPr="005F70B3" w:rsidRDefault="000941D1" w:rsidP="000941D1">
      <w:pPr>
        <w:pStyle w:val="SingleTxt"/>
        <w:spacing w:after="0" w:line="120" w:lineRule="exact"/>
        <w:rPr>
          <w:sz w:val="10"/>
        </w:rPr>
      </w:pPr>
    </w:p>
    <w:p w14:paraId="3C60408A" w14:textId="77777777" w:rsidR="000941D1" w:rsidRPr="005F70B3" w:rsidRDefault="000941D1" w:rsidP="000941D1">
      <w:pPr>
        <w:pStyle w:val="SingleTxt"/>
        <w:spacing w:after="0" w:line="120" w:lineRule="exact"/>
        <w:rPr>
          <w:sz w:val="10"/>
        </w:rPr>
      </w:pPr>
    </w:p>
    <w:p w14:paraId="5398B6E3" w14:textId="77777777" w:rsidR="000941D1" w:rsidRPr="005F70B3" w:rsidRDefault="000941D1" w:rsidP="000600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Grupos de mujeres desfavorecidas</w:t>
      </w:r>
    </w:p>
    <w:p w14:paraId="24AD0A9E" w14:textId="77777777" w:rsidR="000941D1" w:rsidRPr="005F70B3" w:rsidRDefault="000941D1" w:rsidP="000941D1">
      <w:pPr>
        <w:pStyle w:val="SingleTxt"/>
        <w:keepNext/>
        <w:spacing w:after="0" w:line="120" w:lineRule="exact"/>
        <w:rPr>
          <w:sz w:val="10"/>
        </w:rPr>
      </w:pPr>
    </w:p>
    <w:p w14:paraId="1D7D154F" w14:textId="77777777" w:rsidR="000941D1" w:rsidRPr="005F70B3" w:rsidRDefault="000941D1" w:rsidP="000941D1">
      <w:pPr>
        <w:pStyle w:val="SingleTxt"/>
        <w:keepNext/>
        <w:spacing w:after="0" w:line="120" w:lineRule="exact"/>
        <w:rPr>
          <w:sz w:val="10"/>
        </w:rPr>
      </w:pPr>
    </w:p>
    <w:p w14:paraId="62A73D3B" w14:textId="77777777" w:rsidR="000941D1" w:rsidRPr="005F70B3" w:rsidRDefault="000941D1" w:rsidP="00060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18</w:t>
      </w:r>
    </w:p>
    <w:p w14:paraId="44E4EFDA" w14:textId="77777777" w:rsidR="000941D1" w:rsidRPr="005F70B3" w:rsidRDefault="000941D1" w:rsidP="000941D1">
      <w:pPr>
        <w:pStyle w:val="SingleTxt"/>
        <w:keepNext/>
        <w:spacing w:after="0" w:line="120" w:lineRule="exact"/>
        <w:rPr>
          <w:sz w:val="10"/>
        </w:rPr>
      </w:pPr>
    </w:p>
    <w:p w14:paraId="1DD25BDC" w14:textId="77777777" w:rsidR="000941D1" w:rsidRPr="005F70B3" w:rsidRDefault="000941D1" w:rsidP="000941D1">
      <w:pPr>
        <w:pStyle w:val="SingleTxt"/>
        <w:keepNext/>
        <w:spacing w:after="0" w:line="120" w:lineRule="exact"/>
        <w:rPr>
          <w:sz w:val="10"/>
        </w:rPr>
      </w:pPr>
    </w:p>
    <w:p w14:paraId="2A1ABC59" w14:textId="77777777" w:rsidR="000941D1" w:rsidRPr="005F70B3" w:rsidRDefault="000941D1" w:rsidP="00050D5D">
      <w:pPr>
        <w:pStyle w:val="SingleTxt"/>
        <w:numPr>
          <w:ilvl w:val="0"/>
          <w:numId w:val="5"/>
        </w:numPr>
        <w:spacing w:line="240" w:lineRule="atLeast"/>
        <w:ind w:left="1267" w:firstLine="0"/>
      </w:pPr>
      <w:r w:rsidRPr="005F70B3">
        <w:t>Los derechos de los pueblos indígenas minoritarios de la Federación de Rusia a dar prioridad al uso de los recursos y los oficios tradicionales, preservar su modo de vida y prácticas tradicionales y resolver los asuntos jurídicos de conformidad con sus costumbres se regulan en la Ley Federal núm. 82-FZ de 30 de abril de 1999 sobre las garantías de los derechos de los pueblos indígenas minoritarios de la Federación de Rusia.</w:t>
      </w:r>
    </w:p>
    <w:p w14:paraId="5EB8695D" w14:textId="77777777" w:rsidR="000941D1" w:rsidRPr="005F70B3" w:rsidRDefault="000941D1" w:rsidP="00050D5D">
      <w:pPr>
        <w:pStyle w:val="SingleTxt"/>
        <w:numPr>
          <w:ilvl w:val="0"/>
          <w:numId w:val="5"/>
        </w:numPr>
        <w:spacing w:line="240" w:lineRule="atLeast"/>
        <w:ind w:left="1267" w:firstLine="0"/>
      </w:pPr>
      <w:r w:rsidRPr="005F70B3">
        <w:t>Los territorios de uso de recursos tradicionales por parte de los pueblos indígenas minoritarios del Norte, Siberia y el Extremo Oriente se definen en los artículos 5 a 8 de la Ley Federal núm. 49-FZ de 7 de mayo de 2001 sobre los territorios de uso de recursos tradicionales por parte de los pueblos indígenas minoritarios del Norte, Siberia y el Extremo Oriente de la Federación de Rusia, que también establece el procedimiento para la demarcación de dichos territorios a nivel federal, regional y local.</w:t>
      </w:r>
    </w:p>
    <w:p w14:paraId="63AEF61D" w14:textId="77777777" w:rsidR="000941D1" w:rsidRPr="005F70B3" w:rsidRDefault="000941D1" w:rsidP="00050D5D">
      <w:pPr>
        <w:pStyle w:val="SingleTxt"/>
        <w:numPr>
          <w:ilvl w:val="0"/>
          <w:numId w:val="5"/>
        </w:numPr>
        <w:spacing w:line="240" w:lineRule="atLeast"/>
        <w:ind w:left="1267" w:firstLine="0"/>
      </w:pPr>
      <w:r w:rsidRPr="005F70B3">
        <w:t>El artículo 14 de la Ley Federal núm. 49-FZ establece el derecho de los miembros de pueblos y comunidades de pueblos minoritarios, incluidas mujeres indígenas, a utilizar, sin ningún cargo, los minerales comunes que se encuentran en los territorios de uso de recursos tradicionales.</w:t>
      </w:r>
    </w:p>
    <w:p w14:paraId="4A24B4DD" w14:textId="77777777" w:rsidR="000941D1" w:rsidRPr="005F70B3" w:rsidRDefault="000941D1" w:rsidP="00050D5D">
      <w:pPr>
        <w:pStyle w:val="SingleTxt"/>
        <w:numPr>
          <w:ilvl w:val="0"/>
          <w:numId w:val="5"/>
        </w:numPr>
        <w:spacing w:line="240" w:lineRule="atLeast"/>
        <w:ind w:left="1267" w:firstLine="0"/>
      </w:pPr>
      <w:r w:rsidRPr="005F70B3">
        <w:t>Se asignan terrenos y otros lugares naturales diferenciados en territorios de uso de recursos tradicionales a miembros de pueblos y comunidades de pueblos minoritarios de conformidad con la legislación federal.</w:t>
      </w:r>
    </w:p>
    <w:p w14:paraId="7D3B6590" w14:textId="77777777" w:rsidR="000941D1" w:rsidRPr="005F70B3" w:rsidRDefault="000941D1" w:rsidP="00050D5D">
      <w:pPr>
        <w:pStyle w:val="SingleTxt"/>
        <w:numPr>
          <w:ilvl w:val="0"/>
          <w:numId w:val="5"/>
        </w:numPr>
        <w:spacing w:line="240" w:lineRule="atLeast"/>
        <w:ind w:left="1267" w:firstLine="0"/>
      </w:pPr>
      <w:r w:rsidRPr="005F70B3">
        <w:t>Los miembros de pueblos y comunidades de pueblos minoritarios tienen derecho a utilizar recursos naturales en los territorios de uso de recursos tradicionales para asegurar que puedan llevar una forma de vida tradicional con arreglo a la legislación federal y a sus tradiciones.</w:t>
      </w:r>
    </w:p>
    <w:p w14:paraId="6AB43900" w14:textId="77777777" w:rsidR="000941D1" w:rsidRPr="005F70B3" w:rsidRDefault="000941D1" w:rsidP="00050D5D">
      <w:pPr>
        <w:pStyle w:val="SingleTxt"/>
        <w:numPr>
          <w:ilvl w:val="0"/>
          <w:numId w:val="5"/>
        </w:numPr>
        <w:spacing w:line="240" w:lineRule="atLeast"/>
        <w:ind w:left="1267" w:firstLine="0"/>
      </w:pPr>
      <w:r w:rsidRPr="005F70B3">
        <w:t>La Ley Federal núm. 11-FZ de 6 de febrero de 2020 que modifica la Ley Federal sobre Garantías de los Derechos de los Pueblos Indígenas Minoritarios de la Federación de Rusia estableció el procedimiento para registrar a los miembros de los pueblos indígenas minoritarios y preveía la creación de una lista única de pueblos indígenas minoritarios en la Federación de Rusia. El registro unificado normaliza el procedimiento para confirmar la afiliación de una persona a un pueblo indígena minoritario y garantiza la protección de los derechos sociales y económicos de dicha persona.</w:t>
      </w:r>
    </w:p>
    <w:p w14:paraId="1EFBA03A" w14:textId="77777777" w:rsidR="000941D1" w:rsidRPr="005F70B3" w:rsidRDefault="000941D1" w:rsidP="00050D5D">
      <w:pPr>
        <w:pStyle w:val="SingleTxt"/>
        <w:numPr>
          <w:ilvl w:val="0"/>
          <w:numId w:val="5"/>
        </w:numPr>
        <w:spacing w:line="240" w:lineRule="atLeast"/>
        <w:ind w:left="1267" w:firstLine="0"/>
      </w:pPr>
      <w:r w:rsidRPr="005F70B3">
        <w:t xml:space="preserve">Se ha elaborado un proyecto de ley federal para modificar la Ley Federal sobre los territorios de uso de recursos tradicionales por parte de los pueblos indígenas </w:t>
      </w:r>
      <w:r w:rsidRPr="005F70B3">
        <w:lastRenderedPageBreak/>
        <w:t>minoritarios del Norte, Siberia y el Extremo Oriente de la Federación de Rusia. El proyecto de ley establece un procedimiento decisorio único para demarcar los territorios de uso de recursos tradicionales a nivel federal, regional y local sobre la base de las solicitudes presentadas por representantes de pueblos indígenas minoritarios, comunidades de pueblos indígenas minoritarios y personas que no son miembros de dichos pueblos pero que residen de forma permanente en zonas donde estos viven tradicionalmente y practican una actividad económica tradicional, y que se dedican a una actividad económica tradicional.</w:t>
      </w:r>
    </w:p>
    <w:p w14:paraId="363E81C6" w14:textId="536D620E" w:rsidR="000941D1" w:rsidRPr="005F70B3" w:rsidRDefault="000941D1" w:rsidP="00050D5D">
      <w:pPr>
        <w:pStyle w:val="SingleTxt"/>
        <w:numPr>
          <w:ilvl w:val="0"/>
          <w:numId w:val="5"/>
        </w:numPr>
        <w:spacing w:line="240" w:lineRule="atLeast"/>
        <w:ind w:left="1267" w:firstLine="0"/>
      </w:pPr>
      <w:r w:rsidRPr="005F70B3">
        <w:t xml:space="preserve">Las leyes vigentes de la Federación de Rusia prevén el pleno acceso sin restricciones de las personas indígenas a sus tierras y recursos tradicionales independientemente de su </w:t>
      </w:r>
      <w:r w:rsidR="00676EA8">
        <w:t>sexo</w:t>
      </w:r>
      <w:r w:rsidRPr="005F70B3">
        <w:t>.</w:t>
      </w:r>
    </w:p>
    <w:p w14:paraId="17056552" w14:textId="1766A435" w:rsidR="000941D1" w:rsidRPr="005C4FDD" w:rsidRDefault="000941D1" w:rsidP="005C4FDD">
      <w:pPr>
        <w:pStyle w:val="SingleTxt"/>
        <w:spacing w:after="0" w:line="120" w:lineRule="exact"/>
        <w:rPr>
          <w:sz w:val="10"/>
        </w:rPr>
      </w:pPr>
    </w:p>
    <w:p w14:paraId="57B6422B" w14:textId="77777777" w:rsidR="005C4FDD" w:rsidRPr="005F70B3" w:rsidRDefault="005C4FDD" w:rsidP="000941D1">
      <w:pPr>
        <w:pStyle w:val="SingleTxt"/>
        <w:spacing w:after="0" w:line="120" w:lineRule="exact"/>
        <w:rPr>
          <w:sz w:val="10"/>
        </w:rPr>
      </w:pPr>
    </w:p>
    <w:p w14:paraId="450CACD7" w14:textId="77777777" w:rsidR="000941D1" w:rsidRPr="005F70B3" w:rsidRDefault="000941D1" w:rsidP="005C4F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19</w:t>
      </w:r>
    </w:p>
    <w:p w14:paraId="124F9AD6" w14:textId="77777777" w:rsidR="000941D1" w:rsidRPr="005F70B3" w:rsidRDefault="000941D1" w:rsidP="000941D1">
      <w:pPr>
        <w:pStyle w:val="SingleTxt"/>
        <w:keepNext/>
        <w:spacing w:after="0" w:line="120" w:lineRule="exact"/>
        <w:rPr>
          <w:sz w:val="10"/>
        </w:rPr>
      </w:pPr>
    </w:p>
    <w:p w14:paraId="12F3B858" w14:textId="77777777" w:rsidR="000941D1" w:rsidRPr="005F70B3" w:rsidRDefault="000941D1" w:rsidP="000941D1">
      <w:pPr>
        <w:pStyle w:val="SingleTxt"/>
        <w:keepNext/>
        <w:spacing w:after="0" w:line="120" w:lineRule="exact"/>
        <w:rPr>
          <w:sz w:val="10"/>
        </w:rPr>
      </w:pPr>
    </w:p>
    <w:p w14:paraId="2AF3CF14" w14:textId="77777777" w:rsidR="000941D1" w:rsidRPr="005F70B3" w:rsidRDefault="000941D1" w:rsidP="00050D5D">
      <w:pPr>
        <w:pStyle w:val="SingleTxt"/>
        <w:numPr>
          <w:ilvl w:val="0"/>
          <w:numId w:val="5"/>
        </w:numPr>
        <w:spacing w:line="240" w:lineRule="atLeast"/>
        <w:ind w:left="1267" w:firstLine="0"/>
      </w:pPr>
      <w:r w:rsidRPr="005F70B3">
        <w:t>La discriminación es un elemento constitutivo de delito claro, como se establece en el artículo 5.62 del Código de Infracciones Administrativas y el artículo 136 del Código Penal. Véase la respuesta a la pregunta 1.</w:t>
      </w:r>
    </w:p>
    <w:p w14:paraId="665BF433" w14:textId="77777777" w:rsidR="000941D1" w:rsidRPr="005F70B3" w:rsidRDefault="000941D1" w:rsidP="00050D5D">
      <w:pPr>
        <w:pStyle w:val="SingleTxt"/>
        <w:numPr>
          <w:ilvl w:val="0"/>
          <w:numId w:val="5"/>
        </w:numPr>
        <w:spacing w:line="240" w:lineRule="atLeast"/>
        <w:ind w:left="1267" w:firstLine="0"/>
      </w:pPr>
      <w:r w:rsidRPr="005F70B3">
        <w:t>El uso de violencia por parte de funcionarios contra ciudadanos, independientemente de su origen, situación, creencias, pertenencia a asociaciones públicas u otras circunstancias, conlleva una responsabilidad penal en virtud del artículo 301 (Detención, retención o prisión preventiva ilegales), el artículo 285 (Abuso de poder) y el artículo 286 (Abuso de autoridad) del Código Penal.</w:t>
      </w:r>
    </w:p>
    <w:p w14:paraId="70B442BC" w14:textId="77777777" w:rsidR="000941D1" w:rsidRPr="005F70B3" w:rsidRDefault="000941D1" w:rsidP="00050D5D">
      <w:pPr>
        <w:pStyle w:val="SingleTxt"/>
        <w:numPr>
          <w:ilvl w:val="0"/>
          <w:numId w:val="5"/>
        </w:numPr>
        <w:spacing w:line="240" w:lineRule="atLeast"/>
        <w:ind w:left="1267" w:firstLine="0"/>
      </w:pPr>
      <w:r w:rsidRPr="005F70B3">
        <w:t>La norma sobre detención administrativa, establecida en los artículos 91 y 92 del Código de Procedimiento Penal, prohíbe la detención de mujeres por motivos de orientación sexual, identidad de género o expresión de género.</w:t>
      </w:r>
    </w:p>
    <w:p w14:paraId="4E7109F3" w14:textId="77777777" w:rsidR="000941D1" w:rsidRPr="005F70B3" w:rsidRDefault="000941D1" w:rsidP="00050D5D">
      <w:pPr>
        <w:pStyle w:val="SingleTxt"/>
        <w:numPr>
          <w:ilvl w:val="0"/>
          <w:numId w:val="5"/>
        </w:numPr>
        <w:spacing w:line="240" w:lineRule="atLeast"/>
        <w:ind w:left="1267" w:firstLine="0"/>
      </w:pPr>
      <w:r w:rsidRPr="005F70B3">
        <w:t xml:space="preserve">Según lo dispuesto en el artículo 1 de la Ley Federal núm. 403-FZ de 28 de diciembre de 2010, el Comité de Investigación de la Federación de Rusia se encarga de velar por que las investigaciones penales sean eficientes y exhaustivas, por que se reciban, se registren y se verifiquen las denuncias de delitos, se inicien actuaciones penales y se lleven a cabo investigaciones previas con arreglo a la ley, y por que se protejan los derechos y las libertades de las </w:t>
      </w:r>
      <w:r w:rsidRPr="008640B7">
        <w:t>personas</w:t>
      </w:r>
      <w:r w:rsidRPr="005F70B3">
        <w:t xml:space="preserve"> y los ciudadanos. También se encarga de instituir y aplicar, dentro de su ámbito de autoridad, medidas encaminadas a erradicar las circunstancias que contribuyen a la comisión de delitos.</w:t>
      </w:r>
    </w:p>
    <w:p w14:paraId="61979F98" w14:textId="77777777" w:rsidR="000941D1" w:rsidRPr="005F70B3" w:rsidRDefault="000941D1" w:rsidP="00050D5D">
      <w:pPr>
        <w:pStyle w:val="SingleTxt"/>
        <w:numPr>
          <w:ilvl w:val="0"/>
          <w:numId w:val="5"/>
        </w:numPr>
        <w:spacing w:line="240" w:lineRule="atLeast"/>
        <w:ind w:left="1267" w:firstLine="0"/>
      </w:pPr>
      <w:r w:rsidRPr="005F70B3">
        <w:t>El Comité de Investigación está cumpliendo estas tareas, en particular con respecto a la investigación de delitos motivados por el odio hacia las personas homosexuales, bisexuales y transgénero. En su labor, el Comité de Investigación está sujeto exclusivamente a las normas sobre competencia de investigación establecidas en el derecho de procedimiento penal de la Federación de Rusia.</w:t>
      </w:r>
    </w:p>
    <w:p w14:paraId="10D26EC7" w14:textId="77777777" w:rsidR="000941D1" w:rsidRPr="005F70B3" w:rsidRDefault="000941D1" w:rsidP="00050D5D">
      <w:pPr>
        <w:pStyle w:val="SingleTxt"/>
        <w:numPr>
          <w:ilvl w:val="0"/>
          <w:numId w:val="5"/>
        </w:numPr>
        <w:spacing w:line="240" w:lineRule="atLeast"/>
        <w:ind w:left="1267" w:firstLine="0"/>
      </w:pPr>
      <w:r w:rsidRPr="005F70B3">
        <w:t>Sobre la base de la información facilitada por los órganos de investigación en la región del Cáucaso septentrional y el Distrito Federal Meridional, no se han presentado denuncias de discriminación y violencia contra mujeres lesbianas, bisexuales o transgénero. Los órganos de investigación del Comité de Investigación no han detenido o privado de libertad a ninguna mujer por motivos de orientación sexual, identidad de género o expresión de género.</w:t>
      </w:r>
    </w:p>
    <w:p w14:paraId="73F072A0" w14:textId="77777777" w:rsidR="000941D1" w:rsidRPr="005F70B3" w:rsidRDefault="000941D1" w:rsidP="000941D1">
      <w:pPr>
        <w:pStyle w:val="SingleTxt"/>
        <w:spacing w:after="0" w:line="120" w:lineRule="exact"/>
        <w:rPr>
          <w:sz w:val="10"/>
        </w:rPr>
      </w:pPr>
    </w:p>
    <w:p w14:paraId="60B28191" w14:textId="77777777" w:rsidR="00ED2788" w:rsidRPr="00ED2788" w:rsidRDefault="00ED2788" w:rsidP="00ED278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0D548365" w14:textId="77777777" w:rsidR="00ED2788" w:rsidRDefault="00ED2788">
      <w:pPr>
        <w:suppressAutoHyphens w:val="0"/>
        <w:spacing w:after="200" w:line="276" w:lineRule="auto"/>
        <w:rPr>
          <w:b/>
          <w:spacing w:val="-2"/>
          <w:kern w:val="14"/>
          <w:sz w:val="28"/>
        </w:rPr>
      </w:pPr>
      <w:r>
        <w:br w:type="page"/>
      </w:r>
    </w:p>
    <w:p w14:paraId="0C72B4E4" w14:textId="3B217363" w:rsidR="000941D1" w:rsidRPr="005F70B3" w:rsidRDefault="000941D1" w:rsidP="005C4FD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lastRenderedPageBreak/>
        <w:tab/>
      </w:r>
      <w:r w:rsidRPr="005F70B3">
        <w:tab/>
        <w:t>Cambio climático y reducción del riesgo de desastres</w:t>
      </w:r>
    </w:p>
    <w:p w14:paraId="279255B6" w14:textId="77777777" w:rsidR="000941D1" w:rsidRPr="005F70B3" w:rsidRDefault="000941D1" w:rsidP="000941D1">
      <w:pPr>
        <w:pStyle w:val="SingleTxt"/>
        <w:spacing w:after="0" w:line="120" w:lineRule="exact"/>
        <w:rPr>
          <w:sz w:val="10"/>
        </w:rPr>
      </w:pPr>
    </w:p>
    <w:p w14:paraId="33EEFA83" w14:textId="77777777" w:rsidR="000941D1" w:rsidRPr="005F70B3" w:rsidRDefault="000941D1" w:rsidP="000941D1">
      <w:pPr>
        <w:pStyle w:val="SingleTxt"/>
        <w:spacing w:after="0" w:line="120" w:lineRule="exact"/>
        <w:rPr>
          <w:sz w:val="10"/>
        </w:rPr>
      </w:pPr>
    </w:p>
    <w:p w14:paraId="720D53CC" w14:textId="77777777" w:rsidR="000941D1" w:rsidRPr="005F70B3" w:rsidRDefault="000941D1" w:rsidP="005C4F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21</w:t>
      </w:r>
    </w:p>
    <w:p w14:paraId="04549BA5" w14:textId="77777777" w:rsidR="000941D1" w:rsidRPr="005F70B3" w:rsidRDefault="000941D1" w:rsidP="000941D1">
      <w:pPr>
        <w:pStyle w:val="SingleTxt"/>
        <w:spacing w:after="0" w:line="120" w:lineRule="exact"/>
        <w:rPr>
          <w:sz w:val="10"/>
        </w:rPr>
      </w:pPr>
    </w:p>
    <w:p w14:paraId="3CE3B706" w14:textId="77777777" w:rsidR="000941D1" w:rsidRPr="005F70B3" w:rsidRDefault="000941D1" w:rsidP="000941D1">
      <w:pPr>
        <w:pStyle w:val="SingleTxt"/>
        <w:spacing w:after="0" w:line="120" w:lineRule="exact"/>
        <w:rPr>
          <w:sz w:val="10"/>
        </w:rPr>
      </w:pPr>
    </w:p>
    <w:p w14:paraId="06F12FDC" w14:textId="77777777" w:rsidR="000941D1" w:rsidRPr="005F70B3" w:rsidRDefault="000941D1" w:rsidP="00050D5D">
      <w:pPr>
        <w:pStyle w:val="SingleTxt"/>
        <w:numPr>
          <w:ilvl w:val="0"/>
          <w:numId w:val="5"/>
        </w:numPr>
        <w:spacing w:line="240" w:lineRule="atLeast"/>
        <w:ind w:left="1267" w:firstLine="0"/>
      </w:pPr>
      <w:r w:rsidRPr="005F70B3">
        <w:t>Puesto que toda la población del país se ve afectada por el cambio climático y los desastres naturales, no existen pruebas de discriminación de género a nivel nacional. Por este motivo, no se abordan específicamente las perspectivas de género en las políticas y programas nacionales relacionados con el cambio climático.</w:t>
      </w:r>
    </w:p>
    <w:p w14:paraId="6DC5B3C1" w14:textId="77777777" w:rsidR="000941D1" w:rsidRPr="005F70B3" w:rsidRDefault="000941D1" w:rsidP="000941D1">
      <w:pPr>
        <w:pStyle w:val="SingleTxt"/>
        <w:spacing w:after="0" w:line="120" w:lineRule="exact"/>
        <w:rPr>
          <w:sz w:val="10"/>
        </w:rPr>
      </w:pPr>
    </w:p>
    <w:p w14:paraId="548DF317" w14:textId="77777777" w:rsidR="000941D1" w:rsidRPr="005F70B3" w:rsidRDefault="000941D1" w:rsidP="000941D1">
      <w:pPr>
        <w:pStyle w:val="SingleTxt"/>
        <w:spacing w:after="0" w:line="120" w:lineRule="exact"/>
        <w:rPr>
          <w:sz w:val="10"/>
        </w:rPr>
      </w:pPr>
    </w:p>
    <w:p w14:paraId="64B39C7C" w14:textId="77777777" w:rsidR="000941D1" w:rsidRPr="005F70B3" w:rsidRDefault="000941D1" w:rsidP="005C4FD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F70B3">
        <w:tab/>
      </w:r>
      <w:r w:rsidRPr="005F70B3">
        <w:tab/>
        <w:t>Matrimonio y relaciones familiares</w:t>
      </w:r>
    </w:p>
    <w:p w14:paraId="598726CC" w14:textId="77777777" w:rsidR="000941D1" w:rsidRPr="005F70B3" w:rsidRDefault="000941D1" w:rsidP="000941D1">
      <w:pPr>
        <w:pStyle w:val="SingleTxt"/>
        <w:keepNext/>
        <w:keepLines/>
        <w:spacing w:after="0" w:line="120" w:lineRule="exact"/>
        <w:rPr>
          <w:sz w:val="10"/>
        </w:rPr>
      </w:pPr>
    </w:p>
    <w:p w14:paraId="30E85393" w14:textId="77777777" w:rsidR="000941D1" w:rsidRPr="005F70B3" w:rsidRDefault="000941D1" w:rsidP="000941D1">
      <w:pPr>
        <w:pStyle w:val="SingleTxt"/>
        <w:keepNext/>
        <w:keepLines/>
        <w:spacing w:after="0" w:line="120" w:lineRule="exact"/>
        <w:rPr>
          <w:sz w:val="10"/>
        </w:rPr>
      </w:pPr>
    </w:p>
    <w:p w14:paraId="5BDB04B8" w14:textId="77777777" w:rsidR="000941D1" w:rsidRPr="005F70B3" w:rsidRDefault="000941D1" w:rsidP="005C4F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22</w:t>
      </w:r>
    </w:p>
    <w:p w14:paraId="7C50EA45" w14:textId="77777777" w:rsidR="000941D1" w:rsidRPr="005F70B3" w:rsidRDefault="000941D1" w:rsidP="000941D1">
      <w:pPr>
        <w:pStyle w:val="SingleTxt"/>
        <w:keepNext/>
        <w:keepLines/>
        <w:spacing w:after="0" w:line="120" w:lineRule="exact"/>
        <w:rPr>
          <w:sz w:val="10"/>
        </w:rPr>
      </w:pPr>
    </w:p>
    <w:p w14:paraId="47385AB1" w14:textId="77777777" w:rsidR="000941D1" w:rsidRPr="005F70B3" w:rsidRDefault="000941D1" w:rsidP="000941D1">
      <w:pPr>
        <w:pStyle w:val="SingleTxt"/>
        <w:keepNext/>
        <w:keepLines/>
        <w:spacing w:after="0" w:line="120" w:lineRule="exact"/>
        <w:rPr>
          <w:sz w:val="10"/>
        </w:rPr>
      </w:pPr>
    </w:p>
    <w:p w14:paraId="57FC1B6E" w14:textId="77777777" w:rsidR="000941D1" w:rsidRPr="005F70B3" w:rsidRDefault="000941D1" w:rsidP="00050D5D">
      <w:pPr>
        <w:pStyle w:val="SingleTxt"/>
        <w:keepNext/>
        <w:keepLines/>
        <w:numPr>
          <w:ilvl w:val="0"/>
          <w:numId w:val="5"/>
        </w:numPr>
        <w:spacing w:line="240" w:lineRule="atLeast"/>
        <w:ind w:left="1267" w:firstLine="0"/>
      </w:pPr>
      <w:r w:rsidRPr="005F70B3">
        <w:t>La equiparación de los derechos de pensión de los cónyuges en caso de divorcio consiste básicamente en que los derechos de pensión adquiridos por cada uno de los cónyuges durante el matrimonio se redistribuyen, tras la disolución del matrimonio, para beneficiar al excónyuge que ha adquirido menores derechos de pensión durante ese período.</w:t>
      </w:r>
    </w:p>
    <w:p w14:paraId="7DB530B6" w14:textId="77777777" w:rsidR="000941D1" w:rsidRPr="005F70B3" w:rsidRDefault="000941D1" w:rsidP="00050D5D">
      <w:pPr>
        <w:pStyle w:val="SingleTxt"/>
        <w:numPr>
          <w:ilvl w:val="0"/>
          <w:numId w:val="5"/>
        </w:numPr>
        <w:spacing w:line="240" w:lineRule="atLeast"/>
        <w:ind w:left="1267" w:firstLine="0"/>
      </w:pPr>
      <w:r w:rsidRPr="005F70B3">
        <w:t>El sistema obligatorio de pensiones ruso se basa en los principios de seguro, prevé la equivalencia de ingresos y gastos y garantiza que los participantes puedan ejercer los derechos de pensión adquiridos en el sistema.</w:t>
      </w:r>
    </w:p>
    <w:p w14:paraId="2B1AA995" w14:textId="77777777" w:rsidR="000941D1" w:rsidRPr="005F70B3" w:rsidRDefault="000941D1" w:rsidP="00050D5D">
      <w:pPr>
        <w:pStyle w:val="SingleTxt"/>
        <w:numPr>
          <w:ilvl w:val="0"/>
          <w:numId w:val="5"/>
        </w:numPr>
        <w:spacing w:line="240" w:lineRule="atLeast"/>
        <w:ind w:left="1267" w:firstLine="0"/>
      </w:pPr>
      <w:r w:rsidRPr="005F70B3">
        <w:t>El sistema de pensiones de la Federación de Rusia consta de diversos tipos de pensiones (vejez, discapacidad y supervivencia), que difieren tanto en términos jurídicos como sociales y en su fuente de financiación.</w:t>
      </w:r>
    </w:p>
    <w:p w14:paraId="38E88F86" w14:textId="77777777" w:rsidR="000941D1" w:rsidRPr="005F70B3" w:rsidRDefault="000941D1" w:rsidP="00050D5D">
      <w:pPr>
        <w:pStyle w:val="SingleTxt"/>
        <w:numPr>
          <w:ilvl w:val="0"/>
          <w:numId w:val="5"/>
        </w:numPr>
        <w:spacing w:line="240" w:lineRule="atLeast"/>
        <w:ind w:left="1267" w:firstLine="0"/>
      </w:pPr>
      <w:r w:rsidRPr="005F70B3">
        <w:t>El sistema de pensiones cubre a toda la población de la Federación de Rusia, es decir, todos los ciudadanos reciben una pensión o tienen derecho a ella en determinadas condiciones. Además, ningún pensionista en la Federación de Rusia tiene unos ingresos mensuales inferiores al nivel de subsistencia mínimo para pensionistas en su región de residencia. Todos los pensionistas que no trabajan reciben un complemento social a su pensión para que alcance el nivel de subsistencia mínimo en su región de residencia. En caso de divorcio, si la mujer ha acumulado su propio período de servicio con derecho a pensión e ingresos, puede concedérsele una pensión de seguro de vejez o, si no lo ha acumulado, una pensión social. Aunque la esperanza de vida de las mujeres es considerablemente más alta que la de los hombres, la edad de jubilación estándar de las mujeres en la Federación de Rusia es cinco años menor que la de los hombres, lo que constituye una garantía adicional de las prestaciones de jubilación para las mujeres.</w:t>
      </w:r>
    </w:p>
    <w:p w14:paraId="4CD6CBB7" w14:textId="77777777" w:rsidR="000941D1" w:rsidRPr="005F70B3" w:rsidRDefault="000941D1" w:rsidP="00050D5D">
      <w:pPr>
        <w:pStyle w:val="SingleTxt"/>
        <w:numPr>
          <w:ilvl w:val="0"/>
          <w:numId w:val="5"/>
        </w:numPr>
        <w:spacing w:line="240" w:lineRule="atLeast"/>
        <w:ind w:left="1267" w:firstLine="0"/>
      </w:pPr>
      <w:r w:rsidRPr="005F70B3">
        <w:t>Con arreglo al artículo 32 de la Ley Federal núm. 400-FZ de 28 de diciembre de 2013 sobre las pensiones aseguradas, las siguientes categorías de mujeres tienen derecho a una pensión de seguro de vejez tras su jubilación anticipada, siempre que el coeficiente de pensión individual sea como mínimo de 30 (18,6 en 2020): mujeres que han dado a luz y han criado a cinco hijos o más hasta la edad de 8 años y han cumplido 50 años, si han acumulado al menos 15 años de servicio con derecho a pensión; las mujeres que han dado a luz y han criado a cuatro hijos hasta la edad de 8 años y han cumplido 56 años, si han acumulado al menos 15 años de servicio con derecho a pensión; las mujeres que han dado a luz y han criado a tres hijos hasta la edad de 8 años y han cumplido 57 años, si han acumulado al menos 15 años de servicio con derecho a pensión; las mujeres que han dado luz a dos o más hijos y han cumplido 50 años, si han acumulado el menos 20 años de servicio con derecho a pensión y han trabajado durante al menos 12 años naturales en el Extremo Norte o durante al menos 17 años naturales en zonas equivalentes.</w:t>
      </w:r>
    </w:p>
    <w:p w14:paraId="6752029F" w14:textId="77777777" w:rsidR="000941D1" w:rsidRPr="005F70B3" w:rsidRDefault="000941D1" w:rsidP="005C4FDD">
      <w:pPr>
        <w:pStyle w:val="SingleTxt"/>
        <w:numPr>
          <w:ilvl w:val="0"/>
          <w:numId w:val="5"/>
        </w:numPr>
        <w:spacing w:line="240" w:lineRule="atLeast"/>
        <w:ind w:left="1267" w:firstLine="0"/>
      </w:pPr>
      <w:r w:rsidRPr="005F70B3">
        <w:lastRenderedPageBreak/>
        <w:t>En virtud del artículo 12, párrafo 1, apartado 3, de la Ley Federal núm. 400-FZ, el período durante el que un progenitor se ocupa de cada hijo hasta la edad de un año y medio, pero no más de seis años en total, computa como equivalente a períodos de trabajo en los años de antigüedad asegurados para determinar el derecho a una pensión del seguro.</w:t>
      </w:r>
    </w:p>
    <w:p w14:paraId="503B711E" w14:textId="77777777" w:rsidR="000941D1" w:rsidRPr="005F70B3" w:rsidRDefault="000941D1" w:rsidP="005C4FDD">
      <w:pPr>
        <w:pStyle w:val="SingleTxt"/>
        <w:numPr>
          <w:ilvl w:val="0"/>
          <w:numId w:val="5"/>
        </w:numPr>
        <w:spacing w:line="240" w:lineRule="atLeast"/>
        <w:ind w:left="1267" w:firstLine="0"/>
      </w:pPr>
      <w:r w:rsidRPr="005F70B3">
        <w:t>El coeficiente para calcular un período de cuidado infantil como período de aportación equivalente a un año natural completo es el siguiente:</w:t>
      </w:r>
    </w:p>
    <w:p w14:paraId="136F6032" w14:textId="77777777" w:rsidR="000941D1" w:rsidRPr="005F70B3" w:rsidRDefault="000941D1" w:rsidP="005C4FDD">
      <w:pPr>
        <w:pStyle w:val="SingleTxt"/>
        <w:tabs>
          <w:tab w:val="right" w:pos="1685"/>
        </w:tabs>
        <w:ind w:left="1742" w:hanging="475"/>
      </w:pPr>
      <w:r w:rsidRPr="005F70B3">
        <w:tab/>
        <w:t>•</w:t>
      </w:r>
      <w:r w:rsidRPr="005F70B3">
        <w:tab/>
        <w:t>1,8 - para un período de cuidado del primer hijo por uno de los progenitores hasta la edad de un año y medio;</w:t>
      </w:r>
    </w:p>
    <w:p w14:paraId="32CA1EE7" w14:textId="77777777" w:rsidR="000941D1" w:rsidRPr="005F70B3" w:rsidRDefault="000941D1" w:rsidP="005C4FDD">
      <w:pPr>
        <w:pStyle w:val="SingleTxt"/>
        <w:tabs>
          <w:tab w:val="right" w:pos="1685"/>
        </w:tabs>
        <w:ind w:left="1742" w:hanging="475"/>
      </w:pPr>
      <w:r w:rsidRPr="005F70B3">
        <w:tab/>
        <w:t>•</w:t>
      </w:r>
      <w:r w:rsidRPr="005F70B3">
        <w:tab/>
        <w:t>3,6 - para un período de cuidado del segundo hijo por uno de los progenitores hasta la edad de un año y medio;</w:t>
      </w:r>
    </w:p>
    <w:p w14:paraId="0F105B5D" w14:textId="77777777" w:rsidR="000941D1" w:rsidRPr="005F70B3" w:rsidRDefault="000941D1" w:rsidP="005C4FDD">
      <w:pPr>
        <w:pStyle w:val="SingleTxt"/>
        <w:tabs>
          <w:tab w:val="right" w:pos="1685"/>
        </w:tabs>
        <w:ind w:left="1742" w:hanging="475"/>
      </w:pPr>
      <w:r w:rsidRPr="005F70B3">
        <w:tab/>
        <w:t>•</w:t>
      </w:r>
      <w:r w:rsidRPr="005F70B3">
        <w:tab/>
        <w:t>5,4 - para un período de cuidado del tercer o el cuarto hijo por uno de los progenitores hasta la edad de un año y medio.</w:t>
      </w:r>
    </w:p>
    <w:p w14:paraId="018DB14A" w14:textId="77777777" w:rsidR="000941D1" w:rsidRPr="005F70B3" w:rsidRDefault="000941D1" w:rsidP="005C4FDD">
      <w:pPr>
        <w:pStyle w:val="SingleTxt"/>
        <w:numPr>
          <w:ilvl w:val="0"/>
          <w:numId w:val="5"/>
        </w:numPr>
        <w:spacing w:line="240" w:lineRule="atLeast"/>
        <w:ind w:left="1267" w:firstLine="0"/>
      </w:pPr>
      <w:r w:rsidRPr="005F70B3">
        <w:t>En consecuencia, las mujeres en la Federación de Rusia están totalmente protegidas por lo que se refiere a la pensión, puesto que la disolución del hogar compartido por los cónyuges, ya sea por divorcio o por fallecimiento del cónyuge, no afecta a su pensión.</w:t>
      </w:r>
    </w:p>
    <w:p w14:paraId="33D727B2" w14:textId="77777777" w:rsidR="000941D1" w:rsidRPr="005F70B3" w:rsidRDefault="000941D1" w:rsidP="00050D5D">
      <w:pPr>
        <w:pStyle w:val="SingleTxt"/>
        <w:numPr>
          <w:ilvl w:val="0"/>
          <w:numId w:val="5"/>
        </w:numPr>
        <w:spacing w:line="240" w:lineRule="atLeast"/>
        <w:ind w:left="1267" w:firstLine="0"/>
      </w:pPr>
      <w:r w:rsidRPr="005F70B3">
        <w:t>En vista de lo anterior, no existen planes para modificar la legislación vigente sobre la equiparación de los derechos de pensión de los cónyuges en caso de divorcio.</w:t>
      </w:r>
    </w:p>
    <w:p w14:paraId="601A99E6" w14:textId="77777777" w:rsidR="000941D1" w:rsidRPr="005F70B3" w:rsidRDefault="000941D1" w:rsidP="00050D5D">
      <w:pPr>
        <w:pStyle w:val="SingleTxt"/>
        <w:numPr>
          <w:ilvl w:val="0"/>
          <w:numId w:val="5"/>
        </w:numPr>
        <w:spacing w:line="240" w:lineRule="atLeast"/>
        <w:ind w:left="1267" w:firstLine="0"/>
      </w:pPr>
      <w:r w:rsidRPr="005F70B3">
        <w:t>En la Federación de Rusia solo se reconoce un matrimonio cuando se formaliza en una oficina del registro civil. Los derechos y las obligaciones de los cónyuges se adquieren en la fecha de registro estatal de un matrimonio en una oficina del registro civil (artículo 10 del Código de Familia).</w:t>
      </w:r>
    </w:p>
    <w:p w14:paraId="778F07C5" w14:textId="77777777" w:rsidR="000941D1" w:rsidRPr="005F70B3" w:rsidRDefault="000941D1" w:rsidP="00050D5D">
      <w:pPr>
        <w:pStyle w:val="SingleTxt"/>
        <w:numPr>
          <w:ilvl w:val="0"/>
          <w:numId w:val="5"/>
        </w:numPr>
        <w:spacing w:line="240" w:lineRule="atLeast"/>
        <w:ind w:left="1267" w:firstLine="0"/>
      </w:pPr>
      <w:r w:rsidRPr="005F70B3">
        <w:t>El artículo 33, parte 1, del Código de Familia establece que el régimen jurídico de los bienes conyugales es el régimen de bienes gananciales. Este régimen jurídico es aplicable salvo que un contrato de matrimonio especifique lo contrario.</w:t>
      </w:r>
    </w:p>
    <w:p w14:paraId="452A18C9" w14:textId="77777777" w:rsidR="000941D1" w:rsidRPr="005F70B3" w:rsidRDefault="000941D1" w:rsidP="00050D5D">
      <w:pPr>
        <w:pStyle w:val="SingleTxt"/>
        <w:numPr>
          <w:ilvl w:val="0"/>
          <w:numId w:val="5"/>
        </w:numPr>
        <w:spacing w:line="240" w:lineRule="atLeast"/>
        <w:ind w:left="1267" w:firstLine="0"/>
      </w:pPr>
      <w:r w:rsidRPr="005F70B3">
        <w:t>De conformidad con el artículo 39, párrafo 1, del Código de Familia, en caso de división de los bienes comunes de los cónyuges y determinación de su participación en dichos bienes, las participaciones se consideran iguales, salvo que un contrato entre los cónyuges especifique lo contrario.</w:t>
      </w:r>
    </w:p>
    <w:p w14:paraId="7B05B98C" w14:textId="77777777" w:rsidR="000941D1" w:rsidRPr="005F70B3" w:rsidRDefault="000941D1" w:rsidP="00050D5D">
      <w:pPr>
        <w:pStyle w:val="SingleTxt"/>
        <w:numPr>
          <w:ilvl w:val="0"/>
          <w:numId w:val="5"/>
        </w:numPr>
        <w:spacing w:line="240" w:lineRule="atLeast"/>
        <w:ind w:left="1267" w:firstLine="0"/>
      </w:pPr>
      <w:r w:rsidRPr="005F70B3">
        <w:t>En el caso de las uniones que no se han registrado (convivencia), si la pareja de hecho desea adquirir los derechos de los cónyuges cuyo matrimonio se ha registrado en una oficina del registro, debe aportar pruebas ante un tribunal de la existencia de la unión. En virtud del artículo 55 del Código de Procedimiento Civil de la Federación de Rusia, los siguientes elementos constituyen pruebas que confirman la existencia de un hogar compartido o una unión civil: declaraciones de testigos, pruebas escritas y materiales, grabaciones de audio y vídeo y dictámenes de expertos.</w:t>
      </w:r>
    </w:p>
    <w:p w14:paraId="25AC2A98" w14:textId="77777777" w:rsidR="000941D1" w:rsidRPr="005F70B3" w:rsidRDefault="000941D1" w:rsidP="00050D5D">
      <w:pPr>
        <w:pStyle w:val="SingleTxt"/>
        <w:numPr>
          <w:ilvl w:val="0"/>
          <w:numId w:val="5"/>
        </w:numPr>
        <w:spacing w:line="240" w:lineRule="atLeast"/>
        <w:ind w:left="1267" w:firstLine="0"/>
      </w:pPr>
      <w:r w:rsidRPr="005F70B3">
        <w:t>En caso de separación de los progenitores, el lugar de residencia del niño se determina por acuerdo entre ellos. Si no existe dicho acuerdo, el tribunal resolverá la controversia entre los progenitores sobre la base del interés superior del niño y teniendo en cuenta su opinión. El tribunal tiene en cuenta el apego del niño a cada progenitor y a los hermanos y hermanas, la edad del niño, las cualidades morales y otras cualidades personales de los progenitores, la relación existente entre cada progenitor y el niño y si las condiciones de vida son adecuadas para la crianza y el desarrollo del niño (tipo de empleo, horas de trabajo de los progenitores, situación financiera y familiar de cada uno de ellos, etc.). Si los progenitores se han separado, el niño tiene derecho a comunicarse con ambos.</w:t>
      </w:r>
    </w:p>
    <w:p w14:paraId="58EAD113" w14:textId="77777777" w:rsidR="000941D1" w:rsidRPr="005F70B3" w:rsidRDefault="000941D1" w:rsidP="00050D5D">
      <w:pPr>
        <w:pStyle w:val="SingleTxt"/>
        <w:numPr>
          <w:ilvl w:val="0"/>
          <w:numId w:val="5"/>
        </w:numPr>
        <w:spacing w:line="240" w:lineRule="atLeast"/>
        <w:ind w:left="1267" w:firstLine="0"/>
      </w:pPr>
      <w:r w:rsidRPr="005F70B3">
        <w:t>Las disposiciones del Código de Familia son válidas en todo el territorio de la Federación de Rusia.</w:t>
      </w:r>
    </w:p>
    <w:p w14:paraId="4363A729" w14:textId="686664BD" w:rsidR="000941D1" w:rsidRPr="005F70B3" w:rsidRDefault="000941D1" w:rsidP="00050D5D">
      <w:pPr>
        <w:pStyle w:val="SingleTxt"/>
        <w:keepLines/>
        <w:numPr>
          <w:ilvl w:val="0"/>
          <w:numId w:val="5"/>
        </w:numPr>
        <w:spacing w:line="240" w:lineRule="atLeast"/>
        <w:ind w:left="1267" w:firstLine="0"/>
      </w:pPr>
      <w:r w:rsidRPr="005F70B3">
        <w:lastRenderedPageBreak/>
        <w:t>En 2018 se introdujeron modificaciones en el Código de Familia de Rusia, conforme a las cuales el importe de la multa por retraso en el pago de la pensión alimenticia se redujo del 0,5</w:t>
      </w:r>
      <w:r w:rsidR="00B26819">
        <w:t> %</w:t>
      </w:r>
      <w:r w:rsidRPr="005F70B3">
        <w:t xml:space="preserve"> al 0,1</w:t>
      </w:r>
      <w:r w:rsidR="00B26819">
        <w:t> %</w:t>
      </w:r>
      <w:r w:rsidRPr="005F70B3">
        <w:t xml:space="preserve"> de la cuantía de la pensión alimenticia no pagada por cada día de retraso. El Código sigue conteniendo una disposición que establece la posibilidad de eximir totalmente del pago de las multas debidas o reducir la cuantía de los atrasos en la pensión alimenticia. Sin embargo, debe ser acordado por las partes y no se aplica al pago de la pensión alimenticia para niños menores.</w:t>
      </w:r>
    </w:p>
    <w:p w14:paraId="6110A0E4" w14:textId="77777777" w:rsidR="000941D1" w:rsidRPr="005F70B3" w:rsidRDefault="000941D1" w:rsidP="00050D5D">
      <w:pPr>
        <w:pStyle w:val="SingleTxt"/>
        <w:numPr>
          <w:ilvl w:val="0"/>
          <w:numId w:val="5"/>
        </w:numPr>
        <w:spacing w:line="240" w:lineRule="atLeast"/>
        <w:ind w:left="1267" w:firstLine="0"/>
      </w:pPr>
      <w:r w:rsidRPr="005F70B3">
        <w:t>La sanción por retraso en el pago de la pensión alimenticia se aplica a través de una decisión judicial.</w:t>
      </w:r>
    </w:p>
    <w:p w14:paraId="55F9323A" w14:textId="77777777" w:rsidR="000941D1" w:rsidRPr="005F70B3" w:rsidRDefault="000941D1" w:rsidP="00050D5D">
      <w:pPr>
        <w:pStyle w:val="SingleTxt"/>
        <w:numPr>
          <w:ilvl w:val="0"/>
          <w:numId w:val="5"/>
        </w:numPr>
        <w:spacing w:line="240" w:lineRule="atLeast"/>
        <w:ind w:left="1267" w:firstLine="0"/>
      </w:pPr>
      <w:r w:rsidRPr="005F70B3">
        <w:t>Las modificaciones introducidas incluyen una disposición conforme a la cual, a discreción del tribunal, puede reducirse la cuantía de la sanción, teniendo en cuenta la situación financiera o familiar del deudor y también si la sanción que debe pagarse es claramente desproporcionada en relación con la repercusión del incumplimiento de la obligación de pago de la pensión alimenticia.</w:t>
      </w:r>
    </w:p>
    <w:p w14:paraId="5408CE62" w14:textId="77777777" w:rsidR="000941D1" w:rsidRPr="005F70B3" w:rsidRDefault="000941D1" w:rsidP="00050D5D">
      <w:pPr>
        <w:pStyle w:val="SingleTxt"/>
        <w:numPr>
          <w:ilvl w:val="0"/>
          <w:numId w:val="5"/>
        </w:numPr>
        <w:spacing w:line="240" w:lineRule="atLeast"/>
        <w:ind w:left="1267" w:firstLine="0"/>
      </w:pPr>
      <w:r w:rsidRPr="005F70B3">
        <w:t>Esta disposición está diseñada para proteger los derechos de los miembros de la familia que sufren dificultades en los casos en los que el deudor tiene dificultades materiales, sobre la base de una decisión judicial que tiene en cuenta todas las circunstancias.</w:t>
      </w:r>
    </w:p>
    <w:p w14:paraId="70E27458" w14:textId="77777777" w:rsidR="000941D1" w:rsidRPr="005F70B3" w:rsidRDefault="000941D1" w:rsidP="000941D1">
      <w:pPr>
        <w:pStyle w:val="SingleTxt"/>
        <w:spacing w:after="0" w:line="120" w:lineRule="exact"/>
        <w:rPr>
          <w:sz w:val="10"/>
        </w:rPr>
      </w:pPr>
    </w:p>
    <w:p w14:paraId="3A963FA4" w14:textId="77777777" w:rsidR="000941D1" w:rsidRPr="005F70B3" w:rsidRDefault="000941D1" w:rsidP="000941D1">
      <w:pPr>
        <w:pStyle w:val="SingleTxt"/>
        <w:spacing w:after="0" w:line="120" w:lineRule="exact"/>
        <w:rPr>
          <w:sz w:val="10"/>
        </w:rPr>
      </w:pPr>
    </w:p>
    <w:p w14:paraId="3114512B" w14:textId="77777777" w:rsidR="000941D1" w:rsidRPr="005F70B3" w:rsidRDefault="000941D1" w:rsidP="0082475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5F70B3">
        <w:tab/>
      </w:r>
      <w:r w:rsidRPr="005F70B3">
        <w:tab/>
        <w:t>Efectos de la pandemia en los derechos de la mujer y la igualdad de género</w:t>
      </w:r>
    </w:p>
    <w:p w14:paraId="737AA93F" w14:textId="77777777" w:rsidR="000941D1" w:rsidRPr="005F70B3" w:rsidRDefault="000941D1" w:rsidP="000941D1">
      <w:pPr>
        <w:pStyle w:val="SingleTxt"/>
        <w:keepNext/>
        <w:keepLines/>
        <w:spacing w:after="0" w:line="120" w:lineRule="exact"/>
        <w:rPr>
          <w:sz w:val="10"/>
        </w:rPr>
      </w:pPr>
    </w:p>
    <w:p w14:paraId="43BBD2CB" w14:textId="77777777" w:rsidR="000941D1" w:rsidRPr="005F70B3" w:rsidRDefault="000941D1" w:rsidP="000941D1">
      <w:pPr>
        <w:pStyle w:val="SingleTxt"/>
        <w:keepNext/>
        <w:keepLines/>
        <w:spacing w:after="0" w:line="120" w:lineRule="exact"/>
        <w:rPr>
          <w:sz w:val="10"/>
        </w:rPr>
      </w:pPr>
    </w:p>
    <w:p w14:paraId="179287CC" w14:textId="77777777" w:rsidR="000941D1" w:rsidRPr="005F70B3" w:rsidRDefault="000941D1" w:rsidP="005C4F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70B3">
        <w:tab/>
      </w:r>
      <w:r w:rsidRPr="005F70B3">
        <w:tab/>
        <w:t>Pregunta 23</w:t>
      </w:r>
    </w:p>
    <w:p w14:paraId="6B704C9D" w14:textId="77777777" w:rsidR="000941D1" w:rsidRPr="005F70B3" w:rsidRDefault="000941D1" w:rsidP="000941D1">
      <w:pPr>
        <w:pStyle w:val="SingleTxt"/>
        <w:keepNext/>
        <w:keepLines/>
        <w:spacing w:after="0" w:line="120" w:lineRule="exact"/>
        <w:rPr>
          <w:sz w:val="10"/>
        </w:rPr>
      </w:pPr>
    </w:p>
    <w:p w14:paraId="4E380305" w14:textId="77777777" w:rsidR="000941D1" w:rsidRPr="005F70B3" w:rsidRDefault="000941D1" w:rsidP="000941D1">
      <w:pPr>
        <w:pStyle w:val="SingleTxt"/>
        <w:keepNext/>
        <w:keepLines/>
        <w:spacing w:after="0" w:line="120" w:lineRule="exact"/>
        <w:rPr>
          <w:sz w:val="10"/>
        </w:rPr>
      </w:pPr>
    </w:p>
    <w:p w14:paraId="55D8A484" w14:textId="77777777" w:rsidR="000941D1" w:rsidRPr="005F70B3" w:rsidRDefault="000941D1" w:rsidP="00050D5D">
      <w:pPr>
        <w:pStyle w:val="SingleTxt"/>
        <w:numPr>
          <w:ilvl w:val="0"/>
          <w:numId w:val="5"/>
        </w:numPr>
        <w:spacing w:line="240" w:lineRule="atLeast"/>
        <w:ind w:left="1267" w:firstLine="0"/>
      </w:pPr>
      <w:r w:rsidRPr="005F70B3">
        <w:t>En 2020, con el fin de atenuar el impacto socioeconómico de la pandemia de enfermedad por coronavirus (COVID-19), se estableció un paquete de medidas adicionales a nivel federal para beneficiar a las familias con hijos a través de apoyo a los ingresos y apoyo a los miembros de las familias que habían perdido su trabajo.</w:t>
      </w:r>
    </w:p>
    <w:p w14:paraId="732C43A7" w14:textId="77777777" w:rsidR="000941D1" w:rsidRPr="005F70B3" w:rsidRDefault="000941D1" w:rsidP="00050D5D">
      <w:pPr>
        <w:pStyle w:val="SingleTxt"/>
        <w:numPr>
          <w:ilvl w:val="0"/>
          <w:numId w:val="5"/>
        </w:numPr>
        <w:spacing w:line="240" w:lineRule="atLeast"/>
        <w:ind w:left="1267" w:firstLine="0"/>
      </w:pPr>
      <w:r w:rsidRPr="005F70B3">
        <w:t>Se han establecido pagos mensuales de 5.000 rublos por cada hijo menor de tres años que sea ciudadano de la Federación de Rusia:</w:t>
      </w:r>
    </w:p>
    <w:p w14:paraId="042C467F" w14:textId="77777777" w:rsidR="000941D1" w:rsidRPr="005F70B3" w:rsidRDefault="000941D1" w:rsidP="000941D1">
      <w:pPr>
        <w:pStyle w:val="SingleTxt"/>
        <w:tabs>
          <w:tab w:val="right" w:pos="1685"/>
        </w:tabs>
        <w:ind w:left="1742" w:hanging="475"/>
      </w:pPr>
      <w:r w:rsidRPr="005F70B3">
        <w:tab/>
        <w:t>•</w:t>
      </w:r>
      <w:r w:rsidRPr="005F70B3">
        <w:tab/>
        <w:t>Para los ciudadanos residentes en la Federación de Rusia que tengan derecho a prestaciones estatales en forma de pagos de fondos de capital de maternidad (familiar) con arreglo a la Ley Federal núm. 256-FZ de 29 de diciembre de 2006 sobre medidas adicionales de ayuda estatal para familias con hijos, esto se aplica desde el 1 de julio de 2020 (Decreto Presidencial núm. 249 de 7 de abril de 2020).</w:t>
      </w:r>
    </w:p>
    <w:p w14:paraId="31992E1C" w14:textId="77777777" w:rsidR="000941D1" w:rsidRPr="005F70B3" w:rsidRDefault="000941D1" w:rsidP="000941D1">
      <w:pPr>
        <w:pStyle w:val="SingleTxt"/>
        <w:tabs>
          <w:tab w:val="right" w:pos="1685"/>
        </w:tabs>
        <w:ind w:left="1742" w:hanging="475"/>
      </w:pPr>
      <w:r w:rsidRPr="005F70B3">
        <w:tab/>
        <w:t>•</w:t>
      </w:r>
      <w:r w:rsidRPr="005F70B3">
        <w:tab/>
        <w:t>Para los ciudadanos residentes en la Federación de Rusia cuyo primer hijo nació o fue adoptado entre el 1 de abril de 2017 y el 1 de enero de 2020 (Decreto Presidencial núm. 317 de 11 de mayo de 2020).</w:t>
      </w:r>
    </w:p>
    <w:p w14:paraId="5C8AB5F2" w14:textId="77777777" w:rsidR="000941D1" w:rsidRPr="005F70B3" w:rsidRDefault="000941D1" w:rsidP="00050D5D">
      <w:pPr>
        <w:pStyle w:val="SingleTxt"/>
        <w:numPr>
          <w:ilvl w:val="0"/>
          <w:numId w:val="5"/>
        </w:numPr>
        <w:spacing w:line="240" w:lineRule="atLeast"/>
        <w:ind w:left="1267" w:firstLine="0"/>
      </w:pPr>
      <w:r w:rsidRPr="005F70B3">
        <w:t>Estos pagos se efectuaron entre abril y junio de 2020.</w:t>
      </w:r>
    </w:p>
    <w:p w14:paraId="5072F395" w14:textId="77777777" w:rsidR="000941D1" w:rsidRPr="005F70B3" w:rsidRDefault="000941D1" w:rsidP="00050D5D">
      <w:pPr>
        <w:pStyle w:val="SingleTxt"/>
        <w:numPr>
          <w:ilvl w:val="0"/>
          <w:numId w:val="5"/>
        </w:numPr>
        <w:spacing w:line="240" w:lineRule="atLeast"/>
        <w:ind w:left="1267" w:firstLine="0"/>
      </w:pPr>
      <w:r w:rsidRPr="005F70B3">
        <w:t>Se ha establecido un pago de una suma fija de 10.000 rublos:</w:t>
      </w:r>
    </w:p>
    <w:p w14:paraId="64F77FD5" w14:textId="77777777" w:rsidR="000941D1" w:rsidRPr="005F70B3" w:rsidRDefault="000941D1" w:rsidP="000941D1">
      <w:pPr>
        <w:pStyle w:val="SingleTxt"/>
        <w:tabs>
          <w:tab w:val="right" w:pos="1685"/>
        </w:tabs>
        <w:ind w:left="1742" w:hanging="475"/>
      </w:pPr>
      <w:r w:rsidRPr="005F70B3">
        <w:tab/>
        <w:t>•</w:t>
      </w:r>
      <w:r w:rsidRPr="005F70B3">
        <w:tab/>
        <w:t>Para los ciudadanos de la Federación de Rusia residentes en el territorio de la Federación, por cada hijo de entre 3 y 16 años (Decreto Presidencial núm. 317 de 11 de mayo de 2020);</w:t>
      </w:r>
    </w:p>
    <w:p w14:paraId="05EFED04" w14:textId="77777777" w:rsidR="000941D1" w:rsidRPr="005F70B3" w:rsidRDefault="000941D1" w:rsidP="000941D1">
      <w:pPr>
        <w:pStyle w:val="SingleTxt"/>
        <w:keepLines/>
        <w:tabs>
          <w:tab w:val="right" w:pos="1685"/>
        </w:tabs>
        <w:ind w:left="1742" w:hanging="475"/>
      </w:pPr>
      <w:r w:rsidRPr="005F70B3">
        <w:tab/>
        <w:t>•</w:t>
      </w:r>
      <w:r w:rsidRPr="005F70B3">
        <w:tab/>
        <w:t>Para los ciudadanos de la Federación de Rusia residentes en el territorio de la Federación que sean padres, padres adoptivos, cuidadores o tutores de niños menores de 16 años que sean ciudadanos de la Federación de Rusia, por cada hijo (Decreto Presidencial núm. 412 de 23 de junio de 2020).</w:t>
      </w:r>
    </w:p>
    <w:p w14:paraId="606475BD" w14:textId="77777777" w:rsidR="000941D1" w:rsidRPr="005F70B3" w:rsidRDefault="000941D1" w:rsidP="00050D5D">
      <w:pPr>
        <w:pStyle w:val="SingleTxt"/>
        <w:numPr>
          <w:ilvl w:val="0"/>
          <w:numId w:val="5"/>
        </w:numPr>
        <w:spacing w:line="240" w:lineRule="atLeast"/>
        <w:ind w:left="1267" w:firstLine="0"/>
      </w:pPr>
      <w:r w:rsidRPr="005F70B3">
        <w:lastRenderedPageBreak/>
        <w:t>Con arreglo a la Decisión núm. 346 del Gobierno de la Federación de Rusia de 27 de marzo de 2020 sobre los niveles mínimo y máximo de prestación de desempleo para 2020, los niveles mínimo y máximo de la prestación de desempleo se fijan en 1.500 y 12.130 rublos, respectivamente, para los ciudadanos reconocidos como desempleados de conformidad con el procedimiento establecido. Para el período comprendido entre mayo y agosto de 2020, la prestación mínima de desempleo se fija en 4.500 rublos. A partir del 1 de marzo de 2020, la prestación de desempleo se fija en 12.130 rublos para los ciudadanos que han sido despedidos y declarados desempleados de conformidad con el procedimiento establecido, excepto los ciudadanos despedidos por incumplimiento de las normativas laborales u otra conducta indebida.</w:t>
      </w:r>
    </w:p>
    <w:p w14:paraId="0905B1D9" w14:textId="77777777" w:rsidR="000941D1" w:rsidRPr="005F70B3" w:rsidRDefault="000941D1" w:rsidP="00050D5D">
      <w:pPr>
        <w:pStyle w:val="SingleTxt"/>
        <w:numPr>
          <w:ilvl w:val="0"/>
          <w:numId w:val="5"/>
        </w:numPr>
        <w:spacing w:line="240" w:lineRule="atLeast"/>
        <w:ind w:left="1267" w:firstLine="0"/>
      </w:pPr>
      <w:r w:rsidRPr="005F70B3">
        <w:t>Con arreglo a la Decisión del Gobierno núm. 485 de 12 de abril de 2020, los ciudadanos que han sido despedidos y declarados desempleados de conformidad con el procedimiento establecido a partir del 1 de marzo de 2020 y que tengan hijos menores de 18 años tienen derecho a un aumento de la cuantía de la prestación de desempleo en proporción al número de hijos a razón de 3.000 rublos por cada hijo para cada uno de los progenitores, padres de acogida o padres adoptivos o para un cuidador (tutor).</w:t>
      </w:r>
    </w:p>
    <w:p w14:paraId="3A8491AC" w14:textId="77777777" w:rsidR="000941D1" w:rsidRPr="005F70B3" w:rsidRDefault="000941D1" w:rsidP="00050D5D">
      <w:pPr>
        <w:pStyle w:val="SingleTxt"/>
        <w:numPr>
          <w:ilvl w:val="0"/>
          <w:numId w:val="5"/>
        </w:numPr>
        <w:spacing w:line="240" w:lineRule="atLeast"/>
        <w:ind w:left="1267" w:firstLine="0"/>
      </w:pPr>
      <w:r w:rsidRPr="005F70B3">
        <w:t>Además de las medidas inmediatas adoptadas para apoyar a las familias con hijos durante la propagación de la enfermedad por coronavirus (COVID-19), el Gobierno de la Federación de Rusia ha adoptado otras medidas en 2020 para fomentar el bienestar de las familias con hijos.</w:t>
      </w:r>
    </w:p>
    <w:p w14:paraId="0AD54409" w14:textId="77777777" w:rsidR="000941D1" w:rsidRPr="005F70B3" w:rsidRDefault="000941D1" w:rsidP="00050D5D">
      <w:pPr>
        <w:pStyle w:val="SingleTxt"/>
        <w:numPr>
          <w:ilvl w:val="0"/>
          <w:numId w:val="5"/>
        </w:numPr>
        <w:spacing w:line="240" w:lineRule="atLeast"/>
        <w:ind w:left="1267" w:firstLine="0"/>
      </w:pPr>
      <w:r w:rsidRPr="005F70B3">
        <w:t>El 1 de enero de 2020 se modificaron los criterios para la asignación de un pago mensual por el primer y el segundo hijo en la cuantía del ingreso mínimo de subsistencia infantil, en virtud de la Ley Federal núm. 418-FZ de 28 de diciembre de 2017 sobre los pagos mensuales a familias con hijos.</w:t>
      </w:r>
    </w:p>
    <w:p w14:paraId="329FCADD" w14:textId="77777777" w:rsidR="000941D1" w:rsidRPr="005F70B3" w:rsidRDefault="000941D1" w:rsidP="005C4FDD">
      <w:pPr>
        <w:pStyle w:val="SingleTxt"/>
        <w:numPr>
          <w:ilvl w:val="0"/>
          <w:numId w:val="5"/>
        </w:numPr>
        <w:spacing w:line="240" w:lineRule="atLeast"/>
        <w:ind w:left="1267" w:firstLine="0"/>
      </w:pPr>
      <w:r w:rsidRPr="005F70B3">
        <w:t>Las familias cuya renta media per cápita no supere el doble del nivel mínimo de subsistencia de la población en edad de trabajar (anteriormente, 1,5 veces el nivel mínimo de subsistencia), establecido en la entidad constitutiva pertinente de la Federación de Rusia, tienen derecho a estas prestaciones. Se efectúan pagos a los ciudadanos hasta que el niño cumple los tres años de edad (anteriormente, un año y medio de edad).</w:t>
      </w:r>
    </w:p>
    <w:p w14:paraId="37363F9A" w14:textId="3B338BE4" w:rsidR="000941D1" w:rsidRPr="005F70B3" w:rsidRDefault="000941D1" w:rsidP="005C4FDD">
      <w:pPr>
        <w:pStyle w:val="SingleTxt"/>
        <w:numPr>
          <w:ilvl w:val="0"/>
          <w:numId w:val="5"/>
        </w:numPr>
        <w:spacing w:line="240" w:lineRule="atLeast"/>
        <w:ind w:left="1264" w:right="1264" w:firstLine="0"/>
      </w:pPr>
      <w:r w:rsidRPr="005F70B3">
        <w:t>Desde el 1 de enero de 2020 se realiza un pago mensual de efectivo para niños de entre 3 y 7 años de edad, consistente en el 50</w:t>
      </w:r>
      <w:r w:rsidR="000D07DB">
        <w:t> </w:t>
      </w:r>
      <w:r w:rsidR="00B26819">
        <w:t>%</w:t>
      </w:r>
      <w:r w:rsidRPr="005F70B3">
        <w:t xml:space="preserve"> del nivel mínimo de subsistencia establecido en la entidad constitutiva (Decreto Presidencial núm. 199 de 20 de marzo de 2020 sobre medidas adicionales de ayuda estatal para familias con hijos).</w:t>
      </w:r>
    </w:p>
    <w:p w14:paraId="3732BD14" w14:textId="77777777" w:rsidR="000941D1" w:rsidRPr="005F70B3" w:rsidRDefault="000941D1" w:rsidP="005C4FDD">
      <w:pPr>
        <w:pStyle w:val="SingleTxt"/>
        <w:numPr>
          <w:ilvl w:val="0"/>
          <w:numId w:val="5"/>
        </w:numPr>
        <w:spacing w:line="240" w:lineRule="atLeast"/>
        <w:ind w:left="1264" w:right="1264" w:firstLine="0"/>
      </w:pPr>
      <w:r w:rsidRPr="005F70B3">
        <w:t>Con efectos a partir del 1 de junio de 2020, se duplicó hasta los 6.572 rublos la prestación mensual para cuidado infantil del primer hijo para ciudadanos desempleados y la prestación mínima para cuidado infantil del primer hijo para ciudadanos que trabajan.</w:t>
      </w:r>
    </w:p>
    <w:p w14:paraId="308C82B5" w14:textId="77777777" w:rsidR="000941D1" w:rsidRPr="005F70B3" w:rsidRDefault="000941D1" w:rsidP="005C4FDD">
      <w:pPr>
        <w:pStyle w:val="SingleTxt"/>
        <w:numPr>
          <w:ilvl w:val="0"/>
          <w:numId w:val="5"/>
        </w:numPr>
        <w:spacing w:line="240" w:lineRule="atLeast"/>
        <w:ind w:left="1267" w:firstLine="0"/>
      </w:pPr>
      <w:r w:rsidRPr="005F70B3">
        <w:t>El programa de fondos de capital de maternidad (familiar) se amplió hasta el 31 de diciembre de 2026. Las condiciones para el pago de prestaciones del fondo de maternidad (familiar) se han modificado. Desde el 1 de enero de 2020 se concede a las familias el derecho a prestaciones del fondo de maternidad (familiar) por un importe de 466.000 rublos por el nacimiento del primer hijo. Desde la misma fecha, la cuantía de la prestación del fondo de maternidad (familiar) por el nacimiento del segundo hijo y siguientes se aumentó a 616.000 rublos.</w:t>
      </w:r>
    </w:p>
    <w:p w14:paraId="197F1673" w14:textId="77777777" w:rsidR="000941D1" w:rsidRPr="005F70B3" w:rsidRDefault="000941D1" w:rsidP="005C4FDD">
      <w:pPr>
        <w:pStyle w:val="SingleTxt"/>
        <w:numPr>
          <w:ilvl w:val="0"/>
          <w:numId w:val="5"/>
        </w:numPr>
        <w:spacing w:line="240" w:lineRule="atLeast"/>
        <w:ind w:left="1267" w:firstLine="0"/>
      </w:pPr>
      <w:r w:rsidRPr="005F70B3">
        <w:t>Con respecto a la propagación de la COVID-19, muchas empresas han transferido a sus empleados al teletrabajo.</w:t>
      </w:r>
    </w:p>
    <w:p w14:paraId="3B8CF233" w14:textId="29514B48" w:rsidR="000941D1" w:rsidRPr="005F70B3" w:rsidRDefault="000941D1" w:rsidP="00050D5D">
      <w:pPr>
        <w:pStyle w:val="SingleTxt"/>
        <w:numPr>
          <w:ilvl w:val="0"/>
          <w:numId w:val="5"/>
        </w:numPr>
        <w:spacing w:line="240" w:lineRule="atLeast"/>
        <w:ind w:left="1267" w:firstLine="0"/>
      </w:pPr>
      <w:r w:rsidRPr="005F70B3">
        <w:lastRenderedPageBreak/>
        <w:t xml:space="preserve">Con el fin de orientar a las entidades constitutivas de la Federación de Rusia, el Ministerio de Trabajo </w:t>
      </w:r>
      <w:r w:rsidR="00676EA8">
        <w:t xml:space="preserve">y Protección Social </w:t>
      </w:r>
      <w:r w:rsidRPr="005F70B3">
        <w:t>ha enviado una aclaración de las normativas laborales vigentes sobre el uso de formas flexibles de empleo, incluido el teletrabajo, para evitar la propagación de la COVID-19.</w:t>
      </w:r>
    </w:p>
    <w:p w14:paraId="29345FC0" w14:textId="77777777" w:rsidR="000941D1" w:rsidRPr="005F70B3" w:rsidRDefault="000941D1" w:rsidP="00050D5D">
      <w:pPr>
        <w:pStyle w:val="SingleTxt"/>
        <w:numPr>
          <w:ilvl w:val="0"/>
          <w:numId w:val="5"/>
        </w:numPr>
        <w:spacing w:line="240" w:lineRule="atLeast"/>
        <w:ind w:left="1267" w:firstLine="0"/>
      </w:pPr>
      <w:r w:rsidRPr="005F70B3">
        <w:t>A fin de mejorar las disposiciones de la legislación laboral sobre las formas flexibles de empleo y el uso de la tecnología de la información y las comunicaciones en las relaciones laborales, el 21 de julio de 2020, la Duma Estatal aprobó en primera lectura la Ley Federal núm. 973264-7 sobre las modificaciones del Código del Trabajo de la Federación de Rusia relativas a la regulación del trabajo a distancia y remoto.</w:t>
      </w:r>
    </w:p>
    <w:p w14:paraId="594A1EB1" w14:textId="77777777" w:rsidR="000941D1" w:rsidRPr="005F70B3" w:rsidRDefault="000941D1" w:rsidP="00050D5D">
      <w:pPr>
        <w:pStyle w:val="SingleTxt"/>
        <w:numPr>
          <w:ilvl w:val="0"/>
          <w:numId w:val="5"/>
        </w:numPr>
        <w:spacing w:line="240" w:lineRule="atLeast"/>
        <w:ind w:left="1267" w:firstLine="0"/>
      </w:pPr>
      <w:r w:rsidRPr="005F70B3">
        <w:t>Para proteger la vida y la salud de los trabajadores sanitarios, incluidas las mujeres, que constituyen la mayoría de los trabajadores del sector sanitario, el Decreto Presidencial núm. 313 de 6 de mayo de 2020 (en adelante el Decreto núm. 313) concedió prestaciones del seguro complementarias a determinadas categorías de trabajadores sanitarios.</w:t>
      </w:r>
    </w:p>
    <w:p w14:paraId="0B885341" w14:textId="77777777" w:rsidR="000941D1" w:rsidRPr="005F70B3" w:rsidRDefault="000941D1" w:rsidP="00050D5D">
      <w:pPr>
        <w:pStyle w:val="SingleTxt"/>
        <w:numPr>
          <w:ilvl w:val="0"/>
          <w:numId w:val="5"/>
        </w:numPr>
        <w:spacing w:line="240" w:lineRule="atLeast"/>
        <w:ind w:left="1267" w:firstLine="0"/>
      </w:pPr>
      <w:r w:rsidRPr="005F70B3">
        <w:t>Los médicos y el personal paramédico y de enfermería de las organizaciones médicas y los conductores de ambulancia que trabajan directamente con pacientes que sean casos confirmados de COVID-19 y presuntos casos de infección (en adelante el personal médico) reciben prestaciones del seguro complementarias en forma de pago de una suma fija.</w:t>
      </w:r>
    </w:p>
    <w:p w14:paraId="07EEAE1F" w14:textId="77777777" w:rsidR="000941D1" w:rsidRPr="005F70B3" w:rsidRDefault="000941D1" w:rsidP="00050D5D">
      <w:pPr>
        <w:pStyle w:val="SingleTxt"/>
        <w:numPr>
          <w:ilvl w:val="0"/>
          <w:numId w:val="5"/>
        </w:numPr>
        <w:spacing w:line="240" w:lineRule="atLeast"/>
        <w:ind w:left="1267" w:firstLine="0"/>
      </w:pPr>
      <w:r w:rsidRPr="005F70B3">
        <w:t>Se han definido los siguientes sucesos asegurados en los que se realiza el pago del seguro como suma fija:</w:t>
      </w:r>
    </w:p>
    <w:p w14:paraId="6A9A9601" w14:textId="77777777" w:rsidR="000941D1" w:rsidRPr="005F70B3" w:rsidRDefault="000941D1" w:rsidP="000941D1">
      <w:pPr>
        <w:pStyle w:val="SingleTxt"/>
        <w:tabs>
          <w:tab w:val="right" w:pos="1685"/>
        </w:tabs>
        <w:ind w:left="1742" w:hanging="475"/>
      </w:pPr>
      <w:r w:rsidRPr="005F70B3">
        <w:tab/>
        <w:t>•</w:t>
      </w:r>
      <w:r w:rsidRPr="005F70B3">
        <w:tab/>
        <w:t>La muerte de un trabajador sanitario como consecuencia de la infección por COVID-19 contraída durante el ejercicio de sus funciones profesionales.</w:t>
      </w:r>
    </w:p>
    <w:p w14:paraId="47798DCA" w14:textId="77777777" w:rsidR="000941D1" w:rsidRPr="005F70B3" w:rsidRDefault="000941D1" w:rsidP="000941D1">
      <w:pPr>
        <w:pStyle w:val="SingleTxt"/>
        <w:tabs>
          <w:tab w:val="right" w:pos="1685"/>
        </w:tabs>
        <w:ind w:left="1742" w:hanging="475"/>
      </w:pPr>
      <w:r w:rsidRPr="005F70B3">
        <w:tab/>
        <w:t>•</w:t>
      </w:r>
      <w:r w:rsidRPr="005F70B3">
        <w:tab/>
        <w:t>El daño causado a la salud de un trabajador sanitario en relación con el desarrollo de una enfermedad (síndrome) contraída durante el ejercicio de sus funciones profesionales o como consecuencia de las complicaciones de una enfermedad causada por la COVID-19 confirmado por pruebas de laboratorio (o, si no pueden realizarse pruebas de laboratorio, por la decisión de una comisión médica sobre la base de los resultados de una tomografía computarizada de los pulmones), que provocase una incapacidad temporal para trabajar pero no una discapacidad. La lista de estas enfermedades (síndromes) y complicaciones está aprobada por el Gobierno de la Federación de Rusia.</w:t>
      </w:r>
    </w:p>
    <w:p w14:paraId="1D4147AA" w14:textId="77777777" w:rsidR="000941D1" w:rsidRPr="005F70B3" w:rsidRDefault="000941D1" w:rsidP="000941D1">
      <w:pPr>
        <w:pStyle w:val="SingleTxt"/>
        <w:tabs>
          <w:tab w:val="right" w:pos="1685"/>
        </w:tabs>
        <w:ind w:left="1742" w:hanging="475"/>
      </w:pPr>
      <w:r w:rsidRPr="005F70B3">
        <w:tab/>
        <w:t>•</w:t>
      </w:r>
      <w:r w:rsidRPr="005F70B3">
        <w:tab/>
        <w:t>La pérdida permanente de la capacidad de trabajar establecida de conformidad con la legislación rusa como consecuencia del desarrollo de complicaciones de una enfermedad causada por la COVID-19 confirmado por pruebas de laboratorio (o, si no pueden realizarse pruebas de laboratorio, por la decisión de una comisión médica sobre la base de los resultados de una tomografía computarizada de los pulmones), si la enfermedad se produjo durante el ejercicio de las funciones profesionales del trabajador sanitario.</w:t>
      </w:r>
    </w:p>
    <w:p w14:paraId="6C6710F5" w14:textId="77777777" w:rsidR="000941D1" w:rsidRPr="005F70B3" w:rsidRDefault="000941D1" w:rsidP="00050D5D">
      <w:pPr>
        <w:pStyle w:val="SingleTxt"/>
        <w:numPr>
          <w:ilvl w:val="0"/>
          <w:numId w:val="5"/>
        </w:numPr>
        <w:spacing w:line="240" w:lineRule="atLeast"/>
        <w:ind w:left="1267" w:firstLine="0"/>
      </w:pPr>
      <w:r w:rsidRPr="005F70B3">
        <w:t>El pago del seguro como suma fija se efectúa además de los pagos previstos en la Ley Federal núm. 125 de 24 de julio de 1998 sobre el seguro social obligatorio contra accidentes industriales y enfermedades profesionales.</w:t>
      </w:r>
    </w:p>
    <w:p w14:paraId="49027CCA" w14:textId="77777777" w:rsidR="000941D1" w:rsidRPr="005F70B3" w:rsidRDefault="000941D1" w:rsidP="00050D5D">
      <w:pPr>
        <w:pStyle w:val="SingleTxt"/>
        <w:numPr>
          <w:ilvl w:val="0"/>
          <w:numId w:val="5"/>
        </w:numPr>
        <w:spacing w:line="240" w:lineRule="atLeast"/>
        <w:ind w:left="1267" w:firstLine="0"/>
      </w:pPr>
      <w:r w:rsidRPr="005F70B3">
        <w:t>En virtud del Decreto núm. 313, se ha aprobado una normativa temporal para la investigación de casos del seguro relacionados con el daño a la salud de un trabajador sanitario debido al desarrollo de una enfermedad (síndrome) contraída durante el ejercicio de sus funciones profesionales o debido a las complicaciones derivadas de un caso de COVID-19 confirmado por pruebas de laboratorio que den lugar a una incapacidad temporal para trabajar pero no a una discapacidad (Decisión del Gobierno núm. 695 de 16 de mayo de 2020).</w:t>
      </w:r>
    </w:p>
    <w:p w14:paraId="7F7A3FE6" w14:textId="4F20E31D" w:rsidR="000941D1" w:rsidRPr="005F70B3" w:rsidRDefault="000941D1" w:rsidP="00050D5D">
      <w:pPr>
        <w:pStyle w:val="SingleTxt"/>
        <w:numPr>
          <w:ilvl w:val="0"/>
          <w:numId w:val="5"/>
        </w:numPr>
        <w:spacing w:line="240" w:lineRule="atLeast"/>
        <w:ind w:left="1267" w:firstLine="0"/>
      </w:pPr>
      <w:r w:rsidRPr="005F70B3">
        <w:lastRenderedPageBreak/>
        <w:t xml:space="preserve">El Ministerio de Trabajo </w:t>
      </w:r>
      <w:r w:rsidR="008B393E">
        <w:t xml:space="preserve">y Protección Social </w:t>
      </w:r>
      <w:r w:rsidRPr="005F70B3">
        <w:t>y el Ministerio de Salud de la Federación de Rusia han enviado aclaraciones a las entidades constitutivas de la Federación de Rusia sobre la investigación de los mencionados casos del seguro.</w:t>
      </w:r>
    </w:p>
    <w:p w14:paraId="0FF257B0" w14:textId="20AA3AA6" w:rsidR="000941D1" w:rsidRPr="005F70B3" w:rsidRDefault="000941D1" w:rsidP="00050D5D">
      <w:pPr>
        <w:pStyle w:val="SingleTxt"/>
        <w:numPr>
          <w:ilvl w:val="0"/>
          <w:numId w:val="5"/>
        </w:numPr>
        <w:spacing w:line="240" w:lineRule="atLeast"/>
        <w:ind w:left="1267" w:firstLine="0"/>
      </w:pPr>
      <w:r w:rsidRPr="005F70B3">
        <w:t xml:space="preserve">Con el fin de alentar a las empresas rusas a reforzar la protección de la vida y la salud de los trabajadores en el contexto de la propagación de la COVID-19, el Ministerio de Trabajo </w:t>
      </w:r>
      <w:r w:rsidR="000329DF">
        <w:t xml:space="preserve">y Protección Social </w:t>
      </w:r>
      <w:r w:rsidRPr="005F70B3">
        <w:t>emitió la Orden núm. 365n de 23 de junio de 2020, que amplía la lista de medidas preventivas financiadas por las primas del seguro social obligatorio contra accidentes industriales y enfermedades profesionales, incluidas medidas para evitar la propagación de la COVID-19.</w:t>
      </w:r>
    </w:p>
    <w:p w14:paraId="5F1ABB99" w14:textId="77777777" w:rsidR="000941D1" w:rsidRPr="005F70B3" w:rsidRDefault="000941D1" w:rsidP="00050D5D">
      <w:pPr>
        <w:pStyle w:val="SingleTxt"/>
        <w:numPr>
          <w:ilvl w:val="0"/>
          <w:numId w:val="5"/>
        </w:numPr>
        <w:spacing w:line="240" w:lineRule="atLeast"/>
        <w:ind w:left="1267" w:firstLine="0"/>
      </w:pPr>
      <w:r w:rsidRPr="005F70B3">
        <w:t>La Orden prevé el uso de las primas del seguro para financiar la compra, entre otras cosas, de equipos de protección personal para la protección respiratoria (mascarillas desechables o equipos de protección respiratoria individuales con filtros - respiradores o mascarillas de tela reutilizables), así como pantallas faciales, cubrezapatos, trajes de protección de tipo 1, batas desechables, desinfectante antiséptico y dispensadores (equipos) para que los trabajadores se limpien las manos, y dispositivos (equipos) de medición de la temperatura sin contacto o termómetros para tomar la temperatura a los trabajadores.</w:t>
      </w:r>
    </w:p>
    <w:p w14:paraId="1F9BD36C" w14:textId="4679F083" w:rsidR="000941D1" w:rsidRPr="005F70B3" w:rsidRDefault="000941D1" w:rsidP="00050D5D">
      <w:pPr>
        <w:pStyle w:val="SingleTxt"/>
        <w:numPr>
          <w:ilvl w:val="0"/>
          <w:numId w:val="5"/>
        </w:numPr>
        <w:spacing w:line="240" w:lineRule="atLeast"/>
        <w:ind w:left="1267" w:firstLine="0"/>
      </w:pPr>
      <w:r w:rsidRPr="005F70B3">
        <w:t xml:space="preserve">Con el fin de atenuar el impacto negativo de la propagación de la COVID-19, el Ministerio de Trabajo </w:t>
      </w:r>
      <w:r w:rsidR="00DF16B9">
        <w:t>y Protecci</w:t>
      </w:r>
      <w:r w:rsidR="008B2559">
        <w:t xml:space="preserve">ón Social </w:t>
      </w:r>
      <w:r w:rsidRPr="005F70B3">
        <w:t>ruso ha enviado recomendaciones a las entidades constitutivas de la Federación de Rusia sobre cómo organizar las actividades para mejorar el acceso de las mujeres y los niños víctimas de la violencia a los servicios sociales y reducir los riesgos de violencia doméstica en las familias con hijos.</w:t>
      </w:r>
    </w:p>
    <w:p w14:paraId="380A8CDC" w14:textId="438A6C84" w:rsidR="000941D1" w:rsidRPr="005F70B3" w:rsidRDefault="000941D1" w:rsidP="00050D5D">
      <w:pPr>
        <w:pStyle w:val="SingleTxt"/>
        <w:numPr>
          <w:ilvl w:val="0"/>
          <w:numId w:val="5"/>
        </w:numPr>
        <w:spacing w:line="240" w:lineRule="atLeast"/>
        <w:ind w:left="1267" w:firstLine="0"/>
      </w:pPr>
      <w:r w:rsidRPr="005F70B3">
        <w:t>En el contexto de la pandemia, las organizaciones de servicios sociales que prestan servicios a mujeres en situaciones de violencia doméstica han adoptado las medidas preventivas necesarias, de acuerdo con la situación epidemiológica en cada región. Los servicios sociales sin internamiento se han prestado de forma remota. La aceptación de nuevos usuarios en los servicios sociales con internamiento se ha suspendido en el 5</w:t>
      </w:r>
      <w:r w:rsidR="000D07DB">
        <w:t> </w:t>
      </w:r>
      <w:r w:rsidR="00B26819">
        <w:t>%</w:t>
      </w:r>
      <w:r w:rsidRPr="005F70B3">
        <w:t xml:space="preserve"> de las entidades constitutivas de la Federación de Rusia. Las organizaciones de servicios sociales han seguido funcionando en su mayoría de forma habitual, pero están adoptando medidas de protección personal de los trabajadores sociales y la población. Se utilizan de manera generalizada tecnologías electrónicas (consulta por Skype, mensajería y redes sociales) para consulta, lo que es especialmente importante en el contexto de la pandemia del coronavirus. Se han reforzado las actividades de divulgación pública para informar sobre medidas de apoyo, números de teléfono, servicios e instituciones que prestan asistencia en casos de violencia doméstica, entre otras cosas a través del uso de campañas comunitarias (carteles, impresos, transporte, televisión, medios de comunicación, Internet, etc.).</w:t>
      </w:r>
    </w:p>
    <w:p w14:paraId="07CA975C" w14:textId="3071D0C2" w:rsidR="000941D1" w:rsidRPr="005F70B3" w:rsidRDefault="000941D1" w:rsidP="00050D5D">
      <w:pPr>
        <w:pStyle w:val="SingleTxt"/>
        <w:keepLines/>
        <w:numPr>
          <w:ilvl w:val="0"/>
          <w:numId w:val="5"/>
        </w:numPr>
        <w:spacing w:line="240" w:lineRule="atLeast"/>
        <w:ind w:left="1267" w:firstLine="0"/>
      </w:pPr>
      <w:r w:rsidRPr="005F70B3">
        <w:t>Según los datos recientes de los poderes ejecutivos de las entidades constitutivas de la Federación de Rusia, las organizaciones de servicios sociales recibieron 5.163 denuncias de violencia doméstica en el período entre enero y abril de 2020, lo que supone el 90,3</w:t>
      </w:r>
      <w:r w:rsidR="000D07DB">
        <w:t> </w:t>
      </w:r>
      <w:r w:rsidR="00B26819">
        <w:t>%</w:t>
      </w:r>
      <w:r w:rsidRPr="005F70B3">
        <w:t xml:space="preserve"> del total recibido entre enero y abril de 2019 (5.719 denuncias).</w:t>
      </w:r>
    </w:p>
    <w:p w14:paraId="021D6A2F" w14:textId="77777777" w:rsidR="000941D1" w:rsidRPr="005F70B3" w:rsidRDefault="000941D1" w:rsidP="00050D5D">
      <w:pPr>
        <w:pStyle w:val="SingleTxt"/>
        <w:numPr>
          <w:ilvl w:val="0"/>
          <w:numId w:val="5"/>
        </w:numPr>
        <w:spacing w:line="240" w:lineRule="atLeast"/>
        <w:ind w:left="1267" w:firstLine="0"/>
      </w:pPr>
      <w:r w:rsidRPr="005F70B3">
        <w:t>El teléfono de asistencia a niños funciona bajo un único número de teléfono a nivel nacional, 8-800-2000-122, en todas las entidades constitutivas de la Federación de Rusia. No solo los niños y los adolescentes sino también sus padres y otros ciudadanos que necesitan asistencia psicológica urgente y otra asistencia profesional pueden utilizar esa línea telefónica para solicitar asesoramiento.</w:t>
      </w:r>
    </w:p>
    <w:p w14:paraId="3D7F44AC" w14:textId="77777777" w:rsidR="000941D1" w:rsidRPr="005F70B3" w:rsidRDefault="000941D1" w:rsidP="00050D5D">
      <w:pPr>
        <w:pStyle w:val="SingleTxt"/>
        <w:numPr>
          <w:ilvl w:val="0"/>
          <w:numId w:val="5"/>
        </w:numPr>
        <w:spacing w:line="240" w:lineRule="atLeast"/>
        <w:ind w:left="1267" w:firstLine="0"/>
      </w:pPr>
      <w:r w:rsidRPr="005F70B3">
        <w:t>Además, los centros de crisis y los hogares de acogida de mujeres de 28 entidades constitutivas de la Federación de Rusia están habilitando teléfonos de asistencia y teléfonos de emergencia regionales que prestan asistencia psicológica a mujeres que se encuentran en situaciones psicológicas y sociales extremas.</w:t>
      </w:r>
    </w:p>
    <w:p w14:paraId="1121F7B0" w14:textId="19625CEC" w:rsidR="00646BB0" w:rsidRDefault="000941D1" w:rsidP="00050D5D">
      <w:pPr>
        <w:pStyle w:val="SingleTxt"/>
        <w:numPr>
          <w:ilvl w:val="0"/>
          <w:numId w:val="6"/>
        </w:numPr>
        <w:tabs>
          <w:tab w:val="clear" w:pos="475"/>
          <w:tab w:val="right" w:pos="1022"/>
        </w:tabs>
        <w:ind w:left="1267" w:right="1260"/>
      </w:pPr>
      <w:r w:rsidRPr="005F70B3">
        <w:lastRenderedPageBreak/>
        <w:t>Entre enero y abril de 2020 se realizaron 3.586 llamadas al teléfono de emergencia contra la violencia familiar, el 72,6</w:t>
      </w:r>
      <w:r w:rsidR="000D07DB">
        <w:t> </w:t>
      </w:r>
      <w:r w:rsidR="00B26819">
        <w:t>%</w:t>
      </w:r>
      <w:r w:rsidRPr="005F70B3">
        <w:t xml:space="preserve"> del total de llamadas realizadas entre enero y abril de 2019 (4.936 llamadas).</w:t>
      </w:r>
    </w:p>
    <w:p w14:paraId="7ADE8345" w14:textId="648EAE55" w:rsidR="000941D1" w:rsidRPr="000941D1" w:rsidRDefault="000941D1" w:rsidP="000941D1">
      <w:pPr>
        <w:pStyle w:val="SingleTxt"/>
        <w:tabs>
          <w:tab w:val="right" w:pos="1022"/>
        </w:tabs>
        <w:ind w:right="1260"/>
      </w:pPr>
      <w:r>
        <w:rPr>
          <w:noProof/>
          <w:w w:val="100"/>
        </w:rPr>
        <mc:AlternateContent>
          <mc:Choice Requires="wps">
            <w:drawing>
              <wp:anchor distT="0" distB="0" distL="114300" distR="114300" simplePos="0" relativeHeight="251660288" behindDoc="0" locked="0" layoutInCell="1" allowOverlap="1" wp14:anchorId="50C2CF0A" wp14:editId="020090F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062C520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941D1" w:rsidRPr="000941D1" w:rsidSect="000941D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1-08T09:13:00Z" w:initials="Start">
    <w:p w14:paraId="2EA99145" w14:textId="28A299B9" w:rsidR="000D07DB" w:rsidRPr="000941D1" w:rsidRDefault="000D07DB">
      <w:pPr>
        <w:pStyle w:val="CommentText"/>
        <w:rPr>
          <w:lang w:val="en-US"/>
        </w:rPr>
      </w:pPr>
      <w:r>
        <w:rPr>
          <w:rStyle w:val="CommentReference"/>
        </w:rPr>
        <w:annotationRef/>
      </w:r>
      <w:r w:rsidRPr="000941D1">
        <w:rPr>
          <w:lang w:val="en-US"/>
        </w:rPr>
        <w:t>&lt;&lt;ODS JOB NO&gt;&gt;N2</w:t>
      </w:r>
      <w:r w:rsidR="00A82210">
        <w:rPr>
          <w:noProof/>
          <w:lang w:val="en-US"/>
        </w:rPr>
        <w:t>0</w:t>
      </w:r>
      <w:r w:rsidRPr="000941D1">
        <w:rPr>
          <w:lang w:val="en-US"/>
        </w:rPr>
        <w:t>32107S&lt;&lt;ODS JOB NO&gt;&gt;</w:t>
      </w:r>
    </w:p>
    <w:p w14:paraId="3A36DE0E" w14:textId="77777777" w:rsidR="000D07DB" w:rsidRDefault="000D07DB">
      <w:pPr>
        <w:pStyle w:val="CommentText"/>
      </w:pPr>
      <w:r>
        <w:t>&lt;&lt;ODS DOC SYMBOL1&gt;&gt;CEDAW/C/RUS/RQ/9&lt;&lt;ODS DOC SYMBOL1&gt;&gt;</w:t>
      </w:r>
    </w:p>
    <w:p w14:paraId="65F19EB1" w14:textId="77777777" w:rsidR="000D07DB" w:rsidRDefault="000D07D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5F19EB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F19EB1" w16cid:durableId="23A2A0C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236ABE" w14:textId="77777777" w:rsidR="008C7C77" w:rsidRDefault="008C7C77" w:rsidP="00101B18">
      <w:r>
        <w:separator/>
      </w:r>
    </w:p>
  </w:endnote>
  <w:endnote w:type="continuationSeparator" w:id="0">
    <w:p w14:paraId="21CF5D9A" w14:textId="77777777" w:rsidR="008C7C77" w:rsidRDefault="008C7C7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0D07DB" w14:paraId="244C0616" w14:textId="77777777" w:rsidTr="00646BB0">
      <w:tc>
        <w:tcPr>
          <w:tcW w:w="4920" w:type="dxa"/>
          <w:shd w:val="clear" w:color="auto" w:fill="auto"/>
          <w:vAlign w:val="bottom"/>
        </w:tcPr>
        <w:p w14:paraId="3B5C6FA2" w14:textId="77777777" w:rsidR="000D07DB" w:rsidRPr="00646BB0" w:rsidRDefault="000D07DB" w:rsidP="00646BB0">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4336F91" w14:textId="1AAABE6B" w:rsidR="000D07DB" w:rsidRPr="00646BB0" w:rsidRDefault="002A5648" w:rsidP="00646BB0">
          <w:pPr>
            <w:pStyle w:val="Footer"/>
            <w:jc w:val="right"/>
            <w:rPr>
              <w:b w:val="0"/>
              <w:color w:val="000000"/>
              <w:sz w:val="14"/>
            </w:rPr>
          </w:pPr>
          <w:r w:rsidRPr="002A5648">
            <w:rPr>
              <w:b w:val="0"/>
              <w:color w:val="000000"/>
              <w:sz w:val="14"/>
            </w:rPr>
            <w:t>2</w:t>
          </w:r>
          <w:r>
            <w:rPr>
              <w:b w:val="0"/>
              <w:color w:val="000000"/>
              <w:sz w:val="14"/>
            </w:rPr>
            <w:t>0</w:t>
          </w:r>
          <w:r w:rsidRPr="002A5648">
            <w:rPr>
              <w:b w:val="0"/>
              <w:color w:val="000000"/>
              <w:sz w:val="14"/>
            </w:rPr>
            <w:t>-15541</w:t>
          </w:r>
        </w:p>
      </w:tc>
    </w:tr>
  </w:tbl>
  <w:p w14:paraId="13924FDD" w14:textId="77777777" w:rsidR="000D07DB" w:rsidRPr="00646BB0" w:rsidRDefault="000D07DB" w:rsidP="00646B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0D07DB" w14:paraId="7858DC08" w14:textId="77777777" w:rsidTr="00646BB0">
      <w:tc>
        <w:tcPr>
          <w:tcW w:w="4920" w:type="dxa"/>
          <w:shd w:val="clear" w:color="auto" w:fill="auto"/>
          <w:vAlign w:val="bottom"/>
        </w:tcPr>
        <w:p w14:paraId="1BF3B3E9" w14:textId="5D0F937F" w:rsidR="000D07DB" w:rsidRPr="00646BB0" w:rsidRDefault="002A5648" w:rsidP="00646BB0">
          <w:pPr>
            <w:pStyle w:val="Footer"/>
            <w:rPr>
              <w:b w:val="0"/>
              <w:color w:val="000000"/>
              <w:sz w:val="14"/>
            </w:rPr>
          </w:pPr>
          <w:r w:rsidRPr="002A5648">
            <w:rPr>
              <w:b w:val="0"/>
              <w:color w:val="000000"/>
              <w:sz w:val="14"/>
            </w:rPr>
            <w:t>2</w:t>
          </w:r>
          <w:r>
            <w:rPr>
              <w:b w:val="0"/>
              <w:color w:val="000000"/>
              <w:sz w:val="14"/>
            </w:rPr>
            <w:t>0</w:t>
          </w:r>
          <w:r w:rsidRPr="002A5648">
            <w:rPr>
              <w:b w:val="0"/>
              <w:color w:val="000000"/>
              <w:sz w:val="14"/>
            </w:rPr>
            <w:t>-15541</w:t>
          </w:r>
        </w:p>
      </w:tc>
      <w:tc>
        <w:tcPr>
          <w:tcW w:w="4920" w:type="dxa"/>
          <w:shd w:val="clear" w:color="auto" w:fill="auto"/>
          <w:vAlign w:val="bottom"/>
        </w:tcPr>
        <w:p w14:paraId="6F49AC03" w14:textId="77777777" w:rsidR="000D07DB" w:rsidRPr="00646BB0" w:rsidRDefault="000D07DB" w:rsidP="00646BB0">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3FE234F" w14:textId="77777777" w:rsidR="000D07DB" w:rsidRPr="00646BB0" w:rsidRDefault="000D07DB" w:rsidP="00646B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5E7F6" w14:textId="77777777" w:rsidR="000D07DB" w:rsidRPr="00646BB0" w:rsidRDefault="000D07DB" w:rsidP="00646BB0">
    <w:pPr>
      <w:pStyle w:val="Footer"/>
      <w:spacing w:line="120" w:lineRule="exact"/>
      <w:rPr>
        <w:b w:val="0"/>
        <w:sz w:val="10"/>
      </w:rPr>
    </w:pPr>
    <w:r>
      <w:rPr>
        <w:b w:val="0"/>
        <w:sz w:val="10"/>
      </w:rPr>
      <w:drawing>
        <wp:anchor distT="0" distB="0" distL="114300" distR="114300" simplePos="0" relativeHeight="251658240" behindDoc="0" locked="0" layoutInCell="1" allowOverlap="1" wp14:anchorId="4B5E9EBC" wp14:editId="07FC74D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D07DB" w14:paraId="3A053979" w14:textId="77777777" w:rsidTr="00646BB0">
      <w:tc>
        <w:tcPr>
          <w:tcW w:w="3830" w:type="dxa"/>
          <w:shd w:val="clear" w:color="auto" w:fill="auto"/>
        </w:tcPr>
        <w:p w14:paraId="202082BD" w14:textId="7C76C14D" w:rsidR="000D07DB" w:rsidRDefault="000D07DB" w:rsidP="00646BB0">
          <w:pPr>
            <w:pStyle w:val="ReleaseDate0"/>
          </w:pPr>
          <w:r>
            <w:t>2</w:t>
          </w:r>
          <w:r w:rsidR="002A5648">
            <w:t>0</w:t>
          </w:r>
          <w:r>
            <w:t>-15541X</w:t>
          </w:r>
          <w:r w:rsidR="006A18AB">
            <w:t>*</w:t>
          </w:r>
          <w:r>
            <w:t xml:space="preserve"> (S) </w:t>
          </w:r>
        </w:p>
        <w:p w14:paraId="1A44533F" w14:textId="77777777" w:rsidR="000D07DB" w:rsidRPr="00646BB0" w:rsidRDefault="000D07DB" w:rsidP="00646BB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*2115541*</w:t>
          </w:r>
        </w:p>
      </w:tc>
      <w:tc>
        <w:tcPr>
          <w:tcW w:w="4920" w:type="dxa"/>
          <w:shd w:val="clear" w:color="auto" w:fill="auto"/>
        </w:tcPr>
        <w:p w14:paraId="4A3A4F69" w14:textId="77777777" w:rsidR="000D07DB" w:rsidRDefault="000D07DB" w:rsidP="00646BB0">
          <w:pPr>
            <w:pStyle w:val="Footer"/>
            <w:jc w:val="right"/>
            <w:rPr>
              <w:b w:val="0"/>
              <w:sz w:val="20"/>
            </w:rPr>
          </w:pPr>
          <w:r>
            <w:rPr>
              <w:b w:val="0"/>
              <w:sz w:val="20"/>
            </w:rPr>
            <w:drawing>
              <wp:inline distT="0" distB="0" distL="0" distR="0" wp14:anchorId="7B1ABD62" wp14:editId="4BE046A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57AB7FC" w14:textId="77777777" w:rsidR="000D07DB" w:rsidRPr="00646BB0" w:rsidRDefault="000D07DB" w:rsidP="00646BB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185AF5" w14:textId="77777777" w:rsidR="008C7C77" w:rsidRDefault="008C7C77" w:rsidP="00101B18">
      <w:r>
        <w:separator/>
      </w:r>
    </w:p>
  </w:footnote>
  <w:footnote w:type="continuationSeparator" w:id="0">
    <w:p w14:paraId="286A3DCD" w14:textId="77777777" w:rsidR="008C7C77" w:rsidRDefault="008C7C77"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D07DB" w14:paraId="51DF9FB2" w14:textId="77777777" w:rsidTr="00646BB0">
      <w:trPr>
        <w:trHeight w:hRule="exact" w:val="864"/>
      </w:trPr>
      <w:tc>
        <w:tcPr>
          <w:tcW w:w="4920" w:type="dxa"/>
          <w:shd w:val="clear" w:color="auto" w:fill="auto"/>
          <w:vAlign w:val="bottom"/>
        </w:tcPr>
        <w:p w14:paraId="2BCBD6C6" w14:textId="32D1FA79" w:rsidR="000D07DB" w:rsidRPr="00646BB0" w:rsidRDefault="000D07DB" w:rsidP="00646BB0">
          <w:pPr>
            <w:pStyle w:val="Header"/>
            <w:spacing w:after="80"/>
            <w:rPr>
              <w:b/>
            </w:rPr>
          </w:pPr>
          <w:r>
            <w:rPr>
              <w:b/>
            </w:rPr>
            <w:fldChar w:fldCharType="begin"/>
          </w:r>
          <w:r>
            <w:rPr>
              <w:b/>
            </w:rPr>
            <w:instrText xml:space="preserve"> DOCVARIABLE "sss1" \* MERGEFORMAT </w:instrText>
          </w:r>
          <w:r>
            <w:rPr>
              <w:b/>
            </w:rPr>
            <w:fldChar w:fldCharType="separate"/>
          </w:r>
          <w:r w:rsidR="00F375AC">
            <w:rPr>
              <w:b/>
            </w:rPr>
            <w:t>CEDAW/C/RUS/RQ/9</w:t>
          </w:r>
          <w:r>
            <w:rPr>
              <w:b/>
            </w:rPr>
            <w:fldChar w:fldCharType="end"/>
          </w:r>
        </w:p>
      </w:tc>
      <w:tc>
        <w:tcPr>
          <w:tcW w:w="4920" w:type="dxa"/>
          <w:shd w:val="clear" w:color="auto" w:fill="auto"/>
          <w:vAlign w:val="bottom"/>
        </w:tcPr>
        <w:p w14:paraId="45FB39A7" w14:textId="77777777" w:rsidR="000D07DB" w:rsidRDefault="000D07DB" w:rsidP="00646BB0">
          <w:pPr>
            <w:pStyle w:val="Header"/>
          </w:pPr>
        </w:p>
      </w:tc>
    </w:tr>
  </w:tbl>
  <w:p w14:paraId="0AFE5C50" w14:textId="77777777" w:rsidR="000D07DB" w:rsidRPr="00646BB0" w:rsidRDefault="000D07DB" w:rsidP="00646B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D07DB" w14:paraId="71D461A1" w14:textId="77777777" w:rsidTr="00646BB0">
      <w:trPr>
        <w:trHeight w:hRule="exact" w:val="864"/>
      </w:trPr>
      <w:tc>
        <w:tcPr>
          <w:tcW w:w="4920" w:type="dxa"/>
          <w:shd w:val="clear" w:color="auto" w:fill="auto"/>
          <w:vAlign w:val="bottom"/>
        </w:tcPr>
        <w:p w14:paraId="2F0952B7" w14:textId="77777777" w:rsidR="000D07DB" w:rsidRDefault="000D07DB" w:rsidP="00646BB0">
          <w:pPr>
            <w:pStyle w:val="Header"/>
          </w:pPr>
        </w:p>
      </w:tc>
      <w:tc>
        <w:tcPr>
          <w:tcW w:w="4920" w:type="dxa"/>
          <w:shd w:val="clear" w:color="auto" w:fill="auto"/>
          <w:vAlign w:val="bottom"/>
        </w:tcPr>
        <w:p w14:paraId="13B71604" w14:textId="7FCD8BE9" w:rsidR="000D07DB" w:rsidRPr="00646BB0" w:rsidRDefault="000D07DB" w:rsidP="00646BB0">
          <w:pPr>
            <w:pStyle w:val="Header"/>
            <w:spacing w:after="80"/>
            <w:jc w:val="right"/>
            <w:rPr>
              <w:b/>
            </w:rPr>
          </w:pPr>
          <w:r>
            <w:rPr>
              <w:b/>
            </w:rPr>
            <w:fldChar w:fldCharType="begin"/>
          </w:r>
          <w:r>
            <w:rPr>
              <w:b/>
            </w:rPr>
            <w:instrText xml:space="preserve"> DOCVARIABLE "sss1" \* MERGEFORMAT </w:instrText>
          </w:r>
          <w:r>
            <w:rPr>
              <w:b/>
            </w:rPr>
            <w:fldChar w:fldCharType="separate"/>
          </w:r>
          <w:r w:rsidR="00F375AC">
            <w:rPr>
              <w:b/>
            </w:rPr>
            <w:t>CEDAW/C/RUS/RQ/9</w:t>
          </w:r>
          <w:r>
            <w:rPr>
              <w:b/>
            </w:rPr>
            <w:fldChar w:fldCharType="end"/>
          </w:r>
        </w:p>
      </w:tc>
    </w:tr>
  </w:tbl>
  <w:p w14:paraId="7BB256F2" w14:textId="77777777" w:rsidR="000D07DB" w:rsidRPr="00646BB0" w:rsidRDefault="000D07DB" w:rsidP="00646B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D07DB" w14:paraId="25AD876E" w14:textId="77777777" w:rsidTr="00646BB0">
      <w:trPr>
        <w:gridAfter w:val="1"/>
        <w:wAfter w:w="15" w:type="dxa"/>
        <w:trHeight w:hRule="exact" w:val="864"/>
      </w:trPr>
      <w:tc>
        <w:tcPr>
          <w:tcW w:w="1267" w:type="dxa"/>
          <w:tcBorders>
            <w:bottom w:val="single" w:sz="4" w:space="0" w:color="auto"/>
          </w:tcBorders>
          <w:shd w:val="clear" w:color="auto" w:fill="auto"/>
          <w:vAlign w:val="bottom"/>
        </w:tcPr>
        <w:p w14:paraId="76A0AF9A" w14:textId="77777777" w:rsidR="000D07DB" w:rsidRDefault="000D07DB" w:rsidP="00646BB0">
          <w:pPr>
            <w:pStyle w:val="Header"/>
            <w:spacing w:after="120"/>
          </w:pPr>
        </w:p>
      </w:tc>
      <w:tc>
        <w:tcPr>
          <w:tcW w:w="2059" w:type="dxa"/>
          <w:tcBorders>
            <w:bottom w:val="single" w:sz="4" w:space="0" w:color="auto"/>
          </w:tcBorders>
          <w:shd w:val="clear" w:color="auto" w:fill="auto"/>
          <w:vAlign w:val="bottom"/>
        </w:tcPr>
        <w:p w14:paraId="0D7DAC65" w14:textId="77777777" w:rsidR="000D07DB" w:rsidRPr="00646BB0" w:rsidRDefault="000D07DB" w:rsidP="00646BB0">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94B6580" w14:textId="77777777" w:rsidR="000D07DB" w:rsidRDefault="000D07DB" w:rsidP="00646BB0">
          <w:pPr>
            <w:pStyle w:val="Header"/>
            <w:spacing w:after="120"/>
          </w:pPr>
        </w:p>
      </w:tc>
      <w:tc>
        <w:tcPr>
          <w:tcW w:w="6480" w:type="dxa"/>
          <w:gridSpan w:val="3"/>
          <w:tcBorders>
            <w:bottom w:val="single" w:sz="4" w:space="0" w:color="auto"/>
          </w:tcBorders>
          <w:shd w:val="clear" w:color="auto" w:fill="auto"/>
          <w:vAlign w:val="bottom"/>
        </w:tcPr>
        <w:p w14:paraId="4C81ABED" w14:textId="4504B0CE" w:rsidR="000D07DB" w:rsidRPr="00646BB0" w:rsidRDefault="000D07DB" w:rsidP="00646BB0">
          <w:pPr>
            <w:spacing w:after="80" w:line="240" w:lineRule="auto"/>
            <w:jc w:val="right"/>
            <w:rPr>
              <w:position w:val="-4"/>
            </w:rPr>
          </w:pPr>
          <w:r>
            <w:rPr>
              <w:position w:val="-4"/>
              <w:sz w:val="40"/>
            </w:rPr>
            <w:t>CEDAW</w:t>
          </w:r>
          <w:r>
            <w:rPr>
              <w:position w:val="-4"/>
            </w:rPr>
            <w:t>/C/RUS/RQ/9</w:t>
          </w:r>
          <w:r w:rsidR="00CE4FD3">
            <w:rPr>
              <w:position w:val="-4"/>
            </w:rPr>
            <w:t>*</w:t>
          </w:r>
        </w:p>
      </w:tc>
    </w:tr>
    <w:tr w:rsidR="000D07DB" w:rsidRPr="00646BB0" w14:paraId="3486A87F" w14:textId="77777777" w:rsidTr="00646BB0">
      <w:trPr>
        <w:trHeight w:hRule="exact" w:val="2880"/>
      </w:trPr>
      <w:tc>
        <w:tcPr>
          <w:tcW w:w="1267" w:type="dxa"/>
          <w:tcBorders>
            <w:top w:val="single" w:sz="4" w:space="0" w:color="auto"/>
            <w:bottom w:val="single" w:sz="12" w:space="0" w:color="auto"/>
          </w:tcBorders>
          <w:shd w:val="clear" w:color="auto" w:fill="auto"/>
        </w:tcPr>
        <w:p w14:paraId="0D3142C2" w14:textId="77777777" w:rsidR="000D07DB" w:rsidRPr="00646BB0" w:rsidRDefault="000D07DB" w:rsidP="00646BB0">
          <w:pPr>
            <w:pStyle w:val="Header"/>
            <w:spacing w:before="120"/>
            <w:jc w:val="center"/>
          </w:pPr>
          <w:r>
            <w:t xml:space="preserve"> </w:t>
          </w:r>
          <w:r>
            <w:drawing>
              <wp:inline distT="0" distB="0" distL="0" distR="0" wp14:anchorId="30423A6B" wp14:editId="77C7E9B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5DABE01" w14:textId="77777777" w:rsidR="000D07DB" w:rsidRPr="00646BB0" w:rsidRDefault="000D07DB" w:rsidP="00646BB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3B808AD" w14:textId="77777777" w:rsidR="000D07DB" w:rsidRPr="000941D1" w:rsidRDefault="000D07DB" w:rsidP="00646BB0">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6631A64B" w14:textId="77777777" w:rsidR="000D07DB" w:rsidRDefault="000D07DB" w:rsidP="00646BB0">
          <w:pPr>
            <w:pStyle w:val="Distribution"/>
            <w:spacing w:before="240"/>
          </w:pPr>
          <w:r>
            <w:t>Distr. general</w:t>
          </w:r>
        </w:p>
        <w:p w14:paraId="19C57619" w14:textId="77777777" w:rsidR="000D07DB" w:rsidRDefault="000D07DB" w:rsidP="00646BB0">
          <w:pPr>
            <w:pStyle w:val="Publication"/>
          </w:pPr>
          <w:r>
            <w:t>18 de noviembre de 2020</w:t>
          </w:r>
        </w:p>
        <w:p w14:paraId="4750514F" w14:textId="77777777" w:rsidR="000D07DB" w:rsidRDefault="000D07DB" w:rsidP="00646BB0">
          <w:r>
            <w:t>Español</w:t>
          </w:r>
        </w:p>
        <w:p w14:paraId="6F4C0E53" w14:textId="595AE3C6" w:rsidR="000D07DB" w:rsidRDefault="000D07DB" w:rsidP="00646BB0">
          <w:pPr>
            <w:pStyle w:val="Original"/>
          </w:pPr>
          <w:r>
            <w:t>Original: ruso</w:t>
          </w:r>
        </w:p>
        <w:p w14:paraId="53CE830F" w14:textId="4D554906" w:rsidR="000D07DB" w:rsidRPr="00646BB0" w:rsidRDefault="000D07DB" w:rsidP="00646BB0">
          <w:r>
            <w:t xml:space="preserve">Español, francés, inglés y ruso </w:t>
          </w:r>
          <w:r>
            <w:rPr>
              <w:lang w:val="ca-ES"/>
            </w:rPr>
            <w:t>ú</w:t>
          </w:r>
          <w:r>
            <w:t>nicamente</w:t>
          </w:r>
        </w:p>
      </w:tc>
    </w:tr>
  </w:tbl>
  <w:p w14:paraId="2CFAE602" w14:textId="77777777" w:rsidR="000D07DB" w:rsidRPr="002A6993" w:rsidRDefault="000D07DB" w:rsidP="00646BB0">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4D43E6F"/>
    <w:multiLevelType w:val="singleLevel"/>
    <w:tmpl w:val="D54EBFDE"/>
    <w:lvl w:ilvl="0">
      <w:start w:val="205"/>
      <w:numFmt w:val="decimal"/>
      <w:lvlRestart w:val="0"/>
      <w:lvlText w:val="%1."/>
      <w:lvlJc w:val="left"/>
      <w:pPr>
        <w:tabs>
          <w:tab w:val="num" w:pos="475"/>
        </w:tabs>
        <w:ind w:left="0" w:firstLine="0"/>
      </w:pPr>
      <w:rPr>
        <w:spacing w:val="0"/>
        <w:w w:val="100"/>
      </w:rPr>
    </w:lvl>
  </w:abstractNum>
  <w:abstractNum w:abstractNumId="3"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3519343F"/>
    <w:multiLevelType w:val="hybridMultilevel"/>
    <w:tmpl w:val="CE60B1CE"/>
    <w:lvl w:ilvl="0" w:tplc="E1D400EC">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6"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9"/>
  </w:num>
  <w:num w:numId="2">
    <w:abstractNumId w:val="4"/>
  </w:num>
  <w:num w:numId="3">
    <w:abstractNumId w:val="8"/>
  </w:num>
  <w:num w:numId="4">
    <w:abstractNumId w:val="7"/>
  </w:num>
  <w:num w:numId="5">
    <w:abstractNumId w:val="5"/>
  </w:num>
  <w:num w:numId="6">
    <w:abstractNumId w:val="2"/>
  </w:num>
  <w:num w:numId="7">
    <w:abstractNumId w:val="3"/>
  </w:num>
  <w:num w:numId="8">
    <w:abstractNumId w:val="6"/>
  </w:num>
  <w:num w:numId="9">
    <w:abstractNumId w:val="0"/>
  </w:num>
  <w:num w:numId="1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linkStyles/>
  <w:defaultTabStop w:val="475"/>
  <w:autoHyphenation/>
  <w:hyphenationZone w:val="425"/>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5541*"/>
    <w:docVar w:name="CreationDt" w:val="08/01/2021 9:13: AM"/>
    <w:docVar w:name="DocCategory" w:val="Doc"/>
    <w:docVar w:name="DocType" w:val="Final"/>
    <w:docVar w:name="DutyStation" w:val="New York"/>
    <w:docVar w:name="FooterJN" w:val="21-15541"/>
    <w:docVar w:name="jobn" w:val="21-15541 (S)"/>
    <w:docVar w:name="jobnDT" w:val="21-15541 (S)   080121"/>
    <w:docVar w:name="jobnDTDT" w:val="21-15541 (S)   080121   080121"/>
    <w:docVar w:name="JobNo" w:val="2115541S"/>
    <w:docVar w:name="JobNo2" w:val="21321079:13: AM"/>
    <w:docVar w:name="LocalDrive" w:val="0"/>
    <w:docVar w:name="OandT" w:val="QC"/>
    <w:docVar w:name="sss1" w:val="CEDAW/C/RUS/RQ/9"/>
    <w:docVar w:name="sss2" w:val="-"/>
    <w:docVar w:name="Symbol1" w:val="CEDAW/C/RUS/RQ/9"/>
    <w:docVar w:name="Symbol2" w:val="-"/>
  </w:docVars>
  <w:rsids>
    <w:rsidRoot w:val="009E7F5F"/>
    <w:rsid w:val="00002584"/>
    <w:rsid w:val="00002A02"/>
    <w:rsid w:val="000040E3"/>
    <w:rsid w:val="00017622"/>
    <w:rsid w:val="00030CF8"/>
    <w:rsid w:val="000329DF"/>
    <w:rsid w:val="000359BE"/>
    <w:rsid w:val="000403C6"/>
    <w:rsid w:val="0004216A"/>
    <w:rsid w:val="00050D5D"/>
    <w:rsid w:val="0005427B"/>
    <w:rsid w:val="00060004"/>
    <w:rsid w:val="00064507"/>
    <w:rsid w:val="0006491F"/>
    <w:rsid w:val="00067B89"/>
    <w:rsid w:val="00071D43"/>
    <w:rsid w:val="00082144"/>
    <w:rsid w:val="000867D8"/>
    <w:rsid w:val="000941D1"/>
    <w:rsid w:val="000A4E02"/>
    <w:rsid w:val="000D07DB"/>
    <w:rsid w:val="000D4E2D"/>
    <w:rsid w:val="000F1F99"/>
    <w:rsid w:val="000F5BE1"/>
    <w:rsid w:val="00101B18"/>
    <w:rsid w:val="001057BB"/>
    <w:rsid w:val="001079F9"/>
    <w:rsid w:val="001116CF"/>
    <w:rsid w:val="00116CFB"/>
    <w:rsid w:val="00117EA0"/>
    <w:rsid w:val="001225AB"/>
    <w:rsid w:val="00122A56"/>
    <w:rsid w:val="00134FEE"/>
    <w:rsid w:val="001350BE"/>
    <w:rsid w:val="001452D2"/>
    <w:rsid w:val="00146C6A"/>
    <w:rsid w:val="00147570"/>
    <w:rsid w:val="00151388"/>
    <w:rsid w:val="00153E4C"/>
    <w:rsid w:val="001617FD"/>
    <w:rsid w:val="0016551F"/>
    <w:rsid w:val="00166786"/>
    <w:rsid w:val="00166A0D"/>
    <w:rsid w:val="001736F9"/>
    <w:rsid w:val="001739B4"/>
    <w:rsid w:val="001775A7"/>
    <w:rsid w:val="00180DEF"/>
    <w:rsid w:val="001852B9"/>
    <w:rsid w:val="001942D3"/>
    <w:rsid w:val="001D5969"/>
    <w:rsid w:val="001E0624"/>
    <w:rsid w:val="001E4B50"/>
    <w:rsid w:val="001F57B7"/>
    <w:rsid w:val="00201C6D"/>
    <w:rsid w:val="0021457D"/>
    <w:rsid w:val="002250A9"/>
    <w:rsid w:val="00234470"/>
    <w:rsid w:val="0023592F"/>
    <w:rsid w:val="00241B93"/>
    <w:rsid w:val="002478A0"/>
    <w:rsid w:val="002550CD"/>
    <w:rsid w:val="00260262"/>
    <w:rsid w:val="002641B5"/>
    <w:rsid w:val="002660CE"/>
    <w:rsid w:val="00272479"/>
    <w:rsid w:val="00283E5D"/>
    <w:rsid w:val="00287514"/>
    <w:rsid w:val="00293F1A"/>
    <w:rsid w:val="002A5648"/>
    <w:rsid w:val="002A5E20"/>
    <w:rsid w:val="002A6993"/>
    <w:rsid w:val="002B01E8"/>
    <w:rsid w:val="002D0312"/>
    <w:rsid w:val="002D1584"/>
    <w:rsid w:val="002D72E3"/>
    <w:rsid w:val="002D7E7F"/>
    <w:rsid w:val="002E5246"/>
    <w:rsid w:val="002E777D"/>
    <w:rsid w:val="002F024A"/>
    <w:rsid w:val="00304428"/>
    <w:rsid w:val="003057B7"/>
    <w:rsid w:val="00310D65"/>
    <w:rsid w:val="0035175A"/>
    <w:rsid w:val="0035254E"/>
    <w:rsid w:val="00353AF1"/>
    <w:rsid w:val="003559A0"/>
    <w:rsid w:val="00356DCA"/>
    <w:rsid w:val="003575D7"/>
    <w:rsid w:val="00366D21"/>
    <w:rsid w:val="00371D3E"/>
    <w:rsid w:val="00374C88"/>
    <w:rsid w:val="00380178"/>
    <w:rsid w:val="0039127C"/>
    <w:rsid w:val="003A1665"/>
    <w:rsid w:val="003A675A"/>
    <w:rsid w:val="003B24AA"/>
    <w:rsid w:val="003D096D"/>
    <w:rsid w:val="003E5C20"/>
    <w:rsid w:val="003E7FE2"/>
    <w:rsid w:val="003F61E1"/>
    <w:rsid w:val="0040411D"/>
    <w:rsid w:val="00415E1D"/>
    <w:rsid w:val="004212CB"/>
    <w:rsid w:val="00431E47"/>
    <w:rsid w:val="00440C93"/>
    <w:rsid w:val="0044181F"/>
    <w:rsid w:val="00445878"/>
    <w:rsid w:val="004660FA"/>
    <w:rsid w:val="00480B84"/>
    <w:rsid w:val="00480E11"/>
    <w:rsid w:val="00483BDA"/>
    <w:rsid w:val="00497ACD"/>
    <w:rsid w:val="004A2064"/>
    <w:rsid w:val="004B4FFD"/>
    <w:rsid w:val="004B64F9"/>
    <w:rsid w:val="004C1A25"/>
    <w:rsid w:val="004C2333"/>
    <w:rsid w:val="004C7AFD"/>
    <w:rsid w:val="004D3389"/>
    <w:rsid w:val="004F0D97"/>
    <w:rsid w:val="004F10F6"/>
    <w:rsid w:val="004F6149"/>
    <w:rsid w:val="005021E1"/>
    <w:rsid w:val="00515991"/>
    <w:rsid w:val="005171C1"/>
    <w:rsid w:val="005225EC"/>
    <w:rsid w:val="00523981"/>
    <w:rsid w:val="00524A5D"/>
    <w:rsid w:val="00524C4B"/>
    <w:rsid w:val="00525097"/>
    <w:rsid w:val="00542B3D"/>
    <w:rsid w:val="0054380E"/>
    <w:rsid w:val="00543B34"/>
    <w:rsid w:val="0054498A"/>
    <w:rsid w:val="005458B5"/>
    <w:rsid w:val="005509B6"/>
    <w:rsid w:val="005B6690"/>
    <w:rsid w:val="005C4FDD"/>
    <w:rsid w:val="005C6320"/>
    <w:rsid w:val="005E1950"/>
    <w:rsid w:val="005E1E10"/>
    <w:rsid w:val="005E48F6"/>
    <w:rsid w:val="005F1F5F"/>
    <w:rsid w:val="005F280C"/>
    <w:rsid w:val="005F5B23"/>
    <w:rsid w:val="00601C5B"/>
    <w:rsid w:val="006052A5"/>
    <w:rsid w:val="00620533"/>
    <w:rsid w:val="00622288"/>
    <w:rsid w:val="0062256C"/>
    <w:rsid w:val="00632C10"/>
    <w:rsid w:val="00634FE9"/>
    <w:rsid w:val="00640EF7"/>
    <w:rsid w:val="00643E58"/>
    <w:rsid w:val="00646BB0"/>
    <w:rsid w:val="006501E0"/>
    <w:rsid w:val="00657C5A"/>
    <w:rsid w:val="0066058E"/>
    <w:rsid w:val="0067218B"/>
    <w:rsid w:val="00676EA8"/>
    <w:rsid w:val="0068433E"/>
    <w:rsid w:val="00690698"/>
    <w:rsid w:val="00695545"/>
    <w:rsid w:val="006A18AB"/>
    <w:rsid w:val="006A1C68"/>
    <w:rsid w:val="006A77FB"/>
    <w:rsid w:val="006B28C6"/>
    <w:rsid w:val="006B31DD"/>
    <w:rsid w:val="006B46C7"/>
    <w:rsid w:val="006C01F6"/>
    <w:rsid w:val="006E4A4B"/>
    <w:rsid w:val="006F6198"/>
    <w:rsid w:val="00703106"/>
    <w:rsid w:val="00712119"/>
    <w:rsid w:val="00716BC2"/>
    <w:rsid w:val="007348F0"/>
    <w:rsid w:val="007459AE"/>
    <w:rsid w:val="007513F1"/>
    <w:rsid w:val="0075159C"/>
    <w:rsid w:val="007526FF"/>
    <w:rsid w:val="007531A5"/>
    <w:rsid w:val="00753D8A"/>
    <w:rsid w:val="00755981"/>
    <w:rsid w:val="007559CC"/>
    <w:rsid w:val="00771C9E"/>
    <w:rsid w:val="00777437"/>
    <w:rsid w:val="00783685"/>
    <w:rsid w:val="00795BC6"/>
    <w:rsid w:val="007A60AD"/>
    <w:rsid w:val="007C6F2F"/>
    <w:rsid w:val="00807B29"/>
    <w:rsid w:val="00812072"/>
    <w:rsid w:val="00817C08"/>
    <w:rsid w:val="0082045E"/>
    <w:rsid w:val="00821D7A"/>
    <w:rsid w:val="008222A3"/>
    <w:rsid w:val="00824758"/>
    <w:rsid w:val="008259A1"/>
    <w:rsid w:val="008325D1"/>
    <w:rsid w:val="00840664"/>
    <w:rsid w:val="0084227F"/>
    <w:rsid w:val="00845592"/>
    <w:rsid w:val="00850905"/>
    <w:rsid w:val="0086119E"/>
    <w:rsid w:val="008640B7"/>
    <w:rsid w:val="00873B13"/>
    <w:rsid w:val="0087401D"/>
    <w:rsid w:val="00876052"/>
    <w:rsid w:val="008800CA"/>
    <w:rsid w:val="00884ADA"/>
    <w:rsid w:val="00890C67"/>
    <w:rsid w:val="00895520"/>
    <w:rsid w:val="008A4599"/>
    <w:rsid w:val="008B2559"/>
    <w:rsid w:val="008B393E"/>
    <w:rsid w:val="008B3FC7"/>
    <w:rsid w:val="008B4995"/>
    <w:rsid w:val="008C7C77"/>
    <w:rsid w:val="008F21A8"/>
    <w:rsid w:val="008F3462"/>
    <w:rsid w:val="0091643D"/>
    <w:rsid w:val="00920450"/>
    <w:rsid w:val="00935932"/>
    <w:rsid w:val="00945D81"/>
    <w:rsid w:val="00945E3E"/>
    <w:rsid w:val="00954EB8"/>
    <w:rsid w:val="009559A6"/>
    <w:rsid w:val="00955C83"/>
    <w:rsid w:val="009562CB"/>
    <w:rsid w:val="00962B8A"/>
    <w:rsid w:val="00990505"/>
    <w:rsid w:val="00992CD9"/>
    <w:rsid w:val="00993CB7"/>
    <w:rsid w:val="009B0744"/>
    <w:rsid w:val="009B4C90"/>
    <w:rsid w:val="009B633C"/>
    <w:rsid w:val="009D0EE3"/>
    <w:rsid w:val="009D3F72"/>
    <w:rsid w:val="009D5D8C"/>
    <w:rsid w:val="009E1175"/>
    <w:rsid w:val="009E6E67"/>
    <w:rsid w:val="009E783A"/>
    <w:rsid w:val="009E7F5F"/>
    <w:rsid w:val="00A019B6"/>
    <w:rsid w:val="00A01F55"/>
    <w:rsid w:val="00A04B63"/>
    <w:rsid w:val="00A04FC0"/>
    <w:rsid w:val="00A1038C"/>
    <w:rsid w:val="00A22369"/>
    <w:rsid w:val="00A2494D"/>
    <w:rsid w:val="00A31C1D"/>
    <w:rsid w:val="00A464D7"/>
    <w:rsid w:val="00A536A1"/>
    <w:rsid w:val="00A62042"/>
    <w:rsid w:val="00A65BF7"/>
    <w:rsid w:val="00A65D16"/>
    <w:rsid w:val="00A67566"/>
    <w:rsid w:val="00A8168A"/>
    <w:rsid w:val="00A81F18"/>
    <w:rsid w:val="00A82210"/>
    <w:rsid w:val="00A930F7"/>
    <w:rsid w:val="00AA48A1"/>
    <w:rsid w:val="00AB0B7D"/>
    <w:rsid w:val="00AB7460"/>
    <w:rsid w:val="00AB78B2"/>
    <w:rsid w:val="00AD3346"/>
    <w:rsid w:val="00AD5F2F"/>
    <w:rsid w:val="00AF40C9"/>
    <w:rsid w:val="00AF4336"/>
    <w:rsid w:val="00B114E4"/>
    <w:rsid w:val="00B25FD1"/>
    <w:rsid w:val="00B260BC"/>
    <w:rsid w:val="00B26819"/>
    <w:rsid w:val="00B27833"/>
    <w:rsid w:val="00B448AB"/>
    <w:rsid w:val="00B5493F"/>
    <w:rsid w:val="00B77B0D"/>
    <w:rsid w:val="00B858D5"/>
    <w:rsid w:val="00BB1859"/>
    <w:rsid w:val="00BB462D"/>
    <w:rsid w:val="00BC40A6"/>
    <w:rsid w:val="00BD113B"/>
    <w:rsid w:val="00BD215E"/>
    <w:rsid w:val="00BE0CF4"/>
    <w:rsid w:val="00BE7474"/>
    <w:rsid w:val="00BF5D08"/>
    <w:rsid w:val="00C026EE"/>
    <w:rsid w:val="00C07222"/>
    <w:rsid w:val="00C07FF6"/>
    <w:rsid w:val="00C14FF2"/>
    <w:rsid w:val="00C32BC2"/>
    <w:rsid w:val="00C337F5"/>
    <w:rsid w:val="00C41057"/>
    <w:rsid w:val="00C43505"/>
    <w:rsid w:val="00C5036A"/>
    <w:rsid w:val="00C561EE"/>
    <w:rsid w:val="00C62242"/>
    <w:rsid w:val="00C7102D"/>
    <w:rsid w:val="00C76F1B"/>
    <w:rsid w:val="00C87B51"/>
    <w:rsid w:val="00CB06FB"/>
    <w:rsid w:val="00CB63C5"/>
    <w:rsid w:val="00CC1E97"/>
    <w:rsid w:val="00CE2D1A"/>
    <w:rsid w:val="00CE4FD3"/>
    <w:rsid w:val="00CE6FD0"/>
    <w:rsid w:val="00CF47B8"/>
    <w:rsid w:val="00D0035F"/>
    <w:rsid w:val="00D0053B"/>
    <w:rsid w:val="00D00EBF"/>
    <w:rsid w:val="00D25F42"/>
    <w:rsid w:val="00D3073B"/>
    <w:rsid w:val="00D30EED"/>
    <w:rsid w:val="00D3134B"/>
    <w:rsid w:val="00D43723"/>
    <w:rsid w:val="00D66DF8"/>
    <w:rsid w:val="00D753CE"/>
    <w:rsid w:val="00D869B5"/>
    <w:rsid w:val="00DB32F0"/>
    <w:rsid w:val="00DB66DE"/>
    <w:rsid w:val="00DB7FBC"/>
    <w:rsid w:val="00DC363F"/>
    <w:rsid w:val="00DC6964"/>
    <w:rsid w:val="00DC7881"/>
    <w:rsid w:val="00DD05E0"/>
    <w:rsid w:val="00DD5701"/>
    <w:rsid w:val="00DF16B9"/>
    <w:rsid w:val="00E117BC"/>
    <w:rsid w:val="00E32BEB"/>
    <w:rsid w:val="00E343A6"/>
    <w:rsid w:val="00E443AC"/>
    <w:rsid w:val="00E47A1E"/>
    <w:rsid w:val="00E517AD"/>
    <w:rsid w:val="00E62F7A"/>
    <w:rsid w:val="00E66930"/>
    <w:rsid w:val="00E7105F"/>
    <w:rsid w:val="00E76E6D"/>
    <w:rsid w:val="00E818DE"/>
    <w:rsid w:val="00E92F76"/>
    <w:rsid w:val="00E94633"/>
    <w:rsid w:val="00E97D29"/>
    <w:rsid w:val="00EA0375"/>
    <w:rsid w:val="00EA602B"/>
    <w:rsid w:val="00EB3A12"/>
    <w:rsid w:val="00EB3E50"/>
    <w:rsid w:val="00EB59B4"/>
    <w:rsid w:val="00ED182F"/>
    <w:rsid w:val="00ED235B"/>
    <w:rsid w:val="00ED2788"/>
    <w:rsid w:val="00ED387E"/>
    <w:rsid w:val="00ED471D"/>
    <w:rsid w:val="00EE37EC"/>
    <w:rsid w:val="00EF2DFA"/>
    <w:rsid w:val="00EF7DCA"/>
    <w:rsid w:val="00F04143"/>
    <w:rsid w:val="00F058D6"/>
    <w:rsid w:val="00F0704E"/>
    <w:rsid w:val="00F17584"/>
    <w:rsid w:val="00F272D7"/>
    <w:rsid w:val="00F273F0"/>
    <w:rsid w:val="00F313F6"/>
    <w:rsid w:val="00F375AC"/>
    <w:rsid w:val="00F4747D"/>
    <w:rsid w:val="00F5012D"/>
    <w:rsid w:val="00F52FE8"/>
    <w:rsid w:val="00F6270A"/>
    <w:rsid w:val="00F70C66"/>
    <w:rsid w:val="00F72310"/>
    <w:rsid w:val="00F73093"/>
    <w:rsid w:val="00F7562B"/>
    <w:rsid w:val="00F86594"/>
    <w:rsid w:val="00F873D4"/>
    <w:rsid w:val="00F9030B"/>
    <w:rsid w:val="00FA3D05"/>
    <w:rsid w:val="00FA5CC9"/>
    <w:rsid w:val="00FB0A2C"/>
    <w:rsid w:val="00FB5EE1"/>
    <w:rsid w:val="00FB60E5"/>
    <w:rsid w:val="00FC59F1"/>
    <w:rsid w:val="00FD22FE"/>
    <w:rsid w:val="00FE3636"/>
    <w:rsid w:val="00FE4B2A"/>
    <w:rsid w:val="00FF56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760407E0"/>
  <w15:chartTrackingRefBased/>
  <w15:docId w15:val="{01927ADF-AC9B-477E-A5E1-0D858762B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A18A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6A18A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A18A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A18A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6A18A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6A18A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6A18A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A18A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A18A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A18A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rsid w:val="006A18A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A18AB"/>
  </w:style>
  <w:style w:type="paragraph" w:customStyle="1" w:styleId="H1">
    <w:name w:val="_ H_1"/>
    <w:basedOn w:val="Normal"/>
    <w:next w:val="Normal"/>
    <w:qFormat/>
    <w:rsid w:val="006A18AB"/>
    <w:pPr>
      <w:keepNext/>
      <w:keepLines/>
      <w:spacing w:line="270" w:lineRule="exact"/>
      <w:outlineLvl w:val="0"/>
    </w:pPr>
    <w:rPr>
      <w:b/>
      <w:kern w:val="14"/>
      <w:sz w:val="24"/>
    </w:rPr>
  </w:style>
  <w:style w:type="paragraph" w:customStyle="1" w:styleId="HCH">
    <w:name w:val="_ H _CH"/>
    <w:basedOn w:val="H1"/>
    <w:next w:val="Normal"/>
    <w:qFormat/>
    <w:rsid w:val="006A18AB"/>
    <w:pPr>
      <w:spacing w:line="300" w:lineRule="exact"/>
    </w:pPr>
    <w:rPr>
      <w:spacing w:val="-2"/>
      <w:sz w:val="28"/>
    </w:rPr>
  </w:style>
  <w:style w:type="paragraph" w:customStyle="1" w:styleId="HM">
    <w:name w:val="_ H __M"/>
    <w:basedOn w:val="HCh0"/>
    <w:next w:val="Normal"/>
    <w:qFormat/>
    <w:rsid w:val="006A18AB"/>
    <w:pPr>
      <w:spacing w:line="360" w:lineRule="exact"/>
    </w:pPr>
    <w:rPr>
      <w:spacing w:val="-3"/>
      <w:w w:val="99"/>
      <w:sz w:val="34"/>
    </w:rPr>
  </w:style>
  <w:style w:type="paragraph" w:customStyle="1" w:styleId="H23">
    <w:name w:val="_ H_2/3"/>
    <w:basedOn w:val="H1"/>
    <w:next w:val="Normal"/>
    <w:qFormat/>
    <w:rsid w:val="006A18AB"/>
    <w:pPr>
      <w:spacing w:line="240" w:lineRule="exact"/>
      <w:outlineLvl w:val="1"/>
    </w:pPr>
    <w:rPr>
      <w:spacing w:val="2"/>
      <w:sz w:val="20"/>
    </w:rPr>
  </w:style>
  <w:style w:type="paragraph" w:customStyle="1" w:styleId="H4">
    <w:name w:val="_ H_4"/>
    <w:basedOn w:val="Normal"/>
    <w:next w:val="Normal"/>
    <w:qFormat/>
    <w:rsid w:val="006A18AB"/>
    <w:pPr>
      <w:keepNext/>
      <w:keepLines/>
      <w:tabs>
        <w:tab w:val="right" w:pos="360"/>
      </w:tabs>
      <w:outlineLvl w:val="3"/>
    </w:pPr>
    <w:rPr>
      <w:i/>
      <w:spacing w:val="3"/>
      <w:kern w:val="14"/>
    </w:rPr>
  </w:style>
  <w:style w:type="paragraph" w:customStyle="1" w:styleId="H56">
    <w:name w:val="_ H_5/6"/>
    <w:basedOn w:val="Normal"/>
    <w:next w:val="Normal"/>
    <w:qFormat/>
    <w:rsid w:val="006A18AB"/>
    <w:pPr>
      <w:keepNext/>
      <w:keepLines/>
      <w:tabs>
        <w:tab w:val="right" w:pos="360"/>
      </w:tabs>
      <w:outlineLvl w:val="4"/>
    </w:pPr>
    <w:rPr>
      <w:kern w:val="14"/>
    </w:rPr>
  </w:style>
  <w:style w:type="paragraph" w:customStyle="1" w:styleId="DualTxt">
    <w:name w:val="__Dual Txt"/>
    <w:basedOn w:val="Normal"/>
    <w:qFormat/>
    <w:rsid w:val="006A18A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A18A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A18AB"/>
    <w:pPr>
      <w:spacing w:line="540" w:lineRule="exact"/>
    </w:pPr>
    <w:rPr>
      <w:spacing w:val="-8"/>
      <w:w w:val="96"/>
      <w:sz w:val="57"/>
    </w:rPr>
  </w:style>
  <w:style w:type="paragraph" w:customStyle="1" w:styleId="SS">
    <w:name w:val="__S_S"/>
    <w:basedOn w:val="HCh0"/>
    <w:next w:val="Normal"/>
    <w:qFormat/>
    <w:rsid w:val="006A18AB"/>
    <w:pPr>
      <w:ind w:left="1267" w:right="1267"/>
    </w:pPr>
  </w:style>
  <w:style w:type="paragraph" w:customStyle="1" w:styleId="SingleTxt">
    <w:name w:val="__Single Txt"/>
    <w:basedOn w:val="Normal"/>
    <w:qFormat/>
    <w:rsid w:val="006A18A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A18A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A18A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A18A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A18AB"/>
    <w:rPr>
      <w:rFonts w:ascii="Tahoma" w:hAnsi="Tahoma" w:cs="Tahoma"/>
      <w:sz w:val="16"/>
      <w:szCs w:val="16"/>
    </w:rPr>
  </w:style>
  <w:style w:type="character" w:customStyle="1" w:styleId="BalloonTextChar">
    <w:name w:val="Balloon Text Char"/>
    <w:basedOn w:val="DefaultParagraphFont"/>
    <w:link w:val="BalloonText"/>
    <w:semiHidden/>
    <w:rsid w:val="006A18AB"/>
    <w:rPr>
      <w:rFonts w:ascii="Tahoma" w:eastAsiaTheme="minorHAnsi" w:hAnsi="Tahoma" w:cs="Tahoma"/>
      <w:spacing w:val="4"/>
      <w:w w:val="103"/>
      <w:sz w:val="16"/>
      <w:szCs w:val="16"/>
      <w:lang w:val="es-ES" w:eastAsia="en-US"/>
    </w:rPr>
  </w:style>
  <w:style w:type="paragraph" w:customStyle="1" w:styleId="Bullet1">
    <w:name w:val="Bullet 1"/>
    <w:basedOn w:val="Normal"/>
    <w:qFormat/>
    <w:rsid w:val="006A18AB"/>
    <w:pPr>
      <w:numPr>
        <w:numId w:val="1"/>
      </w:numPr>
      <w:spacing w:after="120"/>
      <w:ind w:right="1264"/>
      <w:jc w:val="both"/>
    </w:pPr>
  </w:style>
  <w:style w:type="paragraph" w:customStyle="1" w:styleId="Bullet2">
    <w:name w:val="Bullet 2"/>
    <w:basedOn w:val="Normal"/>
    <w:qFormat/>
    <w:rsid w:val="006A18AB"/>
    <w:pPr>
      <w:numPr>
        <w:numId w:val="2"/>
      </w:numPr>
      <w:spacing w:after="120"/>
      <w:ind w:right="1264"/>
      <w:jc w:val="both"/>
    </w:pPr>
  </w:style>
  <w:style w:type="paragraph" w:customStyle="1" w:styleId="Bullet3">
    <w:name w:val="Bullet 3"/>
    <w:basedOn w:val="SingleTxt"/>
    <w:qFormat/>
    <w:rsid w:val="006A18A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A18A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6A18A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A18AB"/>
    <w:pPr>
      <w:spacing w:after="80"/>
    </w:pPr>
  </w:style>
  <w:style w:type="character" w:customStyle="1" w:styleId="EndnoteTextChar">
    <w:name w:val="Endnote Text Char"/>
    <w:basedOn w:val="DefaultParagraphFont"/>
    <w:link w:val="EndnoteText"/>
    <w:semiHidden/>
    <w:rsid w:val="006A18AB"/>
    <w:rPr>
      <w:rFonts w:ascii="Times New Roman" w:eastAsiaTheme="minorHAnsi" w:hAnsi="Times New Roman" w:cs="Times New Roman"/>
      <w:spacing w:val="5"/>
      <w:w w:val="104"/>
      <w:sz w:val="17"/>
      <w:lang w:val="es-ES" w:eastAsia="en-US"/>
    </w:rPr>
  </w:style>
  <w:style w:type="paragraph" w:styleId="Footer">
    <w:name w:val="footer"/>
    <w:link w:val="FooterChar"/>
    <w:qFormat/>
    <w:rsid w:val="006A18A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6A18AB"/>
    <w:rPr>
      <w:rFonts w:ascii="Times New Roman" w:eastAsiaTheme="minorHAnsi" w:hAnsi="Times New Roman" w:cs="Times New Roman"/>
      <w:b/>
      <w:noProof/>
      <w:sz w:val="17"/>
      <w:lang w:val="en-US" w:eastAsia="en-US"/>
    </w:rPr>
  </w:style>
  <w:style w:type="character" w:styleId="FootnoteReference">
    <w:name w:val="footnote reference"/>
    <w:semiHidden/>
    <w:rsid w:val="006A18A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A18A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A18AB"/>
    <w:rPr>
      <w:rFonts w:ascii="Times New Roman" w:eastAsiaTheme="minorHAnsi" w:hAnsi="Times New Roman" w:cs="Times New Roman"/>
      <w:spacing w:val="5"/>
      <w:w w:val="104"/>
      <w:sz w:val="17"/>
      <w:lang w:val="es-ES" w:eastAsia="en-US"/>
    </w:rPr>
  </w:style>
  <w:style w:type="paragraph" w:styleId="Header">
    <w:name w:val="header"/>
    <w:link w:val="HeaderChar"/>
    <w:qFormat/>
    <w:rsid w:val="006A18A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6A18A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A18A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6A18A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6A18A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6A18A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6A18A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6A18A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A18A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6A18A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6A18AB"/>
    <w:rPr>
      <w:rFonts w:ascii="Cambria" w:eastAsia="Times New Roman" w:hAnsi="Cambria" w:cs="Times New Roman"/>
      <w:i/>
      <w:iCs/>
      <w:spacing w:val="5"/>
      <w:w w:val="103"/>
      <w:sz w:val="20"/>
      <w:szCs w:val="20"/>
      <w:lang w:val="es-ES" w:eastAsia="en-US"/>
    </w:rPr>
  </w:style>
  <w:style w:type="character" w:styleId="LineNumber">
    <w:name w:val="line number"/>
    <w:qFormat/>
    <w:rsid w:val="006A18AB"/>
    <w:rPr>
      <w:sz w:val="14"/>
    </w:rPr>
  </w:style>
  <w:style w:type="paragraph" w:styleId="ListParagraph">
    <w:name w:val="List Paragraph"/>
    <w:basedOn w:val="Normal"/>
    <w:uiPriority w:val="34"/>
    <w:rsid w:val="006A18AB"/>
    <w:pPr>
      <w:ind w:left="720"/>
      <w:contextualSpacing/>
    </w:pPr>
  </w:style>
  <w:style w:type="paragraph" w:styleId="NoSpacing">
    <w:name w:val="No Spacing"/>
    <w:basedOn w:val="Normal"/>
    <w:uiPriority w:val="1"/>
    <w:rsid w:val="006A18AB"/>
    <w:pPr>
      <w:spacing w:line="240" w:lineRule="auto"/>
    </w:pPr>
  </w:style>
  <w:style w:type="paragraph" w:customStyle="1" w:styleId="Original">
    <w:name w:val="Original"/>
    <w:next w:val="Normal"/>
    <w:autoRedefine/>
    <w:qFormat/>
    <w:rsid w:val="006A18A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6A18A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6A18A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A18AB"/>
    <w:pPr>
      <w:tabs>
        <w:tab w:val="right" w:pos="9965"/>
      </w:tabs>
      <w:spacing w:line="210" w:lineRule="exact"/>
    </w:pPr>
    <w:rPr>
      <w:spacing w:val="5"/>
      <w:w w:val="104"/>
      <w:kern w:val="14"/>
      <w:sz w:val="17"/>
    </w:rPr>
  </w:style>
  <w:style w:type="paragraph" w:customStyle="1" w:styleId="SmallX">
    <w:name w:val="SmallX"/>
    <w:basedOn w:val="Small"/>
    <w:next w:val="Normal"/>
    <w:qFormat/>
    <w:rsid w:val="006A18AB"/>
    <w:pPr>
      <w:spacing w:line="180" w:lineRule="exact"/>
      <w:jc w:val="right"/>
    </w:pPr>
    <w:rPr>
      <w:spacing w:val="6"/>
      <w:w w:val="106"/>
      <w:sz w:val="14"/>
    </w:rPr>
  </w:style>
  <w:style w:type="character" w:styleId="Strong">
    <w:name w:val="Strong"/>
    <w:uiPriority w:val="22"/>
    <w:rsid w:val="006A18AB"/>
    <w:rPr>
      <w:b/>
      <w:bCs/>
    </w:rPr>
  </w:style>
  <w:style w:type="paragraph" w:customStyle="1" w:styleId="Style1">
    <w:name w:val="Style1"/>
    <w:basedOn w:val="Normal"/>
    <w:qFormat/>
    <w:rsid w:val="006A18AB"/>
  </w:style>
  <w:style w:type="paragraph" w:customStyle="1" w:styleId="Style2">
    <w:name w:val="Style2"/>
    <w:basedOn w:val="Normal"/>
    <w:autoRedefine/>
    <w:qFormat/>
    <w:rsid w:val="006A18AB"/>
  </w:style>
  <w:style w:type="paragraph" w:customStyle="1" w:styleId="TitleHCH">
    <w:name w:val="Title_H_CH"/>
    <w:basedOn w:val="HCh0"/>
    <w:next w:val="SingleTxt"/>
    <w:qFormat/>
    <w:rsid w:val="006A18A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A18A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A18AB"/>
    <w:pPr>
      <w:tabs>
        <w:tab w:val="right" w:leader="dot" w:pos="360"/>
      </w:tabs>
      <w:spacing w:line="390" w:lineRule="exact"/>
    </w:pPr>
    <w:rPr>
      <w:spacing w:val="-4"/>
      <w:w w:val="98"/>
      <w:sz w:val="40"/>
    </w:rPr>
  </w:style>
  <w:style w:type="paragraph" w:customStyle="1" w:styleId="Session">
    <w:name w:val="Session"/>
    <w:basedOn w:val="H23"/>
    <w:qFormat/>
    <w:rsid w:val="006A18AB"/>
  </w:style>
  <w:style w:type="paragraph" w:customStyle="1" w:styleId="Sponsors">
    <w:name w:val="Sponsors"/>
    <w:basedOn w:val="H1"/>
    <w:next w:val="Normal"/>
    <w:qFormat/>
    <w:rsid w:val="006A18AB"/>
    <w:pPr>
      <w:spacing w:line="240" w:lineRule="exact"/>
      <w:outlineLvl w:val="1"/>
    </w:pPr>
    <w:rPr>
      <w:spacing w:val="2"/>
      <w:sz w:val="20"/>
    </w:rPr>
  </w:style>
  <w:style w:type="paragraph" w:customStyle="1" w:styleId="STitleM">
    <w:name w:val="S_Title_M"/>
    <w:basedOn w:val="Normal"/>
    <w:next w:val="Normal"/>
    <w:qFormat/>
    <w:rsid w:val="006A18AB"/>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6A18AB"/>
    <w:pPr>
      <w:ind w:left="1267" w:right="1267"/>
    </w:pPr>
  </w:style>
  <w:style w:type="paragraph" w:customStyle="1" w:styleId="STitleL">
    <w:name w:val="S_Title_L"/>
    <w:basedOn w:val="SM"/>
    <w:next w:val="Normal"/>
    <w:qFormat/>
    <w:rsid w:val="006A18AB"/>
    <w:pPr>
      <w:spacing w:line="540" w:lineRule="exact"/>
    </w:pPr>
    <w:rPr>
      <w:spacing w:val="-8"/>
      <w:w w:val="96"/>
      <w:sz w:val="57"/>
    </w:rPr>
  </w:style>
  <w:style w:type="paragraph" w:customStyle="1" w:styleId="SummaryRecord">
    <w:name w:val="SummaryRecord"/>
    <w:basedOn w:val="H23"/>
    <w:next w:val="Session"/>
    <w:qFormat/>
    <w:rsid w:val="006A18AB"/>
  </w:style>
  <w:style w:type="paragraph" w:customStyle="1" w:styleId="SRMeetingInfo">
    <w:name w:val="SR_Meeting_Info"/>
    <w:next w:val="Normal"/>
    <w:qFormat/>
    <w:rsid w:val="006A18AB"/>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6A18A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6A18AB"/>
    <w:pPr>
      <w:spacing w:line="300" w:lineRule="exact"/>
    </w:pPr>
    <w:rPr>
      <w:spacing w:val="-2"/>
      <w:sz w:val="28"/>
    </w:rPr>
  </w:style>
  <w:style w:type="paragraph" w:styleId="Caption">
    <w:name w:val="caption"/>
    <w:basedOn w:val="Normal"/>
    <w:next w:val="Normal"/>
    <w:uiPriority w:val="35"/>
    <w:semiHidden/>
    <w:unhideWhenUsed/>
    <w:rsid w:val="006A18AB"/>
    <w:pPr>
      <w:spacing w:line="240" w:lineRule="auto"/>
    </w:pPr>
    <w:rPr>
      <w:b/>
      <w:bCs/>
      <w:color w:val="4F81BD"/>
      <w:sz w:val="18"/>
      <w:szCs w:val="18"/>
    </w:rPr>
  </w:style>
  <w:style w:type="character" w:styleId="CommentReference">
    <w:name w:val="annotation reference"/>
    <w:semiHidden/>
    <w:rsid w:val="006A18AB"/>
    <w:rPr>
      <w:sz w:val="6"/>
    </w:rPr>
  </w:style>
  <w:style w:type="paragraph" w:customStyle="1" w:styleId="HdBanner">
    <w:name w:val="Hd Banner"/>
    <w:basedOn w:val="Normal"/>
    <w:next w:val="Normal"/>
    <w:qFormat/>
    <w:rsid w:val="006A18A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A18A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A18AB"/>
    <w:pPr>
      <w:spacing w:before="240"/>
    </w:pPr>
    <w:rPr>
      <w:b/>
      <w:spacing w:val="-2"/>
      <w:w w:val="100"/>
    </w:rPr>
  </w:style>
  <w:style w:type="paragraph" w:customStyle="1" w:styleId="HdChapterBdLg">
    <w:name w:val="Hd Chapter Bd Lg"/>
    <w:basedOn w:val="HdChapterBD"/>
    <w:next w:val="Normal"/>
    <w:qFormat/>
    <w:rsid w:val="006A18AB"/>
    <w:rPr>
      <w:spacing w:val="-3"/>
      <w:w w:val="99"/>
      <w:kern w:val="14"/>
      <w:sz w:val="34"/>
      <w:szCs w:val="34"/>
    </w:rPr>
  </w:style>
  <w:style w:type="paragraph" w:customStyle="1" w:styleId="JournalHeading1">
    <w:name w:val="Journal_Heading1"/>
    <w:basedOn w:val="Normal"/>
    <w:next w:val="Normal"/>
    <w:qFormat/>
    <w:rsid w:val="006A18AB"/>
    <w:pPr>
      <w:keepNext/>
      <w:spacing w:before="190" w:line="270" w:lineRule="exact"/>
    </w:pPr>
    <w:rPr>
      <w:b/>
      <w:kern w:val="14"/>
      <w:sz w:val="24"/>
    </w:rPr>
  </w:style>
  <w:style w:type="paragraph" w:customStyle="1" w:styleId="JournalHeading2">
    <w:name w:val="Journal_Heading2"/>
    <w:basedOn w:val="Normal"/>
    <w:next w:val="Normal"/>
    <w:qFormat/>
    <w:rsid w:val="006A18AB"/>
    <w:pPr>
      <w:keepNext/>
      <w:keepLines/>
      <w:spacing w:before="240"/>
      <w:outlineLvl w:val="1"/>
    </w:pPr>
    <w:rPr>
      <w:b/>
      <w:spacing w:val="2"/>
      <w:kern w:val="14"/>
    </w:rPr>
  </w:style>
  <w:style w:type="paragraph" w:customStyle="1" w:styleId="JournalHeading4">
    <w:name w:val="Journal_Heading4"/>
    <w:basedOn w:val="Normal"/>
    <w:next w:val="Normal"/>
    <w:qFormat/>
    <w:rsid w:val="006A18AB"/>
    <w:pPr>
      <w:keepNext/>
      <w:keepLines/>
      <w:spacing w:before="240"/>
      <w:outlineLvl w:val="3"/>
    </w:pPr>
    <w:rPr>
      <w:i/>
      <w:kern w:val="14"/>
    </w:rPr>
  </w:style>
  <w:style w:type="paragraph" w:customStyle="1" w:styleId="NormalBullet">
    <w:name w:val="Normal Bullet"/>
    <w:basedOn w:val="Normal"/>
    <w:next w:val="Normal"/>
    <w:qFormat/>
    <w:rsid w:val="006A18A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6A18AB"/>
    <w:pPr>
      <w:tabs>
        <w:tab w:val="left" w:leader="dot" w:pos="2218"/>
        <w:tab w:val="left" w:pos="2707"/>
        <w:tab w:val="right" w:leader="dot" w:pos="9835"/>
      </w:tabs>
    </w:pPr>
    <w:rPr>
      <w:kern w:val="14"/>
    </w:rPr>
  </w:style>
  <w:style w:type="paragraph" w:customStyle="1" w:styleId="ReleaseDate0">
    <w:name w:val="ReleaseDate"/>
    <w:next w:val="Footer"/>
    <w:autoRedefine/>
    <w:qFormat/>
    <w:rsid w:val="006A18AB"/>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A18AB"/>
    <w:pPr>
      <w:outlineLvl w:val="9"/>
    </w:pPr>
    <w:rPr>
      <w:rFonts w:eastAsiaTheme="majorEastAsia" w:cstheme="majorBidi"/>
      <w:lang w:bidi="en-US"/>
    </w:rPr>
  </w:style>
  <w:style w:type="paragraph" w:customStyle="1" w:styleId="SRContents">
    <w:name w:val="SR_Contents"/>
    <w:basedOn w:val="Normal"/>
    <w:qFormat/>
    <w:rsid w:val="006A18A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6A18AB"/>
    <w:rPr>
      <w:color w:val="0000FF"/>
      <w:u w:val="single"/>
    </w:rPr>
  </w:style>
  <w:style w:type="character" w:styleId="Hyperlink">
    <w:name w:val="Hyperlink"/>
    <w:basedOn w:val="DefaultParagraphFont"/>
    <w:uiPriority w:val="99"/>
    <w:semiHidden/>
    <w:unhideWhenUsed/>
    <w:rsid w:val="006A18AB"/>
    <w:rPr>
      <w:color w:val="0000FF" w:themeColor="hyperlink"/>
      <w:u w:val="single"/>
    </w:rPr>
  </w:style>
  <w:style w:type="paragraph" w:customStyle="1" w:styleId="AgendaItemNumber">
    <w:name w:val="Agenda_Item_Number"/>
    <w:next w:val="Normal"/>
    <w:qFormat/>
    <w:rsid w:val="006A18A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6A18AB"/>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6A18AB"/>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6A18AB"/>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6A18AB"/>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46BB0"/>
    <w:pPr>
      <w:spacing w:line="240" w:lineRule="auto"/>
    </w:pPr>
    <w:rPr>
      <w:szCs w:val="20"/>
    </w:rPr>
  </w:style>
  <w:style w:type="character" w:customStyle="1" w:styleId="CommentTextChar">
    <w:name w:val="Comment Text Char"/>
    <w:basedOn w:val="DefaultParagraphFont"/>
    <w:link w:val="CommentText"/>
    <w:uiPriority w:val="99"/>
    <w:semiHidden/>
    <w:rsid w:val="00646BB0"/>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46BB0"/>
    <w:rPr>
      <w:b/>
      <w:bCs/>
    </w:rPr>
  </w:style>
  <w:style w:type="character" w:customStyle="1" w:styleId="CommentSubjectChar">
    <w:name w:val="Comment Subject Char"/>
    <w:basedOn w:val="CommentTextChar"/>
    <w:link w:val="CommentSubject"/>
    <w:uiPriority w:val="99"/>
    <w:semiHidden/>
    <w:rsid w:val="00646BB0"/>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DC6964"/>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14075</Words>
  <Characters>72914</Characters>
  <Application>Microsoft Office Word</Application>
  <DocSecurity>0</DocSecurity>
  <Lines>1325</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Maria Cristina Arias Bal</cp:lastModifiedBy>
  <cp:revision>3</cp:revision>
  <cp:lastPrinted>2021-02-15T17:34:00Z</cp:lastPrinted>
  <dcterms:created xsi:type="dcterms:W3CDTF">2021-02-15T17:34:00Z</dcterms:created>
  <dcterms:modified xsi:type="dcterms:W3CDTF">2021-02-15T17:34:00Z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2015541</vt:lpwstr>
  </property>
  <property fmtid="{D5CDD505-2E9C-101B-9397-08002B2CF9AE}" pid="3" name="ODSRefJobNo">
    <vt:lpwstr>2032107</vt:lpwstr>
  </property>
  <property fmtid="{D5CDD505-2E9C-101B-9397-08002B2CF9AE}" pid="4" name="Symbol1">
    <vt:lpwstr>CEDAW/C/RUS/RQ/9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Session1">
    <vt:lpwstr>78º período de sesiones_x000d_</vt:lpwstr>
  </property>
  <property fmtid="{D5CDD505-2E9C-101B-9397-08002B2CF9AE}" pid="9" name="Agenda1">
    <vt:lpwstr>Tema 4 del programa provisional_x000d_</vt:lpwstr>
  </property>
  <property fmtid="{D5CDD505-2E9C-101B-9397-08002B2CF9AE}" pid="10"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1" name="Title1">
    <vt:lpwstr>		Respuestas de la Federación de Rusia a la lista de cuestiones y preguntas relativas a su noveno informe periódico*, **,***_x000d_</vt:lpwstr>
  </property>
  <property fmtid="{D5CDD505-2E9C-101B-9397-08002B2CF9AE}" pid="12" name="Comment">
    <vt:lpwstr>FINAL</vt:lpwstr>
  </property>
  <property fmtid="{D5CDD505-2E9C-101B-9397-08002B2CF9AE}" pid="13" name="DraftPages">
    <vt:lpwstr> </vt:lpwstr>
  </property>
  <property fmtid="{D5CDD505-2E9C-101B-9397-08002B2CF9AE}" pid="14" name="Operator">
    <vt:lpwstr>pl</vt:lpwstr>
  </property>
  <property fmtid="{D5CDD505-2E9C-101B-9397-08002B2CF9AE}" pid="15" name="Translator">
    <vt:lpwstr/>
  </property>
</Properties>
</file>