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DA7116" w:rsidRDefault="00307688" w:rsidP="00DA7116">
            <w:pPr>
              <w:pStyle w:val="SingleTxtG"/>
              <w:rPr>
                <w:lang w:val="fr-CH"/>
              </w:rPr>
            </w:pPr>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175CE3" w:rsidP="00175CE3">
            <w:pPr>
              <w:suppressAutoHyphens w:val="0"/>
              <w:spacing w:after="20"/>
              <w:jc w:val="right"/>
            </w:pPr>
            <w:r w:rsidRPr="00175CE3">
              <w:rPr>
                <w:sz w:val="40"/>
              </w:rPr>
              <w:t>CERD</w:t>
            </w:r>
            <w:r>
              <w:t>/C/FIN/Q/23</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val="en-US" w:eastAsia="zh-CN"/>
              </w:rPr>
              <w:drawing>
                <wp:inline distT="0" distB="0" distL="0" distR="0" wp14:anchorId="6B8B31AC" wp14:editId="55FD7F3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175CE3" w:rsidP="00175CE3">
            <w:pPr>
              <w:suppressAutoHyphens w:val="0"/>
              <w:spacing w:before="240" w:line="240" w:lineRule="exact"/>
            </w:pPr>
            <w:r>
              <w:t>Distr.: General</w:t>
            </w:r>
          </w:p>
          <w:p w:rsidR="00175CE3" w:rsidRDefault="00175CE3" w:rsidP="00AD74C1">
            <w:pPr>
              <w:suppressAutoHyphens w:val="0"/>
            </w:pPr>
            <w:r>
              <w:t>2</w:t>
            </w:r>
            <w:r w:rsidR="00891B9F">
              <w:t>7</w:t>
            </w:r>
            <w:r>
              <w:t xml:space="preserve"> February 2017</w:t>
            </w:r>
          </w:p>
          <w:p w:rsidR="00175CE3" w:rsidRDefault="00175CE3" w:rsidP="00175CE3">
            <w:pPr>
              <w:suppressAutoHyphens w:val="0"/>
            </w:pPr>
          </w:p>
          <w:p w:rsidR="00175CE3" w:rsidRDefault="00175CE3" w:rsidP="00175CE3">
            <w:pPr>
              <w:suppressAutoHyphens w:val="0"/>
            </w:pPr>
            <w:r>
              <w:t>Original: English</w:t>
            </w:r>
          </w:p>
          <w:p w:rsidR="00175CE3" w:rsidRDefault="00175CE3" w:rsidP="00175CE3">
            <w:pPr>
              <w:suppressAutoHyphens w:val="0"/>
            </w:pPr>
            <w:r>
              <w:t>English, French and Spanish only</w:t>
            </w:r>
          </w:p>
        </w:tc>
      </w:tr>
    </w:tbl>
    <w:p w:rsidR="00175CE3" w:rsidRPr="00175CE3" w:rsidRDefault="00175CE3" w:rsidP="00175CE3">
      <w:pPr>
        <w:spacing w:before="120"/>
        <w:rPr>
          <w:b/>
          <w:bCs/>
          <w:sz w:val="24"/>
        </w:rPr>
      </w:pPr>
      <w:r w:rsidRPr="00175CE3">
        <w:rPr>
          <w:b/>
          <w:bCs/>
          <w:sz w:val="24"/>
        </w:rPr>
        <w:t>Committee on the Elimination of Racial Discrimination</w:t>
      </w:r>
    </w:p>
    <w:p w:rsidR="00175CE3" w:rsidRPr="00175CE3" w:rsidRDefault="00175CE3" w:rsidP="00175CE3">
      <w:pPr>
        <w:rPr>
          <w:b/>
          <w:bCs/>
        </w:rPr>
      </w:pPr>
      <w:r w:rsidRPr="00175CE3">
        <w:rPr>
          <w:b/>
          <w:bCs/>
        </w:rPr>
        <w:t xml:space="preserve">Ninety-second </w:t>
      </w:r>
      <w:proofErr w:type="gramStart"/>
      <w:r w:rsidRPr="00175CE3">
        <w:rPr>
          <w:b/>
          <w:bCs/>
        </w:rPr>
        <w:t>session</w:t>
      </w:r>
      <w:proofErr w:type="gramEnd"/>
    </w:p>
    <w:p w:rsidR="00175CE3" w:rsidRPr="00175CE3" w:rsidRDefault="00175CE3" w:rsidP="00175CE3">
      <w:r w:rsidRPr="00175CE3">
        <w:t>24 April-12 May 2017</w:t>
      </w:r>
    </w:p>
    <w:p w:rsidR="00175CE3" w:rsidRPr="00175CE3" w:rsidRDefault="00175CE3" w:rsidP="00175CE3">
      <w:r>
        <w:t xml:space="preserve">Item 4 </w:t>
      </w:r>
      <w:r w:rsidRPr="00175CE3">
        <w:t>of the provisional agenda</w:t>
      </w:r>
    </w:p>
    <w:p w:rsidR="00175CE3" w:rsidRPr="00175CE3" w:rsidRDefault="00175CE3" w:rsidP="00175CE3">
      <w:pPr>
        <w:rPr>
          <w:b/>
          <w:bCs/>
        </w:rPr>
      </w:pPr>
      <w:r w:rsidRPr="00175CE3">
        <w:rPr>
          <w:b/>
          <w:bCs/>
        </w:rPr>
        <w:t>Consideration of reports, comments and information submitted</w:t>
      </w:r>
      <w:r w:rsidRPr="00175CE3">
        <w:rPr>
          <w:b/>
          <w:bCs/>
        </w:rPr>
        <w:br/>
        <w:t>by States parties under article 9 of the Convention</w:t>
      </w:r>
    </w:p>
    <w:p w:rsidR="00175CE3" w:rsidRPr="00175CE3" w:rsidRDefault="00175CE3" w:rsidP="00175CE3">
      <w:pPr>
        <w:pStyle w:val="HChG"/>
        <w:rPr>
          <w:rFonts w:eastAsia="SimSun"/>
        </w:rPr>
      </w:pPr>
      <w:r w:rsidRPr="00175CE3">
        <w:rPr>
          <w:rFonts w:eastAsia="SimSun"/>
        </w:rPr>
        <w:tab/>
      </w:r>
      <w:r w:rsidRPr="00175CE3">
        <w:rPr>
          <w:rFonts w:eastAsia="SimSun"/>
        </w:rPr>
        <w:tab/>
        <w:t>List of themes in relation to the twenty-third periodic report of Finland</w:t>
      </w:r>
      <w:bookmarkStart w:id="0" w:name="_GoBack"/>
      <w:bookmarkEnd w:id="0"/>
    </w:p>
    <w:p w:rsidR="00175CE3" w:rsidRPr="00175CE3" w:rsidRDefault="00175CE3" w:rsidP="00175CE3">
      <w:pPr>
        <w:pStyle w:val="H1G"/>
        <w:rPr>
          <w:rFonts w:eastAsia="SimSun"/>
        </w:rPr>
      </w:pPr>
      <w:r w:rsidRPr="00175CE3">
        <w:rPr>
          <w:rFonts w:eastAsia="SimSun"/>
        </w:rPr>
        <w:tab/>
      </w:r>
      <w:r w:rsidRPr="00175CE3">
        <w:rPr>
          <w:rFonts w:eastAsia="SimSun"/>
        </w:rPr>
        <w:tab/>
        <w:t>Note by the Country Rapporteur</w:t>
      </w:r>
    </w:p>
    <w:p w:rsidR="00175CE3" w:rsidRPr="00175CE3" w:rsidRDefault="00175CE3" w:rsidP="00175CE3">
      <w:pPr>
        <w:pStyle w:val="SingleTxtG"/>
      </w:pPr>
      <w:r w:rsidRPr="00175CE3">
        <w:t>1.</w:t>
      </w:r>
      <w:r w:rsidRPr="00175CE3">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w:t>
      </w:r>
      <w:r w:rsidR="00822BDC">
        <w:t>’</w:t>
      </w:r>
      <w:r w:rsidRPr="00175CE3">
        <w:t>s delegation and the Committee during the consideration of the State party</w:t>
      </w:r>
      <w:r w:rsidR="00822BDC">
        <w:t>’</w:t>
      </w:r>
      <w:r w:rsidRPr="00175CE3">
        <w:t>s report. The present document contains a list of such themes. This is not an exhaustive list; other issues may also be raised in the course of the dialogue. No written replies are required.</w:t>
      </w:r>
    </w:p>
    <w:p w:rsidR="00175CE3" w:rsidRPr="00175CE3" w:rsidRDefault="00175CE3" w:rsidP="00175CE3">
      <w:pPr>
        <w:pStyle w:val="H23G"/>
        <w:rPr>
          <w:rFonts w:eastAsia="SimSun"/>
        </w:rPr>
      </w:pPr>
      <w:r w:rsidRPr="00175CE3">
        <w:rPr>
          <w:rFonts w:eastAsia="SimSun"/>
        </w:rPr>
        <w:tab/>
      </w:r>
      <w:r w:rsidRPr="00175CE3">
        <w:rPr>
          <w:rFonts w:eastAsia="SimSun"/>
        </w:rPr>
        <w:tab/>
        <w:t>Legal, institutional and public policy framework for combating racial discrimination (arts. 2-7)</w:t>
      </w:r>
    </w:p>
    <w:p w:rsidR="00175CE3" w:rsidRPr="00175CE3" w:rsidRDefault="00175CE3" w:rsidP="00175CE3">
      <w:pPr>
        <w:pStyle w:val="SingleTxtG"/>
      </w:pPr>
      <w:r w:rsidRPr="00175CE3">
        <w:t>2.</w:t>
      </w:r>
      <w:r w:rsidRPr="00175CE3">
        <w:tab/>
        <w:t>Results of the concrete projects implemented through the National Action Plan on Fundamental and Human Rights 2012-2013 (statistics concerning the application of laws on racial discrimination) (CERD/C/FIN/23, para. 20).</w:t>
      </w:r>
    </w:p>
    <w:p w:rsidR="00175CE3" w:rsidRPr="00175CE3" w:rsidRDefault="00175CE3" w:rsidP="00175CE3">
      <w:pPr>
        <w:pStyle w:val="SingleTxtG"/>
      </w:pPr>
      <w:r w:rsidRPr="00175CE3">
        <w:t>3.</w:t>
      </w:r>
      <w:r w:rsidRPr="00175CE3">
        <w:tab/>
        <w:t>Details about the Future of Migration 2020 Strategy and the action plan on asylum policies on the rates of immigration and asylum grants (CERD/C/FIN/23, paras. 50 and 57-58).</w:t>
      </w:r>
    </w:p>
    <w:p w:rsidR="00175CE3" w:rsidRPr="00175CE3" w:rsidRDefault="00175CE3" w:rsidP="00175CE3">
      <w:pPr>
        <w:pStyle w:val="SingleTxtG"/>
      </w:pPr>
      <w:r w:rsidRPr="00175CE3">
        <w:t>4.</w:t>
      </w:r>
      <w:r w:rsidRPr="00175CE3">
        <w:tab/>
        <w:t>The nature, effectiveness and impact of specific activities to raise public awareness on racist hate speech (CERD/C/FIN/CO/20-22, para. 10; CERD/C/FIN/23, paras. 97, 99 and 104).</w:t>
      </w:r>
    </w:p>
    <w:p w:rsidR="00175CE3" w:rsidRPr="00175CE3" w:rsidRDefault="00175CE3" w:rsidP="001077BA">
      <w:pPr>
        <w:pStyle w:val="SingleTxtG"/>
      </w:pPr>
      <w:r w:rsidRPr="00175CE3">
        <w:t>5.</w:t>
      </w:r>
      <w:r w:rsidRPr="00175CE3">
        <w:tab/>
        <w:t>The effectiveness of Criminal Code amendment 511/2011 in detecting and combating racist hate speech (number of charges brought forward and number of alleged perpetrators prosecuted</w:t>
      </w:r>
      <w:r w:rsidR="001077BA">
        <w:t xml:space="preserve"> </w:t>
      </w:r>
      <w:r w:rsidRPr="00175CE3">
        <w:t xml:space="preserve">etc.) </w:t>
      </w:r>
      <w:proofErr w:type="gramStart"/>
      <w:r w:rsidRPr="00175CE3">
        <w:t>(CERD/C/FIN/CO/20-22, para. 10; CERD/C/FIN/23, para.</w:t>
      </w:r>
      <w:r w:rsidR="00822BDC">
        <w:t xml:space="preserve"> </w:t>
      </w:r>
      <w:r w:rsidRPr="00175CE3">
        <w:t>97).</w:t>
      </w:r>
      <w:proofErr w:type="gramEnd"/>
      <w:r w:rsidRPr="00175CE3">
        <w:t xml:space="preserve"> </w:t>
      </w:r>
    </w:p>
    <w:p w:rsidR="00175CE3" w:rsidRPr="00175CE3" w:rsidRDefault="00175CE3" w:rsidP="00175CE3">
      <w:pPr>
        <w:pStyle w:val="SingleTxtG"/>
      </w:pPr>
      <w:r w:rsidRPr="00175CE3">
        <w:t>6.</w:t>
      </w:r>
      <w:r w:rsidRPr="00175CE3">
        <w:tab/>
        <w:t>The effectiveness of the training provided to police officers and members of the judicial administration concerning hate crimes, intolerance and racism (CERD/C/FIN/23, paras. 230-234).</w:t>
      </w:r>
    </w:p>
    <w:p w:rsidR="00175CE3" w:rsidRPr="00175CE3" w:rsidRDefault="00175CE3" w:rsidP="00175CE3">
      <w:pPr>
        <w:pStyle w:val="H23G"/>
        <w:rPr>
          <w:rFonts w:eastAsia="SimSun"/>
        </w:rPr>
      </w:pPr>
      <w:r>
        <w:rPr>
          <w:rFonts w:eastAsia="SimSun"/>
        </w:rPr>
        <w:lastRenderedPageBreak/>
        <w:tab/>
      </w:r>
      <w:r>
        <w:rPr>
          <w:rFonts w:eastAsia="SimSun"/>
        </w:rPr>
        <w:tab/>
      </w:r>
      <w:r w:rsidRPr="00175CE3">
        <w:rPr>
          <w:rFonts w:eastAsia="SimSun"/>
        </w:rPr>
        <w:t>Situation of the Sami (arts.</w:t>
      </w:r>
      <w:r w:rsidR="00822BDC">
        <w:rPr>
          <w:rFonts w:eastAsia="SimSun"/>
        </w:rPr>
        <w:t xml:space="preserve"> </w:t>
      </w:r>
      <w:r w:rsidRPr="00175CE3">
        <w:rPr>
          <w:rFonts w:eastAsia="SimSun"/>
        </w:rPr>
        <w:t xml:space="preserve">2-7) </w:t>
      </w:r>
    </w:p>
    <w:p w:rsidR="00175CE3" w:rsidRPr="00175CE3" w:rsidRDefault="00175CE3" w:rsidP="00175CE3">
      <w:pPr>
        <w:pStyle w:val="SingleTxtG"/>
      </w:pPr>
      <w:r w:rsidRPr="00175CE3">
        <w:t>7.</w:t>
      </w:r>
      <w:r w:rsidRPr="00175CE3">
        <w:tab/>
        <w:t>Any efforts to revise the Sami Parliament Act (since the cancellation of bill 167/2014 in March</w:t>
      </w:r>
      <w:r w:rsidR="00822BDC">
        <w:t xml:space="preserve"> </w:t>
      </w:r>
      <w:r w:rsidRPr="00175CE3">
        <w:t>2015) and to incorporate into domestic law the Nordic Sami Convention that was signed on 13 January 2017 (CERD/C/FIN/CO/20-22, paras. 11-12; CERD/C/FIN/23, para.</w:t>
      </w:r>
      <w:r w:rsidR="00822BDC">
        <w:t xml:space="preserve"> </w:t>
      </w:r>
      <w:r w:rsidRPr="00175CE3">
        <w:t>140).</w:t>
      </w:r>
    </w:p>
    <w:p w:rsidR="00175CE3" w:rsidRPr="00175CE3" w:rsidRDefault="00175CE3" w:rsidP="00175CE3">
      <w:pPr>
        <w:pStyle w:val="SingleTxtG"/>
      </w:pPr>
      <w:r w:rsidRPr="00175CE3">
        <w:t>8.</w:t>
      </w:r>
      <w:r w:rsidRPr="00175CE3">
        <w:tab/>
        <w:t>Legislative measures to protect the rights of the Sami people in their traditional lands and to resume consideration of the proposal to ratify the Indigenous and Tribal Peoples Convention, 1989 (No. 169), of the International Labour Organization (CERD/C/FIN/CO/20-22, para.</w:t>
      </w:r>
      <w:r w:rsidR="00822BDC">
        <w:t xml:space="preserve"> </w:t>
      </w:r>
      <w:r w:rsidRPr="00175CE3">
        <w:t>13; CERD/C/FIN/23, paras.</w:t>
      </w:r>
      <w:r w:rsidR="00822BDC">
        <w:t xml:space="preserve"> </w:t>
      </w:r>
      <w:r w:rsidRPr="00175CE3">
        <w:t>256-259).</w:t>
      </w:r>
    </w:p>
    <w:p w:rsidR="00175CE3" w:rsidRPr="00175CE3" w:rsidRDefault="00175CE3" w:rsidP="00175CE3">
      <w:pPr>
        <w:pStyle w:val="SingleTxtG"/>
      </w:pPr>
      <w:r w:rsidRPr="00175CE3">
        <w:t>9.</w:t>
      </w:r>
      <w:r w:rsidRPr="00175CE3">
        <w:tab/>
        <w:t>Measures to protect the traditional Sami livelihood activities of fishing and reindeer husbandry (CERD/C/FIN/CO/20-22, para.</w:t>
      </w:r>
      <w:r w:rsidR="00822BDC">
        <w:t xml:space="preserve"> </w:t>
      </w:r>
      <w:r w:rsidRPr="00175CE3">
        <w:t>13).</w:t>
      </w:r>
    </w:p>
    <w:p w:rsidR="00175CE3" w:rsidRPr="00175CE3" w:rsidRDefault="00175CE3" w:rsidP="00175CE3">
      <w:pPr>
        <w:pStyle w:val="SingleTxtG"/>
      </w:pPr>
      <w:r w:rsidRPr="00175CE3">
        <w:t>10.</w:t>
      </w:r>
      <w:r w:rsidRPr="00175CE3">
        <w:tab/>
        <w:t>The nature of and progress made in implementing the specific measures set out in the action plan for the revival of Sami languages, and measures taken to train additional Sami language teachers (CERD/C/FIN/CO/20-22, para. 14; CERD/C/FIN/23, paras. 163-164 and</w:t>
      </w:r>
      <w:r w:rsidR="00822BDC">
        <w:t xml:space="preserve"> </w:t>
      </w:r>
      <w:r w:rsidRPr="00175CE3">
        <w:t>170).</w:t>
      </w:r>
    </w:p>
    <w:p w:rsidR="00175CE3" w:rsidRPr="00175CE3" w:rsidRDefault="00175CE3" w:rsidP="00175CE3">
      <w:pPr>
        <w:pStyle w:val="SingleTxtG"/>
      </w:pPr>
      <w:r w:rsidRPr="00175CE3">
        <w:t>11.</w:t>
      </w:r>
      <w:r w:rsidRPr="00175CE3">
        <w:tab/>
        <w:t>Measures taken, through the SaKaste or other projects at the national or municipal level, to provide adequate health and social care services in Sami languages (CERD/C/FIN/CO/20-22, para.</w:t>
      </w:r>
      <w:r w:rsidR="00822BDC">
        <w:t xml:space="preserve"> </w:t>
      </w:r>
      <w:r w:rsidRPr="00175CE3">
        <w:t>14; CERD/C/FIN/23, paras.</w:t>
      </w:r>
      <w:r w:rsidR="00822BDC">
        <w:t xml:space="preserve"> </w:t>
      </w:r>
      <w:r w:rsidRPr="00175CE3">
        <w:t>180-183).</w:t>
      </w:r>
    </w:p>
    <w:p w:rsidR="00175CE3" w:rsidRPr="00175CE3" w:rsidRDefault="00175CE3" w:rsidP="00175CE3">
      <w:pPr>
        <w:pStyle w:val="H23G"/>
        <w:rPr>
          <w:rFonts w:eastAsia="SimSun"/>
        </w:rPr>
      </w:pPr>
      <w:r w:rsidRPr="00175CE3">
        <w:rPr>
          <w:rFonts w:eastAsia="SimSun"/>
        </w:rPr>
        <w:tab/>
      </w:r>
      <w:r w:rsidRPr="00175CE3">
        <w:rPr>
          <w:rFonts w:eastAsia="SimSun"/>
        </w:rPr>
        <w:tab/>
        <w:t>Situation of the Roma and other ethnic minorities (arts. 2-7)</w:t>
      </w:r>
    </w:p>
    <w:p w:rsidR="00175CE3" w:rsidRPr="00175CE3" w:rsidRDefault="00175CE3" w:rsidP="00175CE3">
      <w:pPr>
        <w:pStyle w:val="SingleTxtG"/>
      </w:pPr>
      <w:r w:rsidRPr="00175CE3">
        <w:t>12.</w:t>
      </w:r>
      <w:r w:rsidRPr="00175CE3">
        <w:tab/>
        <w:t>Specific measures and their effectiveness in enhancing employment, education and housing opportunities for ethnic minorities, including the Roma, and to promote the teaching of the Romani language (CERD/C/FIN/CO/20-22, para.</w:t>
      </w:r>
      <w:r w:rsidR="00822BDC">
        <w:t xml:space="preserve"> </w:t>
      </w:r>
      <w:r w:rsidRPr="00175CE3">
        <w:t>15; CERD/C/FIN/23, paras. 48-49, 69-70, 89-92 and 94).</w:t>
      </w:r>
    </w:p>
    <w:p w:rsidR="00175CE3" w:rsidRPr="00175CE3" w:rsidRDefault="00175CE3" w:rsidP="00175CE3">
      <w:pPr>
        <w:pStyle w:val="SingleTxtG"/>
      </w:pPr>
      <w:r w:rsidRPr="00175CE3">
        <w:t>13.</w:t>
      </w:r>
      <w:r w:rsidRPr="00175CE3">
        <w:tab/>
        <w:t>Concrete results of the first integration programme (2012-2015) under the Promotion of Integration Act and of the action plan on integration adopted on 27 November 2015 (CERD/C/FIN/CO/20-22, para.</w:t>
      </w:r>
      <w:r w:rsidR="00822BDC">
        <w:t xml:space="preserve"> </w:t>
      </w:r>
      <w:r w:rsidRPr="00175CE3">
        <w:t>16; CERD/C/FIN/23, paras. 52-56).</w:t>
      </w:r>
    </w:p>
    <w:p w:rsidR="00175CE3" w:rsidRPr="00175CE3" w:rsidRDefault="00175CE3" w:rsidP="00175CE3">
      <w:pPr>
        <w:pStyle w:val="SingleTxtG"/>
      </w:pPr>
      <w:r w:rsidRPr="00175CE3">
        <w:t>14.</w:t>
      </w:r>
      <w:r w:rsidRPr="00175CE3">
        <w:tab/>
        <w:t>Any new efforts to reduce bullying of children belonging to ethnic minorities in school, in the light of information indicating that the incidence of bullying has not decreased (CERD/C/FIN/CO/20-22, para.</w:t>
      </w:r>
      <w:r w:rsidR="00822BDC">
        <w:t xml:space="preserve"> </w:t>
      </w:r>
      <w:r w:rsidRPr="00175CE3">
        <w:t xml:space="preserve">17; CERD/C/FIN/23, paras. 225-229). </w:t>
      </w:r>
    </w:p>
    <w:p w:rsidR="00175CE3" w:rsidRPr="00175CE3" w:rsidRDefault="00175CE3" w:rsidP="00175CE3">
      <w:pPr>
        <w:pStyle w:val="SingleTxtG"/>
      </w:pPr>
      <w:r w:rsidRPr="00175CE3">
        <w:t>15.</w:t>
      </w:r>
      <w:r w:rsidRPr="00175CE3">
        <w:tab/>
        <w:t>Findings of the studies commissioned by the Discrimination Monitoring Group on discrimination in access to justice and in health and social care services among the elderly (CERD/C/FIN/23, para. 47).</w:t>
      </w:r>
    </w:p>
    <w:p w:rsidR="00175CE3" w:rsidRPr="00175CE3" w:rsidRDefault="00175CE3" w:rsidP="00175CE3">
      <w:pPr>
        <w:pStyle w:val="SingleTxtG"/>
      </w:pPr>
      <w:r w:rsidRPr="00175CE3">
        <w:t>16.</w:t>
      </w:r>
      <w:r w:rsidRPr="00175CE3">
        <w:tab/>
        <w:t>Concrete results of the Good Relations project carried out between November 2012 and October 2014 to promote understanding and tolerance between ethnic groups (CERD/C/FIN/CO/20-22, para. 16; CERD/C/FIN/23, paras. 63-66).</w:t>
      </w:r>
    </w:p>
    <w:p w:rsidR="00175CE3" w:rsidRPr="00175CE3" w:rsidRDefault="00175CE3" w:rsidP="00175CE3">
      <w:pPr>
        <w:pStyle w:val="H23G"/>
        <w:rPr>
          <w:rFonts w:eastAsia="SimSun"/>
        </w:rPr>
      </w:pPr>
      <w:r w:rsidRPr="00175CE3">
        <w:rPr>
          <w:rFonts w:eastAsia="SimSun"/>
        </w:rPr>
        <w:tab/>
      </w:r>
      <w:r w:rsidRPr="00175CE3">
        <w:rPr>
          <w:rFonts w:eastAsia="SimSun"/>
        </w:rPr>
        <w:tab/>
        <w:t>Situation of non-citizens, including immigrants, migrant workers, asylum seekers and refugees (arts.</w:t>
      </w:r>
      <w:r w:rsidR="00822BDC">
        <w:rPr>
          <w:rFonts w:eastAsia="SimSun"/>
        </w:rPr>
        <w:t xml:space="preserve"> </w:t>
      </w:r>
      <w:r w:rsidRPr="00175CE3">
        <w:rPr>
          <w:rFonts w:eastAsia="SimSun"/>
        </w:rPr>
        <w:t>5-7)</w:t>
      </w:r>
    </w:p>
    <w:p w:rsidR="00175CE3" w:rsidRPr="00175CE3" w:rsidRDefault="00175CE3" w:rsidP="00175CE3">
      <w:pPr>
        <w:pStyle w:val="SingleTxtG"/>
      </w:pPr>
      <w:r w:rsidRPr="00175CE3">
        <w:t>17.</w:t>
      </w:r>
      <w:r w:rsidRPr="00175CE3">
        <w:tab/>
        <w:t>Statistics on how long asylum seekers are held in administrative detention and on the number of asylum seekers detained in police facilities (CERD/C/FIN/CO/20-22, para. 18; CERD/C/FIN/23, paras. 141-146).</w:t>
      </w:r>
    </w:p>
    <w:p w:rsidR="00175CE3" w:rsidRPr="00175CE3" w:rsidRDefault="00175CE3" w:rsidP="00175CE3">
      <w:pPr>
        <w:pStyle w:val="SingleTxtG"/>
      </w:pPr>
      <w:r w:rsidRPr="00175CE3">
        <w:t>18.</w:t>
      </w:r>
      <w:r w:rsidRPr="00175CE3">
        <w:tab/>
        <w:t xml:space="preserve">The success rate of asylum applications by country of origin and the extent to which asylum seekers can request removal orders against them to be suspended during asylum appeal procedures (CERD/C/FIN/CO/20-22, para. 18; CERD/C/FIN/23, para. 148). </w:t>
      </w:r>
    </w:p>
    <w:p w:rsidR="007268F9" w:rsidRDefault="00175CE3" w:rsidP="009B19D4">
      <w:pPr>
        <w:pStyle w:val="SingleTxtG"/>
        <w:keepNext/>
      </w:pPr>
      <w:r w:rsidRPr="00175CE3">
        <w:lastRenderedPageBreak/>
        <w:t>19.</w:t>
      </w:r>
      <w:r w:rsidRPr="00175CE3">
        <w:tab/>
        <w:t>Availability of non-emergency health services to migrants in an irregular situation and to asylum seekers (CERD/C/FIN/23, para. 190).</w:t>
      </w:r>
    </w:p>
    <w:p w:rsidR="00175CE3" w:rsidRPr="00175CE3" w:rsidRDefault="00175CE3" w:rsidP="009B19D4">
      <w:pPr>
        <w:keepNext/>
        <w:spacing w:before="240"/>
        <w:jc w:val="center"/>
        <w:rPr>
          <w:u w:val="single"/>
        </w:rPr>
      </w:pPr>
      <w:r>
        <w:rPr>
          <w:u w:val="single"/>
        </w:rPr>
        <w:tab/>
      </w:r>
      <w:r>
        <w:rPr>
          <w:u w:val="single"/>
        </w:rPr>
        <w:tab/>
      </w:r>
      <w:r>
        <w:rPr>
          <w:u w:val="single"/>
        </w:rPr>
        <w:tab/>
      </w:r>
    </w:p>
    <w:sectPr w:rsidR="00175CE3" w:rsidRPr="00175CE3" w:rsidSect="00175CE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0A5" w:rsidRPr="00A0297D" w:rsidRDefault="00EA00A5" w:rsidP="00A0297D">
      <w:pPr>
        <w:pStyle w:val="Footer"/>
      </w:pPr>
    </w:p>
  </w:endnote>
  <w:endnote w:type="continuationSeparator" w:id="0">
    <w:p w:rsidR="00EA00A5" w:rsidRPr="00A0297D" w:rsidRDefault="00EA00A5"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CE3" w:rsidRPr="00175CE3" w:rsidRDefault="00175CE3" w:rsidP="00175CE3">
    <w:pPr>
      <w:pStyle w:val="Footer"/>
      <w:tabs>
        <w:tab w:val="right" w:pos="9598"/>
      </w:tabs>
    </w:pPr>
    <w:r w:rsidRPr="00175CE3">
      <w:rPr>
        <w:b/>
        <w:sz w:val="18"/>
      </w:rPr>
      <w:fldChar w:fldCharType="begin"/>
    </w:r>
    <w:r w:rsidRPr="00175CE3">
      <w:rPr>
        <w:b/>
        <w:sz w:val="18"/>
      </w:rPr>
      <w:instrText xml:space="preserve"> PAGE  \* MERGEFORMAT </w:instrText>
    </w:r>
    <w:r w:rsidRPr="00175CE3">
      <w:rPr>
        <w:b/>
        <w:sz w:val="18"/>
      </w:rPr>
      <w:fldChar w:fldCharType="separate"/>
    </w:r>
    <w:r w:rsidR="00142680">
      <w:rPr>
        <w:b/>
        <w:noProof/>
        <w:sz w:val="18"/>
      </w:rPr>
      <w:t>2</w:t>
    </w:r>
    <w:r w:rsidRPr="00175CE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CE3" w:rsidRPr="00175CE3" w:rsidRDefault="00175CE3" w:rsidP="00175CE3">
    <w:pPr>
      <w:pStyle w:val="Footer"/>
      <w:tabs>
        <w:tab w:val="right" w:pos="9598"/>
      </w:tabs>
      <w:rPr>
        <w:b/>
        <w:sz w:val="18"/>
      </w:rPr>
    </w:pPr>
    <w:r>
      <w:tab/>
    </w:r>
    <w:r w:rsidRPr="00175CE3">
      <w:rPr>
        <w:b/>
        <w:sz w:val="18"/>
      </w:rPr>
      <w:fldChar w:fldCharType="begin"/>
    </w:r>
    <w:r w:rsidRPr="00175CE3">
      <w:rPr>
        <w:b/>
        <w:sz w:val="18"/>
      </w:rPr>
      <w:instrText xml:space="preserve"> PAGE  \* MERGEFORMAT </w:instrText>
    </w:r>
    <w:r w:rsidRPr="00175CE3">
      <w:rPr>
        <w:b/>
        <w:sz w:val="18"/>
      </w:rPr>
      <w:fldChar w:fldCharType="separate"/>
    </w:r>
    <w:r w:rsidR="00142680">
      <w:rPr>
        <w:b/>
        <w:noProof/>
        <w:sz w:val="18"/>
      </w:rPr>
      <w:t>3</w:t>
    </w:r>
    <w:r w:rsidRPr="00175CE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680" w:rsidRDefault="00142680" w:rsidP="00142680">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142680" w:rsidRDefault="00142680" w:rsidP="00142680">
    <w:pPr>
      <w:pStyle w:val="Footer"/>
      <w:ind w:right="1134"/>
      <w:rPr>
        <w:sz w:val="20"/>
      </w:rPr>
    </w:pPr>
    <w:r>
      <w:rPr>
        <w:sz w:val="20"/>
      </w:rPr>
      <w:t>GE.17-03064(E)</w:t>
    </w:r>
  </w:p>
  <w:p w:rsidR="00142680" w:rsidRPr="00142680" w:rsidRDefault="00142680" w:rsidP="0014268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ERD/C/FIN/Q/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FIN/Q/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0A5" w:rsidRPr="00A0297D" w:rsidRDefault="00EA00A5" w:rsidP="00A0297D">
      <w:pPr>
        <w:tabs>
          <w:tab w:val="right" w:pos="2155"/>
        </w:tabs>
        <w:spacing w:after="80" w:line="240" w:lineRule="auto"/>
        <w:ind w:left="680"/>
      </w:pPr>
      <w:r>
        <w:rPr>
          <w:u w:val="single"/>
        </w:rPr>
        <w:tab/>
      </w:r>
    </w:p>
  </w:footnote>
  <w:footnote w:type="continuationSeparator" w:id="0">
    <w:p w:rsidR="00EA00A5" w:rsidRPr="00A0297D" w:rsidRDefault="00EA00A5"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CE3" w:rsidRPr="00175CE3" w:rsidRDefault="00175CE3" w:rsidP="00175CE3">
    <w:pPr>
      <w:pStyle w:val="Header"/>
    </w:pPr>
    <w:r w:rsidRPr="00175CE3">
      <w:t>CERD/C/FIN/Q/23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CE3" w:rsidRPr="00175CE3" w:rsidRDefault="00175CE3" w:rsidP="00175CE3">
    <w:pPr>
      <w:pStyle w:val="Header"/>
      <w:jc w:val="right"/>
    </w:pPr>
    <w:r w:rsidRPr="00175CE3">
      <w:t>CERD/C/FIN/Q/23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65225"/>
    <w:rsid w:val="00046E92"/>
    <w:rsid w:val="001077BA"/>
    <w:rsid w:val="00142680"/>
    <w:rsid w:val="00175CE3"/>
    <w:rsid w:val="00247E2C"/>
    <w:rsid w:val="002D6C53"/>
    <w:rsid w:val="002F5595"/>
    <w:rsid w:val="00307688"/>
    <w:rsid w:val="00334F6A"/>
    <w:rsid w:val="00342AC8"/>
    <w:rsid w:val="00394578"/>
    <w:rsid w:val="003B4550"/>
    <w:rsid w:val="00461253"/>
    <w:rsid w:val="004D341F"/>
    <w:rsid w:val="005042C2"/>
    <w:rsid w:val="00671529"/>
    <w:rsid w:val="006C1688"/>
    <w:rsid w:val="007268F9"/>
    <w:rsid w:val="00735147"/>
    <w:rsid w:val="007A1171"/>
    <w:rsid w:val="007C52B0"/>
    <w:rsid w:val="00822BDC"/>
    <w:rsid w:val="00883988"/>
    <w:rsid w:val="00891B9F"/>
    <w:rsid w:val="009411B4"/>
    <w:rsid w:val="009B19D4"/>
    <w:rsid w:val="009C09FB"/>
    <w:rsid w:val="009D0139"/>
    <w:rsid w:val="009F5CDC"/>
    <w:rsid w:val="00A0297D"/>
    <w:rsid w:val="00A775CF"/>
    <w:rsid w:val="00AD74C1"/>
    <w:rsid w:val="00B06045"/>
    <w:rsid w:val="00C35A27"/>
    <w:rsid w:val="00D65225"/>
    <w:rsid w:val="00DA7116"/>
    <w:rsid w:val="00E02C2B"/>
    <w:rsid w:val="00EA00A5"/>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3A732B-8E9E-4A50-970E-C32887254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779</Words>
  <Characters>4637</Characters>
  <Application>Microsoft Office Word</Application>
  <DocSecurity>0</DocSecurity>
  <Lines>92</Lines>
  <Paragraphs>37</Paragraphs>
  <ScaleCrop>false</ScaleCrop>
  <HeadingPairs>
    <vt:vector size="2" baseType="variant">
      <vt:variant>
        <vt:lpstr>Title</vt:lpstr>
      </vt:variant>
      <vt:variant>
        <vt:i4>1</vt:i4>
      </vt:variant>
    </vt:vector>
  </HeadingPairs>
  <TitlesOfParts>
    <vt:vector size="1" baseType="lpstr">
      <vt:lpstr>1702522</vt:lpstr>
    </vt:vector>
  </TitlesOfParts>
  <Company>DCM</Company>
  <LinksUpToDate>false</LinksUpToDate>
  <CharactersWithSpaces>5398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1703064</dc:title>
  <dc:subject>CERD/C/FIN/Q/23</dc:subject>
  <dc:creator>Moses Okello</dc:creator>
  <cp:keywords/>
  <dc:description/>
  <cp:lastModifiedBy>PDF ENG</cp:lastModifiedBy>
  <cp:revision>2</cp:revision>
  <dcterms:created xsi:type="dcterms:W3CDTF">2017-02-27T09:39:00Z</dcterms:created>
  <dcterms:modified xsi:type="dcterms:W3CDTF">2017-02-27T09:39:00Z</dcterms:modified>
</cp:coreProperties>
</file>