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C18234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7C50782" w14:textId="77777777" w:rsidR="002D5AAC" w:rsidRDefault="002D5AAC" w:rsidP="00D70AE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CBDBC67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5F17B69" w14:textId="4AAE2F02" w:rsidR="002D5AAC" w:rsidRDefault="00D70AE4" w:rsidP="00D70AE4">
            <w:pPr>
              <w:jc w:val="right"/>
            </w:pPr>
            <w:r w:rsidRPr="00D70AE4">
              <w:rPr>
                <w:sz w:val="40"/>
              </w:rPr>
              <w:t>CRC</w:t>
            </w:r>
            <w:r>
              <w:t>/C/FIN/CO/5-6</w:t>
            </w:r>
          </w:p>
        </w:tc>
      </w:tr>
      <w:tr w:rsidR="002D5AAC" w:rsidRPr="007916FE" w14:paraId="6AAB706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0DC36A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EB0BF59" wp14:editId="0DA9A2A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0E9FEF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52876D7" w14:textId="77777777" w:rsidR="002D5AAC" w:rsidRDefault="00D70AE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96A0B85" w14:textId="77777777" w:rsidR="00D70AE4" w:rsidRDefault="00D70AE4" w:rsidP="00D70A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November 2023</w:t>
            </w:r>
          </w:p>
          <w:p w14:paraId="6716963D" w14:textId="77777777" w:rsidR="00D70AE4" w:rsidRDefault="00D70AE4" w:rsidP="00D70A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81A7947" w14:textId="40EF52DE" w:rsidR="00D70AE4" w:rsidRPr="00B937DF" w:rsidRDefault="00D70AE4" w:rsidP="00D70AE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1B36DC4" w14:textId="77777777" w:rsidR="00D70AE4" w:rsidRPr="00D70AE4" w:rsidRDefault="00D70AE4" w:rsidP="00D70AE4">
      <w:pPr>
        <w:spacing w:before="120"/>
        <w:rPr>
          <w:rFonts w:asciiTheme="majorBidi" w:hAnsiTheme="majorBidi" w:cstheme="majorBidi"/>
          <w:b/>
          <w:sz w:val="24"/>
          <w:szCs w:val="24"/>
        </w:rPr>
      </w:pPr>
      <w:r w:rsidRPr="00D70AE4">
        <w:rPr>
          <w:b/>
          <w:bCs/>
          <w:sz w:val="24"/>
          <w:szCs w:val="24"/>
        </w:rPr>
        <w:t>Комитет по правам ребенка</w:t>
      </w:r>
    </w:p>
    <w:p w14:paraId="6B86DB42" w14:textId="7AE73712" w:rsidR="00D70AE4" w:rsidRPr="00625976" w:rsidRDefault="00D70AE4" w:rsidP="00D70AE4">
      <w:pPr>
        <w:pStyle w:val="HCh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Финляндии</w:t>
      </w:r>
      <w:r w:rsidRPr="00116BEC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2F9651C3" w14:textId="77777777" w:rsidR="00D70AE4" w:rsidRPr="00625976" w:rsidRDefault="00D70AE4" w:rsidP="00D70AE4">
      <w:pPr>
        <w:pStyle w:val="HChG"/>
        <w:jc w:val="both"/>
        <w:rPr>
          <w:rFonts w:asciiTheme="majorBidi" w:hAnsiTheme="majorBidi" w:cstheme="majorBidi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4CB7723" w14:textId="3367E203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1.</w:t>
      </w:r>
      <w:r>
        <w:tab/>
        <w:t>Комитет рассмотрел объединенные пятый и шестой периодические доклады Финляндии</w:t>
      </w:r>
      <w:r w:rsidRPr="00D70AE4">
        <w:rPr>
          <w:rStyle w:val="aa"/>
        </w:rPr>
        <w:footnoteReference w:id="2"/>
      </w:r>
      <w:r>
        <w:t xml:space="preserve"> на своих 2710-м и 2711-м заседаниях</w:t>
      </w:r>
      <w:r w:rsidRPr="00D70AE4">
        <w:rPr>
          <w:rStyle w:val="aa"/>
        </w:rPr>
        <w:footnoteReference w:id="3"/>
      </w:r>
      <w:r>
        <w:t>, состоявшихся 15 и 16 мая 2023</w:t>
      </w:r>
      <w:r>
        <w:rPr>
          <w:lang w:val="en-US"/>
        </w:rPr>
        <w:t> </w:t>
      </w:r>
      <w:r>
        <w:t>года, и принял настоящие заключительные замечания на своем 2728-м заседании, состоявшемся 26 мая 2023 года.</w:t>
      </w:r>
    </w:p>
    <w:p w14:paraId="7CA6569F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D70AE4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состоявшийся конструктивный диалог с многопрофильной делегацией государства-участника.</w:t>
      </w:r>
    </w:p>
    <w:p w14:paraId="14561AF5" w14:textId="77777777" w:rsidR="00D70AE4" w:rsidRPr="00625976" w:rsidRDefault="00D70AE4" w:rsidP="00D70AE4">
      <w:pPr>
        <w:pStyle w:val="HChG"/>
        <w:rPr>
          <w:rFonts w:asciiTheme="majorBidi" w:hAnsiTheme="majorBidi" w:cstheme="majorBidi"/>
        </w:rPr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4654F2F5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в целях осуществления Конвенции, в том числе разработку в 2021 году первой в истории страны Национальной стратегии защиты детей и включение в Уголовный кодекс новых положений о преступлениях на сексуальной почве в 2023 году.</w:t>
      </w:r>
    </w:p>
    <w:p w14:paraId="43F9858F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4.</w:t>
      </w:r>
      <w:r>
        <w:tab/>
        <w:t>Комитет приветствует также ратификацию следующих международных договоров:</w:t>
      </w:r>
    </w:p>
    <w:p w14:paraId="56858FA5" w14:textId="13389AF0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a)</w:t>
      </w:r>
      <w:r>
        <w:tab/>
        <w:t>Факультативного протокола к Конвенции о правах ребенка, касающегося процедуры сообщений, в ноябре 2015 года;</w:t>
      </w:r>
    </w:p>
    <w:p w14:paraId="5CE49ED5" w14:textId="7D9CA42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b)</w:t>
      </w:r>
      <w:r>
        <w:tab/>
        <w:t>Конвенции о правах инвалидов в мае 2016 года;</w:t>
      </w:r>
    </w:p>
    <w:p w14:paraId="49AE2ED0" w14:textId="7D526A7E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c)</w:t>
      </w:r>
      <w:r>
        <w:tab/>
        <w:t>Международной конвенции для защиты всех лиц от насильственных исчезновений в марте 2023 года;</w:t>
      </w:r>
    </w:p>
    <w:p w14:paraId="3A46CECF" w14:textId="5DCC6D91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d)</w:t>
      </w:r>
      <w:r>
        <w:tab/>
        <w:t>Парижского соглашения в ноябре 2016 года.</w:t>
      </w:r>
    </w:p>
    <w:p w14:paraId="4978AE98" w14:textId="77777777" w:rsidR="00D70AE4" w:rsidRPr="00625976" w:rsidRDefault="00D70AE4" w:rsidP="00D70AE4">
      <w:pPr>
        <w:pStyle w:val="HChG"/>
        <w:rPr>
          <w:rFonts w:asciiTheme="majorBidi" w:hAnsiTheme="majorBidi" w:cstheme="majorBidi"/>
        </w:rPr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35CEDD6D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вопросов, в отношении которых необходимо принять безотлагательные меры: недискриминация (п. 16); насилие в отношении детей, включая сексуальную эксплуатацию и надругательства (п. 23); дети, лишенные семейного окружения (п. 27); дети с инвалидностью (п. 30); дети, ищущие убежище, дети-беженцы и дети-мигранты, включая несопровождаемых детей (п. 39); и отправление правосудия в отношении детей (п. 41).</w:t>
      </w:r>
    </w:p>
    <w:p w14:paraId="5C118121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реализации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2693A35C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 (п. 6))</w:t>
      </w:r>
    </w:p>
    <w:p w14:paraId="08EEC822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4B806D4F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7.</w:t>
      </w:r>
      <w:r>
        <w:tab/>
      </w:r>
      <w:r>
        <w:rPr>
          <w:b/>
          <w:bCs/>
        </w:rPr>
        <w:t>Приветствуя правовые реформы, касающиеся округов социального обслуживания населения, и внесенное в парламент предложение ускорить рассмотрение дел о преступлениях против детей, Комитет рекомендует государству-участнику:</w:t>
      </w:r>
    </w:p>
    <w:p w14:paraId="18EE48F1" w14:textId="1DE06BB3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рассмотреть возможность инкорпорирования положений Конвенции в национальное законодательство;</w:t>
      </w:r>
    </w:p>
    <w:p w14:paraId="087105D8" w14:textId="4590661A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принять меры по совершенствованию оценки последствий принятия законопроектов для прав детей;</w:t>
      </w:r>
    </w:p>
    <w:p w14:paraId="72F9DD19" w14:textId="4FA9D680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реформировать</w:t>
      </w:r>
      <w:r>
        <w:rPr>
          <w:b/>
          <w:bCs/>
        </w:rPr>
        <w:t xml:space="preserve"> законодательство, касающееся саамов, в частности в том, что касается культурных и языковых прав детей из их числа.</w:t>
      </w:r>
    </w:p>
    <w:p w14:paraId="76A3F9AC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Координация</w:t>
      </w:r>
    </w:p>
    <w:p w14:paraId="0BAE236A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8.</w:t>
      </w:r>
      <w:r>
        <w:tab/>
      </w:r>
      <w:r>
        <w:rPr>
          <w:b/>
          <w:bCs/>
        </w:rPr>
        <w:t>Комитет приветствует принятие Национальной стратегии защиты детей и создание постоянной координационной структуры на национальном уровне.</w:t>
      </w:r>
      <w:r>
        <w:t xml:space="preserve"> </w:t>
      </w:r>
      <w:r>
        <w:rPr>
          <w:b/>
          <w:bCs/>
        </w:rPr>
        <w:t>Комитет рекомендует поручить этому новому органу обеспечение эффективной координации осуществления Конвенции на центральном, региональном и муниципальном уровнях и в различных секторах, таких как образование, здравоохранение, социальные услуги и система правосудия в отношении детей.</w:t>
      </w:r>
    </w:p>
    <w:p w14:paraId="32914A96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0AE7355C" w14:textId="77777777" w:rsidR="00D70AE4" w:rsidRPr="00625976" w:rsidRDefault="00D70AE4" w:rsidP="00D70AE4">
      <w:pPr>
        <w:pStyle w:val="SingleTxtG"/>
        <w:rPr>
          <w:rFonts w:asciiTheme="majorBidi" w:eastAsia="Malgun Gothic" w:hAnsiTheme="majorBidi" w:cstheme="majorBidi"/>
          <w:b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62F6CE3B" w14:textId="4196CB49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включить подход, основанный на правах ребенка, в процесс составления государственного бюджета;</w:t>
      </w:r>
    </w:p>
    <w:p w14:paraId="31529609" w14:textId="510180BE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 xml:space="preserve">внедрить систему контроля за выделением, использованием и мониторингом ресурсов, предназначенных для детей, на всей территории государства-участника, в том числе округами социального обслуживания </w:t>
      </w:r>
      <w:r w:rsidRPr="00D70AE4">
        <w:rPr>
          <w:b/>
          <w:bCs/>
        </w:rPr>
        <w:lastRenderedPageBreak/>
        <w:t>населения и муниципалитетами, и оценить, насколько инвестиции во всех секторах отвечают наилучшим интересам детей;</w:t>
      </w:r>
    </w:p>
    <w:p w14:paraId="4852A0A0" w14:textId="41B4CEF7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выделить в бюджете отдельные статьи для детей, находящихся в неблагоприятном или уязвимом положении, включая детей с инвалидностью, детей, принадлежащих к группам меньшинств, детей, живущих в бедности, а также детей — просителей убежища, беженцев и мигрантов;</w:t>
      </w:r>
    </w:p>
    <w:p w14:paraId="24E8ED4C" w14:textId="5074C0AE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d)</w:t>
      </w:r>
      <w:r w:rsidRPr="00D70AE4">
        <w:rPr>
          <w:b/>
          <w:bCs/>
        </w:rPr>
        <w:tab/>
        <w:t>укрепить на национальном и муниципальном уровнях использование прозрачных</w:t>
      </w:r>
      <w:r>
        <w:rPr>
          <w:b/>
          <w:bCs/>
        </w:rPr>
        <w:t xml:space="preserve"> и партисипативных процессов составления бюджета, в которых могли бы принимать реальное участие представители гражданского общества, общественность и дети.</w:t>
      </w:r>
    </w:p>
    <w:p w14:paraId="16E447EA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Сбор данных</w:t>
      </w:r>
    </w:p>
    <w:p w14:paraId="4EA7A48A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10.</w:t>
      </w:r>
      <w:r>
        <w:tab/>
      </w:r>
      <w:r>
        <w:rPr>
          <w:b/>
          <w:bCs/>
        </w:rPr>
        <w:t>Приветствуя разработку показателей для оценки тенденций в осуществлении прав детей, Комитет напоминает о своей предыдущей рекомендации</w:t>
      </w:r>
      <w:r w:rsidRPr="00D70AE4">
        <w:rPr>
          <w:rStyle w:val="aa"/>
        </w:rPr>
        <w:footnoteReference w:id="5"/>
      </w:r>
      <w:r>
        <w:rPr>
          <w:b/>
          <w:bCs/>
        </w:rPr>
        <w:t xml:space="preserve"> и рекомендует государству-участнику:</w:t>
      </w:r>
    </w:p>
    <w:p w14:paraId="10601562" w14:textId="2A10C315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продолжать укреплять систему сбора данных, касающихся качественных и количественных показателей, охватывающих все области применения Конвенции;</w:t>
      </w:r>
    </w:p>
    <w:p w14:paraId="5120FC82" w14:textId="6018B75F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обеспечить разбивку данных в том числе по таким признакам, как инвалидность, миграционное прошлое, социально-экономическое положение, принадлежность к меньшинству (например, рома) или коренному народу (саамы) и статус ребенка, находящегося в уязвимой ситуации, например ребенка, родители которого лишены свободы, ребенка, подвергающегося насилию, или ребенка, находящегося в учреждении альтернативного ухода, чтобы облегчить анализ положения детей;</w:t>
      </w:r>
    </w:p>
    <w:p w14:paraId="7983F1FF" w14:textId="2F3FA0F0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</w:r>
      <w:r>
        <w:rPr>
          <w:b/>
          <w:bCs/>
        </w:rPr>
        <w:t>обеспечить эффективную координацию и обмен данными между соответствующими министерствами и ведомствами, а также использование данных для разработки, мониторинга и оценки политики и проектов в области прав детей.</w:t>
      </w:r>
    </w:p>
    <w:p w14:paraId="55E7BD9E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36624B83" w14:textId="77777777" w:rsidR="00D70AE4" w:rsidRPr="00625976" w:rsidRDefault="00D70AE4" w:rsidP="00D70AE4">
      <w:pPr>
        <w:pStyle w:val="SingleTxtG"/>
        <w:rPr>
          <w:rFonts w:asciiTheme="majorBidi" w:eastAsia="Malgun Gothic" w:hAnsiTheme="majorBidi" w:cstheme="majorBidi"/>
          <w:b/>
        </w:rPr>
      </w:pPr>
      <w:r>
        <w:t>11.</w:t>
      </w:r>
      <w:r>
        <w:tab/>
      </w:r>
      <w:r>
        <w:rPr>
          <w:b/>
          <w:bCs/>
        </w:rPr>
        <w:t>Отмечая, что ведомство Омбудсмена по делам детей</w:t>
      </w:r>
      <w:r w:rsidRPr="002A09C6">
        <w:rPr>
          <w:b/>
          <w:bCs/>
        </w:rPr>
        <w:t xml:space="preserve"> </w:t>
      </w:r>
      <w:r>
        <w:rPr>
          <w:b/>
          <w:bCs/>
        </w:rPr>
        <w:t>стало лучше обеспечено ресурсами, Комитет напоминает о своей предыдущей рекомендации</w:t>
      </w:r>
      <w:r w:rsidRPr="00D70AE4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</w:p>
    <w:p w14:paraId="73F7B6C1" w14:textId="370DE078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выделять достаточные экономические и технические ресурсы для регулярного мониторинга и оценки прогресса, достигнутого в осуществлении Конвенции;</w:t>
      </w:r>
    </w:p>
    <w:p w14:paraId="012B05F9" w14:textId="2A6927CC" w:rsidR="00D70AE4" w:rsidRPr="00D70AE4" w:rsidRDefault="00D70AE4" w:rsidP="00D70AE4">
      <w:pPr>
        <w:pStyle w:val="SingleTxtG"/>
        <w:rPr>
          <w:rFonts w:asciiTheme="majorBidi" w:eastAsia="Malgun Gothic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продолжать укреплять независимость Омбудсмена по делам детей, в том числе путем обеспечения того, чтобы ориентированные на результат механизмы управления, в рамках которых он действует, не подрывали его функциональную независимость;</w:t>
      </w:r>
    </w:p>
    <w:p w14:paraId="6A90DEAC" w14:textId="1F288C89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активизировать информационно-разъяснительную работу, чтобы все дети знали о своем праве подавать жалобы в различные инстанции, включая парламентского Омбудсмена, и получали необходимую поддержку для этого, а также обеспечить, чтобы все полученные жалобы расследовались и рассматривались с учетом интересов ребенка;</w:t>
      </w:r>
    </w:p>
    <w:p w14:paraId="52BB55AF" w14:textId="71A42BEC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rPr>
          <w:b/>
          <w:bCs/>
        </w:rPr>
        <w:tab/>
      </w:r>
      <w:r w:rsidRPr="00D70AE4">
        <w:rPr>
          <w:b/>
          <w:bCs/>
        </w:rPr>
        <w:t>d)</w:t>
      </w:r>
      <w:r w:rsidRPr="00D70AE4">
        <w:rPr>
          <w:b/>
          <w:bCs/>
        </w:rPr>
        <w:tab/>
      </w:r>
      <w:r>
        <w:rPr>
          <w:b/>
          <w:bCs/>
        </w:rPr>
        <w:t>повысить осведомленность детей и родителей о Факультативном протоколе, касающемся процедуры сообщений.</w:t>
      </w:r>
    </w:p>
    <w:p w14:paraId="77D300C6" w14:textId="75059C5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lastRenderedPageBreak/>
        <w:tab/>
      </w:r>
      <w:r>
        <w:tab/>
      </w:r>
      <w:r w:rsidRPr="00D70AE4">
        <w:t>Распространение</w:t>
      </w:r>
      <w:r>
        <w:t xml:space="preserve"> информации, информационно-просветительская работа и</w:t>
      </w:r>
      <w:r w:rsidR="00AB1B78">
        <w:rPr>
          <w:lang w:val="en-US"/>
        </w:rPr>
        <w:t> </w:t>
      </w:r>
      <w:r>
        <w:t>обучение</w:t>
      </w:r>
    </w:p>
    <w:p w14:paraId="74D1A2D7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960F623" w14:textId="57FF8F25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продолжать принимать меры по повышению осведомленности общественности и профессионального сообщества о правах детей, в том числе путем распространения понятных и интересных детям учебных материалов, и способствовать активному вовлечению детей в деятельность гражданского общества, в том числе в осуществление масштабных проектов;</w:t>
      </w:r>
    </w:p>
    <w:p w14:paraId="07CF6314" w14:textId="02236BC4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обеспечить непрерывную систематическую подготовку по правам детей, Конвенции и Факультативным протоколам к ней, в том числе по Факультативному</w:t>
      </w:r>
      <w:r>
        <w:rPr>
          <w:b/>
          <w:bCs/>
        </w:rPr>
        <w:t xml:space="preserve"> протоколу, касающемуся процедуры сообщений, для всех специалистов, работающих с детьми и в интересах детей.</w:t>
      </w:r>
    </w:p>
    <w:p w14:paraId="3A1898E2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5CADECCB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13.</w:t>
      </w:r>
      <w:r>
        <w:tab/>
      </w:r>
      <w:r>
        <w:rPr>
          <w:b/>
          <w:bCs/>
        </w:rPr>
        <w:t>Комитет высоко оценивает долгосрочные обязательства государства-участника по оказанию официальной помощи в целях развития, но отмечает, что государство-участник не выполнило свое обязательство по достижению к 2015 году согласованного на международном уровне целевого показателя в 0,7 процента от валового национального дохода.</w:t>
      </w:r>
      <w:r>
        <w:t xml:space="preserve"> </w:t>
      </w:r>
      <w:r>
        <w:rPr>
          <w:b/>
          <w:bCs/>
        </w:rPr>
        <w:t>Комитет призывает государство-участник продолжать активное применение подхода, основанного на правах ребенка, в контексте своих торговых соглашений и политики и программ помощи в целях развития, в том числе путем проведения оценок воздействия программ международной помощи и сотрудничества на права ребенка.</w:t>
      </w:r>
    </w:p>
    <w:p w14:paraId="176207A8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26CC7EB1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14.</w:t>
      </w:r>
      <w:r>
        <w:tab/>
      </w:r>
      <w:r>
        <w:rPr>
          <w:b/>
          <w:bCs/>
        </w:rPr>
        <w:t>Комитет с удовлетворением отмечает принятие национального плана действий по осуществлению Руководящих принципов предпринимательской деятельности в аспекте прав человека, но обеспокоен отсутствием юридической ответственности для предприятий за нарушение прав детей.</w:t>
      </w:r>
      <w:r>
        <w:t xml:space="preserve"> </w:t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0E250ACB" w14:textId="23E9F235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принять законодательство о корпоративной ответственности предприятий и их дочерних компаний, действующих на территории государства-участника или управляемых с его территории, для выявления, предотвращения, смягчения последствий и учета деятельности, которая негативно влияет на права человека или ставит под угрозу права детей, а также обостряет риски, связанные с глобальным потеплением;</w:t>
      </w:r>
    </w:p>
    <w:p w14:paraId="3E1BD3F4" w14:textId="60FD90FA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создать механизмы мониторинга для проведения расследований в связи с нарушениями прав детей предприятиями и предоставления соответствующего возмещения в целях повышения подотчетности и транспарентности;</w:t>
      </w:r>
    </w:p>
    <w:p w14:paraId="4C9F190C" w14:textId="7AAFC0BA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</w:r>
      <w:r>
        <w:rPr>
          <w:b/>
          <w:bCs/>
        </w:rPr>
        <w:t>требовать от компаний проведения оценок, консультаций и полного раскрытия информации о воздействии их деятельности на окружающую среду, здоровье и другие права ребенка, а также представления планов по устранению такого воздействия.</w:t>
      </w:r>
    </w:p>
    <w:p w14:paraId="0E90C04C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  <w:b w:val="0"/>
        </w:rPr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  <w:bookmarkStart w:id="0" w:name="_Hlk135188500"/>
    </w:p>
    <w:p w14:paraId="622DDC67" w14:textId="77777777" w:rsidR="00D70AE4" w:rsidRPr="00625976" w:rsidRDefault="00D70AE4" w:rsidP="00D70AE4">
      <w:pPr>
        <w:keepNext/>
        <w:keepLines/>
        <w:tabs>
          <w:tab w:val="right" w:pos="851"/>
        </w:tabs>
        <w:kinsoku w:val="0"/>
        <w:overflowPunct w:val="0"/>
        <w:autoSpaceDE w:val="0"/>
        <w:autoSpaceDN w:val="0"/>
        <w:adjustRightInd w:val="0"/>
        <w:snapToGrid w:val="0"/>
        <w:spacing w:before="240" w:after="120" w:line="240" w:lineRule="exact"/>
        <w:ind w:left="1134" w:right="1134" w:hanging="1134"/>
        <w:jc w:val="both"/>
        <w:outlineLvl w:val="3"/>
        <w:rPr>
          <w:rFonts w:asciiTheme="majorBidi" w:hAnsiTheme="majorBidi" w:cstheme="majorBidi"/>
          <w:b/>
        </w:rPr>
      </w:pPr>
      <w:r>
        <w:tab/>
      </w:r>
      <w:r>
        <w:tab/>
      </w:r>
      <w:r>
        <w:rPr>
          <w:b/>
          <w:bCs/>
        </w:rPr>
        <w:t>Недискриминация</w:t>
      </w:r>
      <w:bookmarkStart w:id="1" w:name="_Hlk126764549"/>
    </w:p>
    <w:p w14:paraId="146D4F7C" w14:textId="3862B0C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15.</w:t>
      </w:r>
      <w:r>
        <w:tab/>
        <w:t>Комитет приветствует План действий по борьбе с расизмом и поощрению дружественных отношений между группами населения, План действий по борьбе с буллингом, Национальную политику в интересах рома (2023–2030 годы) и</w:t>
      </w:r>
      <w:r w:rsidR="00AB1B78">
        <w:rPr>
          <w:lang w:val="en-US"/>
        </w:rPr>
        <w:t> </w:t>
      </w:r>
      <w:r>
        <w:t xml:space="preserve">Национальный план действий по осуществлению Конвенции о правах инвалидов, но </w:t>
      </w:r>
      <w:r>
        <w:lastRenderedPageBreak/>
        <w:t>выражает глубокую озабоченность по поводу сохраняющейся дискриминации детей и подростков по признаку гендера, возраста, языка, национального или этнического происхождения, миграционного прошлого, инвалидности и принадлежности к сообществу лесбиянок, геев, бисексуалов, трансгендеров и интерсексов, а также по поводу буллинга.</w:t>
      </w:r>
    </w:p>
    <w:p w14:paraId="408F0962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67DD6D" w14:textId="43818DB7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усилить борьбу с дискриминацией, включая расовую дискриминацию, язык ненависти и преступления на почве ненависти;</w:t>
      </w:r>
    </w:p>
    <w:p w14:paraId="0DA67CDC" w14:textId="5C267FEB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принимать более активные меры для усиления воздействия адресных стратегий и программ по ликвидации дискриминации в отношении детей во всех сферах и секторах финского общества при участии гражданского общества, общин и самих детей и подростков с раннего возраста;</w:t>
      </w:r>
    </w:p>
    <w:p w14:paraId="4710CABB" w14:textId="4C063D6D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проводить информационно-просветительские кампании, направленные на поощрение</w:t>
      </w:r>
      <w:r>
        <w:rPr>
          <w:b/>
          <w:bCs/>
        </w:rPr>
        <w:t xml:space="preserve"> равенства, которые через средства массовой информации способствовали бы изменению отношения и поведения, с целью преобразования социальных норм, подпитывающих дискриминацию, среди прочего дискриминацию по признаку этнической принадлежности, иммиграционного статуса, инвалидности, религии, сексуальной ориентации и гендерной идентичности.</w:t>
      </w:r>
    </w:p>
    <w:p w14:paraId="6A3E345C" w14:textId="77777777" w:rsidR="00D70AE4" w:rsidRPr="00625976" w:rsidRDefault="00D70AE4" w:rsidP="00D70AE4">
      <w:pPr>
        <w:pStyle w:val="H23G"/>
        <w:tabs>
          <w:tab w:val="left" w:pos="1134"/>
          <w:tab w:val="left" w:pos="1701"/>
          <w:tab w:val="left" w:pos="2268"/>
          <w:tab w:val="left" w:pos="2835"/>
          <w:tab w:val="center" w:pos="4252"/>
        </w:tabs>
        <w:jc w:val="both"/>
        <w:rPr>
          <w:rFonts w:asciiTheme="majorBidi" w:hAnsiTheme="majorBidi" w:cstheme="majorBidi"/>
        </w:rPr>
      </w:pPr>
      <w:bookmarkStart w:id="2" w:name="_Hlk104806757"/>
      <w:bookmarkEnd w:id="1"/>
      <w:r>
        <w:tab/>
      </w:r>
      <w:r>
        <w:tab/>
      </w:r>
      <w:r>
        <w:rPr>
          <w:bCs/>
        </w:rPr>
        <w:t>Наилучшие интересы ребенка</w:t>
      </w:r>
    </w:p>
    <w:p w14:paraId="6F6B91C0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17.</w:t>
      </w:r>
      <w:r>
        <w:tab/>
      </w:r>
      <w:r>
        <w:rPr>
          <w:b/>
          <w:bCs/>
        </w:rPr>
        <w:t>Приветствуя включение принципа наилучших интересов ребенка в многочисленные законы, Комитет обеспокоен тем, что этот принцип зачастую применяется непоследовательно.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0CC354E9" w14:textId="266F5D62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</w:r>
      <w:r>
        <w:rPr>
          <w:b/>
          <w:bCs/>
        </w:rPr>
        <w:t xml:space="preserve">гарантировать корректное и систематическое применение принципа </w:t>
      </w:r>
      <w:r w:rsidRPr="00D70AE4">
        <w:rPr>
          <w:b/>
          <w:bCs/>
        </w:rPr>
        <w:t>наилучших интересов ребенка во всех сферах защиты прав в соответствии с замечанием общего порядка № 14 (2013) Комитета о праве ребенка на уделение первоочередного внимания наилучшему обеспечению его интересов;</w:t>
      </w:r>
    </w:p>
    <w:p w14:paraId="3C9D2053" w14:textId="195E49D4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создать механизмы для отслеживания итогов применения принципа наилучших интересов ребенка при реализации программ, в законодательных, административных и судебных процедурах, а также в том, что касается опеки и контактов с родителями, альтернативных форм ухода, правосудия в отношении подростков, находящихся в конфликте с законом, предоставления убежища, в частности в случае возвращения родителей, чьи ходатайства об убежище были отклонены, и поддержки детей, ставших жертвами или свидетелями преступлений;</w:t>
      </w:r>
    </w:p>
    <w:p w14:paraId="72EDD409" w14:textId="5142F998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обеспечить подготовку и снабдить методическими указаниями всех спец</w:t>
      </w:r>
      <w:r>
        <w:rPr>
          <w:b/>
          <w:bCs/>
        </w:rPr>
        <w:t>иалистов, работающих в сфере предоставления услуг детям и подросткам и защиты их прав, а также улучшить и активизировать обучение сотрудников всех органов, ответственных за применение принципа наилучших интересов ребенка.</w:t>
      </w:r>
    </w:p>
    <w:bookmarkEnd w:id="2"/>
    <w:p w14:paraId="28EC4CD7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0C4C996B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18.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предотвращению самоубийств среди детей, включая детей с инвалидностью, детей, которые не идентифицируют себя с полом, присвоенным им при рождении, трансгендерных детей и несопровождаемых детей </w:t>
      </w:r>
      <w:r w:rsidRPr="003350B8">
        <w:rPr>
          <w:b/>
          <w:bCs/>
        </w:rPr>
        <w:t>—</w:t>
      </w:r>
      <w:r>
        <w:rPr>
          <w:b/>
          <w:bCs/>
        </w:rPr>
        <w:t xml:space="preserve"> просителей убежища, и создать межведомственные группы по рассмотрению случаев смерти детей с целью укрепления профилактических мер.</w:t>
      </w:r>
      <w:r>
        <w:t xml:space="preserve"> </w:t>
      </w:r>
      <w:r>
        <w:rPr>
          <w:b/>
          <w:bCs/>
        </w:rPr>
        <w:t>Комитет также рекомендует государству-участнику продолжать в срочном порядке принимать меры по репатриации всех детей финских граждан, находящихся в зонах вооруженных конфликтов.</w:t>
      </w:r>
    </w:p>
    <w:p w14:paraId="71A65205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lastRenderedPageBreak/>
        <w:tab/>
      </w:r>
      <w:r>
        <w:tab/>
      </w:r>
      <w:r>
        <w:rPr>
          <w:bCs/>
        </w:rPr>
        <w:t>Уважение взглядов ребенка</w:t>
      </w:r>
    </w:p>
    <w:p w14:paraId="14A573D8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19.</w:t>
      </w:r>
      <w:r>
        <w:tab/>
      </w:r>
      <w:r>
        <w:rPr>
          <w:b/>
          <w:bCs/>
        </w:rPr>
        <w:t>Отмечая отсутствие систематического учета мнений детей при принятии затрагивающих их решений и то, что Закон о социальной защите детей (№ 417/2007) предоставляет формальную возможность высказать свое мнение только детям, достигшим возраста 12 лет, Комитет рекомендует государству-участнику:</w:t>
      </w:r>
    </w:p>
    <w:p w14:paraId="2A59D9D8" w14:textId="116E232C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обеспечить, чтобы все дети могли выражать свое мнение, которое учитывалось бы при принятии всех затрагивающих их решений, будь то в суде или в контексте административной процедуры, в частности решений, касающихся миграции и убежища, опеки, проживания, общения с родителями, принятия мер по защите детей в контексте альтернативного ухода, в системах социального обслуживания и в ситуациях насилия в семье, без требования согласия со стороны родителей или опекунов;</w:t>
      </w:r>
    </w:p>
    <w:p w14:paraId="54070C08" w14:textId="4948187D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внести в законодательство соответствующие поправки, чтобы обеспечить заслушивание и учет мнений детей, независимо от их возраста, в отношении вышеупомянутых решений;</w:t>
      </w:r>
    </w:p>
    <w:p w14:paraId="2D658392" w14:textId="6DE05484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принять необходимые меры для того, чтобы гарантировать во всех муниципалитетах принятие нормативных актов и создание структур, таких как молодежные советы, для обеспечения права детей на участие во всех сферах жизни общества, в частности в принятии решений на местном уровне;</w:t>
      </w:r>
    </w:p>
    <w:p w14:paraId="2A754AC3" w14:textId="52173560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d)</w:t>
      </w:r>
      <w:r w:rsidRPr="00D70AE4">
        <w:rPr>
          <w:b/>
          <w:bCs/>
        </w:rPr>
        <w:tab/>
        <w:t>активизировать меры по содействию конструктивному и полноправному участию всех детей, включая детей, находящихся в неблагоприятном положении, в жизни семьи, общины и школы, а также привлекать их к процессу принятия решений по всем касающимся их вопросам в контексте разработки политики на муниципальном и национальном уровнях;</w:t>
      </w:r>
    </w:p>
    <w:p w14:paraId="70C1E2B2" w14:textId="5F67939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Pr="00D70AE4">
        <w:rPr>
          <w:b/>
          <w:bCs/>
        </w:rPr>
        <w:t>e)</w:t>
      </w:r>
      <w:r w:rsidRPr="00D70AE4">
        <w:rPr>
          <w:b/>
          <w:bCs/>
        </w:rPr>
        <w:tab/>
      </w:r>
      <w:r>
        <w:rPr>
          <w:b/>
          <w:bCs/>
        </w:rPr>
        <w:t>гарантировать и укреплять систематическую подготовку всех специалистов, работающих с детьми и в их интересах, включая судей, учителей и специалистов по работе с молодежью, по вопросам права детей на то, чтобы их мнения заслушивались и учитывались в соответствии с их возрастом и степенью зрелости.</w:t>
      </w:r>
    </w:p>
    <w:bookmarkEnd w:id="0"/>
    <w:p w14:paraId="5922A7EB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(ст. 7, 8 и 13–17)</w:t>
      </w:r>
    </w:p>
    <w:p w14:paraId="2190D9E2" w14:textId="77777777" w:rsidR="00D70AE4" w:rsidRPr="00625976" w:rsidRDefault="00D70AE4" w:rsidP="00AB1B78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 w:rsidRPr="00AB1B78">
        <w:t>Гражданство</w:t>
      </w:r>
    </w:p>
    <w:p w14:paraId="4D038213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Cs/>
        </w:rPr>
      </w:pPr>
      <w:r>
        <w:t>20.</w:t>
      </w:r>
      <w:r>
        <w:tab/>
      </w:r>
      <w:r>
        <w:rPr>
          <w:b/>
          <w:bCs/>
        </w:rPr>
        <w:t>Комитет обеспокоен риском безгражданства, возникающим в результате того, что государственные должностные лица не обеспечивают надлежащую регистрацию детей как родившихся в государстве-участнике до депортации, и рекомендует государству-участнику:</w:t>
      </w:r>
    </w:p>
    <w:p w14:paraId="1AA1FDFA" w14:textId="23960164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принять дальнейшие меры для облегчения приобретения гражданства при рождении детьми, которые в противном случае могут стать лицами без гражданства, и, в частности, обеспечить, чтобы государственные служащие должным образом регистрировали всех детей, родившихся в государстве-участнике, до их депортации, поскольку отсутствие регистрации может поставить под угрозу возможность приобретения гражданства и доступ к основным услугам и увеличить риск безгражданства;</w:t>
      </w:r>
    </w:p>
    <w:p w14:paraId="539928F3" w14:textId="4CC024A1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принять находящиеся на рассмотрении законодательные поправки, касающиеся</w:t>
      </w:r>
      <w:r>
        <w:rPr>
          <w:b/>
          <w:bCs/>
        </w:rPr>
        <w:t xml:space="preserve"> предотвращения и сокращения безгражданства и связанных с этим процедур.</w:t>
      </w:r>
    </w:p>
    <w:p w14:paraId="35C4D6E8" w14:textId="77777777" w:rsidR="00D70AE4" w:rsidRPr="00625976" w:rsidRDefault="00D70AE4" w:rsidP="00AB1B78">
      <w:pPr>
        <w:pStyle w:val="H23G"/>
        <w:rPr>
          <w:rFonts w:asciiTheme="majorBidi" w:hAnsiTheme="majorBidi" w:cstheme="majorBidi"/>
        </w:rPr>
      </w:pPr>
      <w:r>
        <w:tab/>
      </w:r>
      <w:r>
        <w:tab/>
        <w:t>Право на неприкосновенность частной жизни и доступ к соответствующей информации</w:t>
      </w:r>
    </w:p>
    <w:p w14:paraId="5B7559F2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400886AF" w14:textId="024A2363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  <w:t>укрепить нормативные акты и политику обеспечения безопасности для защиты прав и безопасности детей в цифровой среде;</w:t>
      </w:r>
    </w:p>
    <w:p w14:paraId="2223C563" w14:textId="713C39D8" w:rsidR="00D70AE4" w:rsidRPr="00D70AE4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обеспечить, чтобы законы о доступе к информации и регулировании цифровой среды защищали детей от вредного контента и материалов и рисков в интернете;</w:t>
      </w:r>
    </w:p>
    <w:p w14:paraId="51582A53" w14:textId="2E840C1B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продолжать усилия по повышению цифровой грамотности и развитию цифровых</w:t>
      </w:r>
      <w:r>
        <w:rPr>
          <w:b/>
          <w:bCs/>
        </w:rPr>
        <w:t xml:space="preserve"> навыков детей, учителей и семей.</w:t>
      </w:r>
    </w:p>
    <w:p w14:paraId="3E5C974E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(ст. 19, 24 (п. 3), 28 (п. 2), 34, 37 a) и 39)</w:t>
      </w:r>
    </w:p>
    <w:p w14:paraId="01256D6C" w14:textId="3F5BA379" w:rsidR="00D70AE4" w:rsidRPr="00625976" w:rsidRDefault="00D70AE4" w:rsidP="00AB1B78">
      <w:pPr>
        <w:pStyle w:val="H23G"/>
        <w:rPr>
          <w:rFonts w:asciiTheme="majorBidi" w:hAnsiTheme="majorBidi" w:cstheme="majorBidi"/>
        </w:rPr>
      </w:pPr>
      <w:r>
        <w:tab/>
      </w:r>
      <w:r>
        <w:tab/>
        <w:t>Насилие в отношении детей, включая сексуальную эксплуатацию и</w:t>
      </w:r>
      <w:r w:rsidR="00AB1B78">
        <w:rPr>
          <w:lang w:val="en-US"/>
        </w:rPr>
        <w:t> </w:t>
      </w:r>
      <w:r>
        <w:t>надругательства</w:t>
      </w:r>
    </w:p>
    <w:p w14:paraId="13E372CC" w14:textId="03EE184F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22.</w:t>
      </w:r>
      <w:r>
        <w:tab/>
        <w:t xml:space="preserve">Приветствуя План действий по предотвращению насилия в отношении детей </w:t>
      </w:r>
      <w:r w:rsidRPr="003239B5">
        <w:t>«Детство без насилия»</w:t>
      </w:r>
      <w:r w:rsidRPr="003239B5" w:rsidDel="003239B5">
        <w:t xml:space="preserve"> </w:t>
      </w:r>
      <w:r>
        <w:t>(2020–2025 годы), План действий по борьбе с буллингом (2021</w:t>
      </w:r>
      <w:r>
        <w:rPr>
          <w:lang w:val="en-US"/>
        </w:rPr>
        <w:t> </w:t>
      </w:r>
      <w:r>
        <w:t>год), проект «Барнахус» и поправки к Уголовному кодексу, касающиеся сексуальных надругательств, Комитет выражает глубокую озабоченность по поводу:</w:t>
      </w:r>
    </w:p>
    <w:p w14:paraId="17B7B62F" w14:textId="4D933B3C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a)</w:t>
      </w:r>
      <w:r>
        <w:tab/>
        <w:t xml:space="preserve">высокой распространенности насилия в отношении детей, в том числе сексуальных домогательств, изнасилований, сексуальных надругательств, сексуальной эксплуатации, гендерного насилия и насилия в </w:t>
      </w:r>
      <w:r w:rsidR="00AB1B78">
        <w:t>И</w:t>
      </w:r>
      <w:r>
        <w:t>нтернете;</w:t>
      </w:r>
    </w:p>
    <w:p w14:paraId="7DD4DF48" w14:textId="690F8C21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b)</w:t>
      </w:r>
      <w:r>
        <w:tab/>
        <w:t>особой уязвимости девочек, детей с инвалидностью, детей в условиях альтернативного ухода, детей из числа мигрантов и беженцев и детей, находящихся в неблагоприятном социально-экономическом положении;</w:t>
      </w:r>
    </w:p>
    <w:p w14:paraId="6A86CA2C" w14:textId="60273356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c)</w:t>
      </w:r>
      <w:r>
        <w:tab/>
        <w:t>отсутствия законодательной базы для обеспечения межсекторальной координации и стандартов качества проведения судебно-медицинских опросов в дружественной по отношению к ребенку атмосфере, нехватки комплексных услуг по поддержке жертв насилия (модель «Барнахус»), а также того, что не все дети имеют доступ к специализированной поддержке;</w:t>
      </w:r>
    </w:p>
    <w:p w14:paraId="5006E9B4" w14:textId="5AE963A0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d)</w:t>
      </w:r>
      <w:r>
        <w:tab/>
        <w:t xml:space="preserve">отсутствия конкретных и специально выделенных ресурсов для реализации Плана действий по предотвращению насилия в отношении детей </w:t>
      </w:r>
      <w:r w:rsidRPr="00D104DA">
        <w:t>«Детство без насилия»</w:t>
      </w:r>
      <w:r>
        <w:t>, а также отсутствия четко определенных обязанностей по осуществлению Плана действий на разных уровнях;</w:t>
      </w:r>
    </w:p>
    <w:p w14:paraId="34407190" w14:textId="469FD4DB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e)</w:t>
      </w:r>
      <w:r>
        <w:tab/>
        <w:t>недостаточности ресурсов, выделяемых на социальные услуги, и недоступности служб социального обеспечения в контексте случаев жестокого обращения с детьми и насилия в семье;</w:t>
      </w:r>
    </w:p>
    <w:p w14:paraId="27516C9E" w14:textId="7CB5A654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ab/>
        <w:t>f)</w:t>
      </w:r>
      <w:r>
        <w:tab/>
        <w:t>отсутствия централизованного механизма сбора данных о сексуальном насилии над детьми и эксплуатации детей.</w:t>
      </w:r>
    </w:p>
    <w:p w14:paraId="79C0B1ED" w14:textId="77777777" w:rsidR="00D70AE4" w:rsidRPr="00625976" w:rsidRDefault="00D70AE4" w:rsidP="00D70AE4">
      <w:pPr>
        <w:pStyle w:val="SingleTxtG"/>
        <w:keepNext/>
        <w:keepLines/>
        <w:rPr>
          <w:rFonts w:asciiTheme="majorBidi" w:hAnsiTheme="majorBidi" w:cstheme="majorBidi"/>
        </w:rPr>
      </w:pPr>
      <w:r>
        <w:t>23.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7076CAB4" w14:textId="2454571F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a)</w:t>
      </w:r>
      <w:r w:rsidRPr="00D70AE4">
        <w:rPr>
          <w:b/>
          <w:bCs/>
        </w:rPr>
        <w:tab/>
      </w:r>
      <w:r>
        <w:rPr>
          <w:b/>
          <w:bCs/>
        </w:rPr>
        <w:t xml:space="preserve">принимать меры в связи со всеми формами насилия в отношении детей в </w:t>
      </w:r>
      <w:r w:rsidRPr="00D70AE4">
        <w:rPr>
          <w:b/>
          <w:bCs/>
        </w:rPr>
        <w:t>любых контекстах, в том числе путем предоставления достаточных кадровых и финансовых ресурсов для эффективной реализации Плана действий по предотвращению насилия в отношении детей «Детство без насилия»</w:t>
      </w:r>
      <w:r w:rsidRPr="00D70AE4" w:rsidDel="004B771A">
        <w:rPr>
          <w:b/>
          <w:bCs/>
        </w:rPr>
        <w:t xml:space="preserve"> </w:t>
      </w:r>
      <w:r w:rsidR="00AB1B78">
        <w:rPr>
          <w:b/>
          <w:bCs/>
        </w:rPr>
        <w:br/>
      </w:r>
      <w:r w:rsidRPr="00D70AE4">
        <w:rPr>
          <w:b/>
          <w:bCs/>
        </w:rPr>
        <w:t xml:space="preserve">(2020–2025 годы) и обеспечения правовой основы для координации межсекторальных и дружественных детям услуг, предоставляемых в соответствии с моделью «Барнахус»; </w:t>
      </w:r>
    </w:p>
    <w:p w14:paraId="184B541A" w14:textId="7199332A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b)</w:t>
      </w:r>
      <w:r w:rsidRPr="00D70AE4">
        <w:rPr>
          <w:b/>
          <w:bCs/>
        </w:rPr>
        <w:tab/>
        <w:t>обеспечить, чтобы стратегии и планы включали целевые меры в отношении девочек, детей с инвалидностью, детей, находящихся в неблагоприятном социально-экономическом положении, детей-мигрантов и детей, принадлежащих к группам меньшинств (рома и саамы), а также чтобы такие стратегии и планы были обеспечены достаточными ресурсами и предусматривали комплексное решение проблемы сексуальной эксплуатации и надругательств;</w:t>
      </w:r>
    </w:p>
    <w:p w14:paraId="1CE634E7" w14:textId="54663F5A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D70AE4">
        <w:rPr>
          <w:b/>
          <w:bCs/>
        </w:rPr>
        <w:t>c)</w:t>
      </w:r>
      <w:r w:rsidRPr="00D70AE4">
        <w:rPr>
          <w:b/>
          <w:bCs/>
        </w:rPr>
        <w:tab/>
        <w:t>обеспечить реализацию эффективных мер по предотвращению и защите от насилия онлайн и офлайн, включая травлю в школах, а также проводить исследования коренных причин насилия;</w:t>
      </w:r>
    </w:p>
    <w:p w14:paraId="46883206" w14:textId="0C41D3C7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d)</w:t>
      </w:r>
      <w:r w:rsidRPr="00D70AE4">
        <w:rPr>
          <w:b/>
          <w:bCs/>
        </w:rPr>
        <w:tab/>
        <w:t>принимать меры против всех форм буллинга, принимать, обновлять и контролировать выполнение различных программ по предотвращению буллинга и внести соответствующие изменения в законодательство;</w:t>
      </w:r>
    </w:p>
    <w:p w14:paraId="71F3DB2E" w14:textId="7EAEA01F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e)</w:t>
      </w:r>
      <w:r w:rsidRPr="00D70AE4">
        <w:rPr>
          <w:b/>
          <w:bCs/>
        </w:rPr>
        <w:tab/>
        <w:t>укрепить и стандартизировать реализацию модели «Барнахус» на национальном уровне, чтобы обеспечить всем детям, ставшим жертвами любой формы насилия, включая сексуальные домогательства и сексуальную эксплуатацию, доступ к междисциплинарной поддержке, медицинским обследованиям и терапии, ориентированным на пережитую ими травму;</w:t>
      </w:r>
    </w:p>
    <w:p w14:paraId="332C6D19" w14:textId="39E41962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f)</w:t>
      </w:r>
      <w:r w:rsidRPr="00D70AE4">
        <w:rPr>
          <w:b/>
          <w:bCs/>
        </w:rPr>
        <w:tab/>
        <w:t>обеспечить эффективное расследование всех случаев насилия в отношении детей, как в семье, так и вне ее, и реагирование на них, а также привлечение виновных к ответственности и назначение им наказания, соразмерного тяжести содеянного, и предоставлять жертвам соответствующую терапию, услуги по реабилитации и социальной реинтеграции и компенсацию;</w:t>
      </w:r>
    </w:p>
    <w:p w14:paraId="4A621573" w14:textId="26A8EEF6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g)</w:t>
      </w:r>
      <w:r w:rsidRPr="00D70AE4">
        <w:rPr>
          <w:b/>
          <w:bCs/>
        </w:rPr>
        <w:tab/>
        <w:t>усилить меры по борьбе с насилием между детьми, включая сексуальные домогательства и насилие в контексте спорта и досуга;</w:t>
      </w:r>
    </w:p>
    <w:p w14:paraId="2FDDAD8D" w14:textId="063B2938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h)</w:t>
      </w:r>
      <w:r w:rsidRPr="00D70AE4">
        <w:rPr>
          <w:b/>
          <w:bCs/>
        </w:rPr>
        <w:tab/>
        <w:t>обеспечить детям доступ к конфиденциальным и удобным для детей механизмам подачи жалоб, включая горячие линии, для сообщения обо всех формах насилия и жестокого обращения и поощрять использование этих механизмов детьми;</w:t>
      </w:r>
    </w:p>
    <w:p w14:paraId="6657CCB7" w14:textId="00C44FEF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i)</w:t>
      </w:r>
      <w:r w:rsidRPr="00D70AE4">
        <w:rPr>
          <w:b/>
          <w:bCs/>
        </w:rPr>
        <w:tab/>
        <w:t>дополнительно укреплять просветительные и информационные программы, включая соответствующие кампании, вовлекая в них детей, с целью повышения осведомленности обо всех формах насилия и посягательств среди населения, преподавателей, медиков, социальных работников и других специалистов, работающих с детьми и в интересах детей, а также для выявления таких случаев и сообщения о них в соответствующие учреждения;</w:t>
      </w:r>
    </w:p>
    <w:p w14:paraId="51558828" w14:textId="1ECB8544" w:rsidR="00D70AE4" w:rsidRPr="00D70AE4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j)</w:t>
      </w:r>
      <w:r w:rsidRPr="00D70AE4">
        <w:rPr>
          <w:b/>
          <w:bCs/>
        </w:rPr>
        <w:tab/>
        <w:t>включить учебные курсы по проблеме насилия в отношении детей в соответствующие программы высшего образования и ввести обязательную подготовку по вопросам насилия для специалистов, работающих с детьми и в их интересах;</w:t>
      </w:r>
    </w:p>
    <w:p w14:paraId="59555426" w14:textId="5FBADD60" w:rsidR="00D70AE4" w:rsidRPr="00625976" w:rsidRDefault="00D70AE4" w:rsidP="00D70AE4">
      <w:pPr>
        <w:pStyle w:val="SingleTxtG"/>
        <w:rPr>
          <w:b/>
          <w:bCs/>
        </w:rPr>
      </w:pPr>
      <w:r>
        <w:rPr>
          <w:b/>
          <w:bCs/>
        </w:rPr>
        <w:tab/>
      </w:r>
      <w:r w:rsidRPr="00D70AE4">
        <w:rPr>
          <w:b/>
          <w:bCs/>
        </w:rPr>
        <w:t>k)</w:t>
      </w:r>
      <w:r w:rsidRPr="00D70AE4">
        <w:rPr>
          <w:b/>
          <w:bCs/>
        </w:rPr>
        <w:tab/>
        <w:t>обеспечить систематический сбор и анализ данных обо всех зарегистрированных, расследованных и переданных в суд случаях насилия в отношении детей, а также проводить комплексные и регулярные опросы жертв с целью</w:t>
      </w:r>
      <w:r>
        <w:rPr>
          <w:b/>
          <w:bCs/>
        </w:rPr>
        <w:t xml:space="preserve"> информационного обеспечения реализации Плана действий по предотвращению насилия в отношении детей.</w:t>
      </w:r>
    </w:p>
    <w:p w14:paraId="398A2C0B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bookmarkStart w:id="3" w:name="_Hlk104811042"/>
      <w:bookmarkStart w:id="4" w:name="_Hlk104898435"/>
      <w:r>
        <w:tab/>
      </w:r>
      <w:r>
        <w:tab/>
      </w:r>
      <w:r>
        <w:rPr>
          <w:bCs/>
        </w:rPr>
        <w:t>Вредная практика</w:t>
      </w:r>
    </w:p>
    <w:p w14:paraId="04C86D9A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24.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 18 Комитета по правам ребенка (2019) по вредной практике, Комитет рекомендует государству-участнику:</w:t>
      </w:r>
    </w:p>
    <w:p w14:paraId="18216AFD" w14:textId="7B7317DB" w:rsidR="00D70AE4" w:rsidRPr="00D70AE4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D70AE4">
        <w:rPr>
          <w:b/>
          <w:bCs/>
        </w:rPr>
        <w:t>a)</w:t>
      </w:r>
      <w:r w:rsidR="00D70AE4" w:rsidRPr="00D70AE4">
        <w:rPr>
          <w:b/>
          <w:bCs/>
        </w:rPr>
        <w:tab/>
        <w:t>обеспечить, чтобы не являющееся необходимым медикаментозное или хирургическое вмешательство в организм интерсекс-детей откладывалось до тех пор, пока дети не смогут самостоятельно выразить свое осознанное согласие, и предоставлять адекватные социальные, медицинские и психологические услуги, консультации и поддержку интерсекс-детям и их семьям;</w:t>
      </w:r>
    </w:p>
    <w:p w14:paraId="55122EAC" w14:textId="09672186" w:rsidR="00D70AE4" w:rsidRPr="00D70AE4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D70AE4">
        <w:rPr>
          <w:b/>
          <w:bCs/>
        </w:rPr>
        <w:t>b)</w:t>
      </w:r>
      <w:r w:rsidR="00D70AE4" w:rsidRPr="00D70AE4">
        <w:rPr>
          <w:b/>
          <w:bCs/>
        </w:rPr>
        <w:tab/>
        <w:t>обеспечивать возмещение ущерба и оказание поддержки интерсекс-детям, подвергшимся необратимому медицинскому или хирургическому вмешательству без необходимости, в том числе путем отмены сроков исковой давности в отношении их возможности обратиться в суд;</w:t>
      </w:r>
    </w:p>
    <w:p w14:paraId="35955041" w14:textId="547DD9FC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D70AE4">
        <w:rPr>
          <w:b/>
          <w:bCs/>
        </w:rPr>
        <w:t>c)</w:t>
      </w:r>
      <w:r w:rsidR="00D70AE4" w:rsidRPr="00D70AE4">
        <w:rPr>
          <w:b/>
          <w:bCs/>
        </w:rPr>
        <w:tab/>
        <w:t>усилить меры, направленные на предотвращение калечащих операций на женских половых органах, в том числе путем выделения достаточных ресурсов на проведение</w:t>
      </w:r>
      <w:r w:rsidR="00D70AE4">
        <w:rPr>
          <w:b/>
          <w:bCs/>
        </w:rPr>
        <w:t xml:space="preserve"> информационно-просветительских кампаний, поддержку жертв и обучение представителей соответствующих профессиональных групп выявлению потенциальных жертв.</w:t>
      </w:r>
    </w:p>
    <w:bookmarkEnd w:id="3"/>
    <w:bookmarkEnd w:id="4"/>
    <w:p w14:paraId="3C34AA4D" w14:textId="2871DEE3" w:rsidR="00D70AE4" w:rsidRPr="00625976" w:rsidRDefault="00D70AE4" w:rsidP="00D70AE4">
      <w:pPr>
        <w:pStyle w:val="H1G"/>
        <w:rPr>
          <w:rFonts w:asciiTheme="majorBidi" w:hAnsiTheme="majorBidi" w:cstheme="majorBidi"/>
        </w:rPr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(ст. 5, 9–11, 18 (пп. 1 и</w:t>
      </w:r>
      <w:r w:rsidR="00116BEC">
        <w:rPr>
          <w:bCs/>
          <w:lang w:val="en-US"/>
        </w:rPr>
        <w:t> </w:t>
      </w:r>
      <w:r>
        <w:rPr>
          <w:bCs/>
        </w:rPr>
        <w:t>2), 20, 21, 25 и 27 (п. 4))</w:t>
      </w:r>
      <w:r>
        <w:t xml:space="preserve"> </w:t>
      </w:r>
      <w:bookmarkStart w:id="5" w:name="_Hlk135188554"/>
    </w:p>
    <w:p w14:paraId="4B7619E6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0CCC62CD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7F70893" w14:textId="33806DD4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продолжить укрепление системы предоставления социальных услуг на всей территории страны, обеспечивая эффективную координацию социальных услуг на местном уровне и между округами социального обслуживания населения;</w:t>
      </w:r>
    </w:p>
    <w:p w14:paraId="7B10A86B" w14:textId="61021CCE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усилить поддержку семьи, включая услуги посредничества в случаях развода и раздельного проживания, а также по мере необходимости предоставлять детям соответствующую консультативную и психологическую помощь;</w:t>
      </w:r>
    </w:p>
    <w:p w14:paraId="491A19D7" w14:textId="2917ECEB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содействовать совместному воспитанию родителями детей после развода и в случаях раздельного проживания и предоставлять услуги по семейному консультированию, в том числе в целях обеспечения регулярного общения ребенка с обоими родителями в ситуациях, когда один из родителей проживает за границей;</w:t>
      </w:r>
    </w:p>
    <w:p w14:paraId="095E2872" w14:textId="15E8C44C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осуществлять в целях предотвращения разлучения семей соответствующее вмешательство</w:t>
      </w:r>
      <w:r w:rsidR="00D70AE4">
        <w:rPr>
          <w:b/>
          <w:bCs/>
        </w:rPr>
        <w:t xml:space="preserve"> и оказывать услуги по лечению зависимости родителям, страдающим алкоголизмом или наркоманией, а также предоставлять детям таких родителей специализированную поддержку.</w:t>
      </w:r>
    </w:p>
    <w:p w14:paraId="7C4260FF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199010B3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26.</w:t>
      </w:r>
      <w:r>
        <w:tab/>
        <w:t>Приветствуя принятые меры по совершенствованию законодательства в области ухода за детьми и их защиты, Комитет по-прежнему обеспокоен следующим:</w:t>
      </w:r>
    </w:p>
    <w:p w14:paraId="46DD5275" w14:textId="1DBF51AE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a)</w:t>
      </w:r>
      <w:r w:rsidR="00D70AE4">
        <w:tab/>
        <w:t>большим числом детей, лишенных семейного окружения;</w:t>
      </w:r>
    </w:p>
    <w:p w14:paraId="33B12B85" w14:textId="4FAD5148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b)</w:t>
      </w:r>
      <w:r w:rsidR="00D70AE4">
        <w:tab/>
        <w:t>недостаточностью кадровых и финансовых ресурсов для реализации Закона о социальной защите детей;</w:t>
      </w:r>
    </w:p>
    <w:p w14:paraId="2EDF5F11" w14:textId="47142587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c)</w:t>
      </w:r>
      <w:r w:rsidR="00D70AE4">
        <w:tab/>
        <w:t xml:space="preserve">недостаточным контролем за условиями и качеством ухода в домах-интернатах и приемных семьях, в том числе в части защиты детей от насилия и жестокого обращения; </w:t>
      </w:r>
    </w:p>
    <w:p w14:paraId="4A4EC92C" w14:textId="6AF074DF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d)</w:t>
      </w:r>
      <w:r w:rsidR="00D70AE4">
        <w:tab/>
        <w:t>ограниченным доступом детей, воспитывающихся в системе альтернативного ухода, к информации об их правах и к удобным для детей каналам для сообщения о насилии;</w:t>
      </w:r>
    </w:p>
    <w:p w14:paraId="4B886717" w14:textId="25C07E22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e)</w:t>
      </w:r>
      <w:r w:rsidR="00D70AE4">
        <w:tab/>
        <w:t>недостаточностью мер по поддержке детей, покидающих систему ухода.</w:t>
      </w:r>
    </w:p>
    <w:p w14:paraId="4AE7A97B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27.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345DC281" w14:textId="64B3A036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принять всеобъемлющую стратегию альтернативного ухода за детьми и обеспечить, чтобы разлучение детей с семьями допускалось только в случае необходимости и в наилучших интересах ребенка, а также регулярно пересматривать решения об изъятии детей из семьи с целью изучить возможность воссоединения;</w:t>
      </w:r>
    </w:p>
    <w:p w14:paraId="3B4659CD" w14:textId="77777777" w:rsidR="00AB1B78" w:rsidRDefault="00AB1B78">
      <w:pPr>
        <w:suppressAutoHyphens w:val="0"/>
        <w:spacing w:line="240" w:lineRule="auto"/>
        <w:rPr>
          <w:rFonts w:eastAsia="Times New Roman" w:cs="Times New Roman"/>
          <w:b/>
          <w:bCs/>
          <w:szCs w:val="20"/>
        </w:rPr>
      </w:pPr>
      <w:r>
        <w:rPr>
          <w:b/>
          <w:bCs/>
        </w:rPr>
        <w:br w:type="page"/>
      </w:r>
    </w:p>
    <w:p w14:paraId="0BFB9B25" w14:textId="529F106F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гарантировать наличие достаточных кадровых и финансовых ресурсов для реализации такой стратегии и Закона о социальной защите детей, в том числе за счет увеличения числа специалистов и повышения их квалификации;</w:t>
      </w:r>
    </w:p>
    <w:p w14:paraId="4E7B8A78" w14:textId="1F76FB56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обеспечить наличие надлежащих механизмов контроля за условиями проживания детей и качеством ухода за ними в контексте альтернативного ухода;</w:t>
      </w:r>
    </w:p>
    <w:p w14:paraId="747C07FD" w14:textId="3294DBAC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обеспечить детям, воспитывающимся в системе альтернативного ухода, доступ к доступно изложенной информации об их правах и возможность выражать свое мнение по поводу решений об их размещении в течение всего времени пребывания в системе;</w:t>
      </w:r>
    </w:p>
    <w:p w14:paraId="554B726A" w14:textId="13BC2FA0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e)</w:t>
      </w:r>
      <w:r w:rsidR="00D70AE4" w:rsidRPr="00116BEC">
        <w:rPr>
          <w:b/>
          <w:bCs/>
        </w:rPr>
        <w:tab/>
        <w:t>обеспечить наличие доступных и удобных для детей каналов для сообщения о насилии и жестоком обращении и устранения их последствий, а также регулярное информирование детей об их правах;</w:t>
      </w:r>
    </w:p>
    <w:p w14:paraId="4A712FF0" w14:textId="357BD44F" w:rsidR="00D70AE4" w:rsidRPr="00625976" w:rsidRDefault="00116BEC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f)</w:t>
      </w:r>
      <w:r w:rsidR="00D70AE4" w:rsidRPr="00116BEC">
        <w:rPr>
          <w:b/>
          <w:bCs/>
        </w:rPr>
        <w:tab/>
        <w:t>обеспечить разработку индивидуализированных планов реинтеграции для детей,</w:t>
      </w:r>
      <w:r w:rsidR="00D70AE4">
        <w:rPr>
          <w:b/>
          <w:bCs/>
        </w:rPr>
        <w:t xml:space="preserve"> покидающих систему альтернативного ухода, с целью оказания им социальной, образовательной и другой соответствующей поддержки для успешной реинтеграции в семью и общество.</w:t>
      </w:r>
    </w:p>
    <w:p w14:paraId="7348E573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4E974FC2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расширить возможности муниципалитетов по предоставлению детям, родители которых находятся в заключении, информации и помощи, а также создать возможности для регулярного личного общения таких детей с их родителями.</w:t>
      </w:r>
    </w:p>
    <w:bookmarkEnd w:id="5"/>
    <w:p w14:paraId="1DDB9D5F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(ст. 23)</w:t>
      </w:r>
    </w:p>
    <w:p w14:paraId="0D30FB77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29.</w:t>
      </w:r>
      <w:r>
        <w:tab/>
        <w:t>Приветствуя второй Национальный план действий по реализации Конвенции о правах инвалидов, Комитет выражает озабоченность по поводу:</w:t>
      </w:r>
    </w:p>
    <w:p w14:paraId="2B2BAF51" w14:textId="6A8CA39A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a)</w:t>
      </w:r>
      <w:r w:rsidR="00D70AE4">
        <w:tab/>
        <w:t>недостаточно эффективного включения детей с инвалидностью в общую систему образования;</w:t>
      </w:r>
    </w:p>
    <w:p w14:paraId="45F17AE9" w14:textId="306D4109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b)</w:t>
      </w:r>
      <w:r w:rsidR="00D70AE4">
        <w:tab/>
        <w:t>длительного пребывания детей с интеллектуальной инвалидностью в специализированных учреждениях;</w:t>
      </w:r>
    </w:p>
    <w:p w14:paraId="5C05173B" w14:textId="6A64B3EF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c)</w:t>
      </w:r>
      <w:r w:rsidR="00D70AE4">
        <w:tab/>
        <w:t>того факта, что мнение детей с инвалидностью учитывается в недостаточной степени;</w:t>
      </w:r>
    </w:p>
    <w:p w14:paraId="4A59236D" w14:textId="3457C479" w:rsidR="00D70AE4" w:rsidRPr="00625976" w:rsidRDefault="00116BEC" w:rsidP="00D70AE4">
      <w:pPr>
        <w:pStyle w:val="SingleTxtG"/>
        <w:rPr>
          <w:rFonts w:asciiTheme="majorBidi" w:hAnsiTheme="majorBidi" w:cstheme="majorBidi"/>
        </w:rPr>
      </w:pPr>
      <w:r>
        <w:tab/>
      </w:r>
      <w:r w:rsidR="00D70AE4">
        <w:t>d)</w:t>
      </w:r>
      <w:r w:rsidR="00D70AE4">
        <w:tab/>
        <w:t>социальных барьеров на пути инклюзии детей с инвалидностью.</w:t>
      </w:r>
    </w:p>
    <w:p w14:paraId="58B0E323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506AE0D" w14:textId="261917F9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</w:r>
      <w:r w:rsidR="00D70AE4">
        <w:rPr>
          <w:b/>
          <w:bCs/>
        </w:rPr>
        <w:t xml:space="preserve">активизировать меры по обеспечению инклюзивного учебного процесса в </w:t>
      </w:r>
      <w:r w:rsidR="00D70AE4" w:rsidRPr="00116BEC">
        <w:rPr>
          <w:b/>
          <w:bCs/>
        </w:rPr>
        <w:t>общеобразовательных школах, в котором могли бы участвовать все дети с инвалидностью, в том числе путем адаптации учебных программ и методик обучения, предоставления достаточных ресурсов и помощи экспертов и приписки к школам преподавателей и специалистов в области специального образования, с тем чтобы дети с инвалидностью и трудностями в обучении получали индивидуальную поддержку и должное внимание;</w:t>
      </w:r>
    </w:p>
    <w:p w14:paraId="3C4FF79F" w14:textId="2BB95FE9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предотвращать длительное помещение детей с интеллектуальной инвалидностью в специализированные учреждения и сокращать число таких случаев, сделав приоритетом обслуживание таких детей с опорой на семью и общину;</w:t>
      </w:r>
    </w:p>
    <w:p w14:paraId="62DB72DD" w14:textId="01A126D2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обеспечить право детей с инвалидностью на получение всей информации, необходимой для формирования своего мнения, на выражение своего мнения и получение</w:t>
      </w:r>
      <w:r w:rsidR="00D70AE4">
        <w:rPr>
          <w:b/>
          <w:bCs/>
        </w:rPr>
        <w:t xml:space="preserve"> соответствующей коммуникационной поддержки в связи с принятием всех затрагивающих их решений;</w:t>
      </w:r>
    </w:p>
    <w:p w14:paraId="17D27BE7" w14:textId="53D1621A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</w:r>
      <w:r w:rsidR="00D70AE4">
        <w:rPr>
          <w:b/>
          <w:bCs/>
        </w:rPr>
        <w:t>усилить поддержку социальной интеграции и индивидуального развития детей с инвалидностью.</w:t>
      </w:r>
    </w:p>
    <w:p w14:paraId="00E80AD0" w14:textId="71CDDA17" w:rsidR="00D70AE4" w:rsidRPr="00625976" w:rsidRDefault="00D70AE4" w:rsidP="00D70AE4">
      <w:pPr>
        <w:pStyle w:val="H1G"/>
        <w:rPr>
          <w:rFonts w:asciiTheme="majorBidi" w:hAnsiTheme="majorBidi" w:cstheme="majorBidi"/>
        </w:rPr>
      </w:pPr>
      <w:r>
        <w:rPr>
          <w:bCs/>
        </w:rPr>
        <w:tab/>
        <w:t>G.</w:t>
      </w:r>
      <w:r>
        <w:tab/>
      </w:r>
      <w:r>
        <w:rPr>
          <w:bCs/>
        </w:rPr>
        <w:t>Базовое медицинское обслуживание и социальное обеспечение (ст.</w:t>
      </w:r>
      <w:r w:rsidR="00116BEC">
        <w:rPr>
          <w:bCs/>
          <w:lang w:val="en-US"/>
        </w:rPr>
        <w:t> </w:t>
      </w:r>
      <w:r>
        <w:rPr>
          <w:bCs/>
        </w:rPr>
        <w:t>6, 18 (п. 3), 24, 26, 27 (пп. 1–3) и 33)</w:t>
      </w:r>
    </w:p>
    <w:p w14:paraId="60F38263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r>
        <w:t xml:space="preserve"> </w:t>
      </w:r>
    </w:p>
    <w:p w14:paraId="78DDEBFA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B2BD38" w14:textId="01349D98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активизировать меры, в том числе путем обучения медицинских работников, для обеспечения оперативного и реального доступа к высококачественным медицинским услугам для детей по всей стране, уделяя особое внимание детям, находящимся в неблагоприятном или маргинализированном положении, включая детей, воспитывающихся в системе альтернативного ухода, детей, живущих в бедности, детей саамов, детей — просителей убежища и беженцев, а также детей, которые не идентифицируют себя с полом, присвоенным им при рождении, и детей, лишенных родительского ухода или рискующих лишиться его;</w:t>
      </w:r>
    </w:p>
    <w:p w14:paraId="081200AA" w14:textId="5A8E7FCC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предоставлять медицинские и социальные услуги всем детям и беременным женщинам, независимо от имеющихся у них документов;</w:t>
      </w:r>
    </w:p>
    <w:p w14:paraId="35B01BDA" w14:textId="27C99C10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повышать осведомленность семей о важности грудного вскармливания и контролировать выполнение Международного свода правил по сбыту заменителей грудного молока;</w:t>
      </w:r>
    </w:p>
    <w:p w14:paraId="40294679" w14:textId="7C74E6C7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</w:r>
      <w:r w:rsidR="00D70AE4">
        <w:rPr>
          <w:b/>
          <w:bCs/>
        </w:rPr>
        <w:t>обеспечить, чтобы права детей на самоопределение и участие рассматривались как сквозной вопрос во всех областях социального обеспечения и здравоохранения.</w:t>
      </w:r>
    </w:p>
    <w:p w14:paraId="0A81665A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21404EBB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32.</w:t>
      </w:r>
      <w:r>
        <w:tab/>
      </w:r>
      <w:r>
        <w:rPr>
          <w:b/>
          <w:bCs/>
        </w:rPr>
        <w:t>Приветствуя Национальную стратегию в области охраны психического здоровья и Программу по предотвращению самоубийств, Комитет с обеспокоенностью отмечает распространенность депрессии, тревоги и членовредительства среди детей и рекомендует государству-участнику:</w:t>
      </w:r>
    </w:p>
    <w:p w14:paraId="3B193313" w14:textId="2BC65FBF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 xml:space="preserve">оперативно выделить достаточные ресурсы, осуществлять Национальную стратегию в области охраны психического здоровья и предоставлять услуги по лечению наркозависимости, а также внести изменения в Закон о социальной защите детей; </w:t>
      </w:r>
    </w:p>
    <w:p w14:paraId="50C94342" w14:textId="7453FB2D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укреплять службы и программы охраны психического здоровья, ориентированные на детей, в том числе путем обеспечения:</w:t>
      </w:r>
    </w:p>
    <w:p w14:paraId="54260F45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i)</w:t>
      </w:r>
      <w:r w:rsidRPr="00116BEC">
        <w:rPr>
          <w:b/>
          <w:bCs/>
        </w:rPr>
        <w:tab/>
        <w:t>наличия терапевтических услуг по охране психического здоровья в школах, пенитенциарных учреждениях и по месту жительства во всех регионах;</w:t>
      </w:r>
    </w:p>
    <w:p w14:paraId="5324B12B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ii)</w:t>
      </w:r>
      <w:r w:rsidRPr="00116BEC">
        <w:rPr>
          <w:b/>
          <w:bCs/>
        </w:rPr>
        <w:tab/>
        <w:t>достаточного количества квалифицированных специалистов, включая детских психологов и психиатров, для своевременного удовлетворения потребностей детей в охране психического здоровья;</w:t>
      </w:r>
    </w:p>
    <w:p w14:paraId="41AD9610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iii)</w:t>
      </w:r>
      <w:r w:rsidRPr="00116BEC">
        <w:rPr>
          <w:b/>
          <w:bCs/>
        </w:rPr>
        <w:tab/>
        <w:t>учета при предоставлении таких услуг, в частности услуг по профилактике и раннему вмешательству, особых потребностей девочек, детей из числа просителей убежища и беженцев, детей из малообеспеченных семей, детей с инвалидностью, а также детей из числа лесбиянок, геев, бисексуалов, трансгендеров и интерсексов;</w:t>
      </w:r>
    </w:p>
    <w:p w14:paraId="3B62BCAE" w14:textId="54D7D08D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инвестировать в профилактические меры, устранять основные причины самоубийств и проблем психического здоровья среди детей и обеспечить учет мнений детей при разработке ориентированных на них услуг реагирования;</w:t>
      </w:r>
    </w:p>
    <w:p w14:paraId="55ED2305" w14:textId="76689DF1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обеспечить, чтобы лекарственные средства, в том числе для лечения тревожных состояний, депрессии, психосоматических расстройств и синдрома дефицита внимания с гиперактивностью, назначались детям только при строгих медицинских показаниях и после индивидуальной оценки наилучших интересов ребенка и чтобы врачи, дети и их родители были должным образом проинформированы о немедикаментозных альтернативах и возможных побочных эффектах, к которым может приводить прием таких лекарств;</w:t>
      </w:r>
    </w:p>
    <w:p w14:paraId="05655F6C" w14:textId="268015E5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e)</w:t>
      </w:r>
      <w:r w:rsidR="00D70AE4" w:rsidRPr="00116BEC">
        <w:rPr>
          <w:b/>
          <w:bCs/>
        </w:rPr>
        <w:tab/>
        <w:t>обеспечить обучение и поддержку по месту жительства, включая периодические посещения на дому, для родителей детей с проблемами психичес</w:t>
      </w:r>
      <w:r w:rsidR="00D70AE4">
        <w:rPr>
          <w:b/>
          <w:bCs/>
        </w:rPr>
        <w:t>кого здоровья и лиц, ухаживающих за такими детьми.</w:t>
      </w:r>
    </w:p>
    <w:p w14:paraId="1D0A553A" w14:textId="77777777" w:rsidR="00D70AE4" w:rsidRPr="00625976" w:rsidRDefault="00D70AE4" w:rsidP="00D70AE4">
      <w:pPr>
        <w:pStyle w:val="H23G"/>
        <w:ind w:left="0" w:firstLine="0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3074653E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33.</w:t>
      </w:r>
      <w:r>
        <w:tab/>
      </w:r>
      <w:r>
        <w:rPr>
          <w:b/>
          <w:bCs/>
        </w:rPr>
        <w:t>Приветствуя включение предмета сексуального образования в общеобразовательную государственную программу, Комитет ссылается на свое замечание общего порядка № 20 (2016) об осуществлении прав ребенка в подростковом возрасте и рекомендует государству-участнику:</w:t>
      </w:r>
    </w:p>
    <w:p w14:paraId="7C5CC6D3" w14:textId="1AD4C909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принять комплексную, эффективную и учитывающую гендерную специфику политику в области сексуального и репродуктивного здоровья подростков и повысить осведомленность медицинского сообщества о проблемах здоровья детей и подростков из числа лесбиянок, геев, бисексуалов, трансгендеров и интерсексов, в частности трансгендерных подростков;</w:t>
      </w:r>
    </w:p>
    <w:p w14:paraId="0E447B8D" w14:textId="703125C0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обеспечить, чтобы все дети получали соответствующее возрасту образование в области сексуального и репродуктивного здоровья, которое должно включать обучение по вопросам гендерного равенства, сексуального разнообразия, прав на сексуальное и репродуктивное здоровье, ответственного родительства, ответственного сексуального поведения и предотвращения насилия;</w:t>
      </w:r>
    </w:p>
    <w:p w14:paraId="74447D1A" w14:textId="28821B88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активизировать усилия по профилактике и решению проблемы употребления подростками наркотиков, алкоголя и табака, особенно в школах, а также обеспечить раннее выявление подростков, нуждающихся в лечении, и их направление в соответствующие службы;</w:t>
      </w:r>
    </w:p>
    <w:p w14:paraId="02804715" w14:textId="2266EFB9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обеспечить, чтобы дети и подростки с игровой зависимостью, игроманией или другими формами онлайн-зависимости получали необходимую помощь и поддержку;</w:t>
      </w:r>
    </w:p>
    <w:p w14:paraId="0E33B531" w14:textId="62075257" w:rsidR="00D70AE4" w:rsidRPr="00625976" w:rsidRDefault="00116BEC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e)</w:t>
      </w:r>
      <w:r w:rsidR="00D70AE4" w:rsidRPr="00116BEC">
        <w:rPr>
          <w:b/>
          <w:bCs/>
        </w:rPr>
        <w:tab/>
      </w:r>
      <w:r w:rsidR="00D70AE4">
        <w:rPr>
          <w:b/>
          <w:bCs/>
        </w:rPr>
        <w:t>внедрить программы и механизмы раннего выявления, чтобы решить проблему большого числа девочек с расстройствами пищевого поведения, и принять меры по пропаганде здорового образа жизни.</w:t>
      </w:r>
    </w:p>
    <w:p w14:paraId="70BAD3FE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4A63BB26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bookmarkStart w:id="6" w:name="_Hlk132809970"/>
      <w:r>
        <w:t>34.</w:t>
      </w:r>
      <w:r>
        <w:tab/>
      </w:r>
      <w:r>
        <w:rPr>
          <w:b/>
          <w:bCs/>
        </w:rPr>
        <w:t>Приветствуя принятие государством-участником в 2022 году Закона о климате, Комитет рекомендует государству-участнику:</w:t>
      </w:r>
      <w:bookmarkEnd w:id="6"/>
    </w:p>
    <w:p w14:paraId="6F0F6EA7" w14:textId="4DEEAE0B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обеспечить, чтобы национальная политика и программы в области изменения климата, смягчения его последствий и адаптации к нему осуществлялись в соответствии с правами, провозглашенными в Конвенции, и учитывали неотложные потребности и мнения детей;</w:t>
      </w:r>
    </w:p>
    <w:p w14:paraId="3E14F24E" w14:textId="5897BF0D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оценить возможные последствия действий и мер по смягчению последствий изменения климата для детей, включая детей саамов, и их прав;</w:t>
      </w:r>
    </w:p>
    <w:p w14:paraId="44A07B12" w14:textId="50893482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принять законодательные и другие меры для выполнения своих экстерриториальных обязательств в отношении воздействия на окружающую среду,</w:t>
      </w:r>
      <w:r w:rsidR="00D70AE4">
        <w:rPr>
          <w:b/>
          <w:bCs/>
        </w:rPr>
        <w:t xml:space="preserve"> затрагивающего права детей за рубежом, в том числе в контексте деловых операций и международного сотрудничества, осуществляемых на территории государства-участника или управляемых с его территории.</w:t>
      </w:r>
    </w:p>
    <w:p w14:paraId="5B9E281F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lastRenderedPageBreak/>
        <w:tab/>
      </w:r>
      <w:r>
        <w:tab/>
      </w:r>
      <w:r>
        <w:rPr>
          <w:bCs/>
        </w:rPr>
        <w:t>Уровень жизни</w:t>
      </w:r>
    </w:p>
    <w:p w14:paraId="5D760B25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4967B23" w14:textId="3AB03073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 xml:space="preserve">не допускать сокращения размера пособий по социальному обеспечению, которое затронет детей, подверженных риску бедности и социальной изоляции; </w:t>
      </w:r>
    </w:p>
    <w:p w14:paraId="6BFEA862" w14:textId="143F81B9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продолжать укреплять свою политику, направленную на обеспечение всем детям достаточного уровня жизни, в том числе путем улучшения финансового положения и увеличения размера социальных пособий для детей с инвалидностью, детей из числа просителей убежища и детей с неурегулированным статусом проживания;</w:t>
      </w:r>
    </w:p>
    <w:p w14:paraId="238E9A0F" w14:textId="636056CB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разработать меры по предотвращению бездомности и оперативно предоставить нуждающимся семьям надлежащее и долгосрочное социальное жилье и другие меры поддержки;</w:t>
      </w:r>
    </w:p>
    <w:p w14:paraId="30B8FF00" w14:textId="01EE999E" w:rsidR="00D70AE4" w:rsidRPr="00625976" w:rsidRDefault="00116BEC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</w:r>
      <w:r w:rsidR="00D70AE4">
        <w:rPr>
          <w:b/>
          <w:bCs/>
        </w:rPr>
        <w:t>собирать и публиковать статистические данные о количестве детей в ситуациях улицы и детей, живущих в местах временного размещения, и принимать меры для адекватного удовлетворения их потребностей.</w:t>
      </w:r>
    </w:p>
    <w:p w14:paraId="441B7CC4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H.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6D8E35E7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Образование, его цели и образование в области прав человека</w:t>
      </w:r>
    </w:p>
    <w:p w14:paraId="03B6E2CC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36.</w:t>
      </w:r>
      <w:r>
        <w:tab/>
      </w:r>
      <w:r>
        <w:rPr>
          <w:b/>
          <w:bCs/>
        </w:rPr>
        <w:t>Отмечая поощрение государством-участником принципа инклюзивного образования, Комитет по-прежнему обеспокоен неравенством в доступе к качественному образованию, значительным разрывом в знаниях между детьми из среды мигрантов и другими детьми, а также дискриминацией, притеснениями и широким распространением травли в школах.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1A275399" w14:textId="14EFE165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обеспечить равный доступ детей из неблагополучных групп, включая детей рома; детей с инвалидностью; детей из числа просителей убежища, беженцев и мигрантов; детей, воспитывающихся в системе альтернативного ухода; и детей из семей, находящихся в неблагоприятном социально-экономическом положении, к качественному образованию, в том числе путем:</w:t>
      </w:r>
    </w:p>
    <w:p w14:paraId="71BEE3DA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i)</w:t>
      </w:r>
      <w:r w:rsidRPr="00116BEC">
        <w:rPr>
          <w:b/>
          <w:bCs/>
        </w:rPr>
        <w:tab/>
        <w:t>выделения ресурсов на обеспечение высокого качества и доступности государственного образования и регулирования и мониторинга деятельности частных школ и домашнего обучения в целях устранения неравенства в системе образования;</w:t>
      </w:r>
    </w:p>
    <w:p w14:paraId="43382924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ii)</w:t>
      </w:r>
      <w:r w:rsidRPr="00116BEC">
        <w:rPr>
          <w:b/>
          <w:bCs/>
        </w:rPr>
        <w:tab/>
        <w:t xml:space="preserve">предоставления детям из среды мигрантов качественной подготовки к получению базового образования; </w:t>
      </w:r>
    </w:p>
    <w:p w14:paraId="5C8F2929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iii)</w:t>
      </w:r>
      <w:r w:rsidRPr="00116BEC">
        <w:rPr>
          <w:b/>
          <w:bCs/>
        </w:rPr>
        <w:tab/>
        <w:t>обеспечения того, чтобы начальное и среднее образование было обязательным для всех детей в государстве-участнике, включая детей — просителей убежища, детей с неурегулированным статусом проживания и детей с временным видом на жительство;</w:t>
      </w:r>
      <w:bookmarkStart w:id="7" w:name="_Hlk134524734"/>
      <w:bookmarkEnd w:id="7"/>
    </w:p>
    <w:p w14:paraId="7B2AF6FD" w14:textId="31073781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принять меры по сокращению числа учащихся, бросающих и прогуливающих школу, и предотвращать такие случаи в том числе путем принятия национальной стратегии, разработки руководящих принципов по выявлению и регистрации таких случаев и реагированию на них, а также путем регулярного сбора данных, необходимых для реализации соответствующих мер;</w:t>
      </w:r>
    </w:p>
    <w:p w14:paraId="3A5233BC" w14:textId="7CE93025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обеспечить доступность качественного многоязычного и межкультурного образования для детей мигрантов, рома и саамов без какой-либо дискриминации, в том числе с помощью соответствующих материалов, многоязычных учителей и учебных пособий;</w:t>
      </w:r>
    </w:p>
    <w:p w14:paraId="7E977574" w14:textId="18E8E4F1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усилить меры по борьбе с насилием в школах, включая сексуальные домогательства, травлю, кибербуллинг и насилие в интернете, и обеспечить, чтобы эти меры включали профилактику, механизмы раннего выявления, протоколы вмешательства, обязательную подготовку учителей, расширение прав и возможностей детей и повышение осведомленности о негативных последствиях травли и насилия;</w:t>
      </w:r>
    </w:p>
    <w:p w14:paraId="1381F242" w14:textId="39A3C1CD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e)</w:t>
      </w:r>
      <w:r w:rsidR="00D70AE4" w:rsidRPr="00116BEC">
        <w:rPr>
          <w:b/>
          <w:bCs/>
        </w:rPr>
        <w:tab/>
        <w:t>обеспечить активное участие детей и подростков в формировании образовательной политики;</w:t>
      </w:r>
    </w:p>
    <w:p w14:paraId="7B377F0D" w14:textId="5A4E9D8D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f)</w:t>
      </w:r>
      <w:r w:rsidR="00D70AE4" w:rsidRPr="00116BEC">
        <w:rPr>
          <w:b/>
          <w:bCs/>
        </w:rPr>
        <w:tab/>
        <w:t>укрепить преподавание прав человека и прав детей, а также принципов, закрепленных в Конвенции, в рамках обязательной школьной программы, применимой для всех форм обучения, а также в рамках подготовки и поддержки учителей и других специалистов в области образования;</w:t>
      </w:r>
    </w:p>
    <w:p w14:paraId="1B1214F4" w14:textId="14FF2063" w:rsidR="00D70AE4" w:rsidRPr="00625976" w:rsidRDefault="00116BEC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g)</w:t>
      </w:r>
      <w:r w:rsidR="00D70AE4" w:rsidRPr="00116BEC">
        <w:rPr>
          <w:b/>
          <w:bCs/>
        </w:rPr>
        <w:tab/>
        <w:t>разработать учебные материалы по правам человека, способствующие межкультурному диалогу и воспитанию уважения и признания расового, культурного, гендерного и другого разнообразия, а также повысить уровень подготовки</w:t>
      </w:r>
      <w:r w:rsidR="00D70AE4">
        <w:rPr>
          <w:b/>
          <w:bCs/>
        </w:rPr>
        <w:t xml:space="preserve"> учителей по вопросам культурного разнообразия, прав меньшинств и недискриминации.</w:t>
      </w:r>
    </w:p>
    <w:p w14:paraId="1FBA989A" w14:textId="77777777" w:rsidR="00D70AE4" w:rsidRPr="00625976" w:rsidRDefault="00D70AE4" w:rsidP="00D70AE4">
      <w:pPr>
        <w:pStyle w:val="H23G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547D1C1E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37.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государству-участнику:</w:t>
      </w:r>
    </w:p>
    <w:p w14:paraId="5EAC925F" w14:textId="1A8A3A9A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обеспечить наличие, доступность и безопасность спортивных, рекреационных, досуговых, культурных и художественных мероприятий для девочек, детей с инвалидностью, детей, ищущих убежище, и детей-мигрантов, детей, находящихся в неблагоприятном социально-экономическом положении, и детей, проживающих в сельской местности;</w:t>
      </w:r>
    </w:p>
    <w:p w14:paraId="1D7840CC" w14:textId="43F6E81B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гарантировать наличие в каждом муниципалитете бесплатных или недорогих видов досуга для детей;</w:t>
      </w:r>
    </w:p>
    <w:p w14:paraId="295A965F" w14:textId="72333C8E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активизировать меры по борьбе с сегрегацией, притеснениями и домогательствами в спорте и незамедлительно расследовать все сообщения о злоупотреблениях или домогательствах;</w:t>
      </w:r>
    </w:p>
    <w:p w14:paraId="13478033" w14:textId="32A7113E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в полной мере вовлекать детей в процессы планирования, разработки и контроля за осуществлением стратегий и программ, касающихся досуга, игр, развлекательных</w:t>
      </w:r>
      <w:r w:rsidR="00D70AE4">
        <w:rPr>
          <w:b/>
          <w:bCs/>
        </w:rPr>
        <w:t xml:space="preserve"> мероприятий, культурной жизни и искусства.</w:t>
      </w:r>
    </w:p>
    <w:p w14:paraId="390DD528" w14:textId="77777777" w:rsidR="00D70AE4" w:rsidRPr="00625976" w:rsidRDefault="00D70AE4" w:rsidP="00D70AE4">
      <w:pPr>
        <w:pStyle w:val="H1G"/>
        <w:rPr>
          <w:rFonts w:asciiTheme="majorBidi" w:hAnsiTheme="majorBidi" w:cstheme="majorBidi"/>
        </w:rPr>
      </w:pPr>
      <w:r>
        <w:rPr>
          <w:bCs/>
        </w:rPr>
        <w:tab/>
        <w:t>I.</w:t>
      </w:r>
      <w:r>
        <w:tab/>
      </w:r>
      <w:r>
        <w:rPr>
          <w:bCs/>
        </w:rPr>
        <w:t>Особые меры защиты (ст. 22, 30, 32, 33, 35, 36, 37 b)–d) и 38–40)</w:t>
      </w:r>
    </w:p>
    <w:p w14:paraId="62B734F3" w14:textId="77777777" w:rsidR="00D70AE4" w:rsidRPr="00625976" w:rsidRDefault="00D70AE4" w:rsidP="00CD13AC">
      <w:pPr>
        <w:pStyle w:val="H23G"/>
        <w:rPr>
          <w:rFonts w:asciiTheme="majorBidi" w:hAnsiTheme="majorBidi" w:cstheme="majorBidi"/>
        </w:rPr>
      </w:pPr>
      <w:r>
        <w:tab/>
      </w:r>
      <w:r>
        <w:tab/>
        <w:t xml:space="preserve">Дети, ищущие убежище, дети-беженцы и </w:t>
      </w:r>
      <w:r w:rsidRPr="00CD13AC">
        <w:t>дети</w:t>
      </w:r>
      <w:r>
        <w:t>-мигранты, включая несопровождаемых детей</w:t>
      </w:r>
    </w:p>
    <w:p w14:paraId="29772AD1" w14:textId="5C67EDFB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38.</w:t>
      </w:r>
      <w:r>
        <w:tab/>
        <w:t xml:space="preserve"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выражает серьезную обеспокоенность по поводу обращения с несопровождаемыми детьми и подхода к воссоединению семьи, в частности препятствиями, связанными с юридическими требованиями и требованиями в отношении дохода как условиями воссоединения семьи, длительными сроками рассмотрения ходатайств о предоставлении убежища, ограниченным доступом к услугам и практикой задержания детей </w:t>
      </w:r>
      <w:r w:rsidRPr="00166348">
        <w:t>—</w:t>
      </w:r>
      <w:r>
        <w:t xml:space="preserve"> просителей убежища и мигрантов.</w:t>
      </w:r>
    </w:p>
    <w:p w14:paraId="5BB253EA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  <w:bCs/>
        </w:rPr>
      </w:pPr>
      <w:r>
        <w:t>39.</w:t>
      </w:r>
      <w:r>
        <w:tab/>
      </w:r>
      <w:r>
        <w:rPr>
          <w:b/>
          <w:bCs/>
        </w:rPr>
        <w:t>Комитет настоятельно призывает государство-участник обеспечить полное соблюдение прав детей из числа просителей убежища, беженцев и мигрантов путем:</w:t>
      </w:r>
    </w:p>
    <w:p w14:paraId="634A167E" w14:textId="14C0F825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 xml:space="preserve">активизации мер по обеспечению того, чтобы во всех процессах предоставления убежища и миграционных решениях и процедурах, в особенности в отношении несопровождаемых детей, первоочередным соображением был правовой принцип наилучших интересов детей из числа просителей убежища, беженцев и мигрантов и чтобы учитывались их мнения, в том числе путем: </w:t>
      </w:r>
    </w:p>
    <w:p w14:paraId="2C4DBB7D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i)</w:t>
      </w:r>
      <w:r w:rsidRPr="00116BEC">
        <w:rPr>
          <w:b/>
          <w:bCs/>
        </w:rPr>
        <w:tab/>
        <w:t>обеспечения того, чтобы все ходатайства о предоставлении убежища рассматривались в индивидуальном порядке с учетом интересов ребенка;</w:t>
      </w:r>
    </w:p>
    <w:p w14:paraId="3D1E6A79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ii)</w:t>
      </w:r>
      <w:r w:rsidRPr="00116BEC">
        <w:rPr>
          <w:b/>
          <w:bCs/>
        </w:rPr>
        <w:tab/>
        <w:t>рассмотрения возможности включения процесса определения наилучших интересов ребенка в миграционное законодательство;</w:t>
      </w:r>
    </w:p>
    <w:p w14:paraId="52E78969" w14:textId="77777777" w:rsidR="00D70AE4" w:rsidRPr="00116BEC" w:rsidRDefault="00D70AE4" w:rsidP="00D70AE4">
      <w:pPr>
        <w:pStyle w:val="SingleTxtG"/>
        <w:ind w:left="1701"/>
        <w:rPr>
          <w:rFonts w:asciiTheme="majorBidi" w:hAnsiTheme="majorBidi" w:cstheme="majorBidi"/>
          <w:b/>
          <w:bCs/>
        </w:rPr>
      </w:pPr>
      <w:r w:rsidRPr="00116BEC">
        <w:rPr>
          <w:b/>
          <w:bCs/>
        </w:rPr>
        <w:t>iii)</w:t>
      </w:r>
      <w:r w:rsidRPr="00116BEC">
        <w:rPr>
          <w:b/>
          <w:bCs/>
        </w:rPr>
        <w:tab/>
        <w:t>обеспечения того, чтобы дети, переданные на попечение после того, как они подверглись насилию или жестокому обращению со стороны родителей, не депортировались вместе с родителями;</w:t>
      </w:r>
    </w:p>
    <w:p w14:paraId="178F58BD" w14:textId="49FC715E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сокращения сроков рассмотрения ходатайств о предоставлении убежища и введения в действие законодательства, обеспечивающего всем детям, ищущим убежище или получившим временную защиту, включая несопровождаемых детей, быстрый доступ к недорогой и качественной психосоциальной и интеграционной поддержке, а также услугам здравоохранения, социального обеспечения и образования, включая услуги дневного ухода;</w:t>
      </w:r>
    </w:p>
    <w:p w14:paraId="714C0B19" w14:textId="7495F963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предоставления убежища всем несопровождаемым детям, устранения юридических и связанных с доходом препятствий для воссоединения семей, сделав его возможным для всех детей из числа беженцев и просителей убежища без дискриминации, и введения альтернативных систем ухода за несопровождаемыми детьми;</w:t>
      </w:r>
    </w:p>
    <w:p w14:paraId="0D52A004" w14:textId="388D4DCA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обеспечения незамедлительного назначения несопровождаемым детям квалифицированных опекунов и предоставления им регулярной поддержки с учетом их конкретных потребностей;</w:t>
      </w:r>
    </w:p>
    <w:p w14:paraId="35D17C84" w14:textId="1FEE1DEB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e)</w:t>
      </w:r>
      <w:r w:rsidR="00D70AE4" w:rsidRPr="00116BEC">
        <w:rPr>
          <w:b/>
          <w:bCs/>
        </w:rPr>
        <w:tab/>
        <w:t>прекращения</w:t>
      </w:r>
      <w:r w:rsidR="00D70AE4">
        <w:rPr>
          <w:b/>
          <w:bCs/>
        </w:rPr>
        <w:t xml:space="preserve"> практики помещения под стражу детей </w:t>
      </w:r>
      <w:r w:rsidR="00D70AE4" w:rsidRPr="00D166CB">
        <w:rPr>
          <w:b/>
          <w:bCs/>
        </w:rPr>
        <w:t>—</w:t>
      </w:r>
      <w:r w:rsidR="00D70AE4" w:rsidRPr="00D166CB" w:rsidDel="00D166CB">
        <w:rPr>
          <w:b/>
          <w:bCs/>
        </w:rPr>
        <w:t xml:space="preserve"> </w:t>
      </w:r>
      <w:r w:rsidR="00D70AE4">
        <w:rPr>
          <w:b/>
          <w:bCs/>
        </w:rPr>
        <w:t>просителей убежища и мигрантов.</w:t>
      </w:r>
    </w:p>
    <w:p w14:paraId="40A29D3C" w14:textId="77777777" w:rsidR="00D70AE4" w:rsidRPr="00625976" w:rsidRDefault="00D70AE4" w:rsidP="00D70AE4">
      <w:pPr>
        <w:pStyle w:val="H23G"/>
        <w:jc w:val="both"/>
        <w:rPr>
          <w:rFonts w:asciiTheme="majorBidi" w:hAnsiTheme="majorBidi" w:cstheme="majorBidi"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3976D300" w14:textId="77777777" w:rsidR="00D70AE4" w:rsidRPr="00625976" w:rsidRDefault="00D70AE4" w:rsidP="00D70AE4">
      <w:pPr>
        <w:pStyle w:val="SingleTxtG"/>
        <w:rPr>
          <w:rFonts w:asciiTheme="majorBidi" w:eastAsia="Malgun Gothic" w:hAnsiTheme="majorBidi" w:cstheme="majorBidi"/>
        </w:rPr>
      </w:pPr>
      <w:r>
        <w:t>40.</w:t>
      </w:r>
      <w:r>
        <w:tab/>
        <w:t>Комитет обеспокоен:</w:t>
      </w:r>
    </w:p>
    <w:p w14:paraId="1E89766D" w14:textId="0CFE8A8E" w:rsidR="00D70AE4" w:rsidRPr="00625976" w:rsidRDefault="00116BEC" w:rsidP="00D70AE4">
      <w:pPr>
        <w:pStyle w:val="SingleTxtG"/>
        <w:rPr>
          <w:rFonts w:asciiTheme="majorBidi" w:eastAsia="Malgun Gothic" w:hAnsiTheme="majorBidi" w:cstheme="majorBidi"/>
        </w:rPr>
      </w:pPr>
      <w:r>
        <w:tab/>
      </w:r>
      <w:r w:rsidR="00D70AE4">
        <w:t>a)</w:t>
      </w:r>
      <w:r w:rsidR="00D70AE4">
        <w:tab/>
        <w:t>продолжительностью судебных процессов;</w:t>
      </w:r>
    </w:p>
    <w:p w14:paraId="1A90FBC2" w14:textId="1C161652" w:rsidR="00D70AE4" w:rsidRPr="00625976" w:rsidRDefault="00116BEC" w:rsidP="00D70AE4">
      <w:pPr>
        <w:pStyle w:val="SingleTxtG"/>
        <w:rPr>
          <w:rFonts w:asciiTheme="majorBidi" w:eastAsia="Malgun Gothic" w:hAnsiTheme="majorBidi" w:cstheme="majorBidi"/>
        </w:rPr>
      </w:pPr>
      <w:r>
        <w:tab/>
      </w:r>
      <w:r w:rsidR="00D70AE4">
        <w:t>b)</w:t>
      </w:r>
      <w:r w:rsidR="00D70AE4">
        <w:tab/>
        <w:t>тем, что дети иногда содержатся в изоляции во время предварительного заключения;</w:t>
      </w:r>
    </w:p>
    <w:p w14:paraId="4716F1E1" w14:textId="16630C20" w:rsidR="00D70AE4" w:rsidRPr="00625976" w:rsidRDefault="00116BEC" w:rsidP="00D70AE4">
      <w:pPr>
        <w:pStyle w:val="SingleTxtG"/>
        <w:rPr>
          <w:rFonts w:asciiTheme="majorBidi" w:eastAsia="Malgun Gothic" w:hAnsiTheme="majorBidi" w:cstheme="majorBidi"/>
        </w:rPr>
      </w:pPr>
      <w:r>
        <w:tab/>
      </w:r>
      <w:r w:rsidR="00D70AE4">
        <w:t>c)</w:t>
      </w:r>
      <w:r w:rsidR="00D70AE4">
        <w:tab/>
        <w:t>тем, что некоторые дети отбывают наказание в тех же учреждениях, что и взрослые;</w:t>
      </w:r>
    </w:p>
    <w:p w14:paraId="564A2B9D" w14:textId="70D4F446" w:rsidR="00D70AE4" w:rsidRPr="00625976" w:rsidRDefault="00116BEC" w:rsidP="00D70AE4">
      <w:pPr>
        <w:pStyle w:val="SingleTxtG"/>
        <w:rPr>
          <w:rFonts w:asciiTheme="majorBidi" w:eastAsia="Malgun Gothic" w:hAnsiTheme="majorBidi" w:cstheme="majorBidi"/>
        </w:rPr>
      </w:pPr>
      <w:r>
        <w:tab/>
      </w:r>
      <w:r w:rsidR="00D70AE4">
        <w:t>d)</w:t>
      </w:r>
      <w:r w:rsidR="00D70AE4">
        <w:tab/>
        <w:t>низким качеством образования в местах лишения свободы.</w:t>
      </w:r>
    </w:p>
    <w:p w14:paraId="76780EEF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41.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рекомендует государству-участнику:</w:t>
      </w:r>
    </w:p>
    <w:p w14:paraId="76E1CC0D" w14:textId="34AC1AAA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разработать стратегию профилактики детской преступности на основе исследований и анализа коренных причин вовлечения детей в преступную деятельность, в частности в рамках организованной преступности, и обеспечить, чтобы эта стратегия включала раннее вмешательство в целях оказания поддержки детям, находящимся в группе риска или уязвимом положении, и их семьям;</w:t>
      </w:r>
    </w:p>
    <w:p w14:paraId="4F5DF7D9" w14:textId="4987C1B3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сократить продолжительность судебных разбирательств;</w:t>
      </w:r>
    </w:p>
    <w:p w14:paraId="62FA13AD" w14:textId="781ED6FA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c)</w:t>
      </w:r>
      <w:r w:rsidR="00D70AE4" w:rsidRPr="00116BEC">
        <w:rPr>
          <w:b/>
          <w:bCs/>
        </w:rPr>
        <w:tab/>
        <w:t>позаботиться о том, чтобы дети не содержались в изоляции во время предварительного заключения;</w:t>
      </w:r>
    </w:p>
    <w:p w14:paraId="2ED1B781" w14:textId="522A24B0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lastRenderedPageBreak/>
        <w:tab/>
      </w:r>
      <w:r w:rsidR="00D70AE4" w:rsidRPr="00116BEC">
        <w:rPr>
          <w:b/>
          <w:bCs/>
        </w:rPr>
        <w:t>d)</w:t>
      </w:r>
      <w:r w:rsidR="00D70AE4" w:rsidRPr="00116BEC">
        <w:rPr>
          <w:b/>
          <w:bCs/>
        </w:rPr>
        <w:tab/>
        <w:t>активно поощрять применение к детям, обвиняемым в уголовных преступлениях, внесудебных мер, таких как выведение из системы уголовного судопроизводства, посредничество, консультирование и терапевтические услуги, основанные на фактических данных, и, по возможности, применение мер, не связанных с лишением свободы, таких как пробация или общественные работы; установить ограничения продолжительности ювенальной пробации и разъяснить, что пробация сама по себе не является доказательством виновности;</w:t>
      </w:r>
    </w:p>
    <w:p w14:paraId="3E7999AB" w14:textId="35CE551F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e)</w:t>
      </w:r>
      <w:r w:rsidR="00D70AE4" w:rsidRPr="00116BEC">
        <w:rPr>
          <w:b/>
          <w:bCs/>
        </w:rPr>
        <w:tab/>
        <w:t>обеспечить, чтобы в исключительных ситуациях, когда лишение свободы оправдано как крайняя мера, дети не отбывали наказание в тех же учреждениях, что и взрослые, чтобы лишение свободы было как можно более краткосрочным и чтобы оно регулярно пересматривалось на предмет возможности его отмены;</w:t>
      </w:r>
    </w:p>
    <w:p w14:paraId="5A090BBD" w14:textId="47A4504A" w:rsidR="00D70AE4" w:rsidRPr="00625976" w:rsidRDefault="00116BEC" w:rsidP="00D70AE4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f)</w:t>
      </w:r>
      <w:r w:rsidR="00D70AE4" w:rsidRPr="00116BEC">
        <w:rPr>
          <w:b/>
          <w:bCs/>
        </w:rPr>
        <w:tab/>
        <w:t>систематически предоставлять долгосрочные услуги детям, находящимся под стражей, и обеспечивать качественное образование в местах лишения свободы</w:t>
      </w:r>
      <w:r w:rsidR="00D70AE4">
        <w:rPr>
          <w:b/>
          <w:bCs/>
        </w:rPr>
        <w:t>.</w:t>
      </w:r>
    </w:p>
    <w:p w14:paraId="28142A9A" w14:textId="77777777" w:rsidR="00D70AE4" w:rsidRPr="00625976" w:rsidRDefault="00D70AE4" w:rsidP="00CD13AC">
      <w:pPr>
        <w:pStyle w:val="H1G"/>
        <w:rPr>
          <w:szCs w:val="24"/>
        </w:rPr>
      </w:pPr>
      <w:r>
        <w:tab/>
        <w:t>J.</w:t>
      </w:r>
      <w:r>
        <w:tab/>
        <w:t xml:space="preserve">Рекомендации в отношении осуществления </w:t>
      </w:r>
      <w:r w:rsidRPr="00CD13AC">
        <w:t>Факультативного</w:t>
      </w:r>
      <w:r>
        <w:t xml:space="preserve"> протокола, касающегося участия детей в вооруженных конфликтах</w:t>
      </w:r>
      <w:bookmarkStart w:id="8" w:name="_Hlk101902909"/>
    </w:p>
    <w:p w14:paraId="28B320BA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FB3DAF" w14:textId="05A91269" w:rsidR="00D70AE4" w:rsidRPr="00116BEC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a)</w:t>
      </w:r>
      <w:r w:rsidR="00D70AE4" w:rsidRPr="00116BEC">
        <w:rPr>
          <w:b/>
          <w:bCs/>
        </w:rPr>
        <w:tab/>
        <w:t>предотвращать и законодательно запретить продажу и ввоз оружия, включая стрелковое оружие, легкие вооружения и компоненты для систем вооружений, в страны, известные тем, что в них дети вербуются или могут быть завербованы или использованы в военных действиях;</w:t>
      </w:r>
    </w:p>
    <w:p w14:paraId="137A52AC" w14:textId="4233EC5C" w:rsidR="00D70AE4" w:rsidRPr="00625976" w:rsidRDefault="00116BEC" w:rsidP="00D70AE4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D70AE4" w:rsidRPr="00116BEC">
        <w:rPr>
          <w:b/>
          <w:bCs/>
        </w:rPr>
        <w:t>b)</w:t>
      </w:r>
      <w:r w:rsidR="00D70AE4" w:rsidRPr="00116BEC">
        <w:rPr>
          <w:b/>
          <w:bCs/>
        </w:rPr>
        <w:tab/>
        <w:t>создать механизм раннего выявления детей, которые могли быть вовлечены в вооруженный конфликт или использованы в нем, и оказывать им поддержку</w:t>
      </w:r>
      <w:r w:rsidR="00D70AE4">
        <w:rPr>
          <w:b/>
          <w:bCs/>
        </w:rPr>
        <w:t xml:space="preserve"> в целях их физического и психологического восстановления и реинтеграции в общество.</w:t>
      </w:r>
    </w:p>
    <w:p w14:paraId="56C239C5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bookmarkStart w:id="9" w:name="_Hlk121393488"/>
      <w:bookmarkEnd w:id="8"/>
      <w:r>
        <w:rPr>
          <w:bCs/>
        </w:rPr>
        <w:tab/>
        <w:t>K.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742F17A0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</w:p>
    <w:bookmarkEnd w:id="9"/>
    <w:p w14:paraId="4DAA45E4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L.</w:t>
      </w:r>
      <w:r>
        <w:tab/>
      </w:r>
      <w:r>
        <w:rPr>
          <w:bCs/>
        </w:rPr>
        <w:t>Сотрудничество с региональными органами</w:t>
      </w:r>
      <w:bookmarkStart w:id="10" w:name="_Hlk102733986"/>
    </w:p>
    <w:bookmarkEnd w:id="10"/>
    <w:p w14:paraId="184823E8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продолжать сотрудничать с Советом Европы по вопросам осуществления Конвенции и других договоров по правам человека как на территории государства-участника, так и в других государствах — членах Совета.</w:t>
      </w:r>
    </w:p>
    <w:p w14:paraId="22963A39" w14:textId="77777777" w:rsidR="00D70AE4" w:rsidRPr="00625976" w:rsidRDefault="00D70AE4" w:rsidP="00D70AE4">
      <w:pPr>
        <w:pStyle w:val="HChG"/>
        <w:jc w:val="both"/>
        <w:rPr>
          <w:rFonts w:asciiTheme="majorBidi" w:hAnsiTheme="majorBidi" w:cstheme="majorBidi"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7844665C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7317C676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 xml:space="preserve">Комитет также рекомендует обеспечить широкое распространение </w:t>
      </w:r>
      <w:r>
        <w:rPr>
          <w:b/>
          <w:bCs/>
        </w:rPr>
        <w:lastRenderedPageBreak/>
        <w:t>объединенных пятого и шестого периодических докладов, письменных ответов на перечень вопросов и настоящих заключительных замечаний на языках государства-участника.</w:t>
      </w:r>
    </w:p>
    <w:p w14:paraId="7225A48F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B.</w:t>
      </w:r>
      <w:r>
        <w:tab/>
      </w:r>
      <w:r>
        <w:rPr>
          <w:bCs/>
        </w:rPr>
        <w:t xml:space="preserve">Национальный механизм отчетности и последующих </w:t>
      </w:r>
      <w:bookmarkStart w:id="11" w:name="_Hlk106225581"/>
      <w:r>
        <w:rPr>
          <w:bCs/>
        </w:rPr>
        <w:t>действий</w:t>
      </w:r>
    </w:p>
    <w:p w14:paraId="2927005B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  <w:b/>
        </w:rPr>
      </w:pPr>
      <w:bookmarkStart w:id="12" w:name="_Hlk100580465"/>
      <w:r>
        <w:t>46.</w:t>
      </w:r>
      <w:r>
        <w:tab/>
      </w:r>
      <w:r>
        <w:rPr>
          <w:b/>
          <w:bCs/>
        </w:rPr>
        <w:t>Комитет рекомендует государству-участнику укрепить национальный механизм отчетности и последующих действий, превратив его в постоянную государственную структуру, отвечающую за координацию и подготовку докладов для международных и региональных правозащитных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обществом.</w:t>
      </w:r>
    </w:p>
    <w:bookmarkEnd w:id="11"/>
    <w:bookmarkEnd w:id="12"/>
    <w:p w14:paraId="58456704" w14:textId="77777777" w:rsidR="00D70AE4" w:rsidRPr="00625976" w:rsidRDefault="00D70AE4" w:rsidP="00D70AE4">
      <w:pPr>
        <w:pStyle w:val="H1G"/>
        <w:jc w:val="both"/>
        <w:rPr>
          <w:rFonts w:asciiTheme="majorBidi" w:hAnsiTheme="majorBidi" w:cstheme="majorBidi"/>
        </w:rPr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798DFAFD" w14:textId="77777777" w:rsidR="00D70AE4" w:rsidRPr="00625976" w:rsidRDefault="00D70AE4" w:rsidP="00D70AE4">
      <w:pPr>
        <w:pStyle w:val="SingleTxtG"/>
        <w:rPr>
          <w:rFonts w:asciiTheme="majorBidi" w:hAnsiTheme="majorBidi" w:cstheme="majorBidi"/>
        </w:rPr>
      </w:pPr>
      <w:r>
        <w:t>47.</w:t>
      </w:r>
      <w:r>
        <w:tab/>
      </w:r>
      <w:r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и после принятия перечня тем и вопросов, направляемых до представления доклада, если последнее будет применимо к государству-участнику.</w:t>
      </w:r>
      <w:r>
        <w:t xml:space="preserve"> </w:t>
      </w:r>
      <w:r>
        <w:rPr>
          <w:b/>
          <w:bCs/>
        </w:rPr>
        <w:t>Доклад должен соответствовать согласованным руководящим принципам Комитета в отношении подготовки докладов по конкретным договорам</w:t>
      </w:r>
      <w:r w:rsidRPr="00D70AE4">
        <w:rPr>
          <w:rStyle w:val="aa"/>
        </w:rPr>
        <w:footnoteReference w:id="7"/>
      </w:r>
      <w:r>
        <w:rPr>
          <w:b/>
          <w:bCs/>
        </w:rPr>
        <w:t xml:space="preserve"> и не должен превышать 21 200 слов</w:t>
      </w:r>
      <w:r w:rsidRPr="00D70AE4">
        <w:rPr>
          <w:rStyle w:val="aa"/>
        </w:rPr>
        <w:footnoteReference w:id="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506E7F38" w14:textId="77777777" w:rsidR="00D70AE4" w:rsidRDefault="00D70AE4" w:rsidP="00D70AE4">
      <w:pPr>
        <w:spacing w:before="240"/>
        <w:jc w:val="center"/>
        <w:rPr>
          <w:rFonts w:asciiTheme="majorBidi" w:hAnsiTheme="majorBidi" w:cstheme="majorBidi"/>
          <w:u w:val="single"/>
        </w:rPr>
      </w:pPr>
      <w:r w:rsidRPr="00625976">
        <w:rPr>
          <w:rFonts w:asciiTheme="majorBidi" w:hAnsiTheme="majorBidi" w:cstheme="majorBidi"/>
          <w:u w:val="single"/>
        </w:rPr>
        <w:tab/>
      </w:r>
      <w:r w:rsidRPr="00625976">
        <w:rPr>
          <w:rFonts w:asciiTheme="majorBidi" w:hAnsiTheme="majorBidi" w:cstheme="majorBidi"/>
          <w:u w:val="single"/>
        </w:rPr>
        <w:tab/>
      </w:r>
      <w:r w:rsidRPr="00625976">
        <w:rPr>
          <w:rFonts w:asciiTheme="majorBidi" w:hAnsiTheme="majorBidi" w:cstheme="majorBidi"/>
          <w:u w:val="single"/>
        </w:rPr>
        <w:tab/>
      </w:r>
    </w:p>
    <w:p w14:paraId="7FA8176A" w14:textId="7C652CA4" w:rsidR="00381C24" w:rsidRPr="00D70AE4" w:rsidRDefault="00381C24" w:rsidP="002E685D"/>
    <w:sectPr w:rsidR="00381C24" w:rsidRPr="00D70AE4" w:rsidSect="00D70AE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74D1C" w14:textId="77777777" w:rsidR="005636DA" w:rsidRPr="00A312BC" w:rsidRDefault="005636DA" w:rsidP="00A312BC"/>
  </w:endnote>
  <w:endnote w:type="continuationSeparator" w:id="0">
    <w:p w14:paraId="171A35CC" w14:textId="77777777" w:rsidR="005636DA" w:rsidRPr="00A312BC" w:rsidRDefault="005636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40E8" w14:textId="2C6E7BB0" w:rsidR="00D70AE4" w:rsidRPr="00D70AE4" w:rsidRDefault="00D70AE4">
    <w:pPr>
      <w:pStyle w:val="a8"/>
    </w:pPr>
    <w:r w:rsidRPr="00D70AE4">
      <w:rPr>
        <w:b/>
        <w:sz w:val="18"/>
      </w:rPr>
      <w:fldChar w:fldCharType="begin"/>
    </w:r>
    <w:r w:rsidRPr="00D70AE4">
      <w:rPr>
        <w:b/>
        <w:sz w:val="18"/>
      </w:rPr>
      <w:instrText xml:space="preserve"> PAGE  \* MERGEFORMAT </w:instrText>
    </w:r>
    <w:r w:rsidRPr="00D70AE4">
      <w:rPr>
        <w:b/>
        <w:sz w:val="18"/>
      </w:rPr>
      <w:fldChar w:fldCharType="separate"/>
    </w:r>
    <w:r w:rsidRPr="00D70AE4">
      <w:rPr>
        <w:b/>
        <w:noProof/>
        <w:sz w:val="18"/>
      </w:rPr>
      <w:t>2</w:t>
    </w:r>
    <w:r w:rsidRPr="00D70AE4">
      <w:rPr>
        <w:b/>
        <w:sz w:val="18"/>
      </w:rPr>
      <w:fldChar w:fldCharType="end"/>
    </w:r>
    <w:r>
      <w:rPr>
        <w:b/>
        <w:sz w:val="18"/>
      </w:rPr>
      <w:tab/>
    </w:r>
    <w:r>
      <w:t>GE.23-10527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5F6F5" w14:textId="641D6630" w:rsidR="00D70AE4" w:rsidRPr="00D70AE4" w:rsidRDefault="00D70AE4" w:rsidP="00D70AE4">
    <w:pPr>
      <w:pStyle w:val="a8"/>
      <w:tabs>
        <w:tab w:val="clear" w:pos="9639"/>
        <w:tab w:val="right" w:pos="9638"/>
      </w:tabs>
      <w:rPr>
        <w:b/>
        <w:sz w:val="18"/>
      </w:rPr>
    </w:pPr>
    <w:r>
      <w:t>GE.23-10527</w:t>
    </w:r>
    <w:r>
      <w:tab/>
    </w:r>
    <w:r w:rsidRPr="00D70AE4">
      <w:rPr>
        <w:b/>
        <w:sz w:val="18"/>
      </w:rPr>
      <w:fldChar w:fldCharType="begin"/>
    </w:r>
    <w:r w:rsidRPr="00D70AE4">
      <w:rPr>
        <w:b/>
        <w:sz w:val="18"/>
      </w:rPr>
      <w:instrText xml:space="preserve"> PAGE  \* MERGEFORMAT </w:instrText>
    </w:r>
    <w:r w:rsidRPr="00D70AE4">
      <w:rPr>
        <w:b/>
        <w:sz w:val="18"/>
      </w:rPr>
      <w:fldChar w:fldCharType="separate"/>
    </w:r>
    <w:r w:rsidRPr="00D70AE4">
      <w:rPr>
        <w:b/>
        <w:noProof/>
        <w:sz w:val="18"/>
      </w:rPr>
      <w:t>3</w:t>
    </w:r>
    <w:r w:rsidRPr="00D70AE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DE2C" w14:textId="049F2A09" w:rsidR="00042B72" w:rsidRPr="00D70AE4" w:rsidRDefault="00D70AE4" w:rsidP="00D70AE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0223477" wp14:editId="0FFEF81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23-10527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97E9E99" wp14:editId="4A9A9E1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081223   04012</w:t>
    </w:r>
    <w:r w:rsidR="007916FE">
      <w:rPr>
        <w:lang w:val="en-US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D609" w14:textId="77777777" w:rsidR="005636DA" w:rsidRPr="001075E9" w:rsidRDefault="005636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9FD2936" w14:textId="77777777" w:rsidR="005636DA" w:rsidRDefault="005636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A2E0F5" w14:textId="49DFB711" w:rsidR="00D70AE4" w:rsidRPr="00625976" w:rsidRDefault="00D70AE4" w:rsidP="00D70AE4">
      <w:pPr>
        <w:pStyle w:val="ad"/>
      </w:pPr>
      <w:r>
        <w:tab/>
        <w:t>*</w:t>
      </w:r>
      <w:r>
        <w:tab/>
        <w:t>Приняты Комитетом на его девяносто третьей сессии (8</w:t>
      </w:r>
      <w:r w:rsidR="00116BEC" w:rsidRPr="00116BEC">
        <w:t>–</w:t>
      </w:r>
      <w:r>
        <w:t>26 мая 2023 года).</w:t>
      </w:r>
    </w:p>
  </w:footnote>
  <w:footnote w:id="2">
    <w:p w14:paraId="369D0899" w14:textId="51E01C70" w:rsidR="00D70AE4" w:rsidRPr="00625976" w:rsidRDefault="00D70AE4" w:rsidP="00D70AE4">
      <w:pPr>
        <w:pStyle w:val="ad"/>
      </w:pPr>
      <w:r>
        <w:tab/>
      </w:r>
      <w:r w:rsidRPr="00D70AE4">
        <w:rPr>
          <w:rStyle w:val="aa"/>
        </w:rPr>
        <w:footnoteRef/>
      </w:r>
      <w:r>
        <w:tab/>
      </w:r>
      <w:hyperlink r:id="rId1" w:history="1">
        <w:r>
          <w:rPr>
            <w:rStyle w:val="af1"/>
          </w:rPr>
          <w:t>CRC/C/FIN/5-6</w:t>
        </w:r>
      </w:hyperlink>
      <w:r>
        <w:t>.</w:t>
      </w:r>
    </w:p>
  </w:footnote>
  <w:footnote w:id="3">
    <w:p w14:paraId="415F9725" w14:textId="7F774569" w:rsidR="00D70AE4" w:rsidRPr="007916FE" w:rsidRDefault="00D70AE4" w:rsidP="00D70AE4">
      <w:pPr>
        <w:pStyle w:val="ad"/>
      </w:pPr>
      <w:r>
        <w:tab/>
      </w:r>
      <w:r w:rsidRPr="00D70AE4">
        <w:rPr>
          <w:rStyle w:val="aa"/>
        </w:rPr>
        <w:footnoteRef/>
      </w:r>
      <w:r>
        <w:tab/>
        <w:t xml:space="preserve">См. </w:t>
      </w:r>
      <w:hyperlink r:id="rId2" w:history="1">
        <w:r>
          <w:rPr>
            <w:rStyle w:val="af1"/>
            <w:lang w:val="en-US"/>
          </w:rPr>
          <w:t>CRC</w:t>
        </w:r>
        <w:r w:rsidRPr="007916FE">
          <w:rPr>
            <w:rStyle w:val="af1"/>
          </w:rPr>
          <w:t>/</w:t>
        </w:r>
        <w:r>
          <w:rPr>
            <w:rStyle w:val="af1"/>
            <w:lang w:val="en-US"/>
          </w:rPr>
          <w:t>C</w:t>
        </w:r>
        <w:r w:rsidRPr="007916FE">
          <w:rPr>
            <w:rStyle w:val="af1"/>
          </w:rPr>
          <w:t>/</w:t>
        </w:r>
        <w:r>
          <w:rPr>
            <w:rStyle w:val="af1"/>
            <w:lang w:val="en-US"/>
          </w:rPr>
          <w:t>SR</w:t>
        </w:r>
        <w:r w:rsidRPr="007916FE">
          <w:rPr>
            <w:rStyle w:val="af1"/>
          </w:rPr>
          <w:t>.2710</w:t>
        </w:r>
      </w:hyperlink>
      <w:r w:rsidRPr="007916FE">
        <w:t xml:space="preserve"> </w:t>
      </w:r>
      <w:r>
        <w:t>и</w:t>
      </w:r>
      <w:r w:rsidRPr="007916FE">
        <w:t xml:space="preserve"> </w:t>
      </w:r>
      <w:hyperlink r:id="rId3" w:history="1">
        <w:r>
          <w:rPr>
            <w:rStyle w:val="af1"/>
            <w:lang w:val="en-US"/>
          </w:rPr>
          <w:t>CRC</w:t>
        </w:r>
        <w:r w:rsidRPr="007916FE">
          <w:rPr>
            <w:rStyle w:val="af1"/>
          </w:rPr>
          <w:t>/</w:t>
        </w:r>
        <w:r>
          <w:rPr>
            <w:rStyle w:val="af1"/>
            <w:lang w:val="en-US"/>
          </w:rPr>
          <w:t>C</w:t>
        </w:r>
        <w:r w:rsidRPr="007916FE">
          <w:rPr>
            <w:rStyle w:val="af1"/>
          </w:rPr>
          <w:t>/</w:t>
        </w:r>
        <w:r>
          <w:rPr>
            <w:rStyle w:val="af1"/>
            <w:lang w:val="en-US"/>
          </w:rPr>
          <w:t>SR</w:t>
        </w:r>
        <w:r w:rsidRPr="007916FE">
          <w:rPr>
            <w:rStyle w:val="af1"/>
          </w:rPr>
          <w:t>.2711</w:t>
        </w:r>
      </w:hyperlink>
      <w:r w:rsidRPr="007916FE">
        <w:t>.</w:t>
      </w:r>
    </w:p>
  </w:footnote>
  <w:footnote w:id="4">
    <w:p w14:paraId="0B363DD0" w14:textId="7AE0D1E0" w:rsidR="00D70AE4" w:rsidRPr="00625976" w:rsidRDefault="00D70AE4" w:rsidP="00D70AE4">
      <w:pPr>
        <w:pStyle w:val="ad"/>
        <w:rPr>
          <w:lang w:val="fr-FR"/>
        </w:rPr>
      </w:pPr>
      <w:r w:rsidRPr="007916FE">
        <w:tab/>
      </w:r>
      <w:r w:rsidRPr="00D70AE4">
        <w:rPr>
          <w:rStyle w:val="aa"/>
        </w:rPr>
        <w:footnoteRef/>
      </w:r>
      <w:r w:rsidRPr="00625976">
        <w:rPr>
          <w:lang w:val="fr-FR"/>
        </w:rPr>
        <w:tab/>
      </w:r>
      <w:hyperlink r:id="rId4" w:history="1">
        <w:r>
          <w:rPr>
            <w:rStyle w:val="af1"/>
            <w:lang w:val="fr-FR"/>
          </w:rPr>
          <w:t>CRC/C/FIN/RQ/5-6</w:t>
        </w:r>
      </w:hyperlink>
      <w:r w:rsidRPr="00625976">
        <w:rPr>
          <w:lang w:val="fr-FR"/>
        </w:rPr>
        <w:t>.</w:t>
      </w:r>
    </w:p>
  </w:footnote>
  <w:footnote w:id="5">
    <w:p w14:paraId="3AEE0019" w14:textId="715B5A75" w:rsidR="00D70AE4" w:rsidRPr="00625976" w:rsidRDefault="00D70AE4" w:rsidP="00D70AE4">
      <w:pPr>
        <w:pStyle w:val="ad"/>
        <w:rPr>
          <w:lang w:val="fr-FR"/>
        </w:rPr>
      </w:pPr>
      <w:r w:rsidRPr="00625976">
        <w:rPr>
          <w:lang w:val="fr-FR"/>
        </w:rPr>
        <w:tab/>
      </w:r>
      <w:r w:rsidRPr="00D70AE4">
        <w:rPr>
          <w:rStyle w:val="aa"/>
        </w:rPr>
        <w:footnoteRef/>
      </w:r>
      <w:r w:rsidRPr="00625976">
        <w:rPr>
          <w:lang w:val="fr-FR"/>
        </w:rPr>
        <w:tab/>
      </w:r>
      <w:hyperlink r:id="rId5" w:history="1">
        <w:r>
          <w:rPr>
            <w:rStyle w:val="af1"/>
            <w:lang w:val="fr-FR"/>
          </w:rPr>
          <w:t>CRC/C/FIN/CO/4</w:t>
        </w:r>
      </w:hyperlink>
      <w:r w:rsidRPr="00625976">
        <w:rPr>
          <w:lang w:val="fr-FR"/>
        </w:rPr>
        <w:t xml:space="preserve">, </w:t>
      </w:r>
      <w:r>
        <w:t>п</w:t>
      </w:r>
      <w:r w:rsidRPr="00625976">
        <w:rPr>
          <w:lang w:val="fr-FR"/>
        </w:rPr>
        <w:t>. 19.</w:t>
      </w:r>
    </w:p>
  </w:footnote>
  <w:footnote w:id="6">
    <w:p w14:paraId="57868703" w14:textId="77777777" w:rsidR="00D70AE4" w:rsidRPr="00625976" w:rsidRDefault="00D70AE4" w:rsidP="00D70AE4">
      <w:pPr>
        <w:pStyle w:val="ad"/>
      </w:pPr>
      <w:r w:rsidRPr="00625976">
        <w:rPr>
          <w:lang w:val="fr-FR"/>
        </w:rPr>
        <w:tab/>
      </w:r>
      <w:r w:rsidRPr="00D70AE4">
        <w:rPr>
          <w:rStyle w:val="aa"/>
        </w:rPr>
        <w:footnoteRef/>
      </w:r>
      <w:r>
        <w:tab/>
        <w:t>Там же, п. 15.</w:t>
      </w:r>
    </w:p>
  </w:footnote>
  <w:footnote w:id="7">
    <w:p w14:paraId="5EF66650" w14:textId="6EE61A78" w:rsidR="00D70AE4" w:rsidRPr="00625976" w:rsidRDefault="00D70AE4" w:rsidP="00D70AE4">
      <w:pPr>
        <w:pStyle w:val="ad"/>
      </w:pPr>
      <w:r w:rsidRPr="00097F68">
        <w:tab/>
      </w:r>
      <w:r w:rsidRPr="00D70AE4">
        <w:rPr>
          <w:rStyle w:val="aa"/>
        </w:rPr>
        <w:footnoteRef/>
      </w:r>
      <w:r>
        <w:tab/>
      </w:r>
      <w:hyperlink r:id="rId6" w:history="1">
        <w:r>
          <w:rPr>
            <w:rStyle w:val="af1"/>
          </w:rPr>
          <w:t>CRC/C/58/Rev.3</w:t>
        </w:r>
      </w:hyperlink>
      <w:r>
        <w:t>.</w:t>
      </w:r>
    </w:p>
  </w:footnote>
  <w:footnote w:id="8">
    <w:p w14:paraId="2DBFFE4E" w14:textId="039269C5" w:rsidR="00D70AE4" w:rsidRPr="008F12D8" w:rsidRDefault="00D70AE4" w:rsidP="00D70AE4">
      <w:pPr>
        <w:pStyle w:val="ad"/>
      </w:pPr>
      <w:r w:rsidRPr="00097F68">
        <w:tab/>
      </w:r>
      <w:r w:rsidRPr="00D70AE4">
        <w:rPr>
          <w:rStyle w:val="aa"/>
        </w:rPr>
        <w:footnoteRef/>
      </w:r>
      <w:r>
        <w:tab/>
        <w:t xml:space="preserve">Резолюция </w:t>
      </w:r>
      <w:hyperlink r:id="rId7" w:history="1">
        <w:r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59635" w14:textId="380038CE" w:rsidR="00D70AE4" w:rsidRPr="00D70AE4" w:rsidRDefault="00953BD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CRC/C/FIN/CO/5-6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FB6F" w14:textId="62329F21" w:rsidR="00D70AE4" w:rsidRPr="00D70AE4" w:rsidRDefault="00953BDC" w:rsidP="00D70AE4">
    <w:pPr>
      <w:pStyle w:val="a5"/>
      <w:jc w:val="right"/>
    </w:pPr>
    <w:r>
      <w:fldChar w:fldCharType="begin"/>
    </w:r>
    <w:r>
      <w:instrText xml:space="preserve"> TITLE  \* MERGE</w:instrText>
    </w:r>
    <w:r>
      <w:instrText xml:space="preserve">FORMAT </w:instrText>
    </w:r>
    <w:r>
      <w:fldChar w:fldCharType="separate"/>
    </w:r>
    <w:r>
      <w:t>CRC/C/FIN/CO/5-6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87217217">
    <w:abstractNumId w:val="20"/>
  </w:num>
  <w:num w:numId="2" w16cid:durableId="957882232">
    <w:abstractNumId w:val="14"/>
  </w:num>
  <w:num w:numId="3" w16cid:durableId="210307242">
    <w:abstractNumId w:val="11"/>
  </w:num>
  <w:num w:numId="4" w16cid:durableId="454494155">
    <w:abstractNumId w:val="21"/>
  </w:num>
  <w:num w:numId="5" w16cid:durableId="875892290">
    <w:abstractNumId w:val="16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9"/>
  </w:num>
  <w:num w:numId="17" w16cid:durableId="1995335754">
    <w:abstractNumId w:val="15"/>
  </w:num>
  <w:num w:numId="18" w16cid:durableId="1380204083">
    <w:abstractNumId w:val="17"/>
  </w:num>
  <w:num w:numId="19" w16cid:durableId="2146389999">
    <w:abstractNumId w:val="19"/>
  </w:num>
  <w:num w:numId="20" w16cid:durableId="1408845526">
    <w:abstractNumId w:val="15"/>
  </w:num>
  <w:num w:numId="21" w16cid:durableId="1082677034">
    <w:abstractNumId w:val="17"/>
  </w:num>
  <w:num w:numId="22" w16cid:durableId="547496930">
    <w:abstractNumId w:val="13"/>
  </w:num>
  <w:num w:numId="23" w16cid:durableId="1315178497">
    <w:abstractNumId w:val="12"/>
  </w:num>
  <w:num w:numId="24" w16cid:durableId="1007055928">
    <w:abstractNumId w:val="10"/>
  </w:num>
  <w:num w:numId="25" w16cid:durableId="1216087190">
    <w:abstractNumId w:val="18"/>
  </w:num>
  <w:num w:numId="26" w16cid:durableId="665939637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6DA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16BEC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36DA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916FE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53BDC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1B78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D13AC"/>
    <w:rsid w:val="00CE5A1A"/>
    <w:rsid w:val="00CF55F6"/>
    <w:rsid w:val="00D121D2"/>
    <w:rsid w:val="00D33D63"/>
    <w:rsid w:val="00D53C43"/>
    <w:rsid w:val="00D70AE4"/>
    <w:rsid w:val="00D90028"/>
    <w:rsid w:val="00D90138"/>
    <w:rsid w:val="00DD78D1"/>
    <w:rsid w:val="00DE32CD"/>
    <w:rsid w:val="00DF71B9"/>
    <w:rsid w:val="00E12E0A"/>
    <w:rsid w:val="00E441DF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53FD5"/>
  <w15:docId w15:val="{CD5FA9F3-16A9-4249-B990-B55BE9BE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numbering" w:styleId="111111">
    <w:name w:val="Outline List 2"/>
    <w:basedOn w:val="a2"/>
    <w:semiHidden/>
    <w:rsid w:val="00D70AE4"/>
    <w:pPr>
      <w:numPr>
        <w:numId w:val="25"/>
      </w:numPr>
    </w:pPr>
  </w:style>
  <w:style w:type="numbering" w:styleId="1ai">
    <w:name w:val="Outline List 1"/>
    <w:basedOn w:val="a2"/>
    <w:semiHidden/>
    <w:rsid w:val="00D70AE4"/>
    <w:pPr>
      <w:numPr>
        <w:numId w:val="26"/>
      </w:numPr>
    </w:pPr>
  </w:style>
  <w:style w:type="character" w:customStyle="1" w:styleId="20">
    <w:name w:val="Заголовок 2 Знак"/>
    <w:basedOn w:val="a0"/>
    <w:link w:val="2"/>
    <w:semiHidden/>
    <w:rsid w:val="00D70AE4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D70AE4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D70AE4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D70AE4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D70AE4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D70AE4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D70AE4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D70AE4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D70AE4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D70AE4"/>
    <w:rPr>
      <w:lang w:val="ru-RU" w:eastAsia="en-US"/>
    </w:rPr>
  </w:style>
  <w:style w:type="character" w:customStyle="1" w:styleId="H1GChar">
    <w:name w:val="_ H_1_G Char"/>
    <w:link w:val="H1G"/>
    <w:locked/>
    <w:rsid w:val="00D70AE4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D70AE4"/>
    <w:rPr>
      <w:lang w:val="en-GB" w:eastAsia="en-US"/>
    </w:rPr>
  </w:style>
  <w:style w:type="character" w:styleId="af5">
    <w:name w:val="Unresolved Mention"/>
    <w:basedOn w:val="a0"/>
    <w:uiPriority w:val="99"/>
    <w:semiHidden/>
    <w:unhideWhenUsed/>
    <w:rsid w:val="00D70AE4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D70AE4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D70AE4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8">
    <w:name w:val="Текст примечания Знак"/>
    <w:basedOn w:val="a0"/>
    <w:link w:val="af7"/>
    <w:uiPriority w:val="99"/>
    <w:rsid w:val="00D70AE4"/>
    <w:rPr>
      <w:lang w:val="en-GB"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70AE4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70AE4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711" TargetMode="External"/><Relationship Id="rId7" Type="http://schemas.openxmlformats.org/officeDocument/2006/relationships/hyperlink" Target="http://undocs.org/ru/A/RES/68/268" TargetMode="External"/><Relationship Id="rId2" Type="http://schemas.openxmlformats.org/officeDocument/2006/relationships/hyperlink" Target="http://undocs.org/en/CRC/C/SR.2710" TargetMode="External"/><Relationship Id="rId1" Type="http://schemas.openxmlformats.org/officeDocument/2006/relationships/hyperlink" Target="http://undocs.org/en/CRC/C/FIN/5-6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ru/CRC/C/FIN/CO/4" TargetMode="External"/><Relationship Id="rId4" Type="http://schemas.openxmlformats.org/officeDocument/2006/relationships/hyperlink" Target="http://undocs.org/en/CRC/C/FIN/RQ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5976</Words>
  <Characters>41600</Characters>
  <Application>Microsoft Office Word</Application>
  <DocSecurity>0</DocSecurity>
  <Lines>815</Lines>
  <Paragraphs>278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CRC/C/FIN/CO/5-6</vt:lpstr>
      <vt:lpstr>A/</vt:lpstr>
      <vt:lpstr>A/</vt:lpstr>
    </vt:vector>
  </TitlesOfParts>
  <Company>DCM</Company>
  <LinksUpToDate>false</LinksUpToDate>
  <CharactersWithSpaces>47298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CRC/C/FIN/CO/5-6</dc:title>
  <dc:subject/>
  <dc:creator>Anna BLAGODATSKIKH</dc:creator>
  <cp:keywords/>
  <cp:lastModifiedBy>Anna Blagodatskikh</cp:lastModifiedBy>
  <cp:revision>3</cp:revision>
  <cp:lastPrinted>2024-01-04T10:22:00Z</cp:lastPrinted>
  <dcterms:created xsi:type="dcterms:W3CDTF">2024-01-04T10:22:00Z</dcterms:created>
  <dcterms:modified xsi:type="dcterms:W3CDTF">2024-01-04T10:22:00Z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