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2572BDFE" w14:textId="77777777" w:rsidTr="000E62AA">
        <w:trPr>
          <w:trHeight w:hRule="exact" w:val="851"/>
        </w:trPr>
        <w:tc>
          <w:tcPr>
            <w:tcW w:w="1280" w:type="dxa"/>
            <w:tcBorders>
              <w:bottom w:val="single" w:sz="4" w:space="0" w:color="auto"/>
            </w:tcBorders>
          </w:tcPr>
          <w:p w14:paraId="024F0A5A" w14:textId="77777777" w:rsidR="00A1364C" w:rsidRPr="00F124C6" w:rsidRDefault="00A1364C" w:rsidP="00D02719"/>
        </w:tc>
        <w:tc>
          <w:tcPr>
            <w:tcW w:w="2273" w:type="dxa"/>
            <w:tcBorders>
              <w:bottom w:val="single" w:sz="4" w:space="0" w:color="auto"/>
            </w:tcBorders>
            <w:vAlign w:val="bottom"/>
          </w:tcPr>
          <w:p w14:paraId="2D4CDC10"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78A32296" w14:textId="23CC5FE2" w:rsidR="00A1364C" w:rsidRPr="007658F5" w:rsidRDefault="007F2CC2" w:rsidP="000E62AA">
            <w:pPr>
              <w:spacing w:line="240" w:lineRule="atLeast"/>
              <w:jc w:val="right"/>
              <w:rPr>
                <w:sz w:val="20"/>
                <w:szCs w:val="21"/>
              </w:rPr>
            </w:pPr>
            <w:r>
              <w:rPr>
                <w:sz w:val="40"/>
                <w:szCs w:val="21"/>
              </w:rPr>
              <w:t>A</w:t>
            </w:r>
            <w:r w:rsidR="007658F5">
              <w:rPr>
                <w:sz w:val="20"/>
                <w:szCs w:val="21"/>
              </w:rPr>
              <w:t>/</w:t>
            </w:r>
            <w:proofErr w:type="spellStart"/>
            <w:r>
              <w:rPr>
                <w:sz w:val="20"/>
                <w:szCs w:val="21"/>
              </w:rPr>
              <w:t>HRC</w:t>
            </w:r>
            <w:proofErr w:type="spellEnd"/>
            <w:r w:rsidR="007658F5">
              <w:rPr>
                <w:sz w:val="20"/>
                <w:szCs w:val="21"/>
              </w:rPr>
              <w:t>/</w:t>
            </w:r>
            <w:r>
              <w:rPr>
                <w:sz w:val="20"/>
                <w:szCs w:val="21"/>
              </w:rPr>
              <w:t>RES</w:t>
            </w:r>
            <w:r w:rsidR="007658F5">
              <w:rPr>
                <w:sz w:val="20"/>
                <w:szCs w:val="21"/>
              </w:rPr>
              <w:t>/</w:t>
            </w:r>
            <w:r>
              <w:rPr>
                <w:sz w:val="20"/>
                <w:szCs w:val="21"/>
              </w:rPr>
              <w:t>61</w:t>
            </w:r>
            <w:r w:rsidR="007658F5">
              <w:rPr>
                <w:sz w:val="20"/>
                <w:szCs w:val="21"/>
              </w:rPr>
              <w:t>/</w:t>
            </w:r>
            <w:r>
              <w:rPr>
                <w:sz w:val="20"/>
                <w:szCs w:val="21"/>
              </w:rPr>
              <w:t>16</w:t>
            </w:r>
          </w:p>
        </w:tc>
      </w:tr>
      <w:tr w:rsidR="00A1364C" w:rsidRPr="00F124C6" w14:paraId="08AC7B5F" w14:textId="77777777" w:rsidTr="000E62AA">
        <w:trPr>
          <w:trHeight w:hRule="exact" w:val="2835"/>
        </w:trPr>
        <w:tc>
          <w:tcPr>
            <w:tcW w:w="1280" w:type="dxa"/>
            <w:tcBorders>
              <w:top w:val="single" w:sz="4" w:space="0" w:color="auto"/>
              <w:bottom w:val="single" w:sz="12" w:space="0" w:color="auto"/>
            </w:tcBorders>
          </w:tcPr>
          <w:p w14:paraId="3DEF8986" w14:textId="77777777" w:rsidR="00A1364C" w:rsidRPr="00F124C6" w:rsidRDefault="00A1364C" w:rsidP="000E62AA">
            <w:pPr>
              <w:spacing w:line="120" w:lineRule="atLeast"/>
              <w:rPr>
                <w:sz w:val="10"/>
                <w:szCs w:val="10"/>
              </w:rPr>
            </w:pPr>
          </w:p>
          <w:p w14:paraId="297BA1C3" w14:textId="77777777" w:rsidR="00A1364C" w:rsidRPr="00F124C6" w:rsidRDefault="00A1364C" w:rsidP="000E62AA">
            <w:pPr>
              <w:spacing w:line="120" w:lineRule="atLeast"/>
              <w:rPr>
                <w:sz w:val="10"/>
                <w:szCs w:val="10"/>
              </w:rPr>
            </w:pPr>
            <w:r>
              <w:rPr>
                <w:rFonts w:hint="eastAsia"/>
                <w:noProof/>
              </w:rPr>
              <w:drawing>
                <wp:inline distT="0" distB="0" distL="0" distR="0" wp14:anchorId="6123C563" wp14:editId="345856AF">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6F985A4"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2D88A937" w14:textId="376BD70D" w:rsidR="00A1364C" w:rsidRPr="00F124C6" w:rsidRDefault="007F2CC2" w:rsidP="000E62AA">
            <w:pPr>
              <w:spacing w:before="240" w:line="240" w:lineRule="atLeast"/>
              <w:rPr>
                <w:sz w:val="20"/>
              </w:rPr>
            </w:pPr>
            <w:r>
              <w:rPr>
                <w:sz w:val="20"/>
              </w:rPr>
              <w:t>Distr.: General</w:t>
            </w:r>
          </w:p>
          <w:p w14:paraId="6ED06524" w14:textId="44275830" w:rsidR="00A1364C" w:rsidRPr="00F124C6" w:rsidRDefault="007F2CC2" w:rsidP="007A4727">
            <w:pPr>
              <w:spacing w:line="240" w:lineRule="atLeast"/>
              <w:rPr>
                <w:sz w:val="20"/>
              </w:rPr>
            </w:pPr>
            <w:r>
              <w:rPr>
                <w:sz w:val="20"/>
              </w:rPr>
              <w:t>31</w:t>
            </w:r>
            <w:r w:rsidR="007658F5">
              <w:rPr>
                <w:sz w:val="20"/>
              </w:rPr>
              <w:t xml:space="preserve"> </w:t>
            </w:r>
            <w:r>
              <w:rPr>
                <w:sz w:val="20"/>
              </w:rPr>
              <w:t>March</w:t>
            </w:r>
            <w:r w:rsidR="008B4347">
              <w:rPr>
                <w:sz w:val="20"/>
              </w:rPr>
              <w:t xml:space="preserve"> </w:t>
            </w:r>
            <w:r>
              <w:rPr>
                <w:sz w:val="20"/>
              </w:rPr>
              <w:t>2</w:t>
            </w:r>
            <w:r w:rsidR="008B4347">
              <w:rPr>
                <w:sz w:val="20"/>
              </w:rPr>
              <w:t>0</w:t>
            </w:r>
            <w:r>
              <w:rPr>
                <w:sz w:val="20"/>
              </w:rPr>
              <w:t>26</w:t>
            </w:r>
          </w:p>
          <w:p w14:paraId="4BC4FED4" w14:textId="3A80FEF1" w:rsidR="00A1364C" w:rsidRPr="00F124C6" w:rsidRDefault="007F2CC2" w:rsidP="000E62AA">
            <w:pPr>
              <w:spacing w:line="240" w:lineRule="atLeast"/>
              <w:rPr>
                <w:sz w:val="20"/>
              </w:rPr>
            </w:pPr>
            <w:r>
              <w:rPr>
                <w:sz w:val="20"/>
              </w:rPr>
              <w:t>Chinese</w:t>
            </w:r>
            <w:r w:rsidR="00A1364C" w:rsidRPr="00F124C6">
              <w:rPr>
                <w:sz w:val="20"/>
              </w:rPr>
              <w:t xml:space="preserve"> </w:t>
            </w:r>
          </w:p>
          <w:p w14:paraId="5F70E275" w14:textId="6D711618" w:rsidR="00A1364C" w:rsidRPr="00F124C6" w:rsidRDefault="007F2CC2" w:rsidP="000E62AA">
            <w:pPr>
              <w:spacing w:line="240" w:lineRule="atLeast"/>
            </w:pPr>
            <w:r>
              <w:rPr>
                <w:sz w:val="20"/>
              </w:rPr>
              <w:t>Original: English</w:t>
            </w:r>
          </w:p>
        </w:tc>
      </w:tr>
    </w:tbl>
    <w:p w14:paraId="25426B0B" w14:textId="0BB7B31B" w:rsidR="007F2CC2" w:rsidRPr="002B77DC" w:rsidRDefault="007F2CC2" w:rsidP="002B77DC">
      <w:pPr>
        <w:spacing w:before="120"/>
        <w:rPr>
          <w:rFonts w:eastAsia="黑体"/>
          <w:sz w:val="24"/>
          <w:szCs w:val="24"/>
          <w:lang w:val="fr-CH"/>
        </w:rPr>
      </w:pPr>
      <w:r w:rsidRPr="002B77DC">
        <w:rPr>
          <w:rFonts w:eastAsia="黑体" w:hint="eastAsia"/>
          <w:sz w:val="24"/>
          <w:szCs w:val="24"/>
          <w:lang w:val="fr-CH"/>
        </w:rPr>
        <w:t>人权理事会</w:t>
      </w:r>
    </w:p>
    <w:p w14:paraId="00113913" w14:textId="77777777" w:rsidR="007F2CC2" w:rsidRPr="002B77DC" w:rsidRDefault="007F2CC2" w:rsidP="002B77DC">
      <w:pPr>
        <w:rPr>
          <w:rFonts w:eastAsia="黑体"/>
          <w:szCs w:val="21"/>
          <w:lang w:val="fr-CH"/>
        </w:rPr>
      </w:pPr>
      <w:r w:rsidRPr="002B77DC">
        <w:rPr>
          <w:rFonts w:eastAsia="黑体" w:hint="eastAsia"/>
          <w:szCs w:val="21"/>
          <w:lang w:val="fr-CH"/>
        </w:rPr>
        <w:t>第六十一届会议</w:t>
      </w:r>
    </w:p>
    <w:p w14:paraId="2FC74A98" w14:textId="6D1462CF" w:rsidR="007F2CC2" w:rsidRPr="002B77DC" w:rsidRDefault="007F2CC2" w:rsidP="002B77DC">
      <w:pPr>
        <w:rPr>
          <w:szCs w:val="21"/>
          <w:lang w:val="fr-CH"/>
        </w:rPr>
      </w:pPr>
      <w:r w:rsidRPr="002B77DC">
        <w:rPr>
          <w:szCs w:val="21"/>
          <w:lang w:val="fr-CH"/>
        </w:rPr>
        <w:t>2026</w:t>
      </w:r>
      <w:r w:rsidRPr="002B77DC">
        <w:rPr>
          <w:rFonts w:hint="eastAsia"/>
          <w:szCs w:val="21"/>
          <w:lang w:val="fr-CH"/>
        </w:rPr>
        <w:t>年</w:t>
      </w:r>
      <w:r w:rsidRPr="002B77DC">
        <w:rPr>
          <w:szCs w:val="21"/>
          <w:lang w:val="fr-CH"/>
        </w:rPr>
        <w:t>2</w:t>
      </w:r>
      <w:r w:rsidRPr="002B77DC">
        <w:rPr>
          <w:rFonts w:hint="eastAsia"/>
          <w:szCs w:val="21"/>
          <w:lang w:val="fr-CH"/>
        </w:rPr>
        <w:t>月</w:t>
      </w:r>
      <w:r w:rsidRPr="002B77DC">
        <w:rPr>
          <w:szCs w:val="21"/>
          <w:lang w:val="fr-CH"/>
        </w:rPr>
        <w:t>23</w:t>
      </w:r>
      <w:r w:rsidRPr="002B77DC">
        <w:rPr>
          <w:rFonts w:hint="eastAsia"/>
          <w:szCs w:val="21"/>
          <w:lang w:val="fr-CH"/>
        </w:rPr>
        <w:t>日至</w:t>
      </w:r>
      <w:r w:rsidRPr="002B77DC">
        <w:rPr>
          <w:szCs w:val="21"/>
          <w:lang w:val="fr-CH"/>
        </w:rPr>
        <w:t>3</w:t>
      </w:r>
      <w:r w:rsidRPr="002B77DC">
        <w:rPr>
          <w:rFonts w:hint="eastAsia"/>
          <w:szCs w:val="21"/>
          <w:lang w:val="fr-CH"/>
        </w:rPr>
        <w:t>月</w:t>
      </w:r>
      <w:r w:rsidRPr="002B77DC">
        <w:rPr>
          <w:szCs w:val="21"/>
          <w:lang w:val="fr-CH"/>
        </w:rPr>
        <w:t>31</w:t>
      </w:r>
      <w:r w:rsidRPr="002B77DC">
        <w:rPr>
          <w:rFonts w:hint="eastAsia"/>
          <w:szCs w:val="21"/>
          <w:lang w:val="fr-CH"/>
        </w:rPr>
        <w:t>日</w:t>
      </w:r>
    </w:p>
    <w:p w14:paraId="0B858802" w14:textId="0B6CC26A" w:rsidR="007F2CC2" w:rsidRPr="002B77DC" w:rsidRDefault="007F2CC2" w:rsidP="002B77DC">
      <w:pPr>
        <w:rPr>
          <w:szCs w:val="21"/>
          <w:lang w:val="fr-CH"/>
        </w:rPr>
      </w:pPr>
      <w:r w:rsidRPr="002B77DC">
        <w:rPr>
          <w:rFonts w:hint="eastAsia"/>
          <w:szCs w:val="21"/>
          <w:lang w:val="fr-CH"/>
        </w:rPr>
        <w:t>议程项目</w:t>
      </w:r>
      <w:r w:rsidRPr="002B77DC">
        <w:rPr>
          <w:szCs w:val="21"/>
          <w:lang w:val="fr-CH"/>
        </w:rPr>
        <w:t>3</w:t>
      </w:r>
    </w:p>
    <w:p w14:paraId="1CBF6D3A" w14:textId="687803D3" w:rsidR="007F2CC2" w:rsidRPr="002B77DC" w:rsidRDefault="007F2CC2" w:rsidP="002B77DC">
      <w:pPr>
        <w:rPr>
          <w:rFonts w:eastAsia="黑体"/>
          <w:lang w:val="fr-CH"/>
        </w:rPr>
      </w:pPr>
      <w:r w:rsidRPr="002B77DC">
        <w:rPr>
          <w:rFonts w:eastAsia="黑体" w:hint="eastAsia"/>
          <w:lang w:val="fr-CH"/>
        </w:rPr>
        <w:t>促进和保护所有人权</w:t>
      </w:r>
      <w:r w:rsidR="002B77DC" w:rsidRPr="002B77DC">
        <w:rPr>
          <w:rFonts w:eastAsia="黑体" w:hint="eastAsia"/>
          <w:spacing w:val="-50"/>
          <w:lang w:val="fr-CH"/>
        </w:rPr>
        <w:t>―</w:t>
      </w:r>
      <w:r w:rsidR="002B77DC" w:rsidRPr="002B77DC">
        <w:rPr>
          <w:rFonts w:eastAsia="黑体" w:hint="eastAsia"/>
          <w:lang w:val="fr-CH"/>
        </w:rPr>
        <w:t>―</w:t>
      </w:r>
      <w:r w:rsidRPr="002B77DC">
        <w:rPr>
          <w:rFonts w:eastAsia="黑体" w:hint="eastAsia"/>
          <w:lang w:val="fr-CH"/>
        </w:rPr>
        <w:t>公民权利、政治权利、</w:t>
      </w:r>
      <w:r w:rsidRPr="002B77DC">
        <w:rPr>
          <w:rFonts w:eastAsia="黑体"/>
          <w:lang w:val="fr-CH"/>
        </w:rPr>
        <w:br/>
      </w:r>
      <w:r w:rsidRPr="002B77DC">
        <w:rPr>
          <w:rFonts w:eastAsia="黑体" w:hint="eastAsia"/>
          <w:lang w:val="fr-CH"/>
        </w:rPr>
        <w:t>经济、社会及文化权利，包括发展权</w:t>
      </w:r>
    </w:p>
    <w:p w14:paraId="76CDFBE5" w14:textId="527DC0CD" w:rsidR="007F2CC2" w:rsidRPr="002B77DC" w:rsidRDefault="007F2CC2" w:rsidP="00116871">
      <w:pPr>
        <w:pStyle w:val="HChGC"/>
        <w:rPr>
          <w:lang w:val="en-GB"/>
        </w:rPr>
      </w:pPr>
      <w:r w:rsidRPr="002B77DC">
        <w:rPr>
          <w:lang w:val="en-GB"/>
        </w:rPr>
        <w:tab/>
      </w:r>
      <w:r w:rsidRPr="002B77DC">
        <w:rPr>
          <w:lang w:val="en-GB"/>
        </w:rPr>
        <w:tab/>
      </w:r>
      <w:r w:rsidRPr="002B77DC">
        <w:rPr>
          <w:rFonts w:hint="eastAsia"/>
          <w:lang w:val="en-GB"/>
        </w:rPr>
        <w:t>人权理事会</w:t>
      </w:r>
      <w:r w:rsidRPr="002B77DC">
        <w:rPr>
          <w:rFonts w:hint="eastAsia"/>
          <w:lang w:val="en-GB"/>
        </w:rPr>
        <w:t>2026</w:t>
      </w:r>
      <w:r w:rsidRPr="002B77DC">
        <w:rPr>
          <w:rFonts w:hint="eastAsia"/>
          <w:lang w:val="en-GB"/>
        </w:rPr>
        <w:t>年</w:t>
      </w:r>
      <w:r w:rsidRPr="002B77DC">
        <w:rPr>
          <w:rFonts w:hint="eastAsia"/>
          <w:lang w:val="en-GB"/>
        </w:rPr>
        <w:t>3</w:t>
      </w:r>
      <w:r w:rsidRPr="002B77DC">
        <w:rPr>
          <w:rFonts w:hint="eastAsia"/>
          <w:lang w:val="en-GB"/>
        </w:rPr>
        <w:t>月</w:t>
      </w:r>
      <w:r w:rsidRPr="002B77DC">
        <w:rPr>
          <w:rFonts w:hint="eastAsia"/>
          <w:lang w:val="en-GB"/>
        </w:rPr>
        <w:t>30</w:t>
      </w:r>
      <w:r w:rsidRPr="002B77DC">
        <w:rPr>
          <w:rFonts w:hint="eastAsia"/>
          <w:lang w:val="en-GB"/>
        </w:rPr>
        <w:t>日通过的决议</w:t>
      </w:r>
    </w:p>
    <w:p w14:paraId="57457860" w14:textId="1D2BB0C2" w:rsidR="007F2CC2" w:rsidRPr="002B77DC" w:rsidRDefault="00116871" w:rsidP="00116871">
      <w:pPr>
        <w:pStyle w:val="H1GC"/>
        <w:rPr>
          <w:lang w:val="fr-CH"/>
        </w:rPr>
      </w:pPr>
      <w:r w:rsidRPr="002B77DC">
        <w:tab/>
      </w:r>
      <w:r w:rsidR="007F2CC2" w:rsidRPr="002B77DC">
        <w:t>61/16.</w:t>
      </w:r>
      <w:r w:rsidR="007F2CC2" w:rsidRPr="002B77DC">
        <w:tab/>
      </w:r>
      <w:r w:rsidR="007F2CC2" w:rsidRPr="002B77DC">
        <w:rPr>
          <w:rFonts w:hint="eastAsia"/>
          <w:lang w:val="fr-CH"/>
        </w:rPr>
        <w:t>适当生活水准权所含适当住房权以及在此方面不受歧视的权利</w:t>
      </w:r>
    </w:p>
    <w:p w14:paraId="1F27E234" w14:textId="77777777" w:rsidR="007F2CC2" w:rsidRPr="006E4226" w:rsidRDefault="007F2CC2" w:rsidP="002B77DC">
      <w:pPr>
        <w:pStyle w:val="SingleTxtGC"/>
        <w:rPr>
          <w:rFonts w:ascii="Time New Roman" w:eastAsia="楷体" w:hAnsi="Time New Roman" w:hint="eastAsia"/>
          <w:b/>
          <w:bCs/>
        </w:rPr>
      </w:pPr>
      <w:r w:rsidRPr="002B77DC">
        <w:rPr>
          <w:lang w:val="fr-CH"/>
        </w:rPr>
        <w:tab/>
      </w:r>
      <w:r w:rsidRPr="006E4226">
        <w:rPr>
          <w:rFonts w:ascii="Time New Roman" w:eastAsia="楷体" w:hAnsi="Time New Roman" w:hint="eastAsia"/>
          <w:b/>
          <w:bCs/>
          <w:lang w:val="fr-CH"/>
        </w:rPr>
        <w:t>人权理事会，</w:t>
      </w:r>
    </w:p>
    <w:p w14:paraId="581DAADF" w14:textId="77777777" w:rsidR="007F2CC2" w:rsidRPr="002B77DC" w:rsidRDefault="007F2CC2" w:rsidP="002B77DC">
      <w:pPr>
        <w:pStyle w:val="SingleTxtGC"/>
        <w:rPr>
          <w:lang w:val="en-GB"/>
        </w:rPr>
      </w:pPr>
      <w:r w:rsidRPr="002B77DC">
        <w:rPr>
          <w:lang w:val="fr-CH"/>
        </w:rPr>
        <w:tab/>
      </w:r>
      <w:r w:rsidRPr="006E4226">
        <w:rPr>
          <w:rFonts w:ascii="Time New Roman" w:eastAsia="楷体" w:hAnsi="Time New Roman" w:hint="eastAsia"/>
          <w:b/>
          <w:bCs/>
          <w:lang w:val="fr-CH"/>
        </w:rPr>
        <w:t>重申</w:t>
      </w:r>
      <w:r w:rsidRPr="002B77DC">
        <w:rPr>
          <w:rFonts w:hint="eastAsia"/>
          <w:lang w:val="fr-CH"/>
        </w:rPr>
        <w:t>包括《世界人权宣言》、《经济社会文化权利国际公约》、《公民及政治权利国际公约》和《残疾人权利公约》在内的各项国际人权法文书规定，在享有适当住房问题上，缔约国包括各级政府既要承担义务又要</w:t>
      </w:r>
      <w:proofErr w:type="gramStart"/>
      <w:r w:rsidRPr="002B77DC">
        <w:rPr>
          <w:rFonts w:hint="eastAsia"/>
          <w:lang w:val="fr-CH"/>
        </w:rPr>
        <w:t>作出</w:t>
      </w:r>
      <w:proofErr w:type="gramEnd"/>
      <w:r w:rsidRPr="002B77DC">
        <w:rPr>
          <w:rFonts w:hint="eastAsia"/>
          <w:lang w:val="fr-CH"/>
        </w:rPr>
        <w:t>承诺，</w:t>
      </w:r>
    </w:p>
    <w:p w14:paraId="05311FE1" w14:textId="77777777" w:rsidR="007F2CC2" w:rsidRPr="002B77DC" w:rsidRDefault="007F2CC2" w:rsidP="002B77DC">
      <w:pPr>
        <w:pStyle w:val="SingleTxtGC"/>
        <w:rPr>
          <w:lang w:val="en-GB"/>
        </w:rPr>
      </w:pPr>
      <w:r w:rsidRPr="002B77DC">
        <w:rPr>
          <w:lang w:val="fr-CH"/>
        </w:rPr>
        <w:tab/>
      </w:r>
      <w:r w:rsidRPr="006E4226">
        <w:rPr>
          <w:rFonts w:ascii="Time New Roman" w:eastAsia="楷体" w:hAnsi="Time New Roman" w:hint="eastAsia"/>
          <w:b/>
          <w:bCs/>
          <w:lang w:val="fr-CH"/>
        </w:rPr>
        <w:t>又重申</w:t>
      </w:r>
      <w:r w:rsidRPr="002B77DC">
        <w:rPr>
          <w:rFonts w:hint="eastAsia"/>
          <w:lang w:val="fr-CH"/>
        </w:rPr>
        <w:t>人人有权不受任何歧视地享有适当生活水准权所含适当住房权，</w:t>
      </w:r>
    </w:p>
    <w:p w14:paraId="48A0BFAC" w14:textId="77777777" w:rsidR="007F2CC2" w:rsidRPr="002B77DC" w:rsidRDefault="007F2CC2" w:rsidP="002B77DC">
      <w:pPr>
        <w:pStyle w:val="SingleTxtGC"/>
        <w:rPr>
          <w:lang w:val="en-GB"/>
        </w:rPr>
      </w:pPr>
      <w:r w:rsidRPr="002B77DC">
        <w:rPr>
          <w:lang w:val="fr-CH"/>
        </w:rPr>
        <w:tab/>
      </w:r>
      <w:r w:rsidRPr="006E4226">
        <w:rPr>
          <w:rFonts w:ascii="Time New Roman" w:eastAsia="楷体" w:hAnsi="Time New Roman" w:hint="eastAsia"/>
          <w:b/>
          <w:bCs/>
          <w:lang w:val="fr-CH"/>
        </w:rPr>
        <w:t>回顾</w:t>
      </w:r>
      <w:r w:rsidRPr="002B77DC">
        <w:rPr>
          <w:rFonts w:hint="eastAsia"/>
          <w:lang w:val="fr-CH"/>
        </w:rPr>
        <w:t>国家负有首要责任，应确保全面实现所有人权，并尽其现有资源，单独或通过国际援助和合作，特别是经济和技术援助和合作，努力采取步骤，以期通过一切适当方式，包括采取立法措施，逐步全面实现适当生活水准权所含适当住房权，</w:t>
      </w:r>
    </w:p>
    <w:p w14:paraId="59E60785" w14:textId="2180C011" w:rsidR="007F2CC2" w:rsidRPr="002B77DC" w:rsidRDefault="007F2CC2" w:rsidP="002B77DC">
      <w:pPr>
        <w:pStyle w:val="SingleTxtGC"/>
        <w:rPr>
          <w:lang w:val="en-GB"/>
        </w:rPr>
      </w:pPr>
      <w:r w:rsidRPr="002B77DC">
        <w:rPr>
          <w:lang w:val="fr-CH"/>
        </w:rPr>
        <w:tab/>
      </w:r>
      <w:r w:rsidRPr="006E4226">
        <w:rPr>
          <w:rFonts w:ascii="Time New Roman" w:eastAsia="楷体" w:hAnsi="Time New Roman" w:hint="eastAsia"/>
          <w:b/>
          <w:bCs/>
          <w:lang w:val="fr-CH"/>
        </w:rPr>
        <w:t>又回顾</w:t>
      </w:r>
      <w:r w:rsidRPr="002B77DC">
        <w:rPr>
          <w:rFonts w:hint="eastAsia"/>
          <w:lang w:val="fr-CH"/>
        </w:rPr>
        <w:t>人权委员会和人权理事会以往就适当生活水准权所含适当住房权问题通过的所有决议，以及大会</w:t>
      </w:r>
      <w:r w:rsidRPr="002B77DC">
        <w:rPr>
          <w:lang w:val="fr-CH"/>
        </w:rPr>
        <w:t>2025</w:t>
      </w:r>
      <w:r w:rsidRPr="002B77DC">
        <w:rPr>
          <w:rFonts w:hint="eastAsia"/>
          <w:lang w:val="fr-CH"/>
        </w:rPr>
        <w:t>年</w:t>
      </w:r>
      <w:r w:rsidRPr="002B77DC">
        <w:rPr>
          <w:lang w:val="fr-CH"/>
        </w:rPr>
        <w:t>12</w:t>
      </w:r>
      <w:r w:rsidRPr="002B77DC">
        <w:rPr>
          <w:rFonts w:hint="eastAsia"/>
          <w:lang w:val="fr-CH"/>
        </w:rPr>
        <w:t>月</w:t>
      </w:r>
      <w:r w:rsidRPr="002B77DC">
        <w:rPr>
          <w:lang w:val="fr-CH"/>
        </w:rPr>
        <w:t>15</w:t>
      </w:r>
      <w:r w:rsidRPr="002B77DC">
        <w:rPr>
          <w:rFonts w:hint="eastAsia"/>
          <w:lang w:val="fr-CH"/>
        </w:rPr>
        <w:t>日关于解决无家可归问题的包容性政策和方案的第</w:t>
      </w:r>
      <w:r w:rsidR="00B371C6" w:rsidRPr="006D35E2">
        <w:rPr>
          <w:color w:val="0000FF"/>
          <w:lang w:val="fr-CH"/>
        </w:rPr>
        <w:fldChar w:fldCharType="begin"/>
      </w:r>
      <w:r w:rsidR="006D35E2" w:rsidRPr="006D35E2">
        <w:rPr>
          <w:color w:val="0000FF"/>
          <w:lang w:val="fr-CH"/>
        </w:rPr>
        <w:instrText>HYPERLINK "https://docs.un.org/zh/A/RES/80/175"</w:instrText>
      </w:r>
      <w:r w:rsidR="00B371C6" w:rsidRPr="006D35E2">
        <w:rPr>
          <w:color w:val="0000FF"/>
          <w:lang w:val="fr-CH"/>
        </w:rPr>
      </w:r>
      <w:r w:rsidR="00B371C6" w:rsidRPr="006D35E2">
        <w:rPr>
          <w:color w:val="0000FF"/>
          <w:lang w:val="fr-CH"/>
        </w:rPr>
        <w:fldChar w:fldCharType="separate"/>
      </w:r>
      <w:r w:rsidRPr="006D35E2">
        <w:rPr>
          <w:rStyle w:val="af7"/>
          <w:lang w:val="fr-CH"/>
        </w:rPr>
        <w:t>80/175</w:t>
      </w:r>
      <w:r w:rsidR="00B371C6" w:rsidRPr="006D35E2">
        <w:rPr>
          <w:color w:val="0000FF"/>
          <w:lang w:val="fr-CH"/>
        </w:rPr>
        <w:fldChar w:fldCharType="end"/>
      </w:r>
      <w:r w:rsidRPr="002B77DC">
        <w:rPr>
          <w:rFonts w:hint="eastAsia"/>
          <w:lang w:val="fr-CH"/>
        </w:rPr>
        <w:t>号决议和大会</w:t>
      </w:r>
      <w:r w:rsidRPr="002B77DC">
        <w:rPr>
          <w:lang w:val="fr-CH"/>
        </w:rPr>
        <w:t>2024</w:t>
      </w:r>
      <w:r w:rsidRPr="002B77DC">
        <w:rPr>
          <w:rFonts w:hint="eastAsia"/>
          <w:lang w:val="fr-CH"/>
        </w:rPr>
        <w:t>年</w:t>
      </w:r>
      <w:r w:rsidRPr="002B77DC">
        <w:rPr>
          <w:lang w:val="fr-CH"/>
        </w:rPr>
        <w:t>12</w:t>
      </w:r>
      <w:r w:rsidRPr="002B77DC">
        <w:rPr>
          <w:rFonts w:hint="eastAsia"/>
          <w:lang w:val="fr-CH"/>
        </w:rPr>
        <w:t>月</w:t>
      </w:r>
      <w:r w:rsidRPr="002B77DC">
        <w:rPr>
          <w:lang w:val="fr-CH"/>
        </w:rPr>
        <w:t>19</w:t>
      </w:r>
      <w:r w:rsidRPr="002B77DC">
        <w:rPr>
          <w:rFonts w:hint="eastAsia"/>
          <w:lang w:val="fr-CH"/>
        </w:rPr>
        <w:t>日关于《新城市议程》的第</w:t>
      </w:r>
      <w:r w:rsidR="00B371C6" w:rsidRPr="006D35E2">
        <w:rPr>
          <w:color w:val="0000FF"/>
          <w:lang w:val="fr-CH"/>
        </w:rPr>
        <w:fldChar w:fldCharType="begin"/>
      </w:r>
      <w:r w:rsidR="006D35E2" w:rsidRPr="006D35E2">
        <w:rPr>
          <w:color w:val="0000FF"/>
          <w:lang w:val="fr-CH"/>
        </w:rPr>
        <w:instrText>HYPERLINK "https://docs.un.org/zh/A/RES/79/214"</w:instrText>
      </w:r>
      <w:r w:rsidR="00B371C6" w:rsidRPr="006D35E2">
        <w:rPr>
          <w:color w:val="0000FF"/>
          <w:lang w:val="fr-CH"/>
        </w:rPr>
      </w:r>
      <w:r w:rsidR="00B371C6" w:rsidRPr="006D35E2">
        <w:rPr>
          <w:color w:val="0000FF"/>
          <w:lang w:val="fr-CH"/>
        </w:rPr>
        <w:fldChar w:fldCharType="separate"/>
      </w:r>
      <w:r w:rsidRPr="006D35E2">
        <w:rPr>
          <w:rStyle w:val="af7"/>
          <w:lang w:val="fr-CH"/>
        </w:rPr>
        <w:t>79/214</w:t>
      </w:r>
      <w:r w:rsidR="00B371C6" w:rsidRPr="006D35E2">
        <w:rPr>
          <w:color w:val="0000FF"/>
          <w:lang w:val="fr-CH"/>
        </w:rPr>
        <w:fldChar w:fldCharType="end"/>
      </w:r>
      <w:r w:rsidRPr="002B77DC">
        <w:rPr>
          <w:rFonts w:hint="eastAsia"/>
          <w:lang w:val="fr-CH"/>
        </w:rPr>
        <w:t>号决议，</w:t>
      </w:r>
    </w:p>
    <w:p w14:paraId="68BB5194" w14:textId="6D7A4C87" w:rsidR="007F2CC2" w:rsidRPr="002B77DC" w:rsidRDefault="007F2CC2" w:rsidP="002B77DC">
      <w:pPr>
        <w:pStyle w:val="SingleTxtGC"/>
        <w:rPr>
          <w:lang w:val="en-GB"/>
        </w:rPr>
      </w:pPr>
      <w:r w:rsidRPr="002B77DC">
        <w:rPr>
          <w:lang w:val="fr-CH"/>
        </w:rPr>
        <w:tab/>
      </w:r>
      <w:r w:rsidRPr="006E4226">
        <w:rPr>
          <w:rFonts w:ascii="Time New Roman" w:eastAsia="楷体" w:hAnsi="Time New Roman" w:hint="eastAsia"/>
          <w:b/>
          <w:bCs/>
          <w:lang w:val="fr-CH"/>
        </w:rPr>
        <w:t>还回顾</w:t>
      </w:r>
      <w:r w:rsidRPr="002B77DC">
        <w:rPr>
          <w:rFonts w:hint="eastAsia"/>
          <w:lang w:val="fr-CH"/>
        </w:rPr>
        <w:t>人权委员会以往就妇女平等拥有、获得和控制土地以及平等拥有、继承财产和获得适当住房的权利问题通过的所有决议，包括</w:t>
      </w:r>
      <w:r w:rsidRPr="002B77DC">
        <w:rPr>
          <w:lang w:val="fr-CH"/>
        </w:rPr>
        <w:t>2005</w:t>
      </w:r>
      <w:r w:rsidRPr="002B77DC">
        <w:rPr>
          <w:rFonts w:hint="eastAsia"/>
          <w:lang w:val="fr-CH"/>
        </w:rPr>
        <w:t>年</w:t>
      </w:r>
      <w:r w:rsidRPr="002B77DC">
        <w:rPr>
          <w:lang w:val="fr-CH"/>
        </w:rPr>
        <w:t>4</w:t>
      </w:r>
      <w:r w:rsidRPr="002B77DC">
        <w:rPr>
          <w:rFonts w:hint="eastAsia"/>
          <w:lang w:val="fr-CH"/>
        </w:rPr>
        <w:t>月</w:t>
      </w:r>
      <w:r w:rsidRPr="002B77DC">
        <w:rPr>
          <w:lang w:val="fr-CH"/>
        </w:rPr>
        <w:t>15</w:t>
      </w:r>
      <w:r w:rsidRPr="002B77DC">
        <w:rPr>
          <w:rFonts w:hint="eastAsia"/>
          <w:lang w:val="fr-CH"/>
        </w:rPr>
        <w:t>日第</w:t>
      </w:r>
      <w:r w:rsidRPr="002B77DC">
        <w:rPr>
          <w:lang w:val="fr-CH"/>
        </w:rPr>
        <w:t>2005/25</w:t>
      </w:r>
      <w:r w:rsidRPr="002B77DC">
        <w:rPr>
          <w:rFonts w:hint="eastAsia"/>
          <w:lang w:val="fr-CH"/>
        </w:rPr>
        <w:t>号决议，</w:t>
      </w:r>
    </w:p>
    <w:p w14:paraId="753599EA" w14:textId="63D899C9" w:rsidR="007F2CC2" w:rsidRPr="002B77DC" w:rsidRDefault="007F2CC2" w:rsidP="002B77DC">
      <w:pPr>
        <w:pStyle w:val="SingleTxtGC"/>
        <w:rPr>
          <w:lang w:val="en-GB"/>
        </w:rPr>
      </w:pPr>
      <w:r w:rsidRPr="002B77DC">
        <w:rPr>
          <w:lang w:val="fr-CH"/>
        </w:rPr>
        <w:tab/>
      </w:r>
      <w:r w:rsidRPr="006E4226">
        <w:rPr>
          <w:rFonts w:ascii="Time New Roman" w:eastAsia="楷体" w:hAnsi="Time New Roman" w:hint="eastAsia"/>
          <w:b/>
          <w:bCs/>
          <w:lang w:val="fr-CH"/>
        </w:rPr>
        <w:t>重申</w:t>
      </w:r>
      <w:r w:rsidRPr="002B77DC">
        <w:rPr>
          <w:rFonts w:hint="eastAsia"/>
          <w:lang w:val="fr-CH"/>
        </w:rPr>
        <w:t>联合国各次大型会议和首脑会议通过的宣言和纲领的相关条文所载关于适当住房的原则和承诺，特别是联合国住房和城市可持续发展大会</w:t>
      </w:r>
      <w:r w:rsidRPr="002B77DC">
        <w:rPr>
          <w:lang w:val="fr-CH"/>
        </w:rPr>
        <w:t>(</w:t>
      </w:r>
      <w:r w:rsidRPr="002B77DC">
        <w:rPr>
          <w:rFonts w:hint="eastAsia"/>
          <w:lang w:val="fr-CH"/>
        </w:rPr>
        <w:t>人居三</w:t>
      </w:r>
      <w:r w:rsidRPr="002B77DC">
        <w:rPr>
          <w:lang w:val="fr-CH"/>
        </w:rPr>
        <w:t>)</w:t>
      </w:r>
      <w:r w:rsidRPr="002B77DC">
        <w:rPr>
          <w:rFonts w:hint="eastAsia"/>
          <w:lang w:val="fr-CH"/>
        </w:rPr>
        <w:t>通过的《新城市议程》，强调落实《</w:t>
      </w:r>
      <w:r w:rsidRPr="002B77DC">
        <w:rPr>
          <w:lang w:val="fr-CH"/>
        </w:rPr>
        <w:t>2030</w:t>
      </w:r>
      <w:r w:rsidRPr="002B77DC">
        <w:rPr>
          <w:rFonts w:hint="eastAsia"/>
          <w:lang w:val="fr-CH"/>
        </w:rPr>
        <w:t>年可持续发展议程》包括具体目标</w:t>
      </w:r>
      <w:r w:rsidRPr="002B77DC">
        <w:rPr>
          <w:lang w:val="fr-CH"/>
        </w:rPr>
        <w:t>11.1</w:t>
      </w:r>
      <w:r w:rsidRPr="002B77DC">
        <w:rPr>
          <w:rFonts w:hint="eastAsia"/>
          <w:lang w:val="fr-CH"/>
        </w:rPr>
        <w:t>的重要性，</w:t>
      </w:r>
    </w:p>
    <w:p w14:paraId="245EAF94" w14:textId="047244C8" w:rsidR="007F2CC2" w:rsidRPr="002B77DC" w:rsidRDefault="007F2CC2" w:rsidP="002B77DC">
      <w:pPr>
        <w:pStyle w:val="SingleTxtGC"/>
        <w:rPr>
          <w:lang w:val="en-GB"/>
        </w:rPr>
      </w:pPr>
      <w:r w:rsidRPr="002B77DC">
        <w:rPr>
          <w:lang w:val="fr-CH"/>
        </w:rPr>
        <w:lastRenderedPageBreak/>
        <w:tab/>
      </w:r>
      <w:r w:rsidRPr="006E4226">
        <w:rPr>
          <w:rFonts w:ascii="Time New Roman" w:eastAsia="楷体" w:hAnsi="Time New Roman" w:hint="eastAsia"/>
          <w:b/>
          <w:bCs/>
          <w:lang w:val="fr-CH"/>
        </w:rPr>
        <w:t>回顾</w:t>
      </w:r>
      <w:r w:rsidRPr="002B77DC">
        <w:rPr>
          <w:rFonts w:hint="eastAsia"/>
          <w:lang w:val="fr-CH"/>
        </w:rPr>
        <w:t>联合国人居大会</w:t>
      </w:r>
      <w:r w:rsidRPr="002B77DC">
        <w:rPr>
          <w:lang w:val="fr-CH"/>
        </w:rPr>
        <w:t>2023</w:t>
      </w:r>
      <w:r w:rsidRPr="002B77DC">
        <w:rPr>
          <w:rFonts w:hint="eastAsia"/>
          <w:lang w:val="fr-CH"/>
        </w:rPr>
        <w:t>年</w:t>
      </w:r>
      <w:r w:rsidRPr="002B77DC">
        <w:rPr>
          <w:lang w:val="fr-CH"/>
        </w:rPr>
        <w:t>6</w:t>
      </w:r>
      <w:r w:rsidRPr="002B77DC">
        <w:rPr>
          <w:rFonts w:hint="eastAsia"/>
          <w:lang w:val="fr-CH"/>
        </w:rPr>
        <w:t>月</w:t>
      </w:r>
      <w:r w:rsidRPr="002B77DC">
        <w:rPr>
          <w:lang w:val="fr-CH"/>
        </w:rPr>
        <w:t>9</w:t>
      </w:r>
      <w:r w:rsidRPr="002B77DC">
        <w:rPr>
          <w:rFonts w:hint="eastAsia"/>
          <w:lang w:val="fr-CH"/>
        </w:rPr>
        <w:t>日关于人人享有适当住房的第</w:t>
      </w:r>
      <w:r w:rsidRPr="002B77DC">
        <w:rPr>
          <w:lang w:val="fr-CH"/>
        </w:rPr>
        <w:t>2/7</w:t>
      </w:r>
      <w:r w:rsidRPr="002B77DC">
        <w:rPr>
          <w:rFonts w:hint="eastAsia"/>
          <w:lang w:val="fr-CH"/>
        </w:rPr>
        <w:t>号决议，其中决定设立不限成员名额政府间专家工作组，以审议旨在加速实现普遍获得安全、可持续、适当和负担得起的住房的政策的制定及其内容并就此向大会提出建议，</w:t>
      </w:r>
    </w:p>
    <w:p w14:paraId="5F82871F" w14:textId="3CAA5751" w:rsidR="007F2CC2" w:rsidRPr="002B77DC" w:rsidRDefault="007F2CC2" w:rsidP="002B77DC">
      <w:pPr>
        <w:pStyle w:val="SingleTxtGC"/>
        <w:rPr>
          <w:lang w:val="en-GB"/>
        </w:rPr>
      </w:pPr>
      <w:r w:rsidRPr="002B77DC">
        <w:rPr>
          <w:lang w:val="fr-CH"/>
        </w:rPr>
        <w:tab/>
      </w:r>
      <w:r w:rsidRPr="006E4226">
        <w:rPr>
          <w:rFonts w:ascii="Time New Roman" w:eastAsia="楷体" w:hAnsi="Time New Roman" w:hint="eastAsia"/>
          <w:b/>
          <w:bCs/>
          <w:lang w:val="fr-CH"/>
        </w:rPr>
        <w:t>又回顾</w:t>
      </w:r>
      <w:r w:rsidRPr="002B77DC">
        <w:rPr>
          <w:rFonts w:hint="eastAsia"/>
          <w:lang w:val="fr-CH"/>
        </w:rPr>
        <w:t>人权理事会</w:t>
      </w:r>
      <w:r w:rsidRPr="002B77DC">
        <w:rPr>
          <w:lang w:val="fr-CH"/>
        </w:rPr>
        <w:t>2024</w:t>
      </w:r>
      <w:r w:rsidRPr="002B77DC">
        <w:rPr>
          <w:rFonts w:hint="eastAsia"/>
          <w:lang w:val="fr-CH"/>
        </w:rPr>
        <w:t>年</w:t>
      </w:r>
      <w:r w:rsidRPr="002B77DC">
        <w:rPr>
          <w:lang w:val="fr-CH"/>
        </w:rPr>
        <w:t>4</w:t>
      </w:r>
      <w:r w:rsidRPr="002B77DC">
        <w:rPr>
          <w:rFonts w:hint="eastAsia"/>
          <w:lang w:val="fr-CH"/>
        </w:rPr>
        <w:t>月</w:t>
      </w:r>
      <w:r w:rsidRPr="002B77DC">
        <w:rPr>
          <w:lang w:val="fr-CH"/>
        </w:rPr>
        <w:t>3</w:t>
      </w:r>
      <w:r w:rsidRPr="002B77DC">
        <w:rPr>
          <w:rFonts w:hint="eastAsia"/>
          <w:lang w:val="fr-CH"/>
        </w:rPr>
        <w:t>日关于适当住房权的第</w:t>
      </w:r>
      <w:r w:rsidR="00B371C6" w:rsidRPr="006D35E2">
        <w:rPr>
          <w:color w:val="0000FF"/>
          <w:lang w:val="fr-CH"/>
        </w:rPr>
        <w:fldChar w:fldCharType="begin"/>
      </w:r>
      <w:r w:rsidR="006D35E2" w:rsidRPr="006D35E2">
        <w:rPr>
          <w:color w:val="0000FF"/>
          <w:lang w:val="fr-CH"/>
        </w:rPr>
        <w:instrText>HYPERLINK "https://docs.un.org/zh/A/HRC/RES/55/11"</w:instrText>
      </w:r>
      <w:r w:rsidR="00B371C6" w:rsidRPr="006D35E2">
        <w:rPr>
          <w:color w:val="0000FF"/>
          <w:lang w:val="fr-CH"/>
        </w:rPr>
      </w:r>
      <w:r w:rsidR="00B371C6" w:rsidRPr="006D35E2">
        <w:rPr>
          <w:color w:val="0000FF"/>
          <w:lang w:val="fr-CH"/>
        </w:rPr>
        <w:fldChar w:fldCharType="separate"/>
      </w:r>
      <w:r w:rsidRPr="006D35E2">
        <w:rPr>
          <w:rStyle w:val="af7"/>
          <w:lang w:val="fr-CH"/>
        </w:rPr>
        <w:t>55/11</w:t>
      </w:r>
      <w:r w:rsidR="00B371C6" w:rsidRPr="006D35E2">
        <w:rPr>
          <w:color w:val="0000FF"/>
          <w:lang w:val="fr-CH"/>
        </w:rPr>
        <w:fldChar w:fldCharType="end"/>
      </w:r>
      <w:r w:rsidRPr="002B77DC">
        <w:rPr>
          <w:rFonts w:hint="eastAsia"/>
          <w:lang w:val="fr-CH"/>
        </w:rPr>
        <w:t>号决议；强调残疾人享有适当生活水准和不断改善生活条件的权利，住房及其周围环境无障碍对于残疾人而言十分重要，住房必须符合通用设计原则，需要通过制定无障碍社区型方案促进包容性的</w:t>
      </w:r>
      <w:proofErr w:type="gramStart"/>
      <w:r w:rsidRPr="002B77DC">
        <w:rPr>
          <w:rFonts w:hint="eastAsia"/>
          <w:lang w:val="fr-CH"/>
        </w:rPr>
        <w:t>去机构</w:t>
      </w:r>
      <w:proofErr w:type="gramEnd"/>
      <w:r w:rsidRPr="002B77DC">
        <w:rPr>
          <w:rFonts w:hint="eastAsia"/>
          <w:lang w:val="fr-CH"/>
        </w:rPr>
        <w:t>化，并提供合理便利以及利用其他公共服务和设施的机会；确认残疾人享有独立生活、融入社区和充分参与生活方方面面的平等权利，</w:t>
      </w:r>
      <w:bookmarkStart w:id="0" w:name="_npq1fb58njct"/>
      <w:bookmarkEnd w:id="0"/>
    </w:p>
    <w:p w14:paraId="2D869F9B" w14:textId="77777777" w:rsidR="007F2CC2" w:rsidRPr="002B77DC" w:rsidRDefault="007F2CC2" w:rsidP="002B77DC">
      <w:pPr>
        <w:pStyle w:val="SingleTxtGC"/>
        <w:rPr>
          <w:lang w:val="en-GB"/>
        </w:rPr>
      </w:pPr>
      <w:r w:rsidRPr="002B77DC">
        <w:rPr>
          <w:lang w:val="fr-CH"/>
        </w:rPr>
        <w:tab/>
      </w:r>
      <w:r w:rsidRPr="006E4226">
        <w:rPr>
          <w:rFonts w:ascii="Time New Roman" w:eastAsia="楷体" w:hAnsi="Time New Roman" w:hint="eastAsia"/>
          <w:b/>
          <w:bCs/>
          <w:lang w:val="fr-CH"/>
        </w:rPr>
        <w:t>感到关切的是，</w:t>
      </w:r>
      <w:r w:rsidRPr="002B77DC">
        <w:rPr>
          <w:rFonts w:hint="eastAsia"/>
          <w:lang w:val="fr-CH"/>
        </w:rPr>
        <w:t>全世界还有很多人没有实现适当住房权，数百万人的住房条件仍然低于应有标准，还有数百万人无家可归或可能即将无家可归；在这方面，那些面临多重和交叉形式歧视的人，特别是妇女和女童、残疾人、老年人、境内流离失所者、难民、移民、土著人民和非洲人后裔，陷入尤其脆弱的处境；认识到各国应根据现有的国际人权承诺和义务，必要时在国际社会的支持下，立即采取紧急措施解决这一状况，</w:t>
      </w:r>
    </w:p>
    <w:p w14:paraId="20A5D401" w14:textId="77777777" w:rsidR="007F2CC2" w:rsidRPr="002B77DC" w:rsidRDefault="007F2CC2" w:rsidP="002B77DC">
      <w:pPr>
        <w:pStyle w:val="SingleTxtGC"/>
        <w:rPr>
          <w:lang w:val="en-GB"/>
        </w:rPr>
      </w:pPr>
      <w:r w:rsidRPr="002B77DC">
        <w:rPr>
          <w:lang w:val="fr-CH"/>
        </w:rPr>
        <w:tab/>
      </w:r>
      <w:r w:rsidRPr="006E4226">
        <w:rPr>
          <w:rFonts w:ascii="Time New Roman" w:eastAsia="楷体" w:hAnsi="Time New Roman" w:hint="eastAsia"/>
          <w:b/>
          <w:bCs/>
          <w:lang w:val="fr-CH"/>
        </w:rPr>
        <w:t>深为关切</w:t>
      </w:r>
      <w:r w:rsidRPr="002B77DC">
        <w:rPr>
          <w:rFonts w:hint="eastAsia"/>
          <w:lang w:val="fr-CH"/>
        </w:rPr>
        <w:t>种族歧视和系统性种族主义，包括结构性和体制性种族主义对人人享有人权的影响，尤其是</w:t>
      </w:r>
      <w:proofErr w:type="gramStart"/>
      <w:r w:rsidRPr="002B77DC">
        <w:rPr>
          <w:rFonts w:hint="eastAsia"/>
          <w:lang w:val="fr-CH"/>
        </w:rPr>
        <w:t>对适当</w:t>
      </w:r>
      <w:proofErr w:type="gramEnd"/>
      <w:r w:rsidRPr="002B77DC">
        <w:rPr>
          <w:rFonts w:hint="eastAsia"/>
          <w:lang w:val="fr-CH"/>
        </w:rPr>
        <w:t>生活水准权所含适当住房权的影响，</w:t>
      </w:r>
    </w:p>
    <w:p w14:paraId="14C2E3E9" w14:textId="77777777" w:rsidR="007F2CC2" w:rsidRPr="002B77DC" w:rsidRDefault="007F2CC2" w:rsidP="002B77DC">
      <w:pPr>
        <w:pStyle w:val="SingleTxtGC"/>
        <w:rPr>
          <w:lang w:val="en-GB"/>
        </w:rPr>
      </w:pPr>
      <w:r w:rsidRPr="002B77DC">
        <w:rPr>
          <w:lang w:val="fr-CH"/>
        </w:rPr>
        <w:tab/>
      </w:r>
      <w:r w:rsidRPr="006E4226">
        <w:rPr>
          <w:rFonts w:ascii="Time New Roman" w:eastAsia="楷体" w:hAnsi="Time New Roman" w:hint="eastAsia"/>
          <w:b/>
          <w:bCs/>
          <w:lang w:val="fr-CH"/>
        </w:rPr>
        <w:t>回顾</w:t>
      </w:r>
      <w:r w:rsidRPr="00B26917">
        <w:rPr>
          <w:rFonts w:ascii="Time New Roman" w:eastAsia="楷体" w:hAnsi="Time New Roman" w:hint="eastAsia"/>
          <w:b/>
          <w:bCs/>
          <w:lang w:val="fr-CH"/>
        </w:rPr>
        <w:t>理事会深为</w:t>
      </w:r>
      <w:proofErr w:type="gramStart"/>
      <w:r w:rsidRPr="00B26917">
        <w:rPr>
          <w:rFonts w:ascii="Time New Roman" w:eastAsia="楷体" w:hAnsi="Time New Roman" w:hint="eastAsia"/>
          <w:b/>
          <w:bCs/>
          <w:lang w:val="fr-CH"/>
        </w:rPr>
        <w:t>关切</w:t>
      </w:r>
      <w:r w:rsidRPr="002B77DC">
        <w:rPr>
          <w:rFonts w:hint="eastAsia"/>
          <w:lang w:val="fr-CH"/>
        </w:rPr>
        <w:t>在</w:t>
      </w:r>
      <w:proofErr w:type="gramEnd"/>
      <w:r w:rsidRPr="002B77DC">
        <w:rPr>
          <w:rFonts w:hint="eastAsia"/>
          <w:lang w:val="fr-CH"/>
        </w:rPr>
        <w:t>歧视对女性享有适当住房</w:t>
      </w:r>
      <w:proofErr w:type="gramStart"/>
      <w:r w:rsidRPr="002B77DC">
        <w:rPr>
          <w:rFonts w:hint="eastAsia"/>
          <w:lang w:val="fr-CH"/>
        </w:rPr>
        <w:t>权影响</w:t>
      </w:r>
      <w:proofErr w:type="gramEnd"/>
      <w:r w:rsidRPr="002B77DC">
        <w:rPr>
          <w:rFonts w:hint="eastAsia"/>
          <w:lang w:val="fr-CH"/>
        </w:rPr>
        <w:t>的问题上缺乏进展；着重指出需要采取紧急行动，确保不论家庭关系或伴侣关系如何，她们都享有</w:t>
      </w:r>
      <w:proofErr w:type="gramStart"/>
      <w:r w:rsidRPr="002B77DC">
        <w:rPr>
          <w:rFonts w:hint="eastAsia"/>
          <w:lang w:val="fr-CH"/>
        </w:rPr>
        <w:t>保有权</w:t>
      </w:r>
      <w:proofErr w:type="gramEnd"/>
      <w:r w:rsidRPr="002B77DC">
        <w:rPr>
          <w:rFonts w:hint="eastAsia"/>
          <w:lang w:val="fr-CH"/>
        </w:rPr>
        <w:t>保障；确保她们平等获得信贷、低成本住房、按揭贷款、房屋所有权和出租屋，包括为此提供补贴；确保在发生家庭暴力的情况下她们能够立即进入紧急庇护所，包括就此采取立法措施；保障妇女充分、平等和切实地从各方面参与制定住房政策，包括参与住房设计和建造、社区发展和规划以及交通和基础设施等，</w:t>
      </w:r>
    </w:p>
    <w:p w14:paraId="13AE284E" w14:textId="77777777" w:rsidR="007F2CC2" w:rsidRPr="002B77DC" w:rsidRDefault="007F2CC2" w:rsidP="002B77DC">
      <w:pPr>
        <w:pStyle w:val="SingleTxtGC"/>
        <w:rPr>
          <w:lang w:val="en-GB"/>
        </w:rPr>
      </w:pPr>
      <w:r w:rsidRPr="002B77DC">
        <w:rPr>
          <w:lang w:val="fr-CH"/>
        </w:rPr>
        <w:tab/>
      </w:r>
      <w:r w:rsidRPr="006E4226">
        <w:rPr>
          <w:rFonts w:ascii="Time New Roman" w:eastAsia="楷体" w:hAnsi="Time New Roman" w:hint="eastAsia"/>
          <w:b/>
          <w:bCs/>
          <w:lang w:val="fr-CH"/>
        </w:rPr>
        <w:t>感到关切的是，</w:t>
      </w:r>
      <w:r w:rsidRPr="002B77DC">
        <w:rPr>
          <w:rFonts w:hint="eastAsia"/>
          <w:lang w:val="fr-CH"/>
        </w:rPr>
        <w:t>住房不可负担的危机愈演愈烈，特别是在城市中，对妇女和女童、老年人、年轻人、境内流离失所者、移民、难民、土著人民、非洲人后裔和残疾人等更有可能生活在贫困中的弱势个人和群体造成过大的影响，</w:t>
      </w:r>
    </w:p>
    <w:p w14:paraId="1B4CF6D4" w14:textId="11999C9F" w:rsidR="007F2CC2" w:rsidRPr="002B77DC" w:rsidRDefault="007F2CC2" w:rsidP="002B77DC">
      <w:pPr>
        <w:pStyle w:val="SingleTxtGC"/>
        <w:rPr>
          <w:lang w:val="en-GB"/>
        </w:rPr>
      </w:pPr>
      <w:r w:rsidRPr="002B77DC">
        <w:rPr>
          <w:lang w:val="fr-CH"/>
        </w:rPr>
        <w:tab/>
      </w:r>
      <w:r w:rsidRPr="006E4226">
        <w:rPr>
          <w:rFonts w:ascii="Time New Roman" w:eastAsia="楷体" w:hAnsi="Time New Roman" w:hint="eastAsia"/>
          <w:b/>
          <w:bCs/>
          <w:lang w:val="fr-CH"/>
        </w:rPr>
        <w:t>表示深为关切</w:t>
      </w:r>
      <w:r w:rsidRPr="002B77DC">
        <w:rPr>
          <w:rFonts w:hint="eastAsia"/>
          <w:lang w:val="fr-CH"/>
        </w:rPr>
        <w:t>武装冲突和占领局势中毁坏住房、任意造成流离失所和强迫迁离的行为，并深为关切自然或人为原因所引起灾害的数量和规模及其对充分享有适当住房权的不利影响，在这方面申明需要继续落实《</w:t>
      </w:r>
      <w:r w:rsidRPr="002B77DC">
        <w:rPr>
          <w:lang w:val="fr-CH"/>
        </w:rPr>
        <w:t>2015-2030</w:t>
      </w:r>
      <w:r w:rsidRPr="002B77DC">
        <w:rPr>
          <w:rFonts w:hint="eastAsia"/>
          <w:lang w:val="fr-CH"/>
        </w:rPr>
        <w:t>年仙台减少灾害风险框架》，</w:t>
      </w:r>
    </w:p>
    <w:p w14:paraId="72A5E938" w14:textId="77777777" w:rsidR="007F2CC2" w:rsidRPr="002B77DC" w:rsidRDefault="007F2CC2" w:rsidP="002B77DC">
      <w:pPr>
        <w:pStyle w:val="SingleTxtGC"/>
        <w:rPr>
          <w:lang w:val="en-GB"/>
        </w:rPr>
      </w:pPr>
      <w:r w:rsidRPr="002B77DC">
        <w:rPr>
          <w:lang w:val="fr-CH"/>
        </w:rPr>
        <w:tab/>
      </w:r>
      <w:r w:rsidRPr="006E4226">
        <w:rPr>
          <w:rFonts w:ascii="Time New Roman" w:eastAsia="楷体" w:hAnsi="Time New Roman" w:hint="eastAsia"/>
          <w:b/>
          <w:bCs/>
          <w:lang w:val="fr-CH"/>
        </w:rPr>
        <w:t>强调</w:t>
      </w:r>
      <w:r w:rsidRPr="002B77DC">
        <w:rPr>
          <w:rFonts w:hint="eastAsia"/>
          <w:lang w:val="fr-CH"/>
        </w:rPr>
        <w:t>气候变化的不利影响对切实享有适当生活水准权所含适当住房权等各项人权具有一系列直接和间接的负面影响，</w:t>
      </w:r>
    </w:p>
    <w:p w14:paraId="61F1111D" w14:textId="77777777" w:rsidR="007F2CC2" w:rsidRPr="002B77DC" w:rsidRDefault="007F2CC2" w:rsidP="002B77DC">
      <w:pPr>
        <w:pStyle w:val="SingleTxtGC"/>
        <w:rPr>
          <w:lang w:val="en-GB"/>
        </w:rPr>
      </w:pPr>
      <w:r w:rsidRPr="002B77DC">
        <w:rPr>
          <w:lang w:val="fr-CH"/>
        </w:rPr>
        <w:tab/>
      </w:r>
      <w:r w:rsidRPr="006E4226">
        <w:rPr>
          <w:rFonts w:ascii="Time New Roman" w:eastAsia="楷体" w:hAnsi="Time New Roman" w:hint="eastAsia"/>
          <w:b/>
          <w:bCs/>
          <w:lang w:val="fr-CH"/>
        </w:rPr>
        <w:t>深为关切的是，</w:t>
      </w:r>
      <w:r w:rsidRPr="002B77DC">
        <w:rPr>
          <w:rFonts w:hint="eastAsia"/>
          <w:lang w:val="fr-CH"/>
        </w:rPr>
        <w:t>在许多情况下，住房投资越来越多地被视为一种金融资产，过分注重寻求短期回报，这可能损害住房的核心功能，即作为安全和有尊严生活的场所这一社会功能，同时认识到负责任和受到妥善监管的投资有助于扩大获得适当且负担得起的住房的机会，</w:t>
      </w:r>
    </w:p>
    <w:p w14:paraId="782A6477" w14:textId="77777777" w:rsidR="007F2CC2" w:rsidRPr="002B77DC" w:rsidRDefault="007F2CC2" w:rsidP="002B77DC">
      <w:pPr>
        <w:pStyle w:val="SingleTxtGC"/>
        <w:rPr>
          <w:lang w:val="en-GB"/>
        </w:rPr>
      </w:pPr>
      <w:r w:rsidRPr="002B77DC">
        <w:rPr>
          <w:lang w:val="fr-CH"/>
        </w:rPr>
        <w:tab/>
      </w:r>
      <w:r w:rsidRPr="006E4226">
        <w:rPr>
          <w:rFonts w:ascii="Time New Roman" w:eastAsia="楷体" w:hAnsi="Time New Roman" w:hint="eastAsia"/>
          <w:b/>
          <w:bCs/>
          <w:lang w:val="fr-CH"/>
        </w:rPr>
        <w:t>认识到</w:t>
      </w:r>
      <w:proofErr w:type="gramStart"/>
      <w:r w:rsidRPr="002B77DC">
        <w:rPr>
          <w:rFonts w:hint="eastAsia"/>
          <w:lang w:val="fr-CH"/>
        </w:rPr>
        <w:t>保有权</w:t>
      </w:r>
      <w:proofErr w:type="gramEnd"/>
      <w:r w:rsidRPr="002B77DC">
        <w:rPr>
          <w:rFonts w:hint="eastAsia"/>
          <w:lang w:val="fr-CH"/>
        </w:rPr>
        <w:t>保障有助于享有适当住房权，对享受其他多项经济、社会、文化、公民和政治权利有重要意义，所有人，包括妇女和女童、残疾人、老年人、境内流离失所者、难民、移民、土著人民和非洲人后裔，都应拥有一定程度的</w:t>
      </w:r>
      <w:proofErr w:type="gramStart"/>
      <w:r w:rsidRPr="002B77DC">
        <w:rPr>
          <w:rFonts w:hint="eastAsia"/>
          <w:lang w:val="fr-CH"/>
        </w:rPr>
        <w:t>保有权</w:t>
      </w:r>
      <w:proofErr w:type="gramEnd"/>
      <w:r w:rsidRPr="002B77DC">
        <w:rPr>
          <w:rFonts w:hint="eastAsia"/>
          <w:lang w:val="fr-CH"/>
        </w:rPr>
        <w:t>保障，以确保得到法律保护，免遭强迫迁离、骚扰和其他威胁，</w:t>
      </w:r>
    </w:p>
    <w:p w14:paraId="0D5D2EC2" w14:textId="12408D2B" w:rsidR="007F2CC2" w:rsidRPr="002B77DC" w:rsidRDefault="007F2CC2" w:rsidP="002B77DC">
      <w:pPr>
        <w:pStyle w:val="SingleTxtGC"/>
        <w:rPr>
          <w:lang w:val="en-GB"/>
        </w:rPr>
      </w:pPr>
      <w:r w:rsidRPr="002B77DC">
        <w:rPr>
          <w:lang w:val="en-GB"/>
        </w:rPr>
        <w:tab/>
      </w:r>
      <w:r w:rsidRPr="001A421C">
        <w:rPr>
          <w:rFonts w:ascii="Time New Roman" w:eastAsia="楷体" w:hAnsi="Time New Roman" w:hint="eastAsia"/>
          <w:b/>
          <w:bCs/>
          <w:spacing w:val="2"/>
          <w:lang w:val="fr-CH"/>
        </w:rPr>
        <w:t>回顾</w:t>
      </w:r>
      <w:r w:rsidRPr="001A421C">
        <w:rPr>
          <w:rFonts w:hint="eastAsia"/>
          <w:spacing w:val="2"/>
          <w:lang w:val="en-GB"/>
        </w:rPr>
        <w:t>前几</w:t>
      </w:r>
      <w:proofErr w:type="gramStart"/>
      <w:r w:rsidRPr="001A421C">
        <w:rPr>
          <w:rFonts w:hint="eastAsia"/>
          <w:spacing w:val="2"/>
          <w:lang w:val="en-GB"/>
        </w:rPr>
        <w:t>任</w:t>
      </w:r>
      <w:proofErr w:type="gramEnd"/>
      <w:r w:rsidRPr="001A421C">
        <w:rPr>
          <w:rFonts w:hint="eastAsia"/>
          <w:spacing w:val="2"/>
          <w:lang w:val="en-GB"/>
        </w:rPr>
        <w:t>任务负责人提交人权理事会的“城市贫民保有权保障指导原则”</w:t>
      </w:r>
      <w:r w:rsidRPr="001A421C">
        <w:rPr>
          <w:spacing w:val="2"/>
          <w:vertAlign w:val="superscript"/>
          <w:lang w:val="en-GB"/>
        </w:rPr>
        <w:footnoteReference w:id="2"/>
      </w:r>
      <w:r w:rsidRPr="001A421C">
        <w:rPr>
          <w:rFonts w:hint="eastAsia"/>
          <w:spacing w:val="2"/>
          <w:lang w:val="en-GB"/>
        </w:rPr>
        <w:t>、</w:t>
      </w:r>
      <w:r w:rsidRPr="002B77DC">
        <w:rPr>
          <w:rFonts w:hint="eastAsia"/>
          <w:lang w:val="en-GB"/>
        </w:rPr>
        <w:t>“关于出于发展目的的搬迁和迁离问题的基本原则和准则”</w:t>
      </w:r>
      <w:r w:rsidRPr="002B77DC">
        <w:rPr>
          <w:vertAlign w:val="superscript"/>
          <w:lang w:val="en-GB"/>
        </w:rPr>
        <w:footnoteReference w:id="3"/>
      </w:r>
      <w:r w:rsidRPr="002B77DC">
        <w:rPr>
          <w:lang w:val="en-GB"/>
        </w:rPr>
        <w:t xml:space="preserve"> </w:t>
      </w:r>
      <w:r w:rsidRPr="002B77DC">
        <w:rPr>
          <w:rFonts w:hint="eastAsia"/>
          <w:lang w:val="en-GB"/>
        </w:rPr>
        <w:t>和“适当住房权实施准则”</w:t>
      </w:r>
      <w:r w:rsidRPr="002B77DC">
        <w:rPr>
          <w:vertAlign w:val="superscript"/>
          <w:lang w:val="en-GB"/>
        </w:rPr>
        <w:footnoteReference w:id="4"/>
      </w:r>
      <w:r w:rsidRPr="002B77DC">
        <w:rPr>
          <w:rFonts w:hint="eastAsia"/>
          <w:lang w:val="en-GB"/>
        </w:rPr>
        <w:t>，</w:t>
      </w:r>
    </w:p>
    <w:p w14:paraId="4AD76FF7" w14:textId="77777777" w:rsidR="007F2CC2" w:rsidRPr="002B77DC" w:rsidRDefault="007F2CC2" w:rsidP="002B77DC">
      <w:pPr>
        <w:pStyle w:val="SingleTxtGC"/>
        <w:rPr>
          <w:lang w:val="en-GB"/>
        </w:rPr>
      </w:pPr>
      <w:r w:rsidRPr="002B77DC">
        <w:rPr>
          <w:lang w:val="en-GB"/>
        </w:rPr>
        <w:tab/>
      </w:r>
      <w:r w:rsidRPr="006E4226">
        <w:rPr>
          <w:rFonts w:ascii="Time New Roman" w:eastAsia="楷体" w:hAnsi="Time New Roman" w:hint="eastAsia"/>
          <w:b/>
          <w:bCs/>
          <w:lang w:val="fr-CH"/>
        </w:rPr>
        <w:t>赞赏地注意到</w:t>
      </w:r>
      <w:r w:rsidRPr="002B77DC">
        <w:rPr>
          <w:rFonts w:hint="eastAsia"/>
          <w:lang w:val="en-GB"/>
        </w:rPr>
        <w:t>各条约机构，特别是经济、社会及文化权利委员会和残疾人权利委员会，在促进与适当生活水准权所含适当住房权有关的权利方面开展的工作，包括所有相关的一般性意见，以及涉及《经济、社会、文化权利国际公约任择议定书》或《残疾人权利公约任择议定书》缔约国的个人来文审查工作，</w:t>
      </w:r>
    </w:p>
    <w:p w14:paraId="45EF2601" w14:textId="1348CB4C" w:rsidR="007F2CC2" w:rsidRPr="002B77DC" w:rsidRDefault="007F2CC2" w:rsidP="002B77DC">
      <w:pPr>
        <w:pStyle w:val="SingleTxtGC"/>
        <w:rPr>
          <w:lang w:val="en-GB"/>
        </w:rPr>
      </w:pPr>
      <w:r w:rsidRPr="002B77DC">
        <w:rPr>
          <w:lang w:val="en-GB"/>
        </w:rPr>
        <w:tab/>
      </w:r>
      <w:r w:rsidRPr="006E4226">
        <w:rPr>
          <w:rFonts w:ascii="Time New Roman" w:eastAsia="楷体" w:hAnsi="Time New Roman" w:hint="eastAsia"/>
          <w:b/>
          <w:bCs/>
          <w:lang w:val="fr-CH"/>
        </w:rPr>
        <w:t>回顾</w:t>
      </w:r>
      <w:r w:rsidRPr="002B77DC">
        <w:rPr>
          <w:rFonts w:hint="eastAsia"/>
          <w:lang w:val="en-GB"/>
        </w:rPr>
        <w:t>人权理事会</w:t>
      </w:r>
      <w:r w:rsidRPr="002B77DC">
        <w:rPr>
          <w:lang w:val="en-GB"/>
        </w:rPr>
        <w:t>2007</w:t>
      </w:r>
      <w:r w:rsidRPr="002B77DC">
        <w:rPr>
          <w:rFonts w:hint="eastAsia"/>
          <w:lang w:val="en-GB"/>
        </w:rPr>
        <w:t>年</w:t>
      </w:r>
      <w:r w:rsidRPr="002B77DC">
        <w:rPr>
          <w:lang w:val="en-GB"/>
        </w:rPr>
        <w:t>6</w:t>
      </w:r>
      <w:r w:rsidRPr="002B77DC">
        <w:rPr>
          <w:rFonts w:hint="eastAsia"/>
          <w:lang w:val="en-GB"/>
        </w:rPr>
        <w:t>月</w:t>
      </w:r>
      <w:r w:rsidRPr="002B77DC">
        <w:rPr>
          <w:lang w:val="en-GB"/>
        </w:rPr>
        <w:t>18</w:t>
      </w:r>
      <w:r w:rsidRPr="002B77DC">
        <w:rPr>
          <w:rFonts w:hint="eastAsia"/>
          <w:lang w:val="en-GB"/>
        </w:rPr>
        <w:t>日关于人权理事会体制建设的第</w:t>
      </w:r>
      <w:r w:rsidRPr="006D35E2">
        <w:rPr>
          <w:lang w:val="en-GB"/>
        </w:rPr>
        <w:t>5/1</w:t>
      </w:r>
      <w:r w:rsidRPr="002B77DC">
        <w:rPr>
          <w:rFonts w:hint="eastAsia"/>
          <w:lang w:val="en-GB"/>
        </w:rPr>
        <w:t>号决议和关于人权理事会特别程序任务负责人行为守则的第</w:t>
      </w:r>
      <w:r w:rsidRPr="006D35E2">
        <w:rPr>
          <w:lang w:val="en-GB"/>
        </w:rPr>
        <w:t>5/2</w:t>
      </w:r>
      <w:r w:rsidRPr="002B77DC">
        <w:rPr>
          <w:rFonts w:hint="eastAsia"/>
          <w:lang w:val="en-GB"/>
        </w:rPr>
        <w:t>号决议，强调任务负责人应根据这两项决议及其附件履行职责，</w:t>
      </w:r>
    </w:p>
    <w:p w14:paraId="0291D4F3" w14:textId="75004ED1" w:rsidR="007F2CC2" w:rsidRPr="002B77DC" w:rsidRDefault="007F2CC2" w:rsidP="002B77DC">
      <w:pPr>
        <w:pStyle w:val="SingleTxtGC"/>
        <w:rPr>
          <w:lang w:val="en-GB"/>
        </w:rPr>
      </w:pPr>
      <w:r w:rsidRPr="002B77DC">
        <w:rPr>
          <w:lang w:val="en-GB"/>
        </w:rPr>
        <w:tab/>
        <w:t>1.</w:t>
      </w:r>
      <w:r w:rsidRPr="002B77DC">
        <w:rPr>
          <w:lang w:val="en-GB"/>
        </w:rPr>
        <w:tab/>
      </w:r>
      <w:r w:rsidRPr="006E4226">
        <w:rPr>
          <w:rFonts w:ascii="Time New Roman" w:eastAsia="楷体" w:hAnsi="Time New Roman" w:hint="eastAsia"/>
          <w:b/>
          <w:bCs/>
          <w:lang w:val="fr-CH"/>
        </w:rPr>
        <w:t>吁请</w:t>
      </w:r>
      <w:r w:rsidRPr="002B77DC">
        <w:rPr>
          <w:rFonts w:hint="eastAsia"/>
          <w:lang w:val="en-GB"/>
        </w:rPr>
        <w:t>各国：</w:t>
      </w:r>
    </w:p>
    <w:p w14:paraId="2FA326ED" w14:textId="5D3A88C4" w:rsidR="007F2CC2" w:rsidRPr="002B77DC" w:rsidRDefault="007F2CC2" w:rsidP="002B77DC">
      <w:pPr>
        <w:pStyle w:val="SingleTxtGC"/>
        <w:rPr>
          <w:lang w:val="en-GB"/>
        </w:rPr>
      </w:pPr>
      <w:r w:rsidRPr="002B77DC">
        <w:rPr>
          <w:lang w:val="en-GB"/>
        </w:rPr>
        <w:tab/>
        <w:t>(a)</w:t>
      </w:r>
      <w:r w:rsidRPr="002B77DC">
        <w:rPr>
          <w:lang w:val="en-GB"/>
        </w:rPr>
        <w:tab/>
      </w:r>
      <w:r w:rsidRPr="002B77DC">
        <w:rPr>
          <w:rFonts w:hint="eastAsia"/>
          <w:lang w:val="en-GB"/>
        </w:rPr>
        <w:t>适当考虑在执行《新城市议程》和《</w:t>
      </w:r>
      <w:r w:rsidRPr="002B77DC">
        <w:rPr>
          <w:lang w:val="en-GB"/>
        </w:rPr>
        <w:t>2030</w:t>
      </w:r>
      <w:r w:rsidRPr="002B77DC">
        <w:rPr>
          <w:rFonts w:hint="eastAsia"/>
          <w:lang w:val="en-GB"/>
        </w:rPr>
        <w:t>年可持续发展议程》时纳入适当住房权这项人权，并特别考虑到在这方面不受歧视的权利；</w:t>
      </w:r>
    </w:p>
    <w:p w14:paraId="211911DE" w14:textId="23FD9DB5" w:rsidR="007F2CC2" w:rsidRPr="002B77DC" w:rsidRDefault="007F2CC2" w:rsidP="002B77DC">
      <w:pPr>
        <w:pStyle w:val="SingleTxtGC"/>
        <w:rPr>
          <w:lang w:val="en-GB"/>
        </w:rPr>
      </w:pPr>
      <w:r w:rsidRPr="002B77DC">
        <w:rPr>
          <w:lang w:val="en-GB"/>
        </w:rPr>
        <w:tab/>
        <w:t>(b)</w:t>
      </w:r>
      <w:r w:rsidRPr="002B77DC">
        <w:rPr>
          <w:lang w:val="en-GB"/>
        </w:rPr>
        <w:tab/>
      </w:r>
      <w:r w:rsidRPr="002B77DC">
        <w:rPr>
          <w:rFonts w:hint="eastAsia"/>
          <w:lang w:val="en-GB"/>
        </w:rPr>
        <w:t>执行《</w:t>
      </w:r>
      <w:r w:rsidRPr="002B77DC">
        <w:rPr>
          <w:lang w:val="en-GB"/>
        </w:rPr>
        <w:t>2030</w:t>
      </w:r>
      <w:r w:rsidRPr="002B77DC">
        <w:rPr>
          <w:rFonts w:hint="eastAsia"/>
          <w:lang w:val="en-GB"/>
        </w:rPr>
        <w:t>年议程》，包括具体目标</w:t>
      </w:r>
      <w:r w:rsidRPr="002B77DC">
        <w:rPr>
          <w:lang w:val="en-GB"/>
        </w:rPr>
        <w:t xml:space="preserve">11.1, </w:t>
      </w:r>
      <w:r w:rsidRPr="002B77DC">
        <w:rPr>
          <w:rFonts w:hint="eastAsia"/>
          <w:lang w:val="en-GB"/>
        </w:rPr>
        <w:t>在这方面敦促各国与包括民间社会、国家人权机构和私营部门在内的相关利益攸关方磋商，采取尊重、保护和实现所有人的人权的包容性、跨部门战略，特别关注边缘化人群或面临风险处境者，并确保这些战略列出各级政府的明确职责，包含可衡量的总体目标、具体目标和时间表，纳入适当的定期监督和审查机制，并特别重视弱势群体的权利和需求；</w:t>
      </w:r>
    </w:p>
    <w:p w14:paraId="59CF2BDE" w14:textId="2D8E4370" w:rsidR="007F2CC2" w:rsidRPr="002B77DC" w:rsidRDefault="007F2CC2" w:rsidP="002B77DC">
      <w:pPr>
        <w:pStyle w:val="SingleTxtGC"/>
        <w:rPr>
          <w:lang w:val="en-GB"/>
        </w:rPr>
      </w:pPr>
      <w:r w:rsidRPr="002B77DC">
        <w:rPr>
          <w:lang w:val="en-GB"/>
        </w:rPr>
        <w:tab/>
        <w:t>(c)</w:t>
      </w:r>
      <w:r w:rsidRPr="002B77DC">
        <w:rPr>
          <w:lang w:val="en-GB"/>
        </w:rPr>
        <w:tab/>
      </w:r>
      <w:r w:rsidRPr="002B77DC">
        <w:rPr>
          <w:rFonts w:hint="eastAsia"/>
          <w:lang w:val="en-GB"/>
        </w:rPr>
        <w:t>采取必要措施，遏制导致负担得起的住房匮乏的各种因素，例如房产投机和“住房金融化”，以防止无家可归现象，并促进人人享有负担得起的住房；</w:t>
      </w:r>
    </w:p>
    <w:p w14:paraId="7BD2C2A7" w14:textId="72A1C5B0" w:rsidR="007F2CC2" w:rsidRPr="002B77DC" w:rsidRDefault="007F2CC2" w:rsidP="002B77DC">
      <w:pPr>
        <w:pStyle w:val="SingleTxtGC"/>
        <w:rPr>
          <w:lang w:val="en-GB"/>
        </w:rPr>
      </w:pPr>
      <w:r w:rsidRPr="002B77DC">
        <w:rPr>
          <w:lang w:val="en-GB"/>
        </w:rPr>
        <w:tab/>
        <w:t>(d)</w:t>
      </w:r>
      <w:r w:rsidRPr="002B77DC">
        <w:rPr>
          <w:lang w:val="en-GB"/>
        </w:rPr>
        <w:tab/>
      </w:r>
      <w:r w:rsidRPr="002B77DC">
        <w:rPr>
          <w:rFonts w:hint="eastAsia"/>
          <w:lang w:val="en-GB"/>
        </w:rPr>
        <w:t>在适应和减缓气候变化的战略中考虑到适当住房权，开发和促进环境上可持续且无害的住房设计、建造和维护，提升能源效率和气候韧性，确保人人都能获得并负担得起住房，从而在确保适当住房权的同时处理气候变化的影响；</w:t>
      </w:r>
    </w:p>
    <w:p w14:paraId="5F828D28" w14:textId="4C7E40E2" w:rsidR="007F2CC2" w:rsidRPr="002B77DC" w:rsidRDefault="007F2CC2" w:rsidP="002B77DC">
      <w:pPr>
        <w:pStyle w:val="SingleTxtGC"/>
        <w:rPr>
          <w:lang w:val="en-GB"/>
        </w:rPr>
      </w:pPr>
      <w:r w:rsidRPr="002B77DC">
        <w:rPr>
          <w:lang w:val="en-GB"/>
        </w:rPr>
        <w:tab/>
        <w:t>(e)</w:t>
      </w:r>
      <w:r w:rsidRPr="002B77DC">
        <w:rPr>
          <w:lang w:val="en-GB"/>
        </w:rPr>
        <w:tab/>
      </w:r>
      <w:r w:rsidRPr="002B77DC">
        <w:rPr>
          <w:rFonts w:hint="eastAsia"/>
          <w:lang w:val="en-GB"/>
        </w:rPr>
        <w:t>考虑通过符合人权法和正当程序并且尊重人的尊严的国家方案和法律，以防止、避免和减少驱逐现象；</w:t>
      </w:r>
    </w:p>
    <w:p w14:paraId="2E6E278D" w14:textId="7EB3E8F3" w:rsidR="007F2CC2" w:rsidRPr="002B77DC" w:rsidRDefault="007F2CC2" w:rsidP="002B77DC">
      <w:pPr>
        <w:pStyle w:val="SingleTxtGC"/>
        <w:rPr>
          <w:lang w:val="en-GB"/>
        </w:rPr>
      </w:pPr>
      <w:r w:rsidRPr="002B77DC">
        <w:rPr>
          <w:lang w:val="en-GB"/>
        </w:rPr>
        <w:tab/>
        <w:t>(f)</w:t>
      </w:r>
      <w:r w:rsidRPr="002B77DC">
        <w:rPr>
          <w:lang w:val="en-GB"/>
        </w:rPr>
        <w:tab/>
      </w:r>
      <w:r w:rsidRPr="002B77DC">
        <w:rPr>
          <w:rFonts w:hint="eastAsia"/>
          <w:lang w:val="en-GB"/>
        </w:rPr>
        <w:t>确保驱逐符合合法性、相称性和必要性原则，遵守国际人权法和国际人道法，充分遵守正当程序和尊重人的尊严，并避免过度和不必要地使用武力；</w:t>
      </w:r>
    </w:p>
    <w:p w14:paraId="52F014E7" w14:textId="34192FE2" w:rsidR="007F2CC2" w:rsidRPr="002B77DC" w:rsidRDefault="007F2CC2" w:rsidP="002B77DC">
      <w:pPr>
        <w:pStyle w:val="SingleTxtGC"/>
        <w:rPr>
          <w:lang w:val="en-GB"/>
        </w:rPr>
      </w:pPr>
      <w:bookmarkStart w:id="1" w:name="_thnc3h8w2jpz"/>
      <w:bookmarkEnd w:id="1"/>
      <w:r w:rsidRPr="002B77DC">
        <w:rPr>
          <w:lang w:val="en-GB"/>
        </w:rPr>
        <w:tab/>
        <w:t>(g)</w:t>
      </w:r>
      <w:r w:rsidRPr="002B77DC">
        <w:rPr>
          <w:lang w:val="en-GB"/>
        </w:rPr>
        <w:tab/>
      </w:r>
      <w:r w:rsidRPr="002B77DC">
        <w:rPr>
          <w:rFonts w:hint="eastAsia"/>
          <w:lang w:val="en-GB"/>
        </w:rPr>
        <w:t>以符合国际人权法和国际人道法的方式，避免和防止在冲突和占领局势中破坏住房和民用基础设施；</w:t>
      </w:r>
    </w:p>
    <w:p w14:paraId="5F5EC319" w14:textId="54E7C923" w:rsidR="007F2CC2" w:rsidRPr="002B77DC" w:rsidRDefault="007F2CC2" w:rsidP="002B77DC">
      <w:pPr>
        <w:pStyle w:val="SingleTxtGC"/>
        <w:rPr>
          <w:lang w:val="en-GB"/>
        </w:rPr>
      </w:pPr>
      <w:r w:rsidRPr="002B77DC">
        <w:rPr>
          <w:lang w:val="en-GB"/>
        </w:rPr>
        <w:tab/>
        <w:t>(h)</w:t>
      </w:r>
      <w:r w:rsidRPr="002B77DC">
        <w:rPr>
          <w:lang w:val="en-GB"/>
        </w:rPr>
        <w:tab/>
      </w:r>
      <w:r w:rsidRPr="002B77DC">
        <w:rPr>
          <w:rFonts w:hint="eastAsia"/>
          <w:lang w:val="en-GB"/>
        </w:rPr>
        <w:t>在住房战略的方方面面确保妇女平等享有适当生活水准权所含适当住房权，包括可平等地获得信贷、按揭贷款、房屋所有权和出租屋；对此类住房的安全性给予妥善</w:t>
      </w:r>
      <w:proofErr w:type="gramStart"/>
      <w:r w:rsidRPr="002B77DC">
        <w:rPr>
          <w:rFonts w:hint="eastAsia"/>
          <w:lang w:val="en-GB"/>
        </w:rPr>
        <w:t>考量</w:t>
      </w:r>
      <w:proofErr w:type="gramEnd"/>
      <w:r w:rsidRPr="002B77DC">
        <w:rPr>
          <w:rFonts w:hint="eastAsia"/>
          <w:lang w:val="en-GB"/>
        </w:rPr>
        <w:t>，尤其是在妇女和儿童面临任何形式的暴力侵害或暴力威胁的情况下；开展立法改革和其他改革，以实现人人在财产和继承方面享有平等权利；</w:t>
      </w:r>
    </w:p>
    <w:p w14:paraId="516F8679" w14:textId="52C67D73" w:rsidR="007F2CC2" w:rsidRPr="002B77DC" w:rsidRDefault="007F2CC2" w:rsidP="002B77DC">
      <w:pPr>
        <w:pStyle w:val="SingleTxtGC"/>
        <w:rPr>
          <w:lang w:val="en-GB"/>
        </w:rPr>
      </w:pPr>
      <w:r w:rsidRPr="002B77DC">
        <w:rPr>
          <w:lang w:val="en-GB"/>
        </w:rPr>
        <w:tab/>
        <w:t>(</w:t>
      </w:r>
      <w:proofErr w:type="spellStart"/>
      <w:r w:rsidRPr="002B77DC">
        <w:rPr>
          <w:lang w:val="en-GB"/>
        </w:rPr>
        <w:t>i</w:t>
      </w:r>
      <w:proofErr w:type="spellEnd"/>
      <w:r w:rsidRPr="002B77DC">
        <w:rPr>
          <w:lang w:val="en-GB"/>
        </w:rPr>
        <w:t>)</w:t>
      </w:r>
      <w:r w:rsidRPr="002B77DC">
        <w:rPr>
          <w:lang w:val="en-GB"/>
        </w:rPr>
        <w:tab/>
      </w:r>
      <w:r w:rsidRPr="002B77DC">
        <w:rPr>
          <w:rFonts w:hint="eastAsia"/>
          <w:lang w:val="en-GB"/>
        </w:rPr>
        <w:t>保障包括残疾妇女在内的所有妇女充分、平等和切实地参与住房相关政策制定的各个方面，包括住房设计和建造、社区发展和规划以及交通和基础设施，并将生活在非正规住房或营地中的妇女纳入其中；</w:t>
      </w:r>
    </w:p>
    <w:p w14:paraId="3E86BB7B" w14:textId="555D2D56" w:rsidR="007F2CC2" w:rsidRPr="002B77DC" w:rsidRDefault="007F2CC2" w:rsidP="002B77DC">
      <w:pPr>
        <w:pStyle w:val="SingleTxtGC"/>
        <w:rPr>
          <w:lang w:val="en-GB"/>
        </w:rPr>
      </w:pPr>
      <w:r w:rsidRPr="002B77DC">
        <w:rPr>
          <w:lang w:val="en-GB"/>
        </w:rPr>
        <w:tab/>
        <w:t>(j)</w:t>
      </w:r>
      <w:r w:rsidRPr="002B77DC">
        <w:rPr>
          <w:lang w:val="en-GB"/>
        </w:rPr>
        <w:tab/>
      </w:r>
      <w:r w:rsidRPr="002B77DC">
        <w:rPr>
          <w:rFonts w:hint="eastAsia"/>
          <w:lang w:val="en-GB"/>
        </w:rPr>
        <w:t>付出更多努力，按照国际人权法，防止和</w:t>
      </w:r>
      <w:proofErr w:type="gramStart"/>
      <w:r w:rsidRPr="002B77DC">
        <w:rPr>
          <w:rFonts w:hint="eastAsia"/>
          <w:lang w:val="en-GB"/>
        </w:rPr>
        <w:t>消除线</w:t>
      </w:r>
      <w:proofErr w:type="gramEnd"/>
      <w:r w:rsidRPr="002B77DC">
        <w:rPr>
          <w:rFonts w:hint="eastAsia"/>
          <w:lang w:val="en-GB"/>
        </w:rPr>
        <w:t>上和线下一切形式的暴力，包括性暴力和性别暴力以及家庭暴力，特别是针对妇女和女童，包括残疾妇女和女童的此种暴力，包括为此使用限制令、提供替代住房、危机中心、庇护所、热线以及医疗、心理和咨询服务；</w:t>
      </w:r>
    </w:p>
    <w:p w14:paraId="51D32A42" w14:textId="27A28345" w:rsidR="007F2CC2" w:rsidRPr="002B77DC" w:rsidRDefault="007F2CC2" w:rsidP="002B77DC">
      <w:pPr>
        <w:pStyle w:val="SingleTxtGC"/>
        <w:rPr>
          <w:lang w:val="en-GB"/>
        </w:rPr>
      </w:pPr>
      <w:r w:rsidRPr="002B77DC">
        <w:rPr>
          <w:lang w:val="en-GB"/>
        </w:rPr>
        <w:tab/>
        <w:t>(k)</w:t>
      </w:r>
      <w:r w:rsidRPr="002B77DC">
        <w:rPr>
          <w:lang w:val="en-GB"/>
        </w:rPr>
        <w:tab/>
      </w:r>
      <w:r w:rsidRPr="002B77DC">
        <w:rPr>
          <w:rFonts w:hint="eastAsia"/>
          <w:lang w:val="en-GB"/>
        </w:rPr>
        <w:t>确保在落实适当住房权时尊重平等和不歧视原则，就此采取措施最大限度地利用现有资源，处理对弱势人群影响尤甚的系统性无家可归和剥夺住房问题；</w:t>
      </w:r>
    </w:p>
    <w:p w14:paraId="2D09183E" w14:textId="37B5FBDB" w:rsidR="007F2CC2" w:rsidRPr="002B77DC" w:rsidRDefault="007F2CC2" w:rsidP="002B77DC">
      <w:pPr>
        <w:pStyle w:val="SingleTxtGC"/>
        <w:rPr>
          <w:lang w:val="en-GB"/>
        </w:rPr>
      </w:pPr>
      <w:r w:rsidRPr="002B77DC">
        <w:rPr>
          <w:lang w:val="en-GB"/>
        </w:rPr>
        <w:tab/>
        <w:t>(l)</w:t>
      </w:r>
      <w:r w:rsidRPr="002B77DC">
        <w:rPr>
          <w:lang w:val="en-GB"/>
        </w:rPr>
        <w:tab/>
      </w:r>
      <w:r w:rsidRPr="002B77DC">
        <w:rPr>
          <w:rFonts w:hint="eastAsia"/>
          <w:lang w:val="en-GB"/>
        </w:rPr>
        <w:t>采取一切必要措施，废除将无家可归刑罪化的法律，采取积极措施，防止和消除无家可归现象，为此目的在各级通过并实施虑及性别、年龄和残疾等因素并符合国际人权法的法律、行政命令、跨部门战略和方案；</w:t>
      </w:r>
    </w:p>
    <w:p w14:paraId="50F3DC70" w14:textId="46DD8E26" w:rsidR="007F2CC2" w:rsidRPr="002B77DC" w:rsidRDefault="007F2CC2" w:rsidP="002B77DC">
      <w:pPr>
        <w:pStyle w:val="SingleTxtGC"/>
        <w:rPr>
          <w:lang w:val="en-GB"/>
        </w:rPr>
      </w:pPr>
      <w:r w:rsidRPr="002B77DC">
        <w:rPr>
          <w:lang w:val="en-GB"/>
        </w:rPr>
        <w:tab/>
        <w:t>(m)</w:t>
      </w:r>
      <w:r w:rsidRPr="002B77DC">
        <w:rPr>
          <w:lang w:val="en-GB"/>
        </w:rPr>
        <w:tab/>
      </w:r>
      <w:r w:rsidRPr="002B77DC">
        <w:rPr>
          <w:rFonts w:hint="eastAsia"/>
          <w:lang w:val="en-GB"/>
        </w:rPr>
        <w:t>采取全面、包容和</w:t>
      </w:r>
      <w:proofErr w:type="gramStart"/>
      <w:r w:rsidRPr="002B77DC">
        <w:rPr>
          <w:rFonts w:hint="eastAsia"/>
          <w:lang w:val="en-GB"/>
        </w:rPr>
        <w:t>循证</w:t>
      </w:r>
      <w:proofErr w:type="gramEnd"/>
      <w:r w:rsidRPr="002B77DC">
        <w:rPr>
          <w:rFonts w:hint="eastAsia"/>
          <w:lang w:val="en-GB"/>
        </w:rPr>
        <w:t>措施，确保残疾人有权与自己选择的人一起在社区内独立生活，从而减少残疾人在空间上与社区隔离、孤立或受社会排斥的现象，确保残疾人能够获得适当住房和社区支持服务，并吸收残疾人及其代表组织积极参与住房政策和设计的各个方面；</w:t>
      </w:r>
    </w:p>
    <w:p w14:paraId="365C8D54" w14:textId="53CD4AF5" w:rsidR="007F2CC2" w:rsidRPr="002B77DC" w:rsidRDefault="007F2CC2" w:rsidP="002B77DC">
      <w:pPr>
        <w:pStyle w:val="SingleTxtGC"/>
        <w:rPr>
          <w:lang w:val="en-GB"/>
        </w:rPr>
      </w:pPr>
      <w:r w:rsidRPr="002B77DC">
        <w:rPr>
          <w:lang w:val="en-GB"/>
        </w:rPr>
        <w:tab/>
        <w:t>(n)</w:t>
      </w:r>
      <w:r w:rsidRPr="002B77DC">
        <w:rPr>
          <w:lang w:val="en-GB"/>
        </w:rPr>
        <w:tab/>
      </w:r>
      <w:r w:rsidRPr="002B77DC">
        <w:rPr>
          <w:rFonts w:hint="eastAsia"/>
          <w:lang w:val="en-GB"/>
        </w:rPr>
        <w:t>施行适用于新住房的无障碍要求，并就确保实现现有存量住房无障碍设定明确时限；</w:t>
      </w:r>
    </w:p>
    <w:p w14:paraId="17A6A4C9" w14:textId="040520ED" w:rsidR="007F2CC2" w:rsidRPr="002B77DC" w:rsidRDefault="007F2CC2" w:rsidP="002B77DC">
      <w:pPr>
        <w:pStyle w:val="SingleTxtGC"/>
        <w:rPr>
          <w:lang w:val="en-GB"/>
        </w:rPr>
      </w:pPr>
      <w:r w:rsidRPr="002B77DC">
        <w:rPr>
          <w:lang w:val="en-GB"/>
        </w:rPr>
        <w:tab/>
        <w:t>(o)</w:t>
      </w:r>
      <w:r w:rsidRPr="002B77DC">
        <w:rPr>
          <w:lang w:val="en-GB"/>
        </w:rPr>
        <w:tab/>
      </w:r>
      <w:r w:rsidRPr="002B77DC">
        <w:rPr>
          <w:rFonts w:hint="eastAsia"/>
          <w:lang w:val="en-GB"/>
        </w:rPr>
        <w:t>确保地方政府在所有市政行动中，包括开展城市规划、分区、交通规划以及住房建造和维护时，与权利持有人、民间社会、受影响社区代表</w:t>
      </w:r>
      <w:r w:rsidRPr="002B77DC">
        <w:rPr>
          <w:lang w:val="en-GB"/>
        </w:rPr>
        <w:t>(</w:t>
      </w:r>
      <w:r w:rsidRPr="002B77DC">
        <w:rPr>
          <w:rFonts w:hint="eastAsia"/>
          <w:lang w:val="en-GB"/>
        </w:rPr>
        <w:t>包括女性地方社区领袖</w:t>
      </w:r>
      <w:r w:rsidRPr="002B77DC">
        <w:rPr>
          <w:lang w:val="en-GB"/>
        </w:rPr>
        <w:t>)</w:t>
      </w:r>
      <w:r w:rsidRPr="002B77DC">
        <w:rPr>
          <w:rFonts w:hint="eastAsia"/>
          <w:lang w:val="en-GB"/>
        </w:rPr>
        <w:t>协商，落实并遵循适当住房权，将无障碍要求纳入考虑，争取进一步明确责任分配，加强国家和地方政府之间的机构合作与协调；</w:t>
      </w:r>
    </w:p>
    <w:p w14:paraId="6F0C819E" w14:textId="1BC5926F" w:rsidR="007F2CC2" w:rsidRPr="002B77DC" w:rsidRDefault="007F2CC2" w:rsidP="002B77DC">
      <w:pPr>
        <w:pStyle w:val="SingleTxtGC"/>
        <w:rPr>
          <w:lang w:val="en-GB"/>
        </w:rPr>
      </w:pPr>
      <w:r w:rsidRPr="002B77DC">
        <w:rPr>
          <w:lang w:val="en-GB"/>
        </w:rPr>
        <w:tab/>
        <w:t>(p)</w:t>
      </w:r>
      <w:r w:rsidRPr="002B77DC">
        <w:rPr>
          <w:lang w:val="en-GB"/>
        </w:rPr>
        <w:tab/>
      </w:r>
      <w:r w:rsidRPr="002B77DC">
        <w:rPr>
          <w:rFonts w:hint="eastAsia"/>
          <w:lang w:val="en-GB"/>
        </w:rPr>
        <w:t>确保建筑公司依照建筑法规行事，遵守安全和无障碍标准；</w:t>
      </w:r>
    </w:p>
    <w:p w14:paraId="4DD578FE" w14:textId="69F8FA85" w:rsidR="007F2CC2" w:rsidRPr="002B77DC" w:rsidRDefault="007F2CC2" w:rsidP="002B77DC">
      <w:pPr>
        <w:pStyle w:val="SingleTxtGC"/>
        <w:rPr>
          <w:lang w:val="en-GB"/>
        </w:rPr>
      </w:pPr>
      <w:r w:rsidRPr="002B77DC">
        <w:rPr>
          <w:lang w:val="en-GB"/>
        </w:rPr>
        <w:tab/>
        <w:t>(q)</w:t>
      </w:r>
      <w:r w:rsidRPr="002B77DC">
        <w:rPr>
          <w:lang w:val="en-GB"/>
        </w:rPr>
        <w:tab/>
      </w:r>
      <w:r w:rsidRPr="002B77DC">
        <w:rPr>
          <w:rFonts w:hint="eastAsia"/>
          <w:lang w:val="en-GB"/>
        </w:rPr>
        <w:t>采取适当措施，确保住房部门的工商企业包括金融实体根据《工商企业与人权指导原则》履行尊重人权的责任；</w:t>
      </w:r>
    </w:p>
    <w:p w14:paraId="118F8603" w14:textId="61B65FCD" w:rsidR="007F2CC2" w:rsidRPr="002B77DC" w:rsidRDefault="007F2CC2" w:rsidP="002B77DC">
      <w:pPr>
        <w:pStyle w:val="SingleTxtGC"/>
        <w:rPr>
          <w:lang w:val="en-GB"/>
        </w:rPr>
      </w:pPr>
      <w:r w:rsidRPr="002B77DC">
        <w:rPr>
          <w:lang w:val="en-GB"/>
        </w:rPr>
        <w:tab/>
        <w:t>(r)</w:t>
      </w:r>
      <w:r w:rsidRPr="002B77DC">
        <w:rPr>
          <w:lang w:val="en-GB"/>
        </w:rPr>
        <w:tab/>
      </w:r>
      <w:r w:rsidRPr="002B77DC">
        <w:rPr>
          <w:rFonts w:hint="eastAsia"/>
          <w:lang w:val="en-GB"/>
        </w:rPr>
        <w:t>确保在适当生活水准权所含适当住房权方面为残疾人提供合理便利措施，以促进平等和消除歧视；</w:t>
      </w:r>
    </w:p>
    <w:p w14:paraId="4A14DD7B" w14:textId="0F099830" w:rsidR="007F2CC2" w:rsidRPr="002B77DC" w:rsidRDefault="007F2CC2" w:rsidP="002B77DC">
      <w:pPr>
        <w:pStyle w:val="SingleTxtGC"/>
        <w:rPr>
          <w:lang w:val="en-GB"/>
        </w:rPr>
      </w:pPr>
      <w:r w:rsidRPr="002B77DC">
        <w:rPr>
          <w:lang w:val="en-GB"/>
        </w:rPr>
        <w:tab/>
        <w:t>2.</w:t>
      </w:r>
      <w:r w:rsidRPr="002B77DC">
        <w:rPr>
          <w:lang w:val="en-GB"/>
        </w:rPr>
        <w:tab/>
      </w:r>
      <w:r w:rsidRPr="006E4226">
        <w:rPr>
          <w:rFonts w:ascii="Time New Roman" w:eastAsia="楷体" w:hAnsi="Time New Roman" w:hint="eastAsia"/>
          <w:b/>
          <w:bCs/>
          <w:lang w:val="fr-CH"/>
        </w:rPr>
        <w:t>又吁请</w:t>
      </w:r>
      <w:r w:rsidRPr="002B77DC">
        <w:rPr>
          <w:rFonts w:hint="eastAsia"/>
          <w:lang w:val="en-GB"/>
        </w:rPr>
        <w:t>各国在落实适当住房权时确保平等和不歧视，努力争取全面实现人人享有适当住房权，包括考虑：</w:t>
      </w:r>
    </w:p>
    <w:p w14:paraId="1D81A0F6" w14:textId="49D92C26" w:rsidR="007F2CC2" w:rsidRPr="002B77DC" w:rsidRDefault="007F2CC2" w:rsidP="002B77DC">
      <w:pPr>
        <w:pStyle w:val="SingleTxtGC"/>
        <w:rPr>
          <w:lang w:val="en-GB"/>
        </w:rPr>
      </w:pPr>
      <w:bookmarkStart w:id="2" w:name="_g39smm2hdc2"/>
      <w:bookmarkEnd w:id="2"/>
      <w:r w:rsidRPr="002B77DC">
        <w:rPr>
          <w:lang w:val="en-GB"/>
        </w:rPr>
        <w:tab/>
        <w:t>(a)</w:t>
      </w:r>
      <w:r w:rsidRPr="002B77DC">
        <w:rPr>
          <w:lang w:val="en-GB"/>
        </w:rPr>
        <w:tab/>
      </w:r>
      <w:r w:rsidRPr="002B77DC">
        <w:rPr>
          <w:rFonts w:hint="eastAsia"/>
          <w:lang w:val="en-GB"/>
        </w:rPr>
        <w:t>在适当生活水准权所含适当住房权方面，禁止公共和私营实体，包括公共和私营住房和信贷提供商及房产价值评估方，通过可利用的信用评分、租户审查和抵押贷款申请方面的技术平台，施加一切形式的歧视，包括对妇女和女童、残疾人、老年人、境内流离失所者、难民、移民、土著人民和非洲人后裔的歧视，他们本已面临多重和交叉形式的歧视，并确保住房法和反歧视法对住房歧视</w:t>
      </w:r>
      <w:proofErr w:type="gramStart"/>
      <w:r w:rsidRPr="002B77DC">
        <w:rPr>
          <w:rFonts w:hint="eastAsia"/>
          <w:lang w:val="en-GB"/>
        </w:rPr>
        <w:t>作出</w:t>
      </w:r>
      <w:proofErr w:type="gramEnd"/>
      <w:r w:rsidRPr="002B77DC">
        <w:rPr>
          <w:rFonts w:hint="eastAsia"/>
          <w:lang w:val="en-GB"/>
        </w:rPr>
        <w:t>具有充分阻遏效应的罚款或其他处罚规定，以实现多元和包容的社区；</w:t>
      </w:r>
    </w:p>
    <w:p w14:paraId="1108B8B7" w14:textId="41FC605D" w:rsidR="007F2CC2" w:rsidRPr="002B77DC" w:rsidRDefault="007F2CC2" w:rsidP="002B77DC">
      <w:pPr>
        <w:pStyle w:val="SingleTxtGC"/>
        <w:rPr>
          <w:lang w:val="en-GB"/>
        </w:rPr>
      </w:pPr>
      <w:r w:rsidRPr="002B77DC">
        <w:rPr>
          <w:lang w:val="en-GB"/>
        </w:rPr>
        <w:tab/>
        <w:t>(b)</w:t>
      </w:r>
      <w:r w:rsidRPr="002B77DC">
        <w:rPr>
          <w:lang w:val="en-GB"/>
        </w:rPr>
        <w:tab/>
      </w:r>
      <w:r w:rsidRPr="002B77DC">
        <w:rPr>
          <w:rFonts w:hint="eastAsia"/>
          <w:lang w:val="en-GB"/>
        </w:rPr>
        <w:t>定期监测和查明与住房有关的任何形式的系统性歧视，包括对残疾人的歧视，包括空间隔离做法，并依照国际人权法，在地方、国家和区域各级采取特别的积极措施和政策，消除这种歧视；</w:t>
      </w:r>
    </w:p>
    <w:p w14:paraId="16A2F290" w14:textId="1F40B996" w:rsidR="007F2CC2" w:rsidRPr="002B77DC" w:rsidRDefault="007F2CC2" w:rsidP="002B77DC">
      <w:pPr>
        <w:pStyle w:val="SingleTxtGC"/>
        <w:rPr>
          <w:lang w:val="en-GB"/>
        </w:rPr>
      </w:pPr>
      <w:r w:rsidRPr="002B77DC">
        <w:rPr>
          <w:lang w:val="en-GB"/>
        </w:rPr>
        <w:tab/>
        <w:t>(c)</w:t>
      </w:r>
      <w:r w:rsidRPr="002B77DC">
        <w:rPr>
          <w:lang w:val="en-GB"/>
        </w:rPr>
        <w:tab/>
      </w:r>
      <w:r w:rsidRPr="002B77DC">
        <w:rPr>
          <w:rFonts w:hint="eastAsia"/>
          <w:lang w:val="en-GB"/>
        </w:rPr>
        <w:t>建立无障碍、包容和资源充足的</w:t>
      </w:r>
      <w:proofErr w:type="gramStart"/>
      <w:r w:rsidRPr="002B77DC">
        <w:rPr>
          <w:rFonts w:hint="eastAsia"/>
          <w:lang w:val="en-GB"/>
        </w:rPr>
        <w:t>非司法</w:t>
      </w:r>
      <w:proofErr w:type="gramEnd"/>
      <w:r w:rsidRPr="002B77DC">
        <w:rPr>
          <w:rFonts w:hint="eastAsia"/>
          <w:lang w:val="en-GB"/>
        </w:rPr>
        <w:t>机制，如平等机构、监察员和国家人权机构，授权这些机制调查关于住房歧视</w:t>
      </w:r>
      <w:r w:rsidRPr="002B77DC">
        <w:rPr>
          <w:lang w:val="en-GB"/>
        </w:rPr>
        <w:t>(</w:t>
      </w:r>
      <w:r w:rsidRPr="002B77DC">
        <w:rPr>
          <w:rFonts w:hint="eastAsia"/>
          <w:lang w:val="en-GB"/>
        </w:rPr>
        <w:t>包括系统性形式的住房歧视和空间隔离</w:t>
      </w:r>
      <w:r w:rsidRPr="002B77DC">
        <w:rPr>
          <w:lang w:val="en-GB"/>
        </w:rPr>
        <w:t>)</w:t>
      </w:r>
      <w:r w:rsidRPr="002B77DC">
        <w:rPr>
          <w:rFonts w:hint="eastAsia"/>
          <w:lang w:val="en-GB"/>
        </w:rPr>
        <w:t>的个人和集体投诉，并通过按年龄、残疾和性别分类的统计分析、调查和其他手段，监测住房方面的歧视，提出消除住房歧视的建议，并向住房歧视的受害者提供法律咨询和有效补救；</w:t>
      </w:r>
    </w:p>
    <w:p w14:paraId="04404CFE" w14:textId="05D41EFF" w:rsidR="007F2CC2" w:rsidRPr="002B77DC" w:rsidRDefault="007F2CC2" w:rsidP="002B77DC">
      <w:pPr>
        <w:pStyle w:val="SingleTxtGC"/>
        <w:rPr>
          <w:lang w:val="en-GB"/>
        </w:rPr>
      </w:pPr>
      <w:r w:rsidRPr="002B77DC">
        <w:rPr>
          <w:lang w:val="en-GB"/>
        </w:rPr>
        <w:tab/>
        <w:t>3.</w:t>
      </w:r>
      <w:r w:rsidRPr="002B77DC">
        <w:rPr>
          <w:lang w:val="en-GB"/>
        </w:rPr>
        <w:tab/>
      </w:r>
      <w:r w:rsidRPr="006E4226">
        <w:rPr>
          <w:rFonts w:ascii="Time New Roman" w:eastAsia="楷体" w:hAnsi="Time New Roman" w:hint="eastAsia"/>
          <w:b/>
          <w:bCs/>
          <w:lang w:val="fr-CH"/>
        </w:rPr>
        <w:t>还吁请</w:t>
      </w:r>
      <w:r w:rsidRPr="002B77DC">
        <w:rPr>
          <w:rFonts w:hint="eastAsia"/>
          <w:lang w:val="en-GB"/>
        </w:rPr>
        <w:t>各国以无障碍、可负担、及时、有效的方式，就实现适当住房权方面的侵犯和践踏权利的行为，包括住房歧视和空间隔离做法，为所有人提供有效补救以及平等诉诸法律和行政程序的机会，作为对司法追索手段的补充，为此应考虑：</w:t>
      </w:r>
    </w:p>
    <w:p w14:paraId="31D6551C" w14:textId="57414E14" w:rsidR="007F2CC2" w:rsidRPr="002B77DC" w:rsidRDefault="007F2CC2" w:rsidP="002B77DC">
      <w:pPr>
        <w:pStyle w:val="SingleTxtGC"/>
        <w:rPr>
          <w:lang w:val="en-GB"/>
        </w:rPr>
      </w:pPr>
      <w:r w:rsidRPr="002B77DC">
        <w:rPr>
          <w:lang w:val="en-GB"/>
        </w:rPr>
        <w:tab/>
        <w:t>(a)</w:t>
      </w:r>
      <w:r w:rsidRPr="002B77DC">
        <w:rPr>
          <w:lang w:val="en-GB"/>
        </w:rPr>
        <w:tab/>
      </w:r>
      <w:r w:rsidRPr="002B77DC">
        <w:rPr>
          <w:rFonts w:hint="eastAsia"/>
          <w:lang w:val="en-GB"/>
        </w:rPr>
        <w:t>通过充分落实适当住房权方面的国内法律和行政命令，对侵犯该权利的行为提供补救；</w:t>
      </w:r>
    </w:p>
    <w:p w14:paraId="068BECCA" w14:textId="315DFE0C" w:rsidR="007F2CC2" w:rsidRPr="002B77DC" w:rsidRDefault="007F2CC2" w:rsidP="002B77DC">
      <w:pPr>
        <w:pStyle w:val="SingleTxtGC"/>
        <w:rPr>
          <w:lang w:val="en-GB"/>
        </w:rPr>
      </w:pPr>
      <w:r w:rsidRPr="002B77DC">
        <w:rPr>
          <w:lang w:val="en-GB"/>
        </w:rPr>
        <w:tab/>
        <w:t>(b)</w:t>
      </w:r>
      <w:r w:rsidRPr="002B77DC">
        <w:rPr>
          <w:lang w:val="en-GB"/>
        </w:rPr>
        <w:tab/>
      </w:r>
      <w:r w:rsidRPr="002B77DC">
        <w:rPr>
          <w:rFonts w:hint="eastAsia"/>
          <w:lang w:val="en-GB"/>
        </w:rPr>
        <w:t>就法律支持和法律援助</w:t>
      </w:r>
      <w:proofErr w:type="gramStart"/>
      <w:r w:rsidRPr="002B77DC">
        <w:rPr>
          <w:rFonts w:hint="eastAsia"/>
          <w:lang w:val="en-GB"/>
        </w:rPr>
        <w:t>作出</w:t>
      </w:r>
      <w:proofErr w:type="gramEnd"/>
      <w:r w:rsidRPr="002B77DC">
        <w:rPr>
          <w:rFonts w:hint="eastAsia"/>
          <w:lang w:val="en-GB"/>
        </w:rPr>
        <w:t>规定，包括从包容残疾人的角度出发；</w:t>
      </w:r>
    </w:p>
    <w:p w14:paraId="4107BE26" w14:textId="0B523BA5" w:rsidR="007F2CC2" w:rsidRPr="002B77DC" w:rsidRDefault="007F2CC2" w:rsidP="002B77DC">
      <w:pPr>
        <w:pStyle w:val="SingleTxtGC"/>
        <w:rPr>
          <w:lang w:val="en-GB"/>
        </w:rPr>
      </w:pPr>
      <w:r w:rsidRPr="002B77DC">
        <w:rPr>
          <w:lang w:val="en-GB"/>
        </w:rPr>
        <w:tab/>
        <w:t>(c)</w:t>
      </w:r>
      <w:r w:rsidRPr="002B77DC">
        <w:rPr>
          <w:lang w:val="en-GB"/>
        </w:rPr>
        <w:tab/>
      </w:r>
      <w:r w:rsidRPr="002B77DC">
        <w:rPr>
          <w:rFonts w:hint="eastAsia"/>
          <w:lang w:val="en-GB"/>
        </w:rPr>
        <w:t>根据各自的程序法，推动设立国家人权机构、平等机构、监察员、为受影响人员的利益提供支持的民间社会组织以及地方社区组织；</w:t>
      </w:r>
    </w:p>
    <w:p w14:paraId="61169D8E" w14:textId="3968772C" w:rsidR="007F2CC2" w:rsidRPr="002B77DC" w:rsidRDefault="007F2CC2" w:rsidP="002B77DC">
      <w:pPr>
        <w:pStyle w:val="SingleTxtGC"/>
        <w:rPr>
          <w:lang w:val="en-GB"/>
        </w:rPr>
      </w:pPr>
      <w:r w:rsidRPr="002B77DC">
        <w:rPr>
          <w:lang w:val="en-GB"/>
        </w:rPr>
        <w:tab/>
        <w:t>(d)</w:t>
      </w:r>
      <w:r w:rsidRPr="002B77DC">
        <w:rPr>
          <w:lang w:val="en-GB"/>
        </w:rPr>
        <w:tab/>
      </w:r>
      <w:r w:rsidRPr="002B77DC">
        <w:rPr>
          <w:rFonts w:hint="eastAsia"/>
          <w:lang w:val="en-GB"/>
        </w:rPr>
        <w:t>批准或加入《消除对妇女一切形式歧视公约》、《消除一切形式种族歧视国际公约》和《残疾人权利公约》</w:t>
      </w:r>
      <w:r w:rsidRPr="002B77DC">
        <w:rPr>
          <w:lang w:val="en-GB"/>
        </w:rPr>
        <w:t>(</w:t>
      </w:r>
      <w:r w:rsidRPr="002B77DC">
        <w:rPr>
          <w:rFonts w:hint="eastAsia"/>
          <w:lang w:val="en-GB"/>
        </w:rPr>
        <w:t>如尚未批准或加入</w:t>
      </w:r>
      <w:r w:rsidRPr="002B77DC">
        <w:rPr>
          <w:lang w:val="en-GB"/>
        </w:rPr>
        <w:t>)</w:t>
      </w:r>
      <w:r w:rsidRPr="002B77DC">
        <w:rPr>
          <w:rFonts w:hint="eastAsia"/>
          <w:lang w:val="en-GB"/>
        </w:rPr>
        <w:t>，并酌情加入上述公约的任择议定书；</w:t>
      </w:r>
    </w:p>
    <w:p w14:paraId="3BA7440D" w14:textId="11362AE8" w:rsidR="007F2CC2" w:rsidRPr="002B77DC" w:rsidRDefault="007F2CC2" w:rsidP="002B77DC">
      <w:pPr>
        <w:pStyle w:val="SingleTxtGC"/>
        <w:rPr>
          <w:lang w:val="en-GB"/>
        </w:rPr>
      </w:pPr>
      <w:r w:rsidRPr="002B77DC">
        <w:rPr>
          <w:lang w:val="en-GB"/>
        </w:rPr>
        <w:tab/>
        <w:t>4.</w:t>
      </w:r>
      <w:r w:rsidRPr="002B77DC">
        <w:rPr>
          <w:lang w:val="en-GB"/>
        </w:rPr>
        <w:tab/>
      </w:r>
      <w:r w:rsidRPr="006E4226">
        <w:rPr>
          <w:rFonts w:ascii="Time New Roman" w:eastAsia="楷体" w:hAnsi="Time New Roman" w:hint="eastAsia"/>
          <w:b/>
          <w:bCs/>
          <w:lang w:val="fr-CH"/>
        </w:rPr>
        <w:t>欢迎</w:t>
      </w:r>
      <w:r w:rsidRPr="002B77DC">
        <w:rPr>
          <w:rFonts w:hint="eastAsia"/>
          <w:lang w:val="en-GB"/>
        </w:rPr>
        <w:t>适当生活水准权所含适当住房及在此方面不受歧视权问题特别报告员的工作，并注意到特别报告员的报告，包括最新的关于重新安置指导原则的报告，并赞同指导原则发出的呼吁，即防止不必要的重新安置，并确保在重新安置无法避免时，安置工作要以符合国际人权法的方式进行；</w:t>
      </w:r>
    </w:p>
    <w:p w14:paraId="1AEA7D0B" w14:textId="59697B15" w:rsidR="007F2CC2" w:rsidRPr="002B77DC" w:rsidRDefault="007F2CC2" w:rsidP="002B77DC">
      <w:pPr>
        <w:pStyle w:val="SingleTxtGC"/>
        <w:rPr>
          <w:lang w:val="en-GB"/>
        </w:rPr>
      </w:pPr>
      <w:r w:rsidRPr="002B77DC">
        <w:rPr>
          <w:lang w:val="en-GB"/>
        </w:rPr>
        <w:tab/>
        <w:t>5.</w:t>
      </w:r>
      <w:r w:rsidRPr="002B77DC">
        <w:rPr>
          <w:lang w:val="en-GB"/>
        </w:rPr>
        <w:tab/>
      </w:r>
      <w:r w:rsidRPr="006E4226">
        <w:rPr>
          <w:rFonts w:ascii="Time New Roman" w:eastAsia="楷体" w:hAnsi="Time New Roman" w:hint="eastAsia"/>
          <w:b/>
          <w:bCs/>
          <w:lang w:val="fr-CH"/>
        </w:rPr>
        <w:t>决定</w:t>
      </w:r>
      <w:r w:rsidRPr="002B77DC">
        <w:rPr>
          <w:rFonts w:hint="eastAsia"/>
          <w:lang w:val="en-GB"/>
        </w:rPr>
        <w:t>根据人权理事会各项决议，特别是理事会</w:t>
      </w:r>
      <w:r w:rsidRPr="002B77DC">
        <w:rPr>
          <w:lang w:val="en-GB"/>
        </w:rPr>
        <w:t>2010</w:t>
      </w:r>
      <w:r w:rsidRPr="002B77DC">
        <w:rPr>
          <w:rFonts w:hint="eastAsia"/>
          <w:lang w:val="en-GB"/>
        </w:rPr>
        <w:t>年</w:t>
      </w:r>
      <w:r w:rsidRPr="002B77DC">
        <w:rPr>
          <w:lang w:val="en-GB"/>
        </w:rPr>
        <w:t>9</w:t>
      </w:r>
      <w:r w:rsidRPr="002B77DC">
        <w:rPr>
          <w:rFonts w:hint="eastAsia"/>
          <w:lang w:val="en-GB"/>
        </w:rPr>
        <w:t>月</w:t>
      </w:r>
      <w:r w:rsidRPr="002B77DC">
        <w:rPr>
          <w:lang w:val="en-GB"/>
        </w:rPr>
        <w:t>30</w:t>
      </w:r>
      <w:r w:rsidRPr="002B77DC">
        <w:rPr>
          <w:rFonts w:hint="eastAsia"/>
          <w:lang w:val="en-GB"/>
        </w:rPr>
        <w:t>日第</w:t>
      </w:r>
      <w:hyperlink r:id="rId9" w:history="1">
        <w:r w:rsidRPr="006D35E2">
          <w:rPr>
            <w:rStyle w:val="af7"/>
            <w:lang w:val="en-GB"/>
          </w:rPr>
          <w:t>15/8</w:t>
        </w:r>
      </w:hyperlink>
      <w:r w:rsidRPr="002B77DC">
        <w:rPr>
          <w:rFonts w:hint="eastAsia"/>
          <w:lang w:val="en-GB"/>
        </w:rPr>
        <w:t>号决议的规定，将适当生活水准权所含适当住房及在此方面不受歧视权问题特别报告员的任务延长三年；</w:t>
      </w:r>
    </w:p>
    <w:p w14:paraId="30CBCC10" w14:textId="65897DB1" w:rsidR="007F2CC2" w:rsidRPr="002B77DC" w:rsidRDefault="007F2CC2" w:rsidP="002B77DC">
      <w:pPr>
        <w:pStyle w:val="SingleTxtGC"/>
        <w:rPr>
          <w:lang w:val="en-GB"/>
        </w:rPr>
      </w:pPr>
      <w:r w:rsidRPr="002B77DC">
        <w:rPr>
          <w:lang w:val="en-GB"/>
        </w:rPr>
        <w:tab/>
        <w:t>6.</w:t>
      </w:r>
      <w:r w:rsidRPr="002B77DC">
        <w:rPr>
          <w:lang w:val="en-GB"/>
        </w:rPr>
        <w:tab/>
      </w:r>
      <w:r w:rsidRPr="006E4226">
        <w:rPr>
          <w:rFonts w:ascii="Time New Roman" w:eastAsia="楷体" w:hAnsi="Time New Roman" w:hint="eastAsia"/>
          <w:b/>
          <w:bCs/>
          <w:lang w:val="fr-CH"/>
        </w:rPr>
        <w:t>请</w:t>
      </w:r>
      <w:r w:rsidRPr="002B77DC">
        <w:rPr>
          <w:rFonts w:hint="eastAsia"/>
          <w:lang w:val="en-GB"/>
        </w:rPr>
        <w:t>特别报告员在履行任务时继续与各国接触，以期逐步充分实现适当生活水准所含适当住房权、《新城市议程》和与住房有关的可持续发展目标和具体目标，与民间社会和其他利益攸关方协商，并就此提出提案和建议；</w:t>
      </w:r>
    </w:p>
    <w:p w14:paraId="15605D14" w14:textId="1C4EB7D2" w:rsidR="007F2CC2" w:rsidRPr="002B77DC" w:rsidRDefault="007F2CC2" w:rsidP="002B77DC">
      <w:pPr>
        <w:pStyle w:val="SingleTxtGC"/>
        <w:rPr>
          <w:lang w:val="en-GB"/>
        </w:rPr>
      </w:pPr>
      <w:r w:rsidRPr="002B77DC">
        <w:rPr>
          <w:lang w:val="en-GB"/>
        </w:rPr>
        <w:tab/>
        <w:t>7.</w:t>
      </w:r>
      <w:r w:rsidRPr="002B77DC">
        <w:rPr>
          <w:lang w:val="en-GB"/>
        </w:rPr>
        <w:tab/>
      </w:r>
      <w:r w:rsidRPr="006E4226">
        <w:rPr>
          <w:rFonts w:ascii="Time New Roman" w:eastAsia="楷体" w:hAnsi="Time New Roman" w:hint="eastAsia"/>
          <w:b/>
          <w:bCs/>
          <w:lang w:val="fr-CH"/>
        </w:rPr>
        <w:t>又请</w:t>
      </w:r>
      <w:r w:rsidRPr="002B77DC">
        <w:rPr>
          <w:rFonts w:hint="eastAsia"/>
          <w:lang w:val="en-GB"/>
        </w:rPr>
        <w:t>特别报告员在履行任务时与人权理事会其他特别程序和附属机构、联合国相关机构、条约机构和区域人权组织密切合作与协调；</w:t>
      </w:r>
    </w:p>
    <w:p w14:paraId="2CDF84E2" w14:textId="62EA4017" w:rsidR="007F2CC2" w:rsidRPr="002B77DC" w:rsidRDefault="007F2CC2" w:rsidP="002B77DC">
      <w:pPr>
        <w:pStyle w:val="SingleTxtGC"/>
        <w:rPr>
          <w:lang w:val="en-GB"/>
        </w:rPr>
      </w:pPr>
      <w:bookmarkStart w:id="3" w:name="_8h2c5iirn3ho"/>
      <w:bookmarkEnd w:id="3"/>
      <w:r w:rsidRPr="002B77DC">
        <w:rPr>
          <w:lang w:val="en-GB"/>
        </w:rPr>
        <w:tab/>
        <w:t>8.</w:t>
      </w:r>
      <w:r w:rsidRPr="002B77DC">
        <w:rPr>
          <w:lang w:val="en-GB"/>
        </w:rPr>
        <w:tab/>
      </w:r>
      <w:r w:rsidRPr="006E4226">
        <w:rPr>
          <w:rFonts w:ascii="Time New Roman" w:eastAsia="楷体" w:hAnsi="Time New Roman" w:hint="eastAsia"/>
          <w:b/>
          <w:bCs/>
          <w:lang w:val="fr-CH"/>
        </w:rPr>
        <w:t>还请</w:t>
      </w:r>
      <w:r w:rsidRPr="002B77DC">
        <w:rPr>
          <w:rFonts w:hint="eastAsia"/>
          <w:lang w:val="en-GB"/>
        </w:rPr>
        <w:t>特别报告员在履行任务时特别关注除其他外，妇女和女童、儿童、青少年、老年人、残疾人、土著人民、无家可归者、街头流浪者和弱势群体的权利，并在履行任务的过程中纳入性别、年龄和残疾视角；</w:t>
      </w:r>
    </w:p>
    <w:p w14:paraId="15F9A9EC" w14:textId="3816C3BB" w:rsidR="007F2CC2" w:rsidRPr="002B77DC" w:rsidRDefault="007F2CC2" w:rsidP="002B77DC">
      <w:pPr>
        <w:pStyle w:val="SingleTxtGC"/>
        <w:rPr>
          <w:lang w:val="en-GB"/>
        </w:rPr>
      </w:pPr>
      <w:r w:rsidRPr="002B77DC">
        <w:rPr>
          <w:lang w:val="en-GB"/>
        </w:rPr>
        <w:tab/>
        <w:t>9.</w:t>
      </w:r>
      <w:r w:rsidRPr="002B77DC">
        <w:rPr>
          <w:lang w:val="en-GB"/>
        </w:rPr>
        <w:tab/>
      </w:r>
      <w:r w:rsidRPr="006E4226">
        <w:rPr>
          <w:rFonts w:ascii="Time New Roman" w:eastAsia="楷体" w:hAnsi="Time New Roman" w:hint="eastAsia"/>
          <w:b/>
          <w:bCs/>
          <w:lang w:val="fr-CH"/>
        </w:rPr>
        <w:t>赞赏地注意到</w:t>
      </w:r>
      <w:r w:rsidRPr="002B77DC">
        <w:rPr>
          <w:rFonts w:hint="eastAsia"/>
          <w:lang w:val="en-GB"/>
        </w:rPr>
        <w:t>各不同行为体向特别报告员给予的合作，并吁请各国：</w:t>
      </w:r>
    </w:p>
    <w:p w14:paraId="25F871B7" w14:textId="344F7735" w:rsidR="007F2CC2" w:rsidRPr="002B77DC" w:rsidRDefault="007F2CC2" w:rsidP="002B77DC">
      <w:pPr>
        <w:pStyle w:val="SingleTxtGC"/>
        <w:rPr>
          <w:lang w:val="en-GB"/>
        </w:rPr>
      </w:pPr>
      <w:r w:rsidRPr="002B77DC">
        <w:rPr>
          <w:lang w:val="en-GB"/>
        </w:rPr>
        <w:tab/>
        <w:t>(a)</w:t>
      </w:r>
      <w:r w:rsidRPr="002B77DC">
        <w:rPr>
          <w:lang w:val="en-GB"/>
        </w:rPr>
        <w:tab/>
      </w:r>
      <w:r w:rsidRPr="002B77DC">
        <w:rPr>
          <w:rFonts w:hint="eastAsia"/>
          <w:lang w:val="en-GB"/>
        </w:rPr>
        <w:t>在特别报告员履行任务时继续与其充分合作，并积极回应其索取资料和进行访问的请求；</w:t>
      </w:r>
    </w:p>
    <w:p w14:paraId="472F4F0C" w14:textId="41FBF920" w:rsidR="007F2CC2" w:rsidRPr="002B77DC" w:rsidRDefault="007F2CC2" w:rsidP="002B77DC">
      <w:pPr>
        <w:pStyle w:val="SingleTxtGC"/>
        <w:rPr>
          <w:lang w:val="en-GB"/>
        </w:rPr>
      </w:pPr>
      <w:r w:rsidRPr="002B77DC">
        <w:rPr>
          <w:lang w:val="en-GB"/>
        </w:rPr>
        <w:tab/>
        <w:t>(b)</w:t>
      </w:r>
      <w:r w:rsidRPr="002B77DC">
        <w:rPr>
          <w:lang w:val="en-GB"/>
        </w:rPr>
        <w:tab/>
      </w:r>
      <w:r w:rsidRPr="002B77DC">
        <w:rPr>
          <w:rFonts w:hint="eastAsia"/>
          <w:lang w:val="en-GB"/>
        </w:rPr>
        <w:t>就后续落实特别报告员的建议与其进行建设性对话；</w:t>
      </w:r>
    </w:p>
    <w:p w14:paraId="7CF869D4" w14:textId="2B180A3E" w:rsidR="007F2CC2" w:rsidRPr="002B77DC" w:rsidRDefault="007F2CC2" w:rsidP="002B77DC">
      <w:pPr>
        <w:pStyle w:val="SingleTxtGC"/>
        <w:rPr>
          <w:lang w:val="en-GB"/>
        </w:rPr>
      </w:pPr>
      <w:r w:rsidRPr="002B77DC">
        <w:rPr>
          <w:lang w:val="en-GB"/>
        </w:rPr>
        <w:tab/>
        <w:t>10.</w:t>
      </w:r>
      <w:r w:rsidRPr="002B77DC">
        <w:rPr>
          <w:lang w:val="en-GB"/>
        </w:rPr>
        <w:tab/>
      </w:r>
      <w:r w:rsidRPr="006E4226">
        <w:rPr>
          <w:rFonts w:ascii="Time New Roman" w:eastAsia="楷体" w:hAnsi="Time New Roman" w:hint="eastAsia"/>
          <w:b/>
          <w:bCs/>
          <w:lang w:val="fr-CH"/>
        </w:rPr>
        <w:t>鼓励</w:t>
      </w:r>
      <w:r w:rsidRPr="002B77DC">
        <w:rPr>
          <w:rFonts w:hint="eastAsia"/>
          <w:lang w:val="en-GB"/>
        </w:rPr>
        <w:t>包括联合国各机构、基金和方案、人权机制、国家人权机构、民间社会、私营部门、捐助方和发展机构</w:t>
      </w:r>
      <w:r w:rsidRPr="002B77DC">
        <w:rPr>
          <w:lang w:val="en-GB"/>
        </w:rPr>
        <w:t>在内的所有相关利益攸关方</w:t>
      </w:r>
      <w:r w:rsidRPr="002B77DC">
        <w:rPr>
          <w:rFonts w:hint="eastAsia"/>
          <w:lang w:val="en-GB"/>
        </w:rPr>
        <w:t>，在特别报告员履行任务的过程中与其充分合作；</w:t>
      </w:r>
    </w:p>
    <w:p w14:paraId="6100EE7D" w14:textId="2D46DD4C" w:rsidR="007F2CC2" w:rsidRPr="002B77DC" w:rsidRDefault="007F2CC2" w:rsidP="002B77DC">
      <w:pPr>
        <w:pStyle w:val="SingleTxtGC"/>
        <w:rPr>
          <w:lang w:val="en-GB"/>
        </w:rPr>
      </w:pPr>
      <w:r w:rsidRPr="002B77DC">
        <w:rPr>
          <w:lang w:val="en-GB"/>
        </w:rPr>
        <w:tab/>
        <w:t>11.</w:t>
      </w:r>
      <w:r w:rsidRPr="002B77DC">
        <w:rPr>
          <w:lang w:val="en-GB"/>
        </w:rPr>
        <w:tab/>
      </w:r>
      <w:r w:rsidRPr="006E4226">
        <w:rPr>
          <w:rFonts w:ascii="Time New Roman" w:eastAsia="楷体" w:hAnsi="Time New Roman" w:hint="eastAsia"/>
          <w:b/>
          <w:bCs/>
          <w:lang w:val="fr-CH"/>
        </w:rPr>
        <w:t>请</w:t>
      </w:r>
      <w:r w:rsidRPr="002B77DC">
        <w:rPr>
          <w:rFonts w:hint="eastAsia"/>
          <w:lang w:val="en-GB"/>
        </w:rPr>
        <w:t>秘书长和联合国人权事务高级专员继续为特别报告</w:t>
      </w:r>
      <w:proofErr w:type="gramStart"/>
      <w:r w:rsidRPr="002B77DC">
        <w:rPr>
          <w:rFonts w:hint="eastAsia"/>
          <w:lang w:val="en-GB"/>
        </w:rPr>
        <w:t>员有效</w:t>
      </w:r>
      <w:proofErr w:type="gramEnd"/>
      <w:r w:rsidRPr="002B77DC">
        <w:rPr>
          <w:rFonts w:hint="eastAsia"/>
          <w:lang w:val="en-GB"/>
        </w:rPr>
        <w:t>履行任务提供一切必要的资源；</w:t>
      </w:r>
    </w:p>
    <w:p w14:paraId="7BCA10A4" w14:textId="4552ACF2" w:rsidR="007F2CC2" w:rsidRPr="002B77DC" w:rsidRDefault="007F2CC2" w:rsidP="002B77DC">
      <w:pPr>
        <w:pStyle w:val="SingleTxtGC"/>
        <w:rPr>
          <w:lang w:val="en-GB"/>
        </w:rPr>
      </w:pPr>
      <w:r w:rsidRPr="002B77DC">
        <w:rPr>
          <w:lang w:val="en-GB"/>
        </w:rPr>
        <w:tab/>
        <w:t>12.</w:t>
      </w:r>
      <w:r w:rsidRPr="002B77DC">
        <w:rPr>
          <w:lang w:val="en-GB"/>
        </w:rPr>
        <w:tab/>
      </w:r>
      <w:r w:rsidRPr="006E4226">
        <w:rPr>
          <w:rFonts w:ascii="Time New Roman" w:eastAsia="楷体" w:hAnsi="Time New Roman" w:hint="eastAsia"/>
          <w:b/>
          <w:bCs/>
          <w:lang w:val="fr-CH"/>
        </w:rPr>
        <w:t>请</w:t>
      </w:r>
      <w:r w:rsidRPr="002B77DC">
        <w:rPr>
          <w:rFonts w:hint="eastAsia"/>
          <w:lang w:val="en-GB"/>
        </w:rPr>
        <w:t>特别报告员继续每年向人权理事会提交报告，并</w:t>
      </w:r>
      <w:proofErr w:type="gramStart"/>
      <w:r w:rsidRPr="002B77DC">
        <w:rPr>
          <w:rFonts w:hint="eastAsia"/>
          <w:lang w:val="en-GB"/>
        </w:rPr>
        <w:t>自大会</w:t>
      </w:r>
      <w:proofErr w:type="gramEnd"/>
      <w:r w:rsidRPr="002B77DC">
        <w:rPr>
          <w:rFonts w:hint="eastAsia"/>
          <w:lang w:val="en-GB"/>
        </w:rPr>
        <w:t>第八十二届会议起每两年向大会提交报告；</w:t>
      </w:r>
    </w:p>
    <w:p w14:paraId="11ED5E9D" w14:textId="4E16DCA0" w:rsidR="007F2CC2" w:rsidRPr="002B77DC" w:rsidRDefault="007F2CC2" w:rsidP="002B77DC">
      <w:pPr>
        <w:pStyle w:val="SingleTxtGC"/>
        <w:rPr>
          <w:lang w:val="en-GB"/>
        </w:rPr>
      </w:pPr>
      <w:r w:rsidRPr="002B77DC">
        <w:rPr>
          <w:lang w:val="en-GB"/>
        </w:rPr>
        <w:tab/>
        <w:t>13.</w:t>
      </w:r>
      <w:r w:rsidRPr="002B77DC">
        <w:rPr>
          <w:lang w:val="en-GB"/>
        </w:rPr>
        <w:tab/>
      </w:r>
      <w:r w:rsidRPr="006E4226">
        <w:rPr>
          <w:rFonts w:ascii="Time New Roman" w:eastAsia="楷体" w:hAnsi="Time New Roman" w:hint="eastAsia"/>
          <w:b/>
          <w:bCs/>
          <w:lang w:val="fr-CH"/>
        </w:rPr>
        <w:t>决定</w:t>
      </w:r>
      <w:r w:rsidRPr="002B77DC">
        <w:rPr>
          <w:rFonts w:hint="eastAsia"/>
          <w:lang w:val="en-GB"/>
        </w:rPr>
        <w:t>在同一议程项目下继续审议此事。</w:t>
      </w:r>
    </w:p>
    <w:p w14:paraId="4D25C231" w14:textId="2E750BF5" w:rsidR="007F2CC2" w:rsidRPr="00821EFB" w:rsidRDefault="007F2CC2" w:rsidP="006E4226">
      <w:pPr>
        <w:pStyle w:val="SingleTxtGC"/>
        <w:jc w:val="right"/>
        <w:rPr>
          <w:rFonts w:ascii="Time New Roman" w:eastAsia="楷体" w:hAnsi="Time New Roman" w:hint="eastAsia"/>
          <w:lang w:val="en-GB"/>
        </w:rPr>
      </w:pPr>
      <w:bookmarkStart w:id="4" w:name="_Hlk202551653"/>
      <w:r w:rsidRPr="00821EFB">
        <w:rPr>
          <w:rFonts w:ascii="Time New Roman" w:eastAsia="楷体" w:hAnsi="Time New Roman"/>
          <w:lang w:val="en-GB"/>
        </w:rPr>
        <w:t>2026</w:t>
      </w:r>
      <w:r w:rsidRPr="00821EFB">
        <w:rPr>
          <w:rFonts w:ascii="Time New Roman" w:eastAsia="楷体" w:hAnsi="Time New Roman" w:hint="eastAsia"/>
          <w:lang w:val="en-GB"/>
        </w:rPr>
        <w:t>年</w:t>
      </w:r>
      <w:r w:rsidRPr="00821EFB">
        <w:rPr>
          <w:rFonts w:ascii="Time New Roman" w:eastAsia="楷体" w:hAnsi="Time New Roman"/>
          <w:lang w:val="en-GB"/>
        </w:rPr>
        <w:t>3</w:t>
      </w:r>
      <w:r w:rsidRPr="00821EFB">
        <w:rPr>
          <w:rFonts w:ascii="Time New Roman" w:eastAsia="楷体" w:hAnsi="Time New Roman" w:hint="eastAsia"/>
          <w:lang w:val="en-GB"/>
        </w:rPr>
        <w:t>月</w:t>
      </w:r>
      <w:r w:rsidRPr="00821EFB">
        <w:rPr>
          <w:rFonts w:ascii="Time New Roman" w:eastAsia="楷体" w:hAnsi="Time New Roman"/>
          <w:lang w:val="en-GB"/>
        </w:rPr>
        <w:t>30</w:t>
      </w:r>
      <w:r w:rsidRPr="00821EFB">
        <w:rPr>
          <w:rFonts w:ascii="Time New Roman" w:eastAsia="楷体" w:hAnsi="Time New Roman" w:hint="eastAsia"/>
          <w:lang w:val="en-GB"/>
        </w:rPr>
        <w:t>日</w:t>
      </w:r>
      <w:r w:rsidR="006E4226" w:rsidRPr="00821EFB">
        <w:rPr>
          <w:rFonts w:ascii="Time New Roman" w:eastAsia="楷体" w:hAnsi="Time New Roman"/>
          <w:lang w:val="en-GB"/>
        </w:rPr>
        <w:br/>
      </w:r>
      <w:r w:rsidRPr="00821EFB">
        <w:rPr>
          <w:rFonts w:ascii="Time New Roman" w:eastAsia="楷体" w:hAnsi="Time New Roman" w:hint="eastAsia"/>
          <w:lang w:val="en-GB"/>
        </w:rPr>
        <w:t>第</w:t>
      </w:r>
      <w:r w:rsidRPr="00821EFB">
        <w:rPr>
          <w:rFonts w:ascii="Time New Roman" w:eastAsia="楷体" w:hAnsi="Time New Roman"/>
          <w:lang w:val="en-GB"/>
        </w:rPr>
        <w:t>52</w:t>
      </w:r>
      <w:r w:rsidRPr="00821EFB">
        <w:rPr>
          <w:rFonts w:ascii="Time New Roman" w:eastAsia="楷体" w:hAnsi="Time New Roman" w:hint="eastAsia"/>
          <w:lang w:val="en-GB"/>
        </w:rPr>
        <w:t>次会议</w:t>
      </w:r>
    </w:p>
    <w:p w14:paraId="5C05AF52" w14:textId="3C97A44C" w:rsidR="007658F5" w:rsidRPr="002B77DC" w:rsidRDefault="007F2CC2" w:rsidP="002B77DC">
      <w:pPr>
        <w:pStyle w:val="SingleTxtGC"/>
        <w:rPr>
          <w:lang w:val="en-GB"/>
        </w:rPr>
      </w:pPr>
      <w:r w:rsidRPr="002B77DC">
        <w:rPr>
          <w:lang w:val="en-GB"/>
        </w:rPr>
        <w:t>[</w:t>
      </w:r>
      <w:r w:rsidRPr="002B77DC">
        <w:rPr>
          <w:rFonts w:hint="eastAsia"/>
          <w:lang w:val="en-GB"/>
        </w:rPr>
        <w:t>未经表决获得通过。</w:t>
      </w:r>
      <w:r w:rsidRPr="002B77DC">
        <w:rPr>
          <w:lang w:val="en-GB"/>
        </w:rPr>
        <w:t>]</w:t>
      </w:r>
      <w:bookmarkEnd w:id="4"/>
    </w:p>
    <w:p w14:paraId="0C90BEBE" w14:textId="77777777" w:rsidR="007F2CC2" w:rsidRDefault="007F2CC2" w:rsidP="007F2CC2">
      <w:pPr>
        <w:pStyle w:val="SingleTxtGC"/>
        <w:rPr>
          <w:lang w:val="en-GB"/>
        </w:rPr>
      </w:pPr>
    </w:p>
    <w:p w14:paraId="11E705E8" w14:textId="77777777" w:rsidR="007F2CC2" w:rsidRDefault="007F2CC2" w:rsidP="007F2CC2">
      <w:pPr>
        <w:pStyle w:val="SingleTxtGC"/>
        <w:rPr>
          <w:lang w:val="en-GB"/>
        </w:rPr>
      </w:pPr>
    </w:p>
    <w:p w14:paraId="61B28ECA" w14:textId="0B482CC1" w:rsidR="007F2CC2" w:rsidRDefault="007F2CC2" w:rsidP="007F2CC2">
      <w:pPr>
        <w:spacing w:before="240"/>
        <w:jc w:val="center"/>
      </w:pPr>
      <w:r>
        <w:rPr>
          <w:rFonts w:hint="eastAsia"/>
          <w:u w:val="single"/>
        </w:rPr>
        <w:tab/>
      </w:r>
      <w:r>
        <w:rPr>
          <w:rFonts w:hint="eastAsia"/>
          <w:u w:val="single"/>
        </w:rPr>
        <w:tab/>
      </w:r>
      <w:r>
        <w:rPr>
          <w:rFonts w:hint="eastAsia"/>
          <w:u w:val="single"/>
        </w:rPr>
        <w:tab/>
      </w:r>
      <w:r>
        <w:rPr>
          <w:u w:val="single"/>
        </w:rPr>
        <w:tab/>
      </w:r>
    </w:p>
    <w:sectPr w:rsidR="007F2CC2" w:rsidSect="00D45C65">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A9CC6" w14:textId="77777777" w:rsidR="005E445B" w:rsidRPr="000D319F" w:rsidRDefault="005E445B" w:rsidP="000D319F">
      <w:pPr>
        <w:pStyle w:val="af0"/>
        <w:spacing w:after="240"/>
        <w:ind w:left="907"/>
        <w:rPr>
          <w:rFonts w:asciiTheme="majorBidi" w:eastAsia="宋体" w:hAnsiTheme="majorBidi" w:cstheme="majorBidi"/>
          <w:sz w:val="21"/>
          <w:szCs w:val="21"/>
          <w:lang w:val="en-US"/>
        </w:rPr>
      </w:pPr>
    </w:p>
    <w:p w14:paraId="2C2D3178" w14:textId="77777777" w:rsidR="005E445B" w:rsidRPr="000D319F" w:rsidRDefault="005E445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4F069FD" w14:textId="77777777" w:rsidR="005E445B" w:rsidRPr="000D319F" w:rsidRDefault="005E445B" w:rsidP="000D319F">
      <w:pPr>
        <w:pStyle w:val="af0"/>
      </w:pPr>
    </w:p>
  </w:endnote>
  <w:endnote w:type="continuationNotice" w:id="1">
    <w:p w14:paraId="58DCD60D" w14:textId="77777777" w:rsidR="005E445B" w:rsidRDefault="005E44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54F9D" w14:textId="77777777" w:rsidR="007658F5" w:rsidRPr="007658F5" w:rsidRDefault="007658F5" w:rsidP="007658F5">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658F5">
      <w:rPr>
        <w:rStyle w:val="af2"/>
        <w:b w:val="0"/>
        <w:snapToGrid w:val="0"/>
        <w:sz w:val="16"/>
      </w:rPr>
      <w:t>GE.26</w:t>
    </w:r>
    <w:proofErr w:type="spellEnd"/>
    <w:r w:rsidRPr="007658F5">
      <w:rPr>
        <w:rStyle w:val="af2"/>
        <w:b w:val="0"/>
        <w:snapToGrid w:val="0"/>
        <w:sz w:val="16"/>
      </w:rPr>
      <w:t>-04475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7333B" w14:textId="77777777" w:rsidR="007658F5" w:rsidRPr="007658F5" w:rsidRDefault="007658F5" w:rsidP="007658F5">
    <w:pPr>
      <w:pStyle w:val="af0"/>
      <w:tabs>
        <w:tab w:val="right" w:pos="9638"/>
      </w:tabs>
      <w:rPr>
        <w:rStyle w:val="af2"/>
      </w:rPr>
    </w:pPr>
    <w:proofErr w:type="spellStart"/>
    <w:r>
      <w:t>GE.26</w:t>
    </w:r>
    <w:proofErr w:type="spellEnd"/>
    <w:r>
      <w:t>-04475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66095" w14:textId="74875E40" w:rsidR="002956FD" w:rsidRPr="00487939" w:rsidRDefault="007658F5"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240FA03" wp14:editId="21C4279F">
          <wp:simplePos x="0" y="0"/>
          <wp:positionH relativeFrom="column">
            <wp:align>right</wp:align>
          </wp:positionH>
          <wp:positionV relativeFrom="paragraph">
            <wp:posOffset>-69850</wp:posOffset>
          </wp:positionV>
          <wp:extent cx="571500" cy="571500"/>
          <wp:effectExtent l="0" t="0" r="0" b="0"/>
          <wp:wrapNone/>
          <wp:docPr id="37139478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-04475</w:t>
    </w:r>
    <w:r w:rsidR="00731A42" w:rsidRPr="00EE277A">
      <w:rPr>
        <w:sz w:val="20"/>
        <w:lang w:eastAsia="zh-CN"/>
      </w:rPr>
      <w:t xml:space="preserve"> (C)</w:t>
    </w:r>
    <w:r w:rsidR="008B4347">
      <w:rPr>
        <w:sz w:val="20"/>
        <w:lang w:eastAsia="zh-CN"/>
      </w:rPr>
      <w:tab/>
      <w:t>0</w:t>
    </w:r>
    <w:r w:rsidR="00FB6B59">
      <w:rPr>
        <w:sz w:val="20"/>
        <w:lang w:eastAsia="zh-CN"/>
      </w:rPr>
      <w:t>8</w:t>
    </w:r>
    <w:r w:rsidR="008B4347">
      <w:rPr>
        <w:sz w:val="20"/>
        <w:lang w:eastAsia="zh-CN"/>
      </w:rPr>
      <w:t>0</w:t>
    </w:r>
    <w:r w:rsidR="00FB6B59">
      <w:rPr>
        <w:sz w:val="20"/>
        <w:lang w:eastAsia="zh-CN"/>
      </w:rPr>
      <w:t>4</w:t>
    </w:r>
    <w:r w:rsidR="007803C3">
      <w:rPr>
        <w:sz w:val="20"/>
        <w:lang w:eastAsia="zh-CN"/>
      </w:rPr>
      <w:t>2</w:t>
    </w:r>
    <w:r w:rsidR="000F11B9">
      <w:rPr>
        <w:rFonts w:asciiTheme="majorBidi" w:eastAsiaTheme="minorEastAsia" w:hAnsiTheme="majorBidi" w:cstheme="majorBidi"/>
        <w:sz w:val="20"/>
        <w:lang w:eastAsia="zh-CN"/>
      </w:rPr>
      <w:t>6</w:t>
    </w:r>
    <w:r w:rsidR="00731A42">
      <w:rPr>
        <w:sz w:val="20"/>
        <w:lang w:eastAsia="zh-CN"/>
      </w:rPr>
      <w:tab/>
    </w:r>
    <w:r w:rsidR="00FB6B59">
      <w:rPr>
        <w:sz w:val="20"/>
        <w:lang w:eastAsia="zh-CN"/>
      </w:rPr>
      <w:t>14</w:t>
    </w:r>
    <w:r w:rsidR="00731A42">
      <w:rPr>
        <w:sz w:val="20"/>
        <w:lang w:eastAsia="zh-CN"/>
      </w:rPr>
      <w:t>0</w:t>
    </w:r>
    <w:r w:rsidR="00FB6B59">
      <w:rPr>
        <w:sz w:val="20"/>
        <w:lang w:eastAsia="zh-CN"/>
      </w:rPr>
      <w:t>4</w:t>
    </w:r>
    <w:r w:rsidR="007803C3">
      <w:rPr>
        <w:sz w:val="20"/>
        <w:lang w:eastAsia="zh-CN"/>
      </w:rPr>
      <w:t>2</w:t>
    </w:r>
    <w:r w:rsidR="000F11B9">
      <w:rPr>
        <w:sz w:val="20"/>
        <w:lang w:eastAsia="zh-CN"/>
      </w:rPr>
      <w:t>6</w:t>
    </w:r>
    <w:r w:rsidR="00731A42">
      <w:rPr>
        <w:b/>
        <w:sz w:val="21"/>
      </w:rPr>
      <w:tab/>
    </w:r>
    <w:r w:rsidR="00A1364C">
      <w:rPr>
        <w:rFonts w:hint="eastAsia"/>
        <w:b/>
        <w:noProof/>
        <w:sz w:val="21"/>
        <w:lang w:val="en-US" w:eastAsia="zh-CN"/>
      </w:rPr>
      <w:drawing>
        <wp:inline distT="0" distB="0" distL="0" distR="0" wp14:anchorId="7D30D321" wp14:editId="5520870F">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893B0" w14:textId="77777777" w:rsidR="005E445B" w:rsidRPr="000157B1" w:rsidRDefault="005E445B"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6A2D1F2D" w14:textId="77777777" w:rsidR="005E445B" w:rsidRPr="000157B1" w:rsidRDefault="005E445B"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2DE66EFE" w14:textId="77777777" w:rsidR="005E445B" w:rsidRDefault="005E445B"/>
  </w:footnote>
  <w:footnote w:id="2">
    <w:p w14:paraId="2086D0ED" w14:textId="7BA93285" w:rsidR="007F2CC2" w:rsidRPr="001B5EDE" w:rsidRDefault="007F2CC2" w:rsidP="007F2CC2">
      <w:pPr>
        <w:pStyle w:val="a6"/>
        <w:widowControl w:val="0"/>
      </w:pPr>
      <w:r w:rsidRPr="001B5EDE">
        <w:rPr>
          <w:lang w:val="zh-CN"/>
        </w:rPr>
        <w:tab/>
      </w:r>
      <w:r w:rsidRPr="001B5EDE">
        <w:rPr>
          <w:rStyle w:val="a8"/>
          <w:color w:val="auto"/>
          <w:lang w:val="zh-CN"/>
        </w:rPr>
        <w:footnoteRef/>
      </w:r>
      <w:r w:rsidRPr="001B5EDE">
        <w:tab/>
      </w:r>
      <w:hyperlink r:id="rId1" w:history="1">
        <w:r w:rsidRPr="006D35E2">
          <w:rPr>
            <w:rStyle w:val="af7"/>
          </w:rPr>
          <w:t>A/HRC/25/54</w:t>
        </w:r>
      </w:hyperlink>
      <w:r w:rsidRPr="001B5EDE">
        <w:t>.</w:t>
      </w:r>
    </w:p>
  </w:footnote>
  <w:footnote w:id="3">
    <w:p w14:paraId="6F09DB5A" w14:textId="6F850765" w:rsidR="007F2CC2" w:rsidRPr="001B5EDE" w:rsidRDefault="007F2CC2" w:rsidP="007F2CC2">
      <w:pPr>
        <w:pStyle w:val="a6"/>
        <w:widowControl w:val="0"/>
      </w:pPr>
      <w:r w:rsidRPr="001B5EDE">
        <w:tab/>
      </w:r>
      <w:r w:rsidRPr="001B5EDE">
        <w:rPr>
          <w:rStyle w:val="a8"/>
          <w:color w:val="auto"/>
          <w:lang w:val="zh-CN"/>
        </w:rPr>
        <w:footnoteRef/>
      </w:r>
      <w:r w:rsidRPr="001B5EDE">
        <w:tab/>
      </w:r>
      <w:hyperlink r:id="rId2" w:history="1">
        <w:r w:rsidRPr="006D35E2">
          <w:rPr>
            <w:rStyle w:val="af7"/>
          </w:rPr>
          <w:t>A/</w:t>
        </w:r>
        <w:r w:rsidRPr="006D35E2">
          <w:rPr>
            <w:rStyle w:val="af7"/>
          </w:rPr>
          <w:t>HRC/4/18</w:t>
        </w:r>
      </w:hyperlink>
      <w:r w:rsidRPr="001B5EDE">
        <w:t xml:space="preserve">, </w:t>
      </w:r>
      <w:r w:rsidRPr="001B5EDE">
        <w:rPr>
          <w:rFonts w:hint="eastAsia"/>
          <w:lang w:val="zh-CN"/>
        </w:rPr>
        <w:t>附件。</w:t>
      </w:r>
    </w:p>
  </w:footnote>
  <w:footnote w:id="4">
    <w:p w14:paraId="683101EE" w14:textId="60003855" w:rsidR="007F2CC2" w:rsidRPr="001B5EDE" w:rsidRDefault="007F2CC2" w:rsidP="007F2CC2">
      <w:pPr>
        <w:pStyle w:val="a6"/>
        <w:widowControl w:val="0"/>
      </w:pPr>
      <w:r w:rsidRPr="001B5EDE">
        <w:tab/>
      </w:r>
      <w:r w:rsidRPr="001B5EDE">
        <w:rPr>
          <w:rStyle w:val="a8"/>
          <w:color w:val="auto"/>
          <w:lang w:val="zh-CN"/>
        </w:rPr>
        <w:footnoteRef/>
      </w:r>
      <w:r w:rsidRPr="001B5EDE">
        <w:rPr>
          <w:lang w:val="zh-CN"/>
        </w:rPr>
        <w:tab/>
      </w:r>
      <w:hyperlink r:id="rId3" w:history="1">
        <w:r w:rsidRPr="006D35E2">
          <w:rPr>
            <w:rStyle w:val="af7"/>
            <w:lang w:val="zh-CN"/>
          </w:rPr>
          <w:t>A/HRC/43/43</w:t>
        </w:r>
      </w:hyperlink>
      <w:r w:rsidRPr="001B5EDE">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F3DE" w14:textId="77777777" w:rsidR="002956FD" w:rsidRDefault="007658F5" w:rsidP="007658F5">
    <w:pPr>
      <w:pStyle w:val="af3"/>
    </w:pPr>
    <w:r>
      <w:t>A/</w:t>
    </w:r>
    <w:proofErr w:type="spellStart"/>
    <w:r>
      <w:t>HRC</w:t>
    </w:r>
    <w:proofErr w:type="spellEnd"/>
    <w:r>
      <w:t>/RES/61/16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EB221" w14:textId="77777777" w:rsidR="002956FD" w:rsidRPr="00202A30" w:rsidRDefault="007658F5" w:rsidP="007658F5">
    <w:pPr>
      <w:pStyle w:val="af3"/>
      <w:jc w:val="right"/>
    </w:pPr>
    <w:r>
      <w:t>A/</w:t>
    </w:r>
    <w:proofErr w:type="spellStart"/>
    <w:r>
      <w:t>HRC</w:t>
    </w:r>
    <w:proofErr w:type="spellEnd"/>
    <w:r>
      <w:t>/RES/61/16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3312220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45B"/>
    <w:rsid w:val="00011483"/>
    <w:rsid w:val="00031F0C"/>
    <w:rsid w:val="00041F7D"/>
    <w:rsid w:val="00054E5E"/>
    <w:rsid w:val="000D319F"/>
    <w:rsid w:val="000D6BBD"/>
    <w:rsid w:val="000E4D0E"/>
    <w:rsid w:val="000E62AA"/>
    <w:rsid w:val="000E7055"/>
    <w:rsid w:val="000F11B9"/>
    <w:rsid w:val="00116871"/>
    <w:rsid w:val="001170B0"/>
    <w:rsid w:val="001272EA"/>
    <w:rsid w:val="00144B69"/>
    <w:rsid w:val="00152D5C"/>
    <w:rsid w:val="00153E86"/>
    <w:rsid w:val="001607C7"/>
    <w:rsid w:val="001737B8"/>
    <w:rsid w:val="00186C47"/>
    <w:rsid w:val="001A421C"/>
    <w:rsid w:val="001B16DD"/>
    <w:rsid w:val="001B1BD1"/>
    <w:rsid w:val="001B5EDE"/>
    <w:rsid w:val="001C3EF2"/>
    <w:rsid w:val="001D17F6"/>
    <w:rsid w:val="001D6E0A"/>
    <w:rsid w:val="00204B42"/>
    <w:rsid w:val="0022146A"/>
    <w:rsid w:val="002231C3"/>
    <w:rsid w:val="00226004"/>
    <w:rsid w:val="00230767"/>
    <w:rsid w:val="002338AB"/>
    <w:rsid w:val="0024417F"/>
    <w:rsid w:val="00250F8D"/>
    <w:rsid w:val="00256232"/>
    <w:rsid w:val="002939D6"/>
    <w:rsid w:val="002956FD"/>
    <w:rsid w:val="002B355D"/>
    <w:rsid w:val="002B3AC7"/>
    <w:rsid w:val="002B77DC"/>
    <w:rsid w:val="002D24BF"/>
    <w:rsid w:val="002E1C97"/>
    <w:rsid w:val="002F4D47"/>
    <w:rsid w:val="002F5834"/>
    <w:rsid w:val="003224E5"/>
    <w:rsid w:val="00326EBF"/>
    <w:rsid w:val="00327FE4"/>
    <w:rsid w:val="00346D15"/>
    <w:rsid w:val="003537E4"/>
    <w:rsid w:val="0037569F"/>
    <w:rsid w:val="00393259"/>
    <w:rsid w:val="003C0C9C"/>
    <w:rsid w:val="003E4144"/>
    <w:rsid w:val="00427F63"/>
    <w:rsid w:val="00474C6B"/>
    <w:rsid w:val="004972E2"/>
    <w:rsid w:val="004C3F04"/>
    <w:rsid w:val="004C4A0A"/>
    <w:rsid w:val="00557D9A"/>
    <w:rsid w:val="00565E69"/>
    <w:rsid w:val="005C00B0"/>
    <w:rsid w:val="005E01D9"/>
    <w:rsid w:val="005E3084"/>
    <w:rsid w:val="005E3A08"/>
    <w:rsid w:val="005E403A"/>
    <w:rsid w:val="005E445B"/>
    <w:rsid w:val="00623FC4"/>
    <w:rsid w:val="006749CD"/>
    <w:rsid w:val="00680656"/>
    <w:rsid w:val="00692A2B"/>
    <w:rsid w:val="006B1119"/>
    <w:rsid w:val="006B7A8F"/>
    <w:rsid w:val="006C65D8"/>
    <w:rsid w:val="006D35E2"/>
    <w:rsid w:val="006E3E46"/>
    <w:rsid w:val="006E41E9"/>
    <w:rsid w:val="006E4226"/>
    <w:rsid w:val="006E71B1"/>
    <w:rsid w:val="00705D89"/>
    <w:rsid w:val="00731A42"/>
    <w:rsid w:val="007658F5"/>
    <w:rsid w:val="00767E69"/>
    <w:rsid w:val="0077079A"/>
    <w:rsid w:val="007736A3"/>
    <w:rsid w:val="007803C3"/>
    <w:rsid w:val="007A40F6"/>
    <w:rsid w:val="007A4727"/>
    <w:rsid w:val="007A5599"/>
    <w:rsid w:val="007C0CAE"/>
    <w:rsid w:val="007C7CBB"/>
    <w:rsid w:val="007E5DAD"/>
    <w:rsid w:val="007F2CC2"/>
    <w:rsid w:val="00811540"/>
    <w:rsid w:val="008219E7"/>
    <w:rsid w:val="00821EFB"/>
    <w:rsid w:val="00826BA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E54EB"/>
    <w:rsid w:val="009F4503"/>
    <w:rsid w:val="00A03CB6"/>
    <w:rsid w:val="00A03FB9"/>
    <w:rsid w:val="00A1364C"/>
    <w:rsid w:val="00A21076"/>
    <w:rsid w:val="00A3739A"/>
    <w:rsid w:val="00A503EA"/>
    <w:rsid w:val="00A52DAF"/>
    <w:rsid w:val="00A84072"/>
    <w:rsid w:val="00A84DF2"/>
    <w:rsid w:val="00A87B40"/>
    <w:rsid w:val="00AA7A70"/>
    <w:rsid w:val="00AB3322"/>
    <w:rsid w:val="00AC154D"/>
    <w:rsid w:val="00AD0A23"/>
    <w:rsid w:val="00B1020B"/>
    <w:rsid w:val="00B11889"/>
    <w:rsid w:val="00B16570"/>
    <w:rsid w:val="00B26917"/>
    <w:rsid w:val="00B371C6"/>
    <w:rsid w:val="00B423E7"/>
    <w:rsid w:val="00B53320"/>
    <w:rsid w:val="00BB60B0"/>
    <w:rsid w:val="00BC1F4D"/>
    <w:rsid w:val="00BC6522"/>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144B9"/>
    <w:rsid w:val="00D26A05"/>
    <w:rsid w:val="00D45C65"/>
    <w:rsid w:val="00D65656"/>
    <w:rsid w:val="00D67E3B"/>
    <w:rsid w:val="00D74986"/>
    <w:rsid w:val="00D85827"/>
    <w:rsid w:val="00D93FA6"/>
    <w:rsid w:val="00D97B98"/>
    <w:rsid w:val="00DB3E58"/>
    <w:rsid w:val="00DC671F"/>
    <w:rsid w:val="00DE4DA7"/>
    <w:rsid w:val="00E20EEE"/>
    <w:rsid w:val="00E33B38"/>
    <w:rsid w:val="00E45815"/>
    <w:rsid w:val="00E47FE5"/>
    <w:rsid w:val="00E574AF"/>
    <w:rsid w:val="00E71878"/>
    <w:rsid w:val="00E845B2"/>
    <w:rsid w:val="00EF457D"/>
    <w:rsid w:val="00F00D09"/>
    <w:rsid w:val="00F664DD"/>
    <w:rsid w:val="00F714DA"/>
    <w:rsid w:val="00F75B02"/>
    <w:rsid w:val="00FB24E5"/>
    <w:rsid w:val="00FB456B"/>
    <w:rsid w:val="00FB6B59"/>
    <w:rsid w:val="00FF434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EA1DD8"/>
  <w15:docId w15:val="{C17957D3-0B17-45F0-9AE6-68CAE8DD5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B371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zh/A/HRC/RES/15/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A/HRC/43/43" TargetMode="External"/><Relationship Id="rId2" Type="http://schemas.openxmlformats.org/officeDocument/2006/relationships/hyperlink" Target="https://docs.un.org/zh/A/HRC/4/18" TargetMode="External"/><Relationship Id="rId1" Type="http://schemas.openxmlformats.org/officeDocument/2006/relationships/hyperlink" Target="https://docs.un.org/zh/A/HRC/25/5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6</Pages>
  <Words>5195</Words>
  <Characters>5423</Characters>
  <Application>Microsoft Office Word</Application>
  <DocSecurity>0</DocSecurity>
  <Lines>204</Lines>
  <Paragraphs>76</Paragraphs>
  <ScaleCrop>false</ScaleCrop>
  <Company>DCM</Company>
  <LinksUpToDate>false</LinksUpToDate>
  <CharactersWithSpaces>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A/HRC/RES/61/16</dc:title>
  <dc:subject>2604475</dc:subject>
  <dc:creator>Xiaoling</dc:creator>
  <cp:keywords/>
  <dc:description/>
  <cp:lastModifiedBy>Hui XU</cp:lastModifiedBy>
  <cp:revision>2</cp:revision>
  <cp:lastPrinted>2014-05-09T11:28:00Z</cp:lastPrinted>
  <dcterms:created xsi:type="dcterms:W3CDTF">2026-04-14T12:20:00Z</dcterms:created>
  <dcterms:modified xsi:type="dcterms:W3CDTF">2026-04-14T12:20:00Z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f671f93f-0ef4-443b-91bc-43d3932458b7</vt:lpwstr>
  </property>
</Properties>
</file>