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52078FBC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B033D93" w14:textId="77777777" w:rsidR="002D5AAC" w:rsidRPr="001359DC" w:rsidRDefault="002D5AAC" w:rsidP="00EA71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65DDE43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A246A1C" w14:textId="10814DAC" w:rsidR="002D5AAC" w:rsidRPr="001359DC" w:rsidRDefault="00EA7174" w:rsidP="00EA7174">
            <w:pPr>
              <w:jc w:val="right"/>
              <w:rPr>
                <w:lang w:val="es-ES"/>
              </w:rPr>
            </w:pPr>
            <w:r w:rsidRPr="00EA7174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/HRC/52/L.3</w:t>
            </w:r>
          </w:p>
        </w:tc>
      </w:tr>
      <w:tr w:rsidR="002D5AAC" w:rsidRPr="001359DC" w14:paraId="44F5CDA2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721F7CA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0C5E9A18" wp14:editId="244A49E3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2BC7B7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0D516999" w14:textId="77777777" w:rsidR="002D5AAC" w:rsidRDefault="00EA7174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limitada</w:t>
            </w:r>
          </w:p>
          <w:p w14:paraId="4F8621A7" w14:textId="77777777" w:rsidR="00EA7174" w:rsidRDefault="00EA7174" w:rsidP="00EA7174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23 de marzo de 2023</w:t>
            </w:r>
          </w:p>
          <w:p w14:paraId="6E1454E4" w14:textId="77777777" w:rsidR="00EA7174" w:rsidRDefault="00EA7174" w:rsidP="00EA7174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53998E52" w14:textId="12DB0DB7" w:rsidR="00EA7174" w:rsidRPr="001359DC" w:rsidRDefault="00EA7174" w:rsidP="00EA7174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3DEAC20A" w14:textId="77777777" w:rsidR="00EA7174" w:rsidRPr="003C5B4F" w:rsidRDefault="00EA7174" w:rsidP="003C5B4F">
      <w:pPr>
        <w:pStyle w:val="Textonotapie"/>
        <w:spacing w:before="120"/>
        <w:rPr>
          <w:b/>
          <w:bCs/>
          <w:sz w:val="24"/>
          <w:szCs w:val="28"/>
        </w:rPr>
      </w:pPr>
      <w:r w:rsidRPr="003C5B4F">
        <w:rPr>
          <w:b/>
          <w:bCs/>
          <w:sz w:val="24"/>
          <w:szCs w:val="28"/>
        </w:rPr>
        <w:t>Consejo de Derechos Humanos</w:t>
      </w:r>
    </w:p>
    <w:p w14:paraId="7222CE99" w14:textId="77777777" w:rsidR="00EA7174" w:rsidRPr="000D472C" w:rsidRDefault="00EA7174" w:rsidP="00EA7174">
      <w:pPr>
        <w:rPr>
          <w:b/>
        </w:rPr>
      </w:pPr>
      <w:r w:rsidRPr="000D472C">
        <w:rPr>
          <w:b/>
          <w:bCs/>
        </w:rPr>
        <w:t>52º período de sesiones</w:t>
      </w:r>
    </w:p>
    <w:p w14:paraId="3C5CC309" w14:textId="77777777" w:rsidR="00EA7174" w:rsidRPr="000D472C" w:rsidRDefault="00EA7174" w:rsidP="00EA7174">
      <w:r w:rsidRPr="000D472C">
        <w:t>27 de febrero a 4 de abril de 2023</w:t>
      </w:r>
    </w:p>
    <w:p w14:paraId="4DB3090F" w14:textId="77777777" w:rsidR="00EA7174" w:rsidRPr="000D472C" w:rsidRDefault="00EA7174" w:rsidP="00EA7174">
      <w:r w:rsidRPr="000D472C">
        <w:t>Tema 4 de la agenda</w:t>
      </w:r>
    </w:p>
    <w:p w14:paraId="686F67A7" w14:textId="67D66600" w:rsidR="00EA7174" w:rsidRPr="000D472C" w:rsidRDefault="00EA7174" w:rsidP="00EA7174">
      <w:pPr>
        <w:rPr>
          <w:b/>
        </w:rPr>
      </w:pPr>
      <w:r w:rsidRPr="000D472C">
        <w:rPr>
          <w:b/>
          <w:bCs/>
        </w:rPr>
        <w:t xml:space="preserve">Situaciones de derechos humanos que requieren </w:t>
      </w:r>
      <w:r w:rsidR="003C5B4F">
        <w:rPr>
          <w:b/>
          <w:bCs/>
        </w:rPr>
        <w:br/>
      </w:r>
      <w:r w:rsidRPr="000D472C">
        <w:rPr>
          <w:b/>
          <w:bCs/>
        </w:rPr>
        <w:t>la atención del Consejo</w:t>
      </w:r>
    </w:p>
    <w:p w14:paraId="14E85E64" w14:textId="73A94F9C" w:rsidR="00EA7174" w:rsidRPr="000D472C" w:rsidRDefault="003C5B4F" w:rsidP="003C5B4F">
      <w:pPr>
        <w:pStyle w:val="H23G"/>
      </w:pPr>
      <w:r>
        <w:tab/>
      </w:r>
      <w:r>
        <w:tab/>
      </w:r>
      <w:r w:rsidR="008B0EFC" w:rsidRPr="000D472C">
        <w:t>Albania</w:t>
      </w:r>
      <w:r w:rsidR="008B0EFC" w:rsidRPr="008B0EFC">
        <w:rPr>
          <w:b w:val="0"/>
          <w:bCs/>
        </w:rPr>
        <w:footnoteReference w:customMarkFollows="1" w:id="1"/>
        <w:t>*</w:t>
      </w:r>
      <w:r w:rsidR="008B0EFC" w:rsidRPr="008B0EFC">
        <w:t>,</w:t>
      </w:r>
      <w:r w:rsidR="008B0EFC">
        <w:t xml:space="preserve"> </w:t>
      </w:r>
      <w:r w:rsidR="008B0EFC" w:rsidRPr="000D472C">
        <w:t>Alemania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Andorra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Australia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Austria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Bélgica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Bulgaria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Canadá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Chequia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Chipre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Croacia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Dinamarca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Eslovaquia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Eslovenia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España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Estados</w:t>
      </w:r>
      <w:r w:rsidR="008B0EFC">
        <w:t> </w:t>
      </w:r>
      <w:r w:rsidR="008B0EFC" w:rsidRPr="000D472C">
        <w:t>Unidos de América</w:t>
      </w:r>
      <w:r w:rsidR="008B0EFC" w:rsidRPr="008B0EFC">
        <w:t>,</w:t>
      </w:r>
      <w:r w:rsidR="008B0EFC">
        <w:t xml:space="preserve"> </w:t>
      </w:r>
      <w:r w:rsidR="008B0EFC" w:rsidRPr="000D472C">
        <w:t>Estonia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Finlandia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Francia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Grecia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Guatemala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Irlanda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Islandia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Islas Marshall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Israel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Italia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Letonia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Liechtenstein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Lituania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Luxemburgo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Macedonia del Norte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Malta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Mónaco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Montenegro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Noruega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Nueva Zelandia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Países Bajos (Reino de los)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Portugal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Reino Unido de</w:t>
      </w:r>
      <w:r w:rsidR="008B0EFC">
        <w:t> </w:t>
      </w:r>
      <w:r w:rsidR="008B0EFC" w:rsidRPr="000D472C">
        <w:t>Gran Bretaña e Irlanda del Norte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República de Moldova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Rumania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San</w:t>
      </w:r>
      <w:r w:rsidR="008B0EFC">
        <w:t> </w:t>
      </w:r>
      <w:r w:rsidR="008B0EFC" w:rsidRPr="000D472C">
        <w:t>Marino</w:t>
      </w:r>
      <w:r w:rsidR="008B0EFC" w:rsidRPr="00DB2333">
        <w:rPr>
          <w:b w:val="0"/>
        </w:rPr>
        <w:t>*</w:t>
      </w:r>
      <w:r w:rsidR="008B0EFC" w:rsidRPr="008B0EFC">
        <w:t>,</w:t>
      </w:r>
      <w:r w:rsidR="008B0EFC">
        <w:rPr>
          <w:b w:val="0"/>
        </w:rPr>
        <w:t xml:space="preserve"> </w:t>
      </w:r>
      <w:r w:rsidR="008B0EFC" w:rsidRPr="000D472C">
        <w:t>Suecia</w:t>
      </w:r>
      <w:r w:rsidR="008B0EFC" w:rsidRPr="00DB2333">
        <w:rPr>
          <w:b w:val="0"/>
        </w:rPr>
        <w:t>*</w:t>
      </w:r>
      <w:r w:rsidR="008B0EFC">
        <w:rPr>
          <w:b w:val="0"/>
        </w:rPr>
        <w:t xml:space="preserve"> </w:t>
      </w:r>
      <w:r w:rsidR="008B0EFC" w:rsidRPr="008B0EFC">
        <w:rPr>
          <w:bCs/>
        </w:rPr>
        <w:t xml:space="preserve">y </w:t>
      </w:r>
      <w:r w:rsidR="008B0EFC" w:rsidRPr="000D472C">
        <w:t>Ucrania</w:t>
      </w:r>
      <w:r w:rsidR="00EA7174" w:rsidRPr="000D472C">
        <w:t>: proyecto de resolución</w:t>
      </w:r>
    </w:p>
    <w:p w14:paraId="3179EB4F" w14:textId="7956EC64" w:rsidR="00EA7174" w:rsidRPr="000D472C" w:rsidRDefault="00EA7174" w:rsidP="008B0EFC">
      <w:pPr>
        <w:pStyle w:val="H1G"/>
        <w:ind w:left="1758" w:hanging="624"/>
      </w:pPr>
      <w:r w:rsidRPr="000D472C">
        <w:t>52/...</w:t>
      </w:r>
      <w:r w:rsidRPr="000D472C">
        <w:tab/>
        <w:t>Situación de los derechos humanos en la República Islámica del</w:t>
      </w:r>
      <w:r w:rsidR="008B0EFC">
        <w:t> </w:t>
      </w:r>
      <w:r w:rsidRPr="000D472C">
        <w:t>Irán</w:t>
      </w:r>
    </w:p>
    <w:p w14:paraId="2D450C65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tab/>
      </w:r>
      <w:r w:rsidRPr="003C5B4F">
        <w:rPr>
          <w:i/>
          <w:iCs/>
        </w:rPr>
        <w:t>El Consejo de Derechos Humanos</w:t>
      </w:r>
      <w:r w:rsidRPr="000D472C">
        <w:t>,</w:t>
      </w:r>
    </w:p>
    <w:p w14:paraId="4CF9383C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rPr>
          <w:i/>
          <w:iCs/>
        </w:rPr>
        <w:tab/>
        <w:t>Guiado</w:t>
      </w:r>
      <w:r w:rsidRPr="000D472C">
        <w:t xml:space="preserve"> por la Carta de las Naciones Unidas, la Declaración Universal de Derechos Humanos, los Pactos Internacionales de Derechos Humanos y otros instrumentos </w:t>
      </w:r>
      <w:r w:rsidRPr="003C5B4F">
        <w:rPr>
          <w:rFonts w:eastAsia="SimSun"/>
        </w:rPr>
        <w:t>internacionales</w:t>
      </w:r>
      <w:r w:rsidRPr="000D472C">
        <w:t xml:space="preserve"> pertinentes de derechos humanos,</w:t>
      </w:r>
    </w:p>
    <w:p w14:paraId="0FEF42D2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rPr>
          <w:i/>
          <w:iCs/>
        </w:rPr>
        <w:tab/>
        <w:t>Recordando</w:t>
      </w:r>
      <w:r w:rsidRPr="000D472C">
        <w:t xml:space="preserve"> todas sus resoluciones pertinentes y todas las resoluciones pertinentes aprobadas por la Asamblea General, en particular las más recientes, especialmente las resoluciones del Consejo 49/24, de 1 de abril de 2022, y S-35/1, de 24 de noviembre de 2022, y la resolución 77/228 de la </w:t>
      </w:r>
      <w:r w:rsidRPr="003C5B4F">
        <w:rPr>
          <w:rFonts w:eastAsia="SimSun"/>
        </w:rPr>
        <w:t>Asamblea</w:t>
      </w:r>
      <w:r w:rsidRPr="000D472C">
        <w:t>, de 15 de diciembre de 2022, relativa a la situación de los derechos humanos en la República Islámica del Irán, y lamentando la falta de cooperación de la República Islámica del Irán en relación con las solicitudes formuladas por el Consejo y la Asamblea en esas resoluciones,</w:t>
      </w:r>
    </w:p>
    <w:p w14:paraId="68E330C7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tab/>
      </w:r>
      <w:r w:rsidRPr="000D472C">
        <w:rPr>
          <w:i/>
          <w:iCs/>
        </w:rPr>
        <w:t>Acogiendo con beneplácito</w:t>
      </w:r>
      <w:r w:rsidRPr="000D472C">
        <w:t xml:space="preserve"> el informe y las recomendaciones que presentó el Relator Especial sobre la situación de los derechos humanos en la República Islámica del Irán al Consejo de Derechos Humanos</w:t>
      </w:r>
      <w:r w:rsidRPr="000D472C">
        <w:rPr>
          <w:rStyle w:val="Refdenotaalpie"/>
          <w:rFonts w:eastAsia="SimSun"/>
        </w:rPr>
        <w:footnoteReference w:id="2"/>
      </w:r>
      <w:r w:rsidRPr="000D472C">
        <w:t>, y poniendo de relieve que esas recomendaciones deberían recibir la debida consideración,</w:t>
      </w:r>
    </w:p>
    <w:p w14:paraId="6ED32EDD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rPr>
          <w:i/>
          <w:iCs/>
        </w:rPr>
        <w:tab/>
        <w:t>Lamentando profundamente</w:t>
      </w:r>
      <w:r w:rsidRPr="000D472C">
        <w:t xml:space="preserve"> que no se permitiera al Relator </w:t>
      </w:r>
      <w:r w:rsidRPr="003C5B4F">
        <w:rPr>
          <w:rFonts w:eastAsia="SimSun"/>
        </w:rPr>
        <w:t>Especial</w:t>
      </w:r>
      <w:r w:rsidRPr="000D472C">
        <w:t xml:space="preserve"> viajar a la República Islámica del Irán,</w:t>
      </w:r>
    </w:p>
    <w:p w14:paraId="36B9B5B1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rPr>
          <w:i/>
          <w:iCs/>
        </w:rPr>
        <w:tab/>
        <w:t>Expresando profunda preocupación</w:t>
      </w:r>
      <w:r w:rsidRPr="000D472C">
        <w:t xml:space="preserve"> por las continuas violaciones de una amplia gama de derechos civiles, políticos, económicos, sociales y culturales, puestas de relieve por el Relator Especial y en sus informes, y por el hecho de que la impunidad sostenida y sistemática de las violaciones graves de los derechos humanos y la ausencia de rendición de cuentas en la República Islámica del Irán creen un entorno propicio para quienes las perpetren, vulneren el derecho de las víctimas a un </w:t>
      </w:r>
      <w:r w:rsidRPr="003C5B4F">
        <w:rPr>
          <w:rFonts w:eastAsia="SimSun"/>
        </w:rPr>
        <w:t>recurso</w:t>
      </w:r>
      <w:r w:rsidRPr="000D472C">
        <w:t xml:space="preserve"> efectivo y perpetúen los ciclos de violencia,</w:t>
      </w:r>
    </w:p>
    <w:p w14:paraId="0D7C263D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rPr>
          <w:i/>
          <w:iCs/>
        </w:rPr>
        <w:tab/>
        <w:t>Expresando profunda preocupación</w:t>
      </w:r>
      <w:r w:rsidRPr="000D472C">
        <w:t xml:space="preserve"> </w:t>
      </w:r>
      <w:r w:rsidRPr="000D472C">
        <w:rPr>
          <w:i/>
          <w:iCs/>
        </w:rPr>
        <w:t xml:space="preserve">también </w:t>
      </w:r>
      <w:r w:rsidRPr="000D472C">
        <w:t>por la violencia y la discriminación generalizadas en la ley y en la práctica que afectan en particular a las mujeres y las niñas, los niños, las personas pertenecientes a minorías étnicas, lingüísticas y religiosas o de creencias reconocidas o no reconocidas, los defensores de los derechos humanos, los abogados, los periodistas y los trabajadores de los medios de comunicación, y las personas que ejercen su derecho a la libertad de expresión y de opinión, tanto en Internet como en medios no electrónicos, y su derecho a la libertad de reunión pacífica y de asociación,</w:t>
      </w:r>
    </w:p>
    <w:p w14:paraId="6ED3AAF4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rPr>
          <w:i/>
          <w:iCs/>
        </w:rPr>
        <w:tab/>
        <w:t>Alarmado</w:t>
      </w:r>
      <w:r w:rsidRPr="000D472C">
        <w:t xml:space="preserve"> por las informaciones persistentes, entre otras las incluidas en el último informe del Relator Especial, sobre protestas pacíficas reprimidas violentamente, detención y </w:t>
      </w:r>
      <w:r w:rsidRPr="003C5B4F">
        <w:rPr>
          <w:rFonts w:eastAsia="SimSun"/>
        </w:rPr>
        <w:t>privación</w:t>
      </w:r>
      <w:r w:rsidRPr="000D472C">
        <w:t xml:space="preserve"> de libertad arbitrarios, torturas, maltratos y asesinatos de un gran número de manifestantes, y condenas a muerte y ejecuciones de personas en relación con su participación en los movimientos de protesta,</w:t>
      </w:r>
    </w:p>
    <w:p w14:paraId="495246B4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rPr>
          <w:i/>
          <w:iCs/>
        </w:rPr>
        <w:lastRenderedPageBreak/>
        <w:tab/>
        <w:t>Alarmado también</w:t>
      </w:r>
      <w:r w:rsidRPr="000D472C">
        <w:t xml:space="preserve"> por el aumento reciente de las ejecuciones, entre otras de personas acusadas de delitos que no alcanzan el umbral de los más graves delitos, y por las ejecuciones de </w:t>
      </w:r>
      <w:r w:rsidRPr="003C5B4F">
        <w:rPr>
          <w:rFonts w:eastAsia="SimSun"/>
        </w:rPr>
        <w:t>personas</w:t>
      </w:r>
      <w:r w:rsidRPr="000D472C">
        <w:t xml:space="preserve"> condenadas por presuntos delitos cometidos antes de los 18 años, y de resultas de juicios que no respetan las garantías de un juicio imparcial,</w:t>
      </w:r>
    </w:p>
    <w:p w14:paraId="746F4F2A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rPr>
          <w:i/>
          <w:iCs/>
        </w:rPr>
        <w:tab/>
        <w:t>Recordando</w:t>
      </w:r>
      <w:r w:rsidRPr="000D472C">
        <w:t xml:space="preserve"> sus resoluciones 5/1, relativa a la construcción institucional del Consejo de Derechos Humanos, y 5/2, relativa al Código de Conducta para los Titulares de Mandatos de los </w:t>
      </w:r>
      <w:r w:rsidRPr="003C5B4F">
        <w:rPr>
          <w:rFonts w:eastAsia="SimSun"/>
        </w:rPr>
        <w:t>Procedimientos</w:t>
      </w:r>
      <w:r w:rsidRPr="000D472C">
        <w:t xml:space="preserve"> Especiales del Consejo de Derechos Humanos, de 18 de junio de 2007, y destacando que los titulares de mandatos deben desempeñar sus funciones de conformidad con esas resoluciones y sus anexos,</w:t>
      </w:r>
    </w:p>
    <w:p w14:paraId="6D3CEE0C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tab/>
        <w:t>1.</w:t>
      </w:r>
      <w:r w:rsidRPr="000D472C">
        <w:tab/>
      </w:r>
      <w:r w:rsidRPr="000D472C">
        <w:rPr>
          <w:i/>
          <w:iCs/>
        </w:rPr>
        <w:t>Deplora profundamente</w:t>
      </w:r>
      <w:r w:rsidRPr="000D472C">
        <w:t xml:space="preserve"> las violaciones generalizadas, repetidas y persistentes de los derechos humanos en la República Islámica del Irán, y exhorta a la República Islámica del Irán a que corrija la impunidad sistemática estableciendo un sistema de rendición de cuentas acorde con el derecho internacional, que incluya reformas constitucionales, legislativas y administrativas, y a que garantice la plena independencia del poder judicial y recursos efectivos para las víctimas;</w:t>
      </w:r>
    </w:p>
    <w:p w14:paraId="558542DC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tab/>
        <w:t>2.</w:t>
      </w:r>
      <w:r w:rsidRPr="000D472C">
        <w:tab/>
      </w:r>
      <w:r w:rsidRPr="000D472C">
        <w:rPr>
          <w:i/>
          <w:iCs/>
        </w:rPr>
        <w:t>Exhorta</w:t>
      </w:r>
      <w:r w:rsidRPr="000D472C">
        <w:t xml:space="preserve"> a la República Islámica del Irán a que haga frente a la discriminación y la violencia generalizadas y sistemáticas por motivos de género, etnia, religión o creencias u opinión política, entre otros, consagradas en leyes, políticas y prácticas estatales, y a que cree un entorno seguro y propicio para </w:t>
      </w:r>
      <w:r w:rsidRPr="003C5B4F">
        <w:rPr>
          <w:rFonts w:eastAsia="SimSun"/>
        </w:rPr>
        <w:t>la</w:t>
      </w:r>
      <w:r w:rsidRPr="000D472C">
        <w:t xml:space="preserve"> sociedad civil, entre otras cosas garantizando y defendiendo el derecho a la libertad de expresión y opinión, tanto en Internet como en medios no electrónicos, y el derecho a la libertad de reunión pacífica y de asociación;</w:t>
      </w:r>
    </w:p>
    <w:p w14:paraId="7462DF8A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tab/>
        <w:t>3.</w:t>
      </w:r>
      <w:r w:rsidRPr="000D472C">
        <w:tab/>
      </w:r>
      <w:r w:rsidRPr="000D472C">
        <w:rPr>
          <w:i/>
          <w:iCs/>
        </w:rPr>
        <w:t>Expresa profunda preocupación</w:t>
      </w:r>
      <w:r w:rsidRPr="000D472C">
        <w:t xml:space="preserve"> por el aumento del número de ejecuciones del que se ha informado, entre otras las de personas condenadas a muerte en relación con su presunta participación en las protestas recientes, e insta a la República Islámica del Irán a que adopte todas las medidas legislativas, administrativas y de otro tipo necesarias, de conformidad con sus obligaciones internacionales en materia de derechos humanos, para garantizar que nadie sea condenado a muerte ni ejecutado por delitos que no alcancen el umbral de los más graves delitos ni por presuntos delitos cometidos antes de los 18 años de edad, y a que se asegure de que todas las condenas y sentencias penales sean dictadas por tribunales competentes, independientes e imparciales, de resultas de procedimientos que respeten estrictamente las garantías de un juicio imparcial;</w:t>
      </w:r>
    </w:p>
    <w:p w14:paraId="1026A75F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tab/>
        <w:t>4.</w:t>
      </w:r>
      <w:r w:rsidRPr="000D472C">
        <w:tab/>
      </w:r>
      <w:r w:rsidRPr="000D472C">
        <w:rPr>
          <w:i/>
          <w:iCs/>
        </w:rPr>
        <w:t>Decide</w:t>
      </w:r>
      <w:r w:rsidRPr="000D472C">
        <w:t xml:space="preserve"> prorrogar por un nuevo período de un año el mandato de la Relatoría Especial sobre la situación de los derechos humanos en la República Islámica del Irán, y solicita a la Relatoría Especial que presente un informe sobre el cumplimiento de su mandato al Consejo de Derechos Humanos en su 55º período de sesiones y a la Asamblea General en su septuagésimo octavo período de sesiones;</w:t>
      </w:r>
    </w:p>
    <w:p w14:paraId="35EFB344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tab/>
        <w:t>5.</w:t>
      </w:r>
      <w:r w:rsidRPr="000D472C">
        <w:tab/>
      </w:r>
      <w:r w:rsidRPr="000D472C">
        <w:rPr>
          <w:i/>
          <w:iCs/>
        </w:rPr>
        <w:t>Exhorta</w:t>
      </w:r>
      <w:r w:rsidRPr="000D472C">
        <w:t xml:space="preserve"> al Gobierno de la República Islámica del Irán a que coopere plenamente con la Relatoría Especial, permita su visita al país y le facilite toda la información necesaria para que pueda desempeñar su mandato, en consonancia con su invitación permanente;</w:t>
      </w:r>
    </w:p>
    <w:p w14:paraId="47BD03AE" w14:textId="77777777" w:rsidR="00EA7174" w:rsidRPr="000D472C" w:rsidRDefault="00EA7174" w:rsidP="003C5B4F">
      <w:pPr>
        <w:pStyle w:val="SingleTxtG"/>
        <w:rPr>
          <w:rFonts w:eastAsia="SimSun"/>
        </w:rPr>
      </w:pPr>
      <w:r w:rsidRPr="000D472C">
        <w:tab/>
        <w:t>6.</w:t>
      </w:r>
      <w:r w:rsidRPr="000D472C">
        <w:tab/>
      </w:r>
      <w:r w:rsidRPr="000D472C">
        <w:rPr>
          <w:i/>
          <w:iCs/>
        </w:rPr>
        <w:t>Alienta</w:t>
      </w:r>
      <w:r w:rsidRPr="000D472C">
        <w:t xml:space="preserve"> a la Relatoría Especial a cooperar con la misión internacional independiente de constatación de los hechos sobre la República Islámica del Irán con vistas a promover la </w:t>
      </w:r>
      <w:r w:rsidRPr="003C5B4F">
        <w:rPr>
          <w:rFonts w:eastAsia="SimSun"/>
        </w:rPr>
        <w:t>sinergia</w:t>
      </w:r>
      <w:r w:rsidRPr="000D472C">
        <w:t>;</w:t>
      </w:r>
      <w:bookmarkStart w:id="0" w:name="OLE_LINK11"/>
      <w:bookmarkEnd w:id="0"/>
    </w:p>
    <w:p w14:paraId="2D761742" w14:textId="2EF9AA11" w:rsidR="00381C24" w:rsidRDefault="00EA7174" w:rsidP="003C5B4F">
      <w:pPr>
        <w:pStyle w:val="SingleTxtG"/>
      </w:pPr>
      <w:r w:rsidRPr="000D472C">
        <w:tab/>
        <w:t>7.</w:t>
      </w:r>
      <w:r w:rsidRPr="000D472C">
        <w:tab/>
      </w:r>
      <w:r w:rsidRPr="000D472C">
        <w:rPr>
          <w:i/>
          <w:iCs/>
        </w:rPr>
        <w:t>Solicita</w:t>
      </w:r>
      <w:r w:rsidRPr="000D472C">
        <w:t xml:space="preserve"> al Secretario General que proporcione a la Relatoría </w:t>
      </w:r>
      <w:r w:rsidRPr="003C5B4F">
        <w:rPr>
          <w:rFonts w:eastAsia="SimSun"/>
        </w:rPr>
        <w:t>Especial</w:t>
      </w:r>
      <w:r w:rsidRPr="000D472C">
        <w:t xml:space="preserve"> los recursos necesarios para el desempeño de su mandato.</w:t>
      </w:r>
    </w:p>
    <w:p w14:paraId="3AFE088C" w14:textId="3E9AA971" w:rsidR="003C5B4F" w:rsidRPr="003C5B4F" w:rsidRDefault="003C5B4F" w:rsidP="003C5B4F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C5B4F" w:rsidRPr="003C5B4F" w:rsidSect="00EA717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106B4" w14:textId="77777777" w:rsidR="00E50715" w:rsidRPr="00A312BC" w:rsidRDefault="00E50715" w:rsidP="00A312BC">
      <w:pPr>
        <w:pStyle w:val="Piedepgina"/>
      </w:pPr>
    </w:p>
  </w:endnote>
  <w:endnote w:type="continuationSeparator" w:id="0">
    <w:p w14:paraId="15C61584" w14:textId="77777777" w:rsidR="00E50715" w:rsidRPr="00A312BC" w:rsidRDefault="00E50715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C4AA5" w14:textId="4A35E808" w:rsidR="00EA7174" w:rsidRPr="00EA7174" w:rsidRDefault="00EA7174" w:rsidP="00EA7174">
    <w:pPr>
      <w:pStyle w:val="Piedepgina"/>
      <w:tabs>
        <w:tab w:val="right" w:pos="9638"/>
      </w:tabs>
    </w:pPr>
    <w:r w:rsidRPr="00EA7174">
      <w:rPr>
        <w:b/>
        <w:sz w:val="18"/>
      </w:rPr>
      <w:fldChar w:fldCharType="begin"/>
    </w:r>
    <w:r w:rsidRPr="00EA7174">
      <w:rPr>
        <w:b/>
        <w:sz w:val="18"/>
      </w:rPr>
      <w:instrText xml:space="preserve"> PAGE  \* MERGEFORMAT </w:instrText>
    </w:r>
    <w:r w:rsidRPr="00EA7174">
      <w:rPr>
        <w:b/>
        <w:sz w:val="18"/>
      </w:rPr>
      <w:fldChar w:fldCharType="separate"/>
    </w:r>
    <w:r w:rsidRPr="00EA7174">
      <w:rPr>
        <w:b/>
        <w:noProof/>
        <w:sz w:val="18"/>
      </w:rPr>
      <w:t>2</w:t>
    </w:r>
    <w:r w:rsidRPr="00EA7174">
      <w:rPr>
        <w:b/>
        <w:sz w:val="18"/>
      </w:rPr>
      <w:fldChar w:fldCharType="end"/>
    </w:r>
    <w:r>
      <w:rPr>
        <w:b/>
        <w:sz w:val="18"/>
      </w:rPr>
      <w:tab/>
    </w:r>
    <w:r>
      <w:t>GE.23-05360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37AF" w14:textId="08FB9856" w:rsidR="00EA7174" w:rsidRPr="00EA7174" w:rsidRDefault="00EA7174" w:rsidP="00EA7174">
    <w:pPr>
      <w:pStyle w:val="Piedepgina"/>
      <w:tabs>
        <w:tab w:val="right" w:pos="9638"/>
      </w:tabs>
      <w:rPr>
        <w:b/>
        <w:sz w:val="18"/>
      </w:rPr>
    </w:pPr>
    <w:r>
      <w:t>GE.23-05360</w:t>
    </w:r>
    <w:r>
      <w:tab/>
    </w:r>
    <w:r w:rsidRPr="00EA7174">
      <w:rPr>
        <w:b/>
        <w:sz w:val="18"/>
      </w:rPr>
      <w:fldChar w:fldCharType="begin"/>
    </w:r>
    <w:r w:rsidRPr="00EA7174">
      <w:rPr>
        <w:b/>
        <w:sz w:val="18"/>
      </w:rPr>
      <w:instrText xml:space="preserve"> PAGE  \* MERGEFORMAT </w:instrText>
    </w:r>
    <w:r w:rsidRPr="00EA7174">
      <w:rPr>
        <w:b/>
        <w:sz w:val="18"/>
      </w:rPr>
      <w:fldChar w:fldCharType="separate"/>
    </w:r>
    <w:r w:rsidRPr="00EA7174">
      <w:rPr>
        <w:b/>
        <w:noProof/>
        <w:sz w:val="18"/>
      </w:rPr>
      <w:t>3</w:t>
    </w:r>
    <w:r w:rsidRPr="00EA71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8DB9" w14:textId="6560D845" w:rsidR="00042B72" w:rsidRPr="00EA7174" w:rsidRDefault="00EA7174" w:rsidP="00EA7174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0F989082" wp14:editId="7288874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23-05360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A2B792B" wp14:editId="770B504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240323    240323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141A9" w14:textId="77777777" w:rsidR="00E50715" w:rsidRPr="001075E9" w:rsidRDefault="00E5071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9EE6236" w14:textId="77777777" w:rsidR="00E50715" w:rsidRDefault="00E5071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85FA48D" w14:textId="5A37EC9A" w:rsidR="008B0EFC" w:rsidRPr="000D472C" w:rsidRDefault="0007633C" w:rsidP="008B0EFC">
      <w:pPr>
        <w:pStyle w:val="Textonotapie"/>
      </w:pPr>
      <w:r>
        <w:tab/>
      </w:r>
      <w:r w:rsidR="008B0EFC" w:rsidRPr="000D472C">
        <w:t>*</w:t>
      </w:r>
      <w:r>
        <w:tab/>
      </w:r>
      <w:r w:rsidR="008B0EFC" w:rsidRPr="000D472C">
        <w:t>Estado no miembro del Consejo de Derechos Humanos.</w:t>
      </w:r>
    </w:p>
  </w:footnote>
  <w:footnote w:id="2">
    <w:p w14:paraId="3AC2D252" w14:textId="48FAC2F1" w:rsidR="00EA7174" w:rsidRPr="000D472C" w:rsidRDefault="0007633C" w:rsidP="00EA7174">
      <w:pPr>
        <w:pStyle w:val="Textonotapie"/>
      </w:pPr>
      <w:r>
        <w:tab/>
      </w:r>
      <w:r w:rsidR="00EA7174" w:rsidRPr="000D472C">
        <w:rPr>
          <w:rStyle w:val="Refdenotaalpie"/>
        </w:rPr>
        <w:footnoteRef/>
      </w:r>
      <w:r>
        <w:tab/>
      </w:r>
      <w:r w:rsidR="00EA7174" w:rsidRPr="00296DC4">
        <w:t>A/HRC/52/67</w:t>
      </w:r>
      <w:r w:rsidR="00EA7174" w:rsidRPr="000D472C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D068D" w14:textId="3052476F" w:rsidR="00EA7174" w:rsidRPr="00EA7174" w:rsidRDefault="00EA7174">
    <w:pPr>
      <w:pStyle w:val="Encabezado"/>
    </w:pPr>
    <w:fldSimple w:instr=" TITLE  \* MERGEFORMAT ">
      <w:r w:rsidR="00296DC4">
        <w:t>A/HRC/52/L.3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EC7E2" w14:textId="79DA6E98" w:rsidR="00EA7174" w:rsidRPr="00EA7174" w:rsidRDefault="00EA7174" w:rsidP="00EA7174">
    <w:pPr>
      <w:pStyle w:val="Encabezado"/>
      <w:jc w:val="right"/>
    </w:pPr>
    <w:fldSimple w:instr=" TITLE  \* MERGEFORMAT ">
      <w:r w:rsidR="00296DC4">
        <w:t>A/HRC/52/L.3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043602721">
    <w:abstractNumId w:val="14"/>
  </w:num>
  <w:num w:numId="2" w16cid:durableId="110982909">
    <w:abstractNumId w:val="11"/>
  </w:num>
  <w:num w:numId="3" w16cid:durableId="683484825">
    <w:abstractNumId w:val="16"/>
  </w:num>
  <w:num w:numId="4" w16cid:durableId="195386458">
    <w:abstractNumId w:val="15"/>
  </w:num>
  <w:num w:numId="5" w16cid:durableId="1429348768">
    <w:abstractNumId w:val="13"/>
  </w:num>
  <w:num w:numId="6" w16cid:durableId="451560513">
    <w:abstractNumId w:val="8"/>
  </w:num>
  <w:num w:numId="7" w16cid:durableId="1534079526">
    <w:abstractNumId w:val="3"/>
  </w:num>
  <w:num w:numId="8" w16cid:durableId="754084420">
    <w:abstractNumId w:val="2"/>
  </w:num>
  <w:num w:numId="9" w16cid:durableId="1111895979">
    <w:abstractNumId w:val="1"/>
  </w:num>
  <w:num w:numId="10" w16cid:durableId="730890063">
    <w:abstractNumId w:val="0"/>
  </w:num>
  <w:num w:numId="11" w16cid:durableId="631444989">
    <w:abstractNumId w:val="9"/>
  </w:num>
  <w:num w:numId="12" w16cid:durableId="214388614">
    <w:abstractNumId w:val="7"/>
  </w:num>
  <w:num w:numId="13" w16cid:durableId="1544513844">
    <w:abstractNumId w:val="6"/>
  </w:num>
  <w:num w:numId="14" w16cid:durableId="1313831740">
    <w:abstractNumId w:val="5"/>
  </w:num>
  <w:num w:numId="15" w16cid:durableId="1350722558">
    <w:abstractNumId w:val="4"/>
  </w:num>
  <w:num w:numId="16" w16cid:durableId="452404743">
    <w:abstractNumId w:val="10"/>
  </w:num>
  <w:num w:numId="17" w16cid:durableId="1339774585">
    <w:abstractNumId w:val="14"/>
  </w:num>
  <w:num w:numId="18" w16cid:durableId="830950686">
    <w:abstractNumId w:val="11"/>
  </w:num>
  <w:num w:numId="19" w16cid:durableId="1530610242">
    <w:abstractNumId w:val="10"/>
  </w:num>
  <w:num w:numId="20" w16cid:durableId="112598834">
    <w:abstractNumId w:val="16"/>
  </w:num>
  <w:num w:numId="21" w16cid:durableId="2032993342">
    <w:abstractNumId w:val="15"/>
  </w:num>
  <w:num w:numId="22" w16cid:durableId="394285355">
    <w:abstractNumId w:val="12"/>
  </w:num>
  <w:num w:numId="23" w16cid:durableId="1524367602">
    <w:abstractNumId w:val="12"/>
  </w:num>
  <w:num w:numId="24" w16cid:durableId="2070226668">
    <w:abstractNumId w:val="13"/>
  </w:num>
  <w:num w:numId="25" w16cid:durableId="58947697">
    <w:abstractNumId w:val="9"/>
  </w:num>
  <w:num w:numId="26" w16cid:durableId="971058825">
    <w:abstractNumId w:val="7"/>
  </w:num>
  <w:num w:numId="27" w16cid:durableId="330913837">
    <w:abstractNumId w:val="6"/>
  </w:num>
  <w:num w:numId="28" w16cid:durableId="1214270742">
    <w:abstractNumId w:val="5"/>
  </w:num>
  <w:num w:numId="29" w16cid:durableId="235633719">
    <w:abstractNumId w:val="4"/>
  </w:num>
  <w:num w:numId="30" w16cid:durableId="800878267">
    <w:abstractNumId w:val="8"/>
  </w:num>
  <w:num w:numId="31" w16cid:durableId="1645233505">
    <w:abstractNumId w:val="3"/>
  </w:num>
  <w:num w:numId="32" w16cid:durableId="1613241791">
    <w:abstractNumId w:val="2"/>
  </w:num>
  <w:num w:numId="33" w16cid:durableId="1184593102">
    <w:abstractNumId w:val="1"/>
  </w:num>
  <w:num w:numId="34" w16cid:durableId="189635846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715"/>
    <w:rsid w:val="00033EE1"/>
    <w:rsid w:val="00042B72"/>
    <w:rsid w:val="000558BD"/>
    <w:rsid w:val="0007633C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96DC4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C5B4F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94B6B"/>
    <w:rsid w:val="00825F8D"/>
    <w:rsid w:val="00834B71"/>
    <w:rsid w:val="0086445C"/>
    <w:rsid w:val="00894693"/>
    <w:rsid w:val="008A08D7"/>
    <w:rsid w:val="008B0EFC"/>
    <w:rsid w:val="008B6909"/>
    <w:rsid w:val="00903C4F"/>
    <w:rsid w:val="00906890"/>
    <w:rsid w:val="00911BE4"/>
    <w:rsid w:val="00950E2D"/>
    <w:rsid w:val="00951972"/>
    <w:rsid w:val="009608F3"/>
    <w:rsid w:val="00982D57"/>
    <w:rsid w:val="009A24AC"/>
    <w:rsid w:val="009C7C0A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50715"/>
    <w:rsid w:val="00E728B5"/>
    <w:rsid w:val="00E73F76"/>
    <w:rsid w:val="00EA2C9F"/>
    <w:rsid w:val="00EA7174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F4134"/>
  <w15:docId w15:val="{66774C05-99B8-4B5E-B1C9-45DC64C44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,Footnote number,ftref,Footnotes refss,Style 10,Appel note de bas de p.,referencia nota al pie,BVI fnr,Footnote text,4_Footnote text,callout,Fago Fußnotenzeichen,16 Point,Superscript 6 Point,Footnote,Footnote symbol,f,Ref,SUPERS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1127</Words>
  <Characters>6190</Characters>
  <Application>Microsoft Office Word</Application>
  <DocSecurity>0</DocSecurity>
  <Lines>108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A/HRC/52/L.3</vt:lpstr>
    </vt:vector>
  </TitlesOfParts>
  <Company>DCM</Company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A/HRC/52/L.3</dc:title>
  <dc:subject/>
  <dc:creator>Carlos Ariel BRAGUNDE LOPEZ</dc:creator>
  <cp:keywords/>
  <cp:lastModifiedBy>Carlos Bragunde Lopez</cp:lastModifiedBy>
  <cp:revision>2</cp:revision>
  <cp:lastPrinted>2023-03-24T14:31:00Z</cp:lastPrinted>
  <dcterms:created xsi:type="dcterms:W3CDTF">2023-03-24T14:32:00Z</dcterms:created>
  <dcterms:modified xsi:type="dcterms:W3CDTF">2023-03-24T14:32:00Z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