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2DE2" w:rsidRDefault="00EC2DE2" w:rsidP="00EC2DE2">
      <w:pPr>
        <w:spacing w:line="60" w:lineRule="exact"/>
        <w:rPr>
          <w:sz w:val="6"/>
        </w:rPr>
        <w:sectPr w:rsidR="00EC2DE2" w:rsidSect="00EC2DE2">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r>
        <w:rPr>
          <w:rStyle w:val="CommentReference"/>
        </w:rPr>
        <w:commentReference w:id="0"/>
      </w:r>
    </w:p>
    <w:p w:rsidR="00EC2DE2" w:rsidRDefault="00EC2DE2" w:rsidP="00EC2DE2">
      <w:pPr>
        <w:spacing w:line="60" w:lineRule="exact"/>
        <w:rPr>
          <w:sz w:val="6"/>
        </w:rPr>
      </w:pPr>
    </w:p>
    <w:p w:rsidR="006A7EC8" w:rsidRDefault="006A7EC8" w:rsidP="00B9786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4" w:right="1259" w:hanging="1264"/>
        <w:rPr>
          <w:rFonts w:hint="eastAsia"/>
        </w:rPr>
      </w:pPr>
      <w:r>
        <w:rPr>
          <w:rFonts w:hint="eastAsia"/>
        </w:rPr>
        <w:t>消除对妇女歧视委员会</w:t>
      </w:r>
    </w:p>
    <w:p w:rsidR="006A7EC8" w:rsidRPr="00B97862" w:rsidRDefault="006A7EC8" w:rsidP="00B97862">
      <w:pPr>
        <w:pStyle w:val="SingleTxt"/>
        <w:spacing w:after="60"/>
        <w:ind w:left="0"/>
        <w:rPr>
          <w:rFonts w:ascii="SimHei" w:eastAsia="SimHei" w:hint="eastAsia"/>
          <w:color w:val="FF0000"/>
        </w:rPr>
      </w:pPr>
      <w:r w:rsidRPr="00B97862">
        <w:rPr>
          <w:rFonts w:ascii="SimHei" w:eastAsia="SimHei" w:hint="eastAsia"/>
          <w:color w:val="FF0000"/>
        </w:rPr>
        <w:t>第四十四届会议</w:t>
      </w:r>
    </w:p>
    <w:p w:rsidR="006A7EC8" w:rsidRDefault="006A7EC8" w:rsidP="00B97862">
      <w:pPr>
        <w:pStyle w:val="SingleTxt"/>
        <w:spacing w:after="60"/>
        <w:ind w:left="0"/>
        <w:rPr>
          <w:rFonts w:hint="eastAsia"/>
        </w:rPr>
      </w:pPr>
      <w:r>
        <w:rPr>
          <w:rFonts w:hint="eastAsia"/>
        </w:rPr>
        <w:t>2009年7月20日至8月7日</w:t>
      </w:r>
    </w:p>
    <w:p w:rsidR="00B97862" w:rsidRPr="00B97862" w:rsidRDefault="00B97862" w:rsidP="00B97862">
      <w:pPr>
        <w:pStyle w:val="SingleTxt"/>
        <w:spacing w:after="0" w:line="120" w:lineRule="exact"/>
        <w:rPr>
          <w:sz w:val="10"/>
        </w:rPr>
      </w:pPr>
    </w:p>
    <w:p w:rsidR="00B97862" w:rsidRPr="00B97862" w:rsidRDefault="00B97862" w:rsidP="00B97862">
      <w:pPr>
        <w:pStyle w:val="SingleTxt"/>
        <w:spacing w:after="0" w:line="120" w:lineRule="exact"/>
        <w:rPr>
          <w:sz w:val="10"/>
        </w:rPr>
      </w:pPr>
    </w:p>
    <w:p w:rsidR="00B97862" w:rsidRPr="00B97862" w:rsidRDefault="00B97862" w:rsidP="00B97862">
      <w:pPr>
        <w:pStyle w:val="SingleTxt"/>
        <w:spacing w:after="0" w:line="120" w:lineRule="exact"/>
        <w:rPr>
          <w:sz w:val="10"/>
        </w:rPr>
      </w:pPr>
    </w:p>
    <w:p w:rsidR="006A7EC8" w:rsidRDefault="006A7EC8" w:rsidP="00B97862">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消除对妇女歧视委员会的结论意见</w:t>
      </w:r>
    </w:p>
    <w:p w:rsidR="00B97862" w:rsidRPr="00B97862" w:rsidRDefault="00B97862" w:rsidP="00B97862">
      <w:pPr>
        <w:pStyle w:val="SingleTxt"/>
        <w:spacing w:after="0" w:line="120" w:lineRule="exact"/>
        <w:rPr>
          <w:sz w:val="10"/>
        </w:rPr>
      </w:pPr>
    </w:p>
    <w:p w:rsidR="00B97862" w:rsidRPr="00B97862" w:rsidRDefault="00B97862" w:rsidP="00B97862">
      <w:pPr>
        <w:pStyle w:val="SingleTxt"/>
        <w:spacing w:after="0" w:line="120" w:lineRule="exact"/>
        <w:rPr>
          <w:sz w:val="10"/>
        </w:rPr>
      </w:pPr>
    </w:p>
    <w:p w:rsidR="006A7EC8" w:rsidRDefault="006A7EC8" w:rsidP="00B9786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日本</w:t>
      </w:r>
    </w:p>
    <w:p w:rsidR="00B97862" w:rsidRPr="00B97862" w:rsidRDefault="00B97862" w:rsidP="00B97862">
      <w:pPr>
        <w:pStyle w:val="SingleTxt"/>
        <w:spacing w:after="0" w:line="120" w:lineRule="exact"/>
        <w:rPr>
          <w:sz w:val="10"/>
        </w:rPr>
      </w:pPr>
    </w:p>
    <w:p w:rsidR="006A7EC8" w:rsidRDefault="006A7EC8" w:rsidP="006A7EC8">
      <w:pPr>
        <w:pStyle w:val="SingleTxt"/>
        <w:rPr>
          <w:rFonts w:hint="eastAsia"/>
        </w:rPr>
      </w:pPr>
      <w:r>
        <w:rPr>
          <w:rFonts w:hint="eastAsia"/>
        </w:rPr>
        <w:t>1.</w:t>
      </w:r>
      <w:r>
        <w:rPr>
          <w:rFonts w:hint="eastAsia"/>
        </w:rPr>
        <w:tab/>
        <w:t>7月23日，委员会第890次和第891次会议审议了日本第六次定期报告(CEDAW/C/JPN/6)(见CEDAW/C/SR.890和891)。委员会的议题和问题清单载于CEDAW/C/JPN/Q/6，日本政府的答复载于CEDAW/C/JPN/Q/6/Add.1。</w:t>
      </w:r>
    </w:p>
    <w:p w:rsidR="006A7EC8" w:rsidRDefault="00B97862" w:rsidP="00B9786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006A7EC8">
        <w:rPr>
          <w:rFonts w:hint="eastAsia"/>
        </w:rPr>
        <w:t>导言</w:t>
      </w:r>
    </w:p>
    <w:p w:rsidR="00B97862" w:rsidRPr="00B97862" w:rsidRDefault="00B97862" w:rsidP="00B97862">
      <w:pPr>
        <w:pStyle w:val="SingleTxt"/>
        <w:spacing w:after="0" w:line="120" w:lineRule="exact"/>
        <w:rPr>
          <w:rFonts w:hint="eastAsia"/>
          <w:sz w:val="10"/>
        </w:rPr>
      </w:pPr>
    </w:p>
    <w:p w:rsidR="006A7EC8" w:rsidRDefault="006A7EC8" w:rsidP="006A7EC8">
      <w:pPr>
        <w:pStyle w:val="SingleTxt"/>
        <w:rPr>
          <w:rFonts w:hint="eastAsia"/>
        </w:rPr>
      </w:pPr>
      <w:r>
        <w:rPr>
          <w:rFonts w:hint="eastAsia"/>
        </w:rPr>
        <w:t>2.</w:t>
      </w:r>
      <w:r>
        <w:rPr>
          <w:rFonts w:hint="eastAsia"/>
        </w:rPr>
        <w:tab/>
        <w:t>委员会感谢缔约国遵循委员会前报告编写导则提交第六次定期报告，但报告提交时已逾期。委员会还赞赏缔约国对会前工作组提出的议题和问题清单予以书面答复，并赞赏缔约国作出口头说明和进一步澄清。委员会注意到，自缔约国报告所述期间终了以来，在法律、政策和方案方面的一些变革对妇女权利产生了积极影响。</w:t>
      </w:r>
    </w:p>
    <w:p w:rsidR="006A7EC8" w:rsidRDefault="006A7EC8" w:rsidP="006A7EC8">
      <w:pPr>
        <w:pStyle w:val="SingleTxt"/>
        <w:rPr>
          <w:rFonts w:hint="eastAsia"/>
        </w:rPr>
      </w:pPr>
      <w:r>
        <w:rPr>
          <w:rFonts w:hint="eastAsia"/>
        </w:rPr>
        <w:t>3.</w:t>
      </w:r>
      <w:r>
        <w:rPr>
          <w:rFonts w:hint="eastAsia"/>
        </w:rPr>
        <w:tab/>
        <w:t>委员会赞扬缔约国派遣由一名参议员率领的部委代表团出席会议，并赞赏日本国内的许多非政府组织参加了会议，表明它们十分关心《公约》报告程序。</w:t>
      </w:r>
    </w:p>
    <w:p w:rsidR="006A7EC8" w:rsidRDefault="006A7EC8" w:rsidP="006A7EC8">
      <w:pPr>
        <w:pStyle w:val="SingleTxt"/>
        <w:rPr>
          <w:rFonts w:hint="eastAsia"/>
        </w:rPr>
      </w:pPr>
      <w:r>
        <w:rPr>
          <w:rFonts w:hint="eastAsia"/>
        </w:rPr>
        <w:t>4.</w:t>
      </w:r>
      <w:r>
        <w:rPr>
          <w:rFonts w:hint="eastAsia"/>
        </w:rPr>
        <w:tab/>
        <w:t>委员会对代表团同委员会成员之间进行的坦诚、开诚布公和建设性的对话表示赞赏。</w:t>
      </w:r>
    </w:p>
    <w:p w:rsidR="006A7EC8" w:rsidRDefault="006A7EC8" w:rsidP="006A7EC8">
      <w:pPr>
        <w:pStyle w:val="SingleTxt"/>
        <w:rPr>
          <w:rFonts w:hint="eastAsia"/>
        </w:rPr>
      </w:pPr>
      <w:r>
        <w:rPr>
          <w:rFonts w:hint="eastAsia"/>
        </w:rPr>
        <w:t>5.</w:t>
      </w:r>
      <w:r>
        <w:rPr>
          <w:rFonts w:hint="eastAsia"/>
        </w:rPr>
        <w:tab/>
        <w:t>委员会欣见缔约国认识到非政府人权组织和妇女组织在执行《公约》方面作出的积极贡献。</w:t>
      </w:r>
    </w:p>
    <w:p w:rsidR="006A7EC8" w:rsidRDefault="00B97862" w:rsidP="00B9786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006A7EC8">
        <w:rPr>
          <w:rFonts w:hint="eastAsia"/>
        </w:rPr>
        <w:t>积极方面</w:t>
      </w:r>
    </w:p>
    <w:p w:rsidR="00B97862" w:rsidRPr="00B97862" w:rsidRDefault="00B97862" w:rsidP="00B97862">
      <w:pPr>
        <w:pStyle w:val="SingleTxt"/>
        <w:spacing w:after="0" w:line="120" w:lineRule="exact"/>
        <w:rPr>
          <w:rFonts w:hint="eastAsia"/>
          <w:sz w:val="10"/>
        </w:rPr>
      </w:pPr>
    </w:p>
    <w:p w:rsidR="006A7EC8" w:rsidRDefault="006A7EC8" w:rsidP="006A7EC8">
      <w:pPr>
        <w:pStyle w:val="SingleTxt"/>
        <w:rPr>
          <w:rFonts w:hint="eastAsia"/>
        </w:rPr>
      </w:pPr>
      <w:r>
        <w:rPr>
          <w:rFonts w:hint="eastAsia"/>
        </w:rPr>
        <w:t>6.</w:t>
      </w:r>
      <w:r>
        <w:rPr>
          <w:rFonts w:hint="eastAsia"/>
        </w:rPr>
        <w:tab/>
        <w:t>委员会赞赏地注意到，自2003年审议其第四次和第五次定期报告(CEDAW/C/JPN/4和CEDAW/C/JPN/5)以来，缔约国通过和修正了许多法律和法律规定，以便消除对妇女歧视，促进两性平等，以及履行缔约国根据《公约》承担的义务。尤其是，委员会欢迎通过了《民法》修正案，废除《国籍法》第3.1条中的家长制，使日本男子同外国妇女的非婚生子女可获得日本国籍，而无论父亲身分在孩子出生前或出生后是否得到承认。修正后的规定还确保男子和妇女在其子女的国籍方面享有同等权利。</w:t>
      </w:r>
    </w:p>
    <w:p w:rsidR="006A7EC8" w:rsidRDefault="006A7EC8" w:rsidP="006A7EC8">
      <w:pPr>
        <w:pStyle w:val="SingleTxt"/>
        <w:rPr>
          <w:rFonts w:hint="eastAsia"/>
        </w:rPr>
      </w:pPr>
      <w:r>
        <w:rPr>
          <w:rFonts w:hint="eastAsia"/>
        </w:rPr>
        <w:t>7.</w:t>
      </w:r>
      <w:r>
        <w:rPr>
          <w:rFonts w:hint="eastAsia"/>
        </w:rPr>
        <w:tab/>
        <w:t>委员会赞扬缔约国在2005年10月任命了一名两性平等和社会事务国务相，并在2005年12月通过了一项全面的第二个《两性平等基本计划》，提出了在实际实现两性平等方面的12个重要领域以及直至2020年的政策方向。</w:t>
      </w:r>
    </w:p>
    <w:p w:rsidR="006A7EC8" w:rsidRDefault="006A7EC8" w:rsidP="006A7EC8">
      <w:pPr>
        <w:pStyle w:val="SingleTxt"/>
        <w:rPr>
          <w:rFonts w:hint="eastAsia"/>
        </w:rPr>
      </w:pPr>
      <w:r>
        <w:rPr>
          <w:rFonts w:hint="eastAsia"/>
        </w:rPr>
        <w:t>8.</w:t>
      </w:r>
      <w:r>
        <w:rPr>
          <w:rFonts w:hint="eastAsia"/>
        </w:rPr>
        <w:tab/>
        <w:t>委员会欣见在2004年4月设立了负责拟订打击人口贩运措施的部委间联络委员会，并于2004年12月通过了《关于打击人口贩运活动措施的行动计划》。</w:t>
      </w:r>
    </w:p>
    <w:p w:rsidR="006A7EC8" w:rsidRDefault="006A7EC8" w:rsidP="006A7EC8">
      <w:pPr>
        <w:pStyle w:val="SingleTxt"/>
        <w:rPr>
          <w:rFonts w:hint="eastAsia"/>
        </w:rPr>
      </w:pPr>
      <w:r>
        <w:rPr>
          <w:rFonts w:hint="eastAsia"/>
        </w:rPr>
        <w:t>9.</w:t>
      </w:r>
      <w:r>
        <w:rPr>
          <w:rFonts w:hint="eastAsia"/>
        </w:rPr>
        <w:tab/>
        <w:t>委员会欣见缔约国支持残疾妇女，于2006年颁布了《残疾人服务和支助法》和经订正的《促进残疾人就业法》，从而扩大和加强了协助残疾人就业的措施。</w:t>
      </w:r>
    </w:p>
    <w:p w:rsidR="006A7EC8" w:rsidRDefault="006A7EC8" w:rsidP="006A7EC8">
      <w:pPr>
        <w:pStyle w:val="SingleTxt"/>
        <w:rPr>
          <w:rFonts w:hint="eastAsia"/>
        </w:rPr>
      </w:pPr>
      <w:r>
        <w:rPr>
          <w:rFonts w:hint="eastAsia"/>
        </w:rPr>
        <w:t>10.</w:t>
      </w:r>
      <w:r>
        <w:rPr>
          <w:rFonts w:hint="eastAsia"/>
        </w:rPr>
        <w:tab/>
        <w:t>委员会欣见缔约国在减少孕产妇死亡率方面不断取得进展，使该国成为世界上孕产妇死亡率最低的国家之一。</w:t>
      </w:r>
    </w:p>
    <w:p w:rsidR="006A7EC8" w:rsidRDefault="006A7EC8" w:rsidP="006A7EC8">
      <w:pPr>
        <w:pStyle w:val="SingleTxt"/>
        <w:rPr>
          <w:rFonts w:hint="eastAsia"/>
        </w:rPr>
      </w:pPr>
      <w:r>
        <w:rPr>
          <w:rFonts w:hint="eastAsia"/>
        </w:rPr>
        <w:t>11.</w:t>
      </w:r>
      <w:r>
        <w:rPr>
          <w:rFonts w:hint="eastAsia"/>
        </w:rPr>
        <w:tab/>
        <w:t>委员会赞赏地注意到在2006年颁布了《防止虐待老年人法》，促进防止虐待老年人的各项措施，并为照顾老年人的人提供支助。</w:t>
      </w:r>
    </w:p>
    <w:p w:rsidR="006A7EC8" w:rsidRDefault="006A7EC8" w:rsidP="006A7EC8">
      <w:pPr>
        <w:pStyle w:val="SingleTxt"/>
        <w:rPr>
          <w:rFonts w:hint="eastAsia"/>
        </w:rPr>
      </w:pPr>
      <w:r>
        <w:rPr>
          <w:rFonts w:hint="eastAsia"/>
        </w:rPr>
        <w:t>12.</w:t>
      </w:r>
      <w:r>
        <w:rPr>
          <w:rFonts w:hint="eastAsia"/>
        </w:rPr>
        <w:tab/>
        <w:t>委员会赞赏缔约国把两性平等问题纳入其发展合作方案，并在这个框架内促进妇女的人权。</w:t>
      </w:r>
    </w:p>
    <w:p w:rsidR="006A7EC8" w:rsidRDefault="00B97862" w:rsidP="00B9786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006A7EC8">
        <w:rPr>
          <w:rFonts w:hint="eastAsia"/>
        </w:rPr>
        <w:t>主要关切领域和建议</w:t>
      </w:r>
    </w:p>
    <w:p w:rsidR="00B97862" w:rsidRPr="00B97862" w:rsidRDefault="00B97862" w:rsidP="00B97862">
      <w:pPr>
        <w:pStyle w:val="SingleTxt"/>
        <w:spacing w:after="0" w:line="120" w:lineRule="exact"/>
        <w:rPr>
          <w:rFonts w:hint="eastAsia"/>
          <w:sz w:val="10"/>
        </w:rPr>
      </w:pPr>
    </w:p>
    <w:p w:rsidR="006A7EC8" w:rsidRDefault="006A7EC8" w:rsidP="006A7EC8">
      <w:pPr>
        <w:pStyle w:val="SingleTxt"/>
        <w:rPr>
          <w:rFonts w:hint="eastAsia"/>
        </w:rPr>
      </w:pPr>
      <w:r>
        <w:rPr>
          <w:rFonts w:hint="eastAsia"/>
        </w:rPr>
        <w:t>13.</w:t>
      </w:r>
      <w:r>
        <w:rPr>
          <w:rFonts w:hint="eastAsia"/>
        </w:rPr>
        <w:tab/>
      </w:r>
      <w:r w:rsidRPr="00B97862">
        <w:rPr>
          <w:rFonts w:ascii="SimHei" w:eastAsia="SimHei" w:hint="eastAsia"/>
          <w:color w:val="FF0000"/>
        </w:rPr>
        <w:t>委员会提请注意，缔约国有义务系统地、持续地执行《公约》各项规定，同时认为，从现在到提交下一次定期报告期间，缔约国必须优先注意本结论意见提出的各项关切和建议。因此，委员会吁请缔约国将执行活动的重点放在这些领域上，并在下一次定期报告中汇报所采取的行动和取得的成果。委员会还吁请缔约国将本结论意见发交各相关部委、议会和司法部门，以确保这些意见得到充分执行</w:t>
      </w:r>
      <w:r>
        <w:rPr>
          <w:rFonts w:hint="eastAsia"/>
        </w:rPr>
        <w:t>。</w:t>
      </w:r>
    </w:p>
    <w:p w:rsidR="006A7EC8" w:rsidRDefault="00B97862" w:rsidP="00B9786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006A7EC8">
        <w:rPr>
          <w:rFonts w:hint="eastAsia"/>
        </w:rPr>
        <w:t>议会</w:t>
      </w:r>
    </w:p>
    <w:p w:rsidR="00B97862" w:rsidRPr="00B97862" w:rsidRDefault="00B97862" w:rsidP="00B97862">
      <w:pPr>
        <w:pStyle w:val="SingleTxt"/>
        <w:spacing w:after="0" w:line="120" w:lineRule="exact"/>
        <w:rPr>
          <w:rFonts w:hint="eastAsia"/>
          <w:sz w:val="10"/>
        </w:rPr>
      </w:pPr>
    </w:p>
    <w:p w:rsidR="006A7EC8" w:rsidRDefault="006A7EC8" w:rsidP="006A7EC8">
      <w:pPr>
        <w:pStyle w:val="SingleTxt"/>
        <w:rPr>
          <w:rFonts w:hint="eastAsia"/>
        </w:rPr>
      </w:pPr>
      <w:r>
        <w:rPr>
          <w:rFonts w:hint="eastAsia"/>
        </w:rPr>
        <w:t>14.</w:t>
      </w:r>
      <w:r>
        <w:rPr>
          <w:rFonts w:hint="eastAsia"/>
        </w:rPr>
        <w:tab/>
      </w:r>
      <w:r w:rsidRPr="00B97862">
        <w:rPr>
          <w:rFonts w:ascii="SimHei" w:eastAsia="SimHei" w:hint="eastAsia"/>
          <w:color w:val="FF0000"/>
        </w:rPr>
        <w:t>委员会重申，政府对全面执行《公约》规定的缔约国义务负有首要责任，尤其要为此承担问责责任，同时也强调《公约》对政府各部门都具有约束力，并邀请缔约国鼓励其国家议会酌情根据其程序，就执行本结论意见和《公约》规定的政府下一个报告过程采取必要措施</w:t>
      </w:r>
      <w:r>
        <w:rPr>
          <w:rFonts w:hint="eastAsia"/>
        </w:rPr>
        <w:t>。</w:t>
      </w:r>
    </w:p>
    <w:p w:rsidR="006A7EC8" w:rsidRDefault="00B97862" w:rsidP="00B9786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006A7EC8">
        <w:rPr>
          <w:rFonts w:hint="eastAsia"/>
        </w:rPr>
        <w:t>以往的结论意见</w:t>
      </w:r>
    </w:p>
    <w:p w:rsidR="00B97862" w:rsidRPr="00B97862" w:rsidRDefault="00B97862" w:rsidP="00B97862">
      <w:pPr>
        <w:pStyle w:val="SingleTxt"/>
        <w:spacing w:after="0" w:line="120" w:lineRule="exact"/>
        <w:rPr>
          <w:rFonts w:hint="eastAsia"/>
          <w:sz w:val="10"/>
        </w:rPr>
      </w:pPr>
    </w:p>
    <w:p w:rsidR="006A7EC8" w:rsidRDefault="006A7EC8" w:rsidP="006A7EC8">
      <w:pPr>
        <w:pStyle w:val="SingleTxt"/>
        <w:rPr>
          <w:rFonts w:hint="eastAsia"/>
        </w:rPr>
      </w:pPr>
      <w:r>
        <w:rPr>
          <w:rFonts w:hint="eastAsia"/>
        </w:rPr>
        <w:t>15.</w:t>
      </w:r>
      <w:r>
        <w:rPr>
          <w:rFonts w:hint="eastAsia"/>
        </w:rPr>
        <w:tab/>
        <w:t>委员会感到遗憾的是，委员会在审议缔约国的第四次和第五次定期报告(CEDAW/C/JPN/4和CEDAW/C/JPN/5)后表示的关切和提出的建议，未得到认真对待。尤其是，委员会注意到没有处理以下问题：缺乏符合《公约》的关于歧视的定义、《民法》中的歧视规定、《公约》的知名度、劳动力市场上妇女的状况、妇女面临工资歧视以及妇女在高级别民选机构中任职人数不足。</w:t>
      </w:r>
    </w:p>
    <w:p w:rsidR="006A7EC8" w:rsidRDefault="006A7EC8" w:rsidP="006A7E67">
      <w:pPr>
        <w:pStyle w:val="SingleTxt"/>
        <w:spacing w:line="328" w:lineRule="exact"/>
        <w:rPr>
          <w:rFonts w:hint="eastAsia"/>
        </w:rPr>
      </w:pPr>
      <w:r>
        <w:rPr>
          <w:rFonts w:hint="eastAsia"/>
        </w:rPr>
        <w:t>16.</w:t>
      </w:r>
      <w:r>
        <w:rPr>
          <w:rFonts w:hint="eastAsia"/>
        </w:rPr>
        <w:tab/>
      </w:r>
      <w:r w:rsidRPr="00B97862">
        <w:rPr>
          <w:rFonts w:ascii="SimHei" w:eastAsia="SimHei" w:hint="eastAsia"/>
          <w:color w:val="FF0000"/>
        </w:rPr>
        <w:t>委员会敦促缔约国尽一切努力处理以前尚未得到执行的建议，以及处理在本结论意见中表达的关切，并在其下一次定期报告中汇报执行情况</w:t>
      </w:r>
      <w:r>
        <w:rPr>
          <w:rFonts w:hint="eastAsia"/>
        </w:rPr>
        <w:t>。</w:t>
      </w:r>
    </w:p>
    <w:p w:rsidR="006A7EC8" w:rsidRDefault="00B97862" w:rsidP="00B9786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006A7EC8">
        <w:rPr>
          <w:rFonts w:hint="eastAsia"/>
        </w:rPr>
        <w:t>歧视性立法</w:t>
      </w:r>
    </w:p>
    <w:p w:rsidR="00B97862" w:rsidRPr="00B97862" w:rsidRDefault="00B97862" w:rsidP="00B97862">
      <w:pPr>
        <w:pStyle w:val="SingleTxt"/>
        <w:spacing w:after="0" w:line="120" w:lineRule="exact"/>
        <w:rPr>
          <w:rFonts w:hint="eastAsia"/>
          <w:sz w:val="10"/>
        </w:rPr>
      </w:pPr>
    </w:p>
    <w:p w:rsidR="006A7EC8" w:rsidRDefault="006A7EC8" w:rsidP="006A7E67">
      <w:pPr>
        <w:pStyle w:val="SingleTxt"/>
        <w:spacing w:line="328" w:lineRule="exact"/>
        <w:rPr>
          <w:rFonts w:hint="eastAsia"/>
        </w:rPr>
      </w:pPr>
      <w:r>
        <w:rPr>
          <w:rFonts w:hint="eastAsia"/>
        </w:rPr>
        <w:t>17.</w:t>
      </w:r>
      <w:r>
        <w:rPr>
          <w:rFonts w:hint="eastAsia"/>
        </w:rPr>
        <w:tab/>
        <w:t>委员会关注的是，尽管它在以往的结论性意见中已提出了相关建议，《民法》中仍然有一些歧视性法律规定有待废除。这些规定涉及最低结婚年龄，妇女离婚后再婚需等待的时间、以及结婚夫妇对姓氏的选择。委员会还关注的是，家庭登记制度和关于继承权的规定使非婚生儿童继续受到歧视。委员会关切地注意到，缔约国用民意调查来作为在废除歧视性立法方面缺乏进展的理由。</w:t>
      </w:r>
    </w:p>
    <w:p w:rsidR="006A7EC8" w:rsidRDefault="006A7EC8" w:rsidP="006A7E67">
      <w:pPr>
        <w:pStyle w:val="SingleTxt"/>
        <w:spacing w:line="328" w:lineRule="exact"/>
        <w:rPr>
          <w:rFonts w:hint="eastAsia"/>
        </w:rPr>
      </w:pPr>
      <w:r>
        <w:rPr>
          <w:rFonts w:hint="eastAsia"/>
        </w:rPr>
        <w:t>18.</w:t>
      </w:r>
      <w:r>
        <w:rPr>
          <w:rFonts w:hint="eastAsia"/>
        </w:rPr>
        <w:tab/>
      </w:r>
      <w:r w:rsidRPr="00B97862">
        <w:rPr>
          <w:rFonts w:ascii="SimHei" w:eastAsia="SimHei" w:hint="eastAsia"/>
          <w:color w:val="FF0000"/>
        </w:rPr>
        <w:t>委员会敦促缔约国立即采取行动，修订《民法》，以便把最低结婚年龄定为妇女和男子都是18岁，取消关于妇女再婚须等待6个月、而是男子却无需等待的规定，并通过一种制度，使已婚夫妇可选择其姓氏。委员会还敦促该缔约国废除《民法》和《家庭登记法》中的歧视性规定，这些规定歧视非婚生子女及其母亲。委员会指出，缔约国根据在批准该《公约》时所承担的义务不应仅以民意调查结果为准，还应根据其负有的使国家法律符合《公约》规定这一义务，因为这是其国家法律制度的一部分</w:t>
      </w:r>
      <w:r>
        <w:rPr>
          <w:rFonts w:hint="eastAsia"/>
        </w:rPr>
        <w:t>。</w:t>
      </w:r>
    </w:p>
    <w:p w:rsidR="006A7EC8" w:rsidRDefault="00B97862" w:rsidP="00B9786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006A7EC8">
        <w:rPr>
          <w:rFonts w:hint="eastAsia"/>
        </w:rPr>
        <w:t>《公约》的法律地位和知名度</w:t>
      </w:r>
    </w:p>
    <w:p w:rsidR="00B97862" w:rsidRPr="00B97862" w:rsidRDefault="00B97862" w:rsidP="00B97862">
      <w:pPr>
        <w:pStyle w:val="SingleTxt"/>
        <w:spacing w:after="0" w:line="120" w:lineRule="exact"/>
        <w:rPr>
          <w:rFonts w:hint="eastAsia"/>
          <w:sz w:val="10"/>
        </w:rPr>
      </w:pPr>
    </w:p>
    <w:p w:rsidR="006A7EC8" w:rsidRDefault="006A7EC8" w:rsidP="006A7E67">
      <w:pPr>
        <w:pStyle w:val="SingleTxt"/>
        <w:spacing w:line="328" w:lineRule="exact"/>
        <w:rPr>
          <w:rFonts w:hint="eastAsia"/>
        </w:rPr>
      </w:pPr>
      <w:r>
        <w:rPr>
          <w:rFonts w:hint="eastAsia"/>
        </w:rPr>
        <w:t>19.</w:t>
      </w:r>
      <w:r>
        <w:rPr>
          <w:rFonts w:hint="eastAsia"/>
        </w:rPr>
        <w:tab/>
      </w:r>
      <w:r w:rsidRPr="00B97862">
        <w:rPr>
          <w:rFonts w:hint="eastAsia"/>
        </w:rPr>
        <w:t>委员会感到关切的是，缔约国未将《公约》视为具有约束力的人权文书和消除对妇女一切形式歧视以及提高妇女地位的基础，因而未给予《公约》至关重要的地位。在这方面，委员会注意到缔约国《宪法》第98条第2款规定，经批准和颁布的各项条约即成为其国内法律的一部分，具有法律效力，但委员会感到关切的是，《公约》条款系非自动执行条款，不能在法庭诉讼程序中直接适用。</w:t>
      </w:r>
    </w:p>
    <w:p w:rsidR="006A7EC8" w:rsidRDefault="006A7EC8" w:rsidP="006A7E67">
      <w:pPr>
        <w:pStyle w:val="SingleTxt"/>
        <w:spacing w:line="328" w:lineRule="exact"/>
        <w:rPr>
          <w:rFonts w:hint="eastAsia"/>
        </w:rPr>
      </w:pPr>
      <w:r>
        <w:rPr>
          <w:rFonts w:hint="eastAsia"/>
        </w:rPr>
        <w:t>20.</w:t>
      </w:r>
      <w:r w:rsidRPr="00B97862">
        <w:rPr>
          <w:rFonts w:ascii="SimHei" w:eastAsia="SimHei" w:hint="eastAsia"/>
          <w:color w:val="FF0000"/>
        </w:rPr>
        <w:tab/>
        <w:t>委员会促请缔约国确认，《公约》是消除对妇女的歧视领域最相关、广泛和具有法律约束力的国际文书。委员会敦促缔约国立即采取措施，包括酌情作出处罚规定，确保《公约》在国内法律体系中全面适用，并将《公约》条款全面纳入国内立法。委员会又建议缔约国加紧努力，提高法官、检察官和律师对《公约》以及对委员会各项一般性建议的认识，确保他们熟悉《公约》的精神、</w:t>
      </w:r>
      <w:r w:rsidR="00C94EC3" w:rsidRPr="00B97862">
        <w:rPr>
          <w:rFonts w:ascii="SimHei" w:eastAsia="SimHei" w:hint="eastAsia"/>
          <w:color w:val="FF0000"/>
        </w:rPr>
        <w:t>目标和</w:t>
      </w:r>
      <w:r w:rsidR="00A65650" w:rsidRPr="00A65650">
        <w:rPr>
          <w:rFonts w:ascii="SimHei" w:eastAsia="SimHei" w:hint="eastAsia"/>
          <w:color w:val="FF0000"/>
        </w:rPr>
        <w:t>各项规定，并在司法程序中予以应用。委员会还建议缔约国采取措施，进一步提高</w:t>
      </w:r>
      <w:r w:rsidRPr="00B97862">
        <w:rPr>
          <w:rFonts w:ascii="SimHei" w:eastAsia="SimHei" w:hint="eastAsia"/>
          <w:color w:val="FF0000"/>
        </w:rPr>
        <w:t>公职人员对《公约》和两性平等的认识，并为他们提供这方面的能力建设方案。委员会重申其建议，即缔约国继续考虑批准《任择议定书》。并重申委员会坚信《任择议定书》提供的机制将推动司法部门直接适用《公约》，有助于司法部门了解歧视妇女的问题。</w:t>
      </w:r>
    </w:p>
    <w:p w:rsidR="006A7EC8" w:rsidRDefault="00B97862" w:rsidP="00B9786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006A7EC8">
        <w:rPr>
          <w:rFonts w:hint="eastAsia"/>
        </w:rPr>
        <w:t>歧视的定义</w:t>
      </w:r>
    </w:p>
    <w:p w:rsidR="00B97862" w:rsidRPr="00B97862" w:rsidRDefault="00B97862" w:rsidP="00B97862">
      <w:pPr>
        <w:pStyle w:val="SingleTxt"/>
        <w:spacing w:after="0" w:line="120" w:lineRule="exact"/>
        <w:rPr>
          <w:rFonts w:hint="eastAsia"/>
          <w:sz w:val="10"/>
        </w:rPr>
      </w:pPr>
    </w:p>
    <w:p w:rsidR="006A7EC8" w:rsidRPr="006A7E67" w:rsidRDefault="006A7EC8" w:rsidP="006A7E67">
      <w:pPr>
        <w:pStyle w:val="SingleTxt"/>
        <w:spacing w:line="332" w:lineRule="exact"/>
        <w:rPr>
          <w:rFonts w:hint="eastAsia"/>
          <w:spacing w:val="4"/>
        </w:rPr>
      </w:pPr>
      <w:r w:rsidRPr="006A7E67">
        <w:rPr>
          <w:rFonts w:hint="eastAsia"/>
          <w:spacing w:val="4"/>
        </w:rPr>
        <w:t>21.</w:t>
      </w:r>
      <w:r w:rsidRPr="006A7E67">
        <w:rPr>
          <w:rFonts w:hint="eastAsia"/>
          <w:spacing w:val="4"/>
        </w:rPr>
        <w:tab/>
        <w:t>委员会注意到《宪法》载有男女平等原则，但委员会仍感到关切的是，未能根据《公约》第1条的规定将《公约》和对歧视妇女的具体定义直接、明确地纳入国内立法。委员会感到遗憾的是，2006年修订的《确保男女享有平等就业机会和待遇法》(下简称《平等就业机会法》)没有纳入这项定义，而是提出了关于间接歧视的狭窄定义。委员会忆及，没有对歧视妇女(包括公共和私人领域的直接和间接歧视)的定义作出具体规定，阻碍了在缔约国全面适用《公约》。</w:t>
      </w:r>
    </w:p>
    <w:p w:rsidR="006A7EC8" w:rsidRDefault="006A7EC8" w:rsidP="006A7E67">
      <w:pPr>
        <w:pStyle w:val="SingleTxt"/>
        <w:spacing w:line="332" w:lineRule="exact"/>
        <w:rPr>
          <w:rFonts w:hint="eastAsia"/>
        </w:rPr>
      </w:pPr>
      <w:r>
        <w:rPr>
          <w:rFonts w:hint="eastAsia"/>
        </w:rPr>
        <w:t>22.</w:t>
      </w:r>
      <w:r>
        <w:rPr>
          <w:rFonts w:hint="eastAsia"/>
        </w:rPr>
        <w:tab/>
      </w:r>
      <w:r w:rsidRPr="00B97862">
        <w:rPr>
          <w:rFonts w:ascii="SimHei" w:eastAsia="SimHei" w:hint="eastAsia"/>
          <w:color w:val="FF0000"/>
        </w:rPr>
        <w:t>委员会吁请缔约国采取紧急步骤，将《公约》和《公约》第1条所载的歧视妇女定义充分纳入国内法律，并在下一次定期报告中汇报这方面的进展</w:t>
      </w:r>
      <w:r>
        <w:rPr>
          <w:rFonts w:hint="eastAsia"/>
        </w:rPr>
        <w:t>。</w:t>
      </w:r>
    </w:p>
    <w:p w:rsidR="006A7EC8" w:rsidRDefault="00B97862" w:rsidP="00B9786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006A7EC8">
        <w:rPr>
          <w:rFonts w:hint="eastAsia"/>
        </w:rPr>
        <w:t>国家人权机构</w:t>
      </w:r>
    </w:p>
    <w:p w:rsidR="00B97862" w:rsidRPr="00B97862" w:rsidRDefault="00B97862" w:rsidP="00B97862">
      <w:pPr>
        <w:pStyle w:val="SingleTxt"/>
        <w:spacing w:after="0" w:line="120" w:lineRule="exact"/>
        <w:rPr>
          <w:rFonts w:hint="eastAsia"/>
          <w:sz w:val="10"/>
        </w:rPr>
      </w:pPr>
    </w:p>
    <w:p w:rsidR="006A7EC8" w:rsidRDefault="006A7EC8" w:rsidP="006A7E67">
      <w:pPr>
        <w:pStyle w:val="SingleTxt"/>
        <w:spacing w:line="332" w:lineRule="exact"/>
        <w:rPr>
          <w:rFonts w:hint="eastAsia"/>
        </w:rPr>
      </w:pPr>
      <w:r>
        <w:rPr>
          <w:rFonts w:hint="eastAsia"/>
        </w:rPr>
        <w:t>23.</w:t>
      </w:r>
      <w:r>
        <w:rPr>
          <w:rFonts w:hint="eastAsia"/>
        </w:rPr>
        <w:tab/>
        <w:t>委员会感到遗憾的是，尽管委员会在上一次结论意见中提出了相关建议，其他条约机构也强调了这个问题，但至今还未根据关于国家机构地位的原则(见大会第48/134号决议，附件)设立一个独立的国家人权机构，执行广泛任务，包括保护和促进妇女人权。</w:t>
      </w:r>
    </w:p>
    <w:p w:rsidR="006A7EC8" w:rsidRPr="00C94EC3" w:rsidRDefault="006A7EC8" w:rsidP="006A7E67">
      <w:pPr>
        <w:pStyle w:val="SingleTxt"/>
        <w:spacing w:line="332" w:lineRule="exact"/>
        <w:rPr>
          <w:rFonts w:hint="eastAsia"/>
          <w:spacing w:val="-2"/>
        </w:rPr>
      </w:pPr>
      <w:r w:rsidRPr="00C94EC3">
        <w:rPr>
          <w:rFonts w:hint="eastAsia"/>
          <w:spacing w:val="-2"/>
        </w:rPr>
        <w:t>24.</w:t>
      </w:r>
      <w:r w:rsidRPr="00C94EC3">
        <w:rPr>
          <w:rFonts w:hint="eastAsia"/>
          <w:spacing w:val="-2"/>
        </w:rPr>
        <w:tab/>
      </w:r>
      <w:r w:rsidRPr="00C94EC3">
        <w:rPr>
          <w:rFonts w:ascii="SimHei" w:eastAsia="SimHei" w:hint="eastAsia"/>
          <w:color w:val="FF0000"/>
          <w:spacing w:val="-2"/>
        </w:rPr>
        <w:t>考虑到普遍定期审查进程结束时日本在人权理事会上作出的答复(见A/HRC/8/44/Add.1，第1(a)段)，委员会建议缔约国根据上述原则，在明确的时间框架内设立一个独立的国家人权机构，其主管权限将包括与男女平等有关的问题</w:t>
      </w:r>
      <w:r w:rsidRPr="00C94EC3">
        <w:rPr>
          <w:rFonts w:hint="eastAsia"/>
          <w:spacing w:val="-2"/>
        </w:rPr>
        <w:t>。</w:t>
      </w:r>
    </w:p>
    <w:p w:rsidR="006A7EC8" w:rsidRDefault="00B97862" w:rsidP="00B9786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006A7EC8">
        <w:rPr>
          <w:rFonts w:hint="eastAsia"/>
        </w:rPr>
        <w:t>提高妇女地位国家机构</w:t>
      </w:r>
    </w:p>
    <w:p w:rsidR="00B97862" w:rsidRPr="00B97862" w:rsidRDefault="00B97862" w:rsidP="00B97862">
      <w:pPr>
        <w:pStyle w:val="SingleTxt"/>
        <w:spacing w:after="0" w:line="120" w:lineRule="exact"/>
        <w:rPr>
          <w:rFonts w:hint="eastAsia"/>
          <w:sz w:val="10"/>
        </w:rPr>
      </w:pPr>
    </w:p>
    <w:p w:rsidR="006A7EC8" w:rsidRDefault="006A7EC8" w:rsidP="006A7E67">
      <w:pPr>
        <w:pStyle w:val="SingleTxt"/>
        <w:spacing w:line="332" w:lineRule="exact"/>
        <w:rPr>
          <w:rFonts w:hint="eastAsia"/>
        </w:rPr>
      </w:pPr>
      <w:r>
        <w:rPr>
          <w:rFonts w:hint="eastAsia"/>
        </w:rPr>
        <w:t>25.</w:t>
      </w:r>
      <w:r>
        <w:rPr>
          <w:rFonts w:hint="eastAsia"/>
        </w:rPr>
        <w:tab/>
        <w:t>委员会欣见2005年10月设立了两性平等和社会事务国务相，但委员会感到关切的是，首相府两性平等事务局作为国家两性平等机构制的秘书处，缺乏履行其职能所需的职权和适当财政资源。委员会对报告中没有提供关于第二个《两性平等基本计划》所取得成果的资料感到遗憾。</w:t>
      </w:r>
    </w:p>
    <w:p w:rsidR="006A7EC8" w:rsidRDefault="006A7EC8" w:rsidP="006A7E67">
      <w:pPr>
        <w:pStyle w:val="SingleTxt"/>
        <w:spacing w:line="332" w:lineRule="exact"/>
        <w:rPr>
          <w:rFonts w:hint="eastAsia"/>
        </w:rPr>
      </w:pPr>
      <w:r>
        <w:rPr>
          <w:rFonts w:hint="eastAsia"/>
        </w:rPr>
        <w:t>26.</w:t>
      </w:r>
      <w:r>
        <w:rPr>
          <w:rFonts w:hint="eastAsia"/>
        </w:rPr>
        <w:tab/>
      </w:r>
      <w:r w:rsidRPr="00B97862">
        <w:rPr>
          <w:rFonts w:ascii="SimHei" w:eastAsia="SimHei" w:hint="eastAsia"/>
          <w:color w:val="FF0000"/>
        </w:rPr>
        <w:t>委员会建议缔约国进一步加强国家提高妇女地位机制，其方法包括：明确规定各部门、特别是两性平等和社会事务国务相与两性平等事务局之间的职权和责任，增进其相互之间的合作，并提供财政和人力资源。委员会还建议，将《公约》作为制定第三个《两性平等基本计划》的法律框架，并建立监测机制，以定期评估实现既定目标的进展情况</w:t>
      </w:r>
      <w:r>
        <w:rPr>
          <w:rFonts w:hint="eastAsia"/>
        </w:rPr>
        <w:t>。</w:t>
      </w:r>
    </w:p>
    <w:p w:rsidR="006A7EC8" w:rsidRDefault="00B97862" w:rsidP="00B9786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006A7EC8">
        <w:rPr>
          <w:rFonts w:hint="eastAsia"/>
        </w:rPr>
        <w:t>暂行特别措施</w:t>
      </w:r>
    </w:p>
    <w:p w:rsidR="00C94EC3" w:rsidRPr="00C94EC3" w:rsidRDefault="00C94EC3" w:rsidP="00C94EC3">
      <w:pPr>
        <w:pStyle w:val="SingleTxt"/>
        <w:spacing w:after="0" w:line="120" w:lineRule="exact"/>
        <w:rPr>
          <w:rFonts w:hint="eastAsia"/>
          <w:sz w:val="10"/>
        </w:rPr>
      </w:pPr>
    </w:p>
    <w:p w:rsidR="006A7EC8" w:rsidRDefault="006A7EC8" w:rsidP="006A7E67">
      <w:pPr>
        <w:pStyle w:val="SingleTxt"/>
        <w:spacing w:line="332" w:lineRule="exact"/>
        <w:rPr>
          <w:rFonts w:hint="eastAsia"/>
        </w:rPr>
      </w:pPr>
      <w:r>
        <w:rPr>
          <w:rFonts w:hint="eastAsia"/>
        </w:rPr>
        <w:t>27.</w:t>
      </w:r>
      <w:r>
        <w:rPr>
          <w:rFonts w:hint="eastAsia"/>
        </w:rPr>
        <w:tab/>
        <w:t>委员会遗憾地注意到，缔约国没有为加快实现实际男女平等或改善妇女享有其权利的状况而采取暂行特别措施，特别是在就业妇女和妇女参与政治生活和公共生活方面。</w:t>
      </w:r>
    </w:p>
    <w:p w:rsidR="006A7EC8" w:rsidRDefault="006A7EC8" w:rsidP="006A7EC8">
      <w:pPr>
        <w:pStyle w:val="SingleTxt"/>
        <w:rPr>
          <w:rFonts w:hint="eastAsia"/>
        </w:rPr>
      </w:pPr>
      <w:r>
        <w:rPr>
          <w:rFonts w:hint="eastAsia"/>
        </w:rPr>
        <w:t>28.</w:t>
      </w:r>
      <w:r>
        <w:rPr>
          <w:rFonts w:hint="eastAsia"/>
        </w:rPr>
        <w:tab/>
      </w:r>
      <w:r w:rsidRPr="00B97862">
        <w:rPr>
          <w:rFonts w:ascii="SimHei" w:eastAsia="SimHei" w:hint="eastAsia"/>
          <w:color w:val="FF0000"/>
        </w:rPr>
        <w:t>委员会敦促缔约国根据《公约》第4条第1款和委员会第25号一般性建议采取暂行特别措施，将妇女就业以及妇女参与政治生活和公共生活(包括妇女参与学术界)作为重点领域，并制定增加妇女在各级决策职务中所占比例的数字目标和时间表</w:t>
      </w:r>
      <w:r>
        <w:rPr>
          <w:rFonts w:hint="eastAsia"/>
        </w:rPr>
        <w:t>。</w:t>
      </w:r>
    </w:p>
    <w:p w:rsidR="006A7EC8" w:rsidRDefault="00B97862" w:rsidP="00B9786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006A7EC8">
        <w:rPr>
          <w:rFonts w:hint="eastAsia"/>
        </w:rPr>
        <w:t>陈规定型观念</w:t>
      </w:r>
    </w:p>
    <w:p w:rsidR="00B97862" w:rsidRPr="00B97862" w:rsidRDefault="00B97862" w:rsidP="00B97862">
      <w:pPr>
        <w:pStyle w:val="SingleTxt"/>
        <w:spacing w:after="0" w:line="120" w:lineRule="exact"/>
        <w:rPr>
          <w:rFonts w:hint="eastAsia"/>
          <w:sz w:val="10"/>
        </w:rPr>
      </w:pPr>
    </w:p>
    <w:p w:rsidR="006A7EC8" w:rsidRDefault="006A7EC8" w:rsidP="006A7E67">
      <w:pPr>
        <w:pStyle w:val="SingleTxt"/>
        <w:spacing w:line="328" w:lineRule="exact"/>
        <w:rPr>
          <w:rFonts w:hint="eastAsia"/>
        </w:rPr>
      </w:pPr>
      <w:r>
        <w:rPr>
          <w:rFonts w:hint="eastAsia"/>
        </w:rPr>
        <w:t>29.</w:t>
      </w:r>
      <w:r>
        <w:rPr>
          <w:rFonts w:hint="eastAsia"/>
        </w:rPr>
        <w:tab/>
        <w:t>委员会感到关切的是，尽管持续存在男女不平等，但据报告缔约国内承认和促进妇女人权的活动却遭遇抵制。委员会仍然关切的是，日本家庭内和社会上在男女角色和责任方面持续存在着重男轻女态度和根深蒂固的定型观念，这很可能阻碍妇女行使和享有人权。委员会注意到，这种持续存在的状况尤其反映在新闻媒体及教科书和各种教材中，所有这一切都影响妇女的传统教育选择，助长不平等分担家庭和家务责任，导致她们在劳动力市场上处境不利，在政治生活和公共生活及决策职位中的人数较少。委员会还感到关切的是，陈规定型态度在媒体中特别普遍，媒体常常以定型方式描绘男女，而且越来越淫秽。对妇女过分性化的描绘加强了现有的关于妇女是性玩物的定型观念，继续使女孩缺少自尊。委员会表示关切的是，公职人员性别歧视性言论的发生率较高，却没有采取措施来防止和惩治对妇女的语言暴力行为。</w:t>
      </w:r>
    </w:p>
    <w:p w:rsidR="006A7EC8" w:rsidRDefault="006A7EC8" w:rsidP="006A7E67">
      <w:pPr>
        <w:pStyle w:val="SingleTxt"/>
        <w:spacing w:line="328" w:lineRule="exact"/>
        <w:rPr>
          <w:rFonts w:hint="eastAsia"/>
        </w:rPr>
      </w:pPr>
      <w:r>
        <w:rPr>
          <w:rFonts w:hint="eastAsia"/>
        </w:rPr>
        <w:t>30.</w:t>
      </w:r>
      <w:r>
        <w:rPr>
          <w:rFonts w:hint="eastAsia"/>
        </w:rPr>
        <w:tab/>
      </w:r>
      <w:r w:rsidRPr="00B97862">
        <w:rPr>
          <w:rFonts w:ascii="SimHei" w:eastAsia="SimHei" w:hint="eastAsia"/>
          <w:color w:val="FF0000"/>
        </w:rPr>
        <w:t>委员会呼吁缔约国进一步加强努力，采取主动积极和持续的措施，通过提高认识和宣传教育，消除人们对男女角色和责任的陈规定型态度。委员会建议缔约国根据《公约》第5条的规定，鼓励大众媒体推动文化变革，改变关于妇女和男子的适当角色和任务的观念。委员会要求缔约国加强各级教育机构教学和辅导人员的两性平等问题教育和在职培训，迅速完成修订所有教科书和教材，以消除性别陈规定型观念。委员会敦促缔约国采取措施，包括将语言暴力定为犯罪，以确保政府官员不发表诋毁言论，贬低妇女并助长歧视妇女的重男轻女制度。委员会还敦促缔约国加强其在媒体和广告中制止淫秽和性化的战略，并在下一次定期报告中汇报实施情况。委员会呼吁缔约国采取积极预防措施，包括鼓励通过和实施自律措施，以确保媒体制作和报道的节目不带歧视性，促进女孩和妇女的正面形象，并提高媒体业主和行业中其他相关行为者对这些问题的认识</w:t>
      </w:r>
      <w:r>
        <w:rPr>
          <w:rFonts w:hint="eastAsia"/>
        </w:rPr>
        <w:t>。</w:t>
      </w:r>
    </w:p>
    <w:p w:rsidR="006A7EC8" w:rsidRDefault="00B97862" w:rsidP="00B9786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006A7EC8">
        <w:rPr>
          <w:rFonts w:hint="eastAsia"/>
        </w:rPr>
        <w:t>暴力侵害妇女行为</w:t>
      </w:r>
    </w:p>
    <w:p w:rsidR="00B97862" w:rsidRPr="00B97862" w:rsidRDefault="00B97862" w:rsidP="00B97862">
      <w:pPr>
        <w:pStyle w:val="SingleTxt"/>
        <w:spacing w:after="0" w:line="120" w:lineRule="exact"/>
        <w:rPr>
          <w:rFonts w:hint="eastAsia"/>
          <w:sz w:val="10"/>
        </w:rPr>
      </w:pPr>
    </w:p>
    <w:p w:rsidR="006A7EC8" w:rsidRDefault="006A7EC8" w:rsidP="006A7E67">
      <w:pPr>
        <w:pStyle w:val="SingleTxt"/>
        <w:spacing w:line="340" w:lineRule="exact"/>
        <w:rPr>
          <w:rFonts w:hint="eastAsia"/>
        </w:rPr>
      </w:pPr>
      <w:r>
        <w:rPr>
          <w:rFonts w:hint="eastAsia"/>
        </w:rPr>
        <w:t>31.</w:t>
      </w:r>
      <w:r>
        <w:rPr>
          <w:rFonts w:hint="eastAsia"/>
        </w:rPr>
        <w:tab/>
        <w:t>委员会欣见缔约国自提交前一次定期报告以来为打击对妇女的暴力和性暴力行为作出的各种努力，包括修改《预防配偶暴力和保护受害者法》(国内立法)。该法加强签发保护令体系，并要求各市建立辅导和支持中心。委员会仍然关切的是，国内立法没有涵盖关系亲密者之间发生的所有形式的暴力，请求签发保护令和实际签发之间的时间可能会进一步危及受害者的生命。家庭暴力和性暴力的女性受害者在申诉和寻求保护时面临各种障碍，这也使委员会还感到关切。委员会特别关切的是，移民妇女、少数民族妇女和弱势妇女群体在这方面处境堪忧，可能阻止她们举报家庭暴力和性暴力。委员会还对没有提供有关一切形式暴力侵害妇女行为普遍程度的资料和数据表示关切。</w:t>
      </w:r>
    </w:p>
    <w:p w:rsidR="006A7EC8" w:rsidRDefault="006A7EC8" w:rsidP="006A7E67">
      <w:pPr>
        <w:pStyle w:val="SingleTxt"/>
        <w:spacing w:line="340" w:lineRule="exact"/>
        <w:rPr>
          <w:rFonts w:hint="eastAsia"/>
        </w:rPr>
      </w:pPr>
      <w:r>
        <w:rPr>
          <w:rFonts w:hint="eastAsia"/>
        </w:rPr>
        <w:t>32.</w:t>
      </w:r>
      <w:r>
        <w:rPr>
          <w:rFonts w:hint="eastAsia"/>
        </w:rPr>
        <w:tab/>
      </w:r>
      <w:r w:rsidRPr="00B97862">
        <w:rPr>
          <w:rFonts w:ascii="SimHei" w:eastAsia="SimHei" w:hint="eastAsia"/>
          <w:color w:val="FF0000"/>
        </w:rPr>
        <w:t>委员会吁请缔约国将暴力侵害妇女行为作为一种侵犯妇女人权的行为处理，并在处理一切形式的暴力侵害妇女行为的过程中充分利用委员会的第19号一般性建议。委员会促请缔约国加强提高认识活动，使人们认识到所有此类暴力，包括家庭暴力，均是不可接受的行为。委员会建议缔约国加强其关于暴力侵害妇女行为的工作，加快签发保护令的速度，并开设二十四小时免费热线电话，为暴力侵害妇女行为的女性受害者提供咨询。委员会还建议，缔约国应确保向妇女，包括移民妇女和弱势妇女群体，提供高质量的支助服务，使她们能够提出申诉、寻求保护和获得补救，从而确保她们不必陷于暴力或虐待关系中。在这方面，缔约国应采取必要措施，便利举报家庭暴力和性暴力。委员会建议缔约国在全国各地执行针对这些易受伤害妇女群体的全面的提高认识方案。它吁请缔约国确保公职人员，特别是执法人员、司法人员、保健提供者和社会工作者，充分了解相关法律规定，对一切形式暴力侵害妇女行为有敏感认识，并确保他们能够向受害者提供充分支助。委员会敦促缔约国就包括家庭暴力在内的一切形式的暴力侵害妇女行为的普遍程度、根源及后果收集数据和进行调查，并使用此类数据作为今后制定综合措施和定向干预措施的依据。委员会请缔约国在下一次定期报告中列入统计数据和所采取措施的结果</w:t>
      </w:r>
      <w:r>
        <w:rPr>
          <w:rFonts w:hint="eastAsia"/>
        </w:rPr>
        <w:t>。</w:t>
      </w:r>
    </w:p>
    <w:p w:rsidR="006A7EC8" w:rsidRDefault="006A7EC8" w:rsidP="006A7E67">
      <w:pPr>
        <w:pStyle w:val="SingleTxt"/>
        <w:spacing w:line="340" w:lineRule="exact"/>
        <w:rPr>
          <w:rFonts w:hint="eastAsia"/>
        </w:rPr>
      </w:pPr>
      <w:r>
        <w:rPr>
          <w:rFonts w:hint="eastAsia"/>
        </w:rPr>
        <w:t>33.</w:t>
      </w:r>
      <w:r>
        <w:rPr>
          <w:rFonts w:hint="eastAsia"/>
        </w:rPr>
        <w:tab/>
        <w:t>委员会感到关切的是，根据《刑法》，性暴力罪行必须根据受害者的申诉起诉，而且仍被视为危害道德罪。委员会还仍然感到关切的是，对强奸的处罚仍然较轻，《刑法》没有将乱伦和婚内强奸明确定义为犯罪。</w:t>
      </w:r>
    </w:p>
    <w:p w:rsidR="006A7EC8" w:rsidRDefault="006A7EC8" w:rsidP="006A7E67">
      <w:pPr>
        <w:pStyle w:val="SingleTxt"/>
        <w:spacing w:line="340" w:lineRule="exact"/>
        <w:rPr>
          <w:rFonts w:hint="eastAsia"/>
        </w:rPr>
      </w:pPr>
      <w:r>
        <w:rPr>
          <w:rFonts w:hint="eastAsia"/>
        </w:rPr>
        <w:t>34.</w:t>
      </w:r>
      <w:r w:rsidRPr="00B97862">
        <w:rPr>
          <w:rFonts w:ascii="SimHei" w:eastAsia="SimHei" w:hint="eastAsia"/>
          <w:color w:val="FF0000"/>
        </w:rPr>
        <w:tab/>
        <w:t>委员会敦促缔约国在其《刑法》中取消须受害者申诉才能起诉性暴力犯罪的要求，将性犯罪定义为侵犯妇女的人身安全和身体不受伤害权利的犯罪行为，加重对强奸的刑罚，并将乱伦定为一种罪行</w:t>
      </w:r>
      <w:r>
        <w:rPr>
          <w:rFonts w:hint="eastAsia"/>
        </w:rPr>
        <w:t>。</w:t>
      </w:r>
    </w:p>
    <w:p w:rsidR="006A7EC8" w:rsidRDefault="006A7EC8" w:rsidP="006A7E67">
      <w:pPr>
        <w:pStyle w:val="SingleTxt"/>
        <w:spacing w:line="340" w:lineRule="exact"/>
        <w:rPr>
          <w:rFonts w:hint="eastAsia"/>
        </w:rPr>
      </w:pPr>
      <w:r>
        <w:rPr>
          <w:rFonts w:hint="eastAsia"/>
        </w:rPr>
        <w:t>35.</w:t>
      </w:r>
      <w:r>
        <w:rPr>
          <w:rFonts w:hint="eastAsia"/>
        </w:rPr>
        <w:tab/>
        <w:t>委员会欣见为打击儿童卖淫采取了立法措施，如修订《禁止儿童卖淫和儿童色情制品法》，以提高该法所涉犯罪的最长刑期。但委员会对缔约国内性暴力标准化感到关切，这反映在描述强奸、轮奸，跟踪和猥亵妇女及女孩的黄色视频游戏和漫画的普遍流行。委员会关切地注意到，这些视频游戏和漫画在《禁止儿童卖淫和儿童色情法》中的儿童色情制品的法律定义之外。</w:t>
      </w:r>
    </w:p>
    <w:p w:rsidR="006A7EC8" w:rsidRDefault="006A7EC8" w:rsidP="006A7E67">
      <w:pPr>
        <w:pStyle w:val="SingleTxt"/>
        <w:spacing w:line="340" w:lineRule="exact"/>
        <w:rPr>
          <w:rFonts w:hint="eastAsia"/>
        </w:rPr>
      </w:pPr>
      <w:r>
        <w:rPr>
          <w:rFonts w:hint="eastAsia"/>
        </w:rPr>
        <w:t>36.</w:t>
      </w:r>
      <w:r>
        <w:rPr>
          <w:rFonts w:hint="eastAsia"/>
        </w:rPr>
        <w:tab/>
        <w:t>委员会强烈敦促缔约国禁止出售涉及强奸和对妇女实施性暴力的视频游戏或漫画，这类游戏和漫画宣扬对妇女和女孩的性暴力，使之标准化。委员会还建议，正如该国代表团在建设性对话中口头保证那样，缔约国将把这个问题纳入其《禁止儿童卖淫和儿童色情制品法》修订版。</w:t>
      </w:r>
    </w:p>
    <w:p w:rsidR="006A7EC8" w:rsidRDefault="006A7EC8" w:rsidP="006A7E67">
      <w:pPr>
        <w:pStyle w:val="SingleTxt"/>
        <w:spacing w:line="336" w:lineRule="exact"/>
        <w:rPr>
          <w:rFonts w:hint="eastAsia"/>
        </w:rPr>
      </w:pPr>
      <w:r>
        <w:rPr>
          <w:rFonts w:hint="eastAsia"/>
        </w:rPr>
        <w:t>37.</w:t>
      </w:r>
      <w:r>
        <w:rPr>
          <w:rFonts w:hint="eastAsia"/>
        </w:rPr>
        <w:tab/>
        <w:t>委员会注意到，缔约国采取了一些措施处理“慰安妇”问题，但令人遗憾的是，缔约国没有为第二次世界大战期间受迫害的“慰安妇”问题找到持久的解决办法，并对学校教科书删除提及此事之处表示关切。</w:t>
      </w:r>
    </w:p>
    <w:p w:rsidR="006A7EC8" w:rsidRDefault="006A7EC8" w:rsidP="006A7E67">
      <w:pPr>
        <w:pStyle w:val="SingleTxt"/>
        <w:spacing w:line="336" w:lineRule="exact"/>
        <w:rPr>
          <w:rFonts w:hint="eastAsia"/>
        </w:rPr>
      </w:pPr>
      <w:r>
        <w:rPr>
          <w:rFonts w:hint="eastAsia"/>
        </w:rPr>
        <w:t>38.</w:t>
      </w:r>
      <w:r>
        <w:rPr>
          <w:rFonts w:hint="eastAsia"/>
        </w:rPr>
        <w:tab/>
      </w:r>
      <w:r w:rsidRPr="00A67346">
        <w:rPr>
          <w:rFonts w:ascii="SimHei" w:eastAsia="SimHei" w:hint="eastAsia"/>
          <w:color w:val="FF0000"/>
        </w:rPr>
        <w:t>委员会重申其建议，即缔约国应紧急努力，为“慰安妇”问题寻找持久解决办法，包括赔偿受害者，起诉罪犯以及教育公众认识这些罪行</w:t>
      </w:r>
      <w:r>
        <w:rPr>
          <w:rFonts w:hint="eastAsia"/>
        </w:rPr>
        <w:t>。</w:t>
      </w:r>
    </w:p>
    <w:p w:rsidR="006A7EC8" w:rsidRDefault="00B97862" w:rsidP="00B9786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006A7EC8">
        <w:rPr>
          <w:rFonts w:hint="eastAsia"/>
        </w:rPr>
        <w:t>贩运和利用妇女卖淫营利</w:t>
      </w:r>
    </w:p>
    <w:p w:rsidR="00B97862" w:rsidRPr="00B97862" w:rsidRDefault="00B97862" w:rsidP="00B97862">
      <w:pPr>
        <w:pStyle w:val="SingleTxt"/>
        <w:spacing w:after="0" w:line="120" w:lineRule="exact"/>
        <w:rPr>
          <w:rFonts w:hint="eastAsia"/>
          <w:sz w:val="10"/>
        </w:rPr>
      </w:pPr>
    </w:p>
    <w:p w:rsidR="006A7EC8" w:rsidRDefault="006A7EC8" w:rsidP="006A7E67">
      <w:pPr>
        <w:pStyle w:val="SingleTxt"/>
        <w:spacing w:line="336" w:lineRule="exact"/>
        <w:rPr>
          <w:rFonts w:hint="eastAsia"/>
        </w:rPr>
      </w:pPr>
      <w:r>
        <w:rPr>
          <w:rFonts w:hint="eastAsia"/>
        </w:rPr>
        <w:t>39.</w:t>
      </w:r>
      <w:r>
        <w:rPr>
          <w:rFonts w:hint="eastAsia"/>
        </w:rPr>
        <w:tab/>
        <w:t>委员会欢迎缔约国努力打击贩运人口，例如建立匿名举报示范项目，但仍感关切的是，持续存在贩运妇女和女童及利用妇女卖淫营利的现象，以及缺乏使被贩运妇女获得康复的措施。委员会满意地注意到娱乐签证的发放数量急剧下降，但感到关切的是，有资料表明，实习和见习方案有可能被用于强迫劳动和性剥削目的。委员会还关切的是，根据《反卖淫法》，妓女会受到起诉，而嫖客却不会受到处罚。</w:t>
      </w:r>
    </w:p>
    <w:p w:rsidR="006A7EC8" w:rsidRDefault="006A7EC8" w:rsidP="006A7E67">
      <w:pPr>
        <w:pStyle w:val="SingleTxt"/>
        <w:spacing w:line="336" w:lineRule="exact"/>
        <w:rPr>
          <w:rFonts w:hint="eastAsia"/>
        </w:rPr>
      </w:pPr>
      <w:r>
        <w:rPr>
          <w:rFonts w:hint="eastAsia"/>
        </w:rPr>
        <w:t>40.</w:t>
      </w:r>
      <w:r>
        <w:rPr>
          <w:rFonts w:hint="eastAsia"/>
        </w:rPr>
        <w:tab/>
      </w:r>
      <w:r w:rsidRPr="006A7E67">
        <w:rPr>
          <w:rFonts w:ascii="SimHei" w:eastAsia="SimHei" w:hint="eastAsia"/>
          <w:color w:val="FF0000"/>
        </w:rPr>
        <w:t>委员会要求缔约国采取进一步措施，保护和支助贩运受害者，处理人口贩运和性剥削的根源，加大力度改善妇女的经济状况，从而消除妇女易遭剥削和被贩运的现象，并采取措施让从事卖淫而遭受剥削和被贩运的妇女和女孩得到康复，重新融入社会。委员会呼吁缔约国采取适当措施，包括设法减少对卖淫的需求，以取缔利用妇女卖淫营利的现象。委员会还促请缔约国采取措施，为妓女重新融入社会提供便利，并为从事卖淫而遭受剥削的妇女和女孩提供康复和增强其经济能力的方案。委员会要求缔约国继续密切监控实习和见习方案签证的签发情况。</w:t>
      </w:r>
      <w:r w:rsidRPr="00B97862">
        <w:rPr>
          <w:rFonts w:ascii="SimHei" w:eastAsia="SimHei" w:hint="eastAsia"/>
          <w:color w:val="FF0000"/>
        </w:rPr>
        <w:t>委员会呼吁缔约国批准《联合国打击跨国有组织犯罪公约关于预防、禁止和惩治贩运人口特别是妇女和儿童行为的补充议定书》</w:t>
      </w:r>
      <w:r>
        <w:rPr>
          <w:rFonts w:hint="eastAsia"/>
        </w:rPr>
        <w:t>。</w:t>
      </w:r>
    </w:p>
    <w:p w:rsidR="006A7EC8" w:rsidRDefault="00B97862" w:rsidP="00B9786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006A7EC8">
        <w:rPr>
          <w:rFonts w:hint="eastAsia"/>
        </w:rPr>
        <w:t>平等参与政治生活和公共生活</w:t>
      </w:r>
    </w:p>
    <w:p w:rsidR="00B97862" w:rsidRPr="00B97862" w:rsidRDefault="00B97862" w:rsidP="00B97862">
      <w:pPr>
        <w:pStyle w:val="SingleTxt"/>
        <w:spacing w:after="0" w:line="120" w:lineRule="exact"/>
        <w:rPr>
          <w:rFonts w:hint="eastAsia"/>
          <w:sz w:val="10"/>
        </w:rPr>
      </w:pPr>
    </w:p>
    <w:p w:rsidR="006A7EC8" w:rsidRDefault="006A7EC8" w:rsidP="006A7E67">
      <w:pPr>
        <w:pStyle w:val="SingleTxt"/>
        <w:spacing w:line="336" w:lineRule="exact"/>
        <w:rPr>
          <w:rFonts w:hint="eastAsia"/>
        </w:rPr>
      </w:pPr>
      <w:r>
        <w:rPr>
          <w:rFonts w:hint="eastAsia"/>
        </w:rPr>
        <w:t>41.</w:t>
      </w:r>
      <w:r>
        <w:rPr>
          <w:rFonts w:hint="eastAsia"/>
        </w:rPr>
        <w:tab/>
        <w:t>委员会关切的是，在政府、议会、地方议会、司法机构、学术界和外交部门，妇女在高级职位中所占比例较低。委员会注意到，缺乏有关少数民族妇女参与政治和公共生活的统计资料。</w:t>
      </w:r>
    </w:p>
    <w:p w:rsidR="006A7EC8" w:rsidRDefault="006A7EC8" w:rsidP="006A7E67">
      <w:pPr>
        <w:pStyle w:val="SingleTxt"/>
        <w:spacing w:line="336" w:lineRule="exact"/>
        <w:rPr>
          <w:rFonts w:hint="eastAsia"/>
        </w:rPr>
      </w:pPr>
      <w:r>
        <w:rPr>
          <w:rFonts w:hint="eastAsia"/>
        </w:rPr>
        <w:t>42.</w:t>
      </w:r>
      <w:r>
        <w:rPr>
          <w:rFonts w:hint="eastAsia"/>
        </w:rPr>
        <w:tab/>
      </w:r>
      <w:r w:rsidRPr="00B97862">
        <w:rPr>
          <w:rFonts w:ascii="SimHei" w:eastAsia="SimHei" w:hint="eastAsia"/>
          <w:color w:val="FF0000"/>
        </w:rPr>
        <w:t>委员会促请缔约国加强努力，特别依照《公约》第4条第1款和委员会第25号一般性建议，通过实施特别措施和其他措施，增加妇女参与政治和公共生活的代表人数，以加快实现男女事实上的平等。委员会鼓励缔约国确保妇女在政治和公共机构中的代表能充分体现人口的多样性。委员会要求缔约国在下一次定期报告中提供数据和资料，说明妇女，包括移民和少数民族妇女，在政治和公共生活、学术界和外交部门中的代表性。委员会吁请缔约国特别是在加快执行《公约》第7、8、10、11、12和14条方面，考虑利用一系列可能的措施，例如配额、基准、指标和奖励办法</w:t>
      </w:r>
      <w:r>
        <w:rPr>
          <w:rFonts w:hint="eastAsia"/>
        </w:rPr>
        <w:t>。</w:t>
      </w:r>
    </w:p>
    <w:p w:rsidR="006A7EC8" w:rsidRDefault="00B97862" w:rsidP="00B9786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006A7EC8">
        <w:rPr>
          <w:rFonts w:hint="eastAsia"/>
        </w:rPr>
        <w:t>教育</w:t>
      </w:r>
    </w:p>
    <w:p w:rsidR="00B97862" w:rsidRPr="00B97862" w:rsidRDefault="00B97862" w:rsidP="00B97862">
      <w:pPr>
        <w:pStyle w:val="SingleTxt"/>
        <w:spacing w:after="0" w:line="120" w:lineRule="exact"/>
        <w:rPr>
          <w:rFonts w:hint="eastAsia"/>
          <w:sz w:val="10"/>
        </w:rPr>
      </w:pPr>
    </w:p>
    <w:p w:rsidR="006A7EC8" w:rsidRDefault="006A7EC8" w:rsidP="006A7EC8">
      <w:pPr>
        <w:pStyle w:val="SingleTxt"/>
        <w:rPr>
          <w:rFonts w:hint="eastAsia"/>
        </w:rPr>
      </w:pPr>
      <w:r>
        <w:rPr>
          <w:rFonts w:hint="eastAsia"/>
        </w:rPr>
        <w:t>43.</w:t>
      </w:r>
      <w:r>
        <w:rPr>
          <w:rFonts w:hint="eastAsia"/>
        </w:rPr>
        <w:tab/>
        <w:t>委员会注意到，缔约国采取了许多举措，确保妇女与男子在教育领域享有平等权利，但感到关切的是，尽管遭到强烈反对，还是修订了《基本教育法》，删除了提及促进两性平等的第5条。委员会还关切地注意到，妇女仍然集中于传统的学习领域，在学术界，女性学生和教师所占比例偏低，尤其是在教授一级。</w:t>
      </w:r>
    </w:p>
    <w:p w:rsidR="006A7EC8" w:rsidRDefault="006A7EC8" w:rsidP="006A7EC8">
      <w:pPr>
        <w:pStyle w:val="SingleTxt"/>
        <w:rPr>
          <w:rFonts w:hint="eastAsia"/>
        </w:rPr>
      </w:pPr>
      <w:r>
        <w:rPr>
          <w:rFonts w:hint="eastAsia"/>
        </w:rPr>
        <w:t>44.</w:t>
      </w:r>
      <w:r>
        <w:rPr>
          <w:rFonts w:hint="eastAsia"/>
        </w:rPr>
        <w:tab/>
      </w:r>
      <w:r w:rsidRPr="00B97862">
        <w:rPr>
          <w:rFonts w:ascii="SimHei" w:eastAsia="SimHei" w:hint="eastAsia"/>
          <w:color w:val="FF0000"/>
        </w:rPr>
        <w:t>委员会建议缔约国认真考虑将促进两性平等的内容重新纳入《基本教育法》，从而使缔约国根据《公约》做出的保护妇女在教育领域享有充分权利的承诺融入国内法。委员会还促请缔约国确保教育政策包括各种措施，以鼓励女孩和妇女寻求在非传统领域接受教育和培训，并扩大她们在报酬更好的经济部门中的就业和职业发展机会。委员会建议，在第三个“两性平等基本计划”中，将大专院校女教师的比例配额提高20%以上，最终促进在大专院校逐步实现两性比例平等</w:t>
      </w:r>
      <w:r>
        <w:rPr>
          <w:rFonts w:hint="eastAsia"/>
        </w:rPr>
        <w:t>。</w:t>
      </w:r>
    </w:p>
    <w:p w:rsidR="006A7EC8" w:rsidRDefault="00B97862" w:rsidP="00B9786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006A7EC8">
        <w:rPr>
          <w:rFonts w:hint="eastAsia"/>
        </w:rPr>
        <w:t>就业</w:t>
      </w:r>
    </w:p>
    <w:p w:rsidR="00B97862" w:rsidRPr="00B97862" w:rsidRDefault="00B97862" w:rsidP="00B97862">
      <w:pPr>
        <w:pStyle w:val="SingleTxt"/>
        <w:spacing w:after="0" w:line="120" w:lineRule="exact"/>
        <w:rPr>
          <w:rFonts w:hint="eastAsia"/>
          <w:sz w:val="10"/>
        </w:rPr>
      </w:pPr>
    </w:p>
    <w:p w:rsidR="006A7EC8" w:rsidRDefault="006A7EC8" w:rsidP="006A7EC8">
      <w:pPr>
        <w:pStyle w:val="SingleTxt"/>
        <w:rPr>
          <w:rFonts w:hint="eastAsia"/>
        </w:rPr>
      </w:pPr>
      <w:r>
        <w:rPr>
          <w:rFonts w:hint="eastAsia"/>
        </w:rPr>
        <w:t>45.</w:t>
      </w:r>
      <w:r>
        <w:rPr>
          <w:rFonts w:hint="eastAsia"/>
        </w:rPr>
        <w:tab/>
        <w:t>委员会仍然关注劳动力市场上妇女的处境不利，这反映在妇女和男子之间有着严重的纵向和横向职业隔离。委员会特别关切的是，《平等机会法》下的行政准则中规定的“就业管理类别”可能为雇主留有余地，从而能使其实行歧视妇女的分轨制度。委员会还感到关切的是，全职工人的小时工资始终保持着基于性别的巨大悬殊，为32.9%，非全时工人基于性别的工资差距就更大，而且从事定期和非全时工作的人中大多数是妇女，妇女由于怀孕和生育而被非法解雇。委员会还对现有劳动法中的保护和制裁措施不够表示关切。委员会尤其关切的是，在《劳动标准法》中，没有按照《公约》和劳工组织第100号公约承认同工同酬和同值工作同等报酬原则的条款。委员会还感到关切的是，在工作场所普遍存在性骚扰现象，虽然立法规定了各种措施，查明未能防止性骚扰的公司，但除了公布违法公司的名字外，并没有强制守法的惩罚措施。委员会还关切地注意到，有关就业问题的司法程序漫长，妇女无法理解，这阻碍了她们按照《公约》第二(c)条的规定通过法庭获得补救。</w:t>
      </w:r>
    </w:p>
    <w:p w:rsidR="006A7EC8" w:rsidRDefault="006A7EC8" w:rsidP="006A7EC8">
      <w:pPr>
        <w:pStyle w:val="SingleTxt"/>
        <w:rPr>
          <w:rFonts w:hint="eastAsia"/>
        </w:rPr>
      </w:pPr>
      <w:r>
        <w:rPr>
          <w:rFonts w:hint="eastAsia"/>
        </w:rPr>
        <w:t>46.</w:t>
      </w:r>
      <w:r>
        <w:rPr>
          <w:rFonts w:hint="eastAsia"/>
        </w:rPr>
        <w:tab/>
      </w:r>
      <w:r w:rsidRPr="00B97862">
        <w:rPr>
          <w:rFonts w:ascii="SimHei" w:eastAsia="SimHei" w:hint="eastAsia"/>
          <w:color w:val="FF0000"/>
        </w:rPr>
        <w:t>委员会促请缔约国把在劳动力市场上实现妇女与男子事实上的平等列为优先事项，以全面遵守《公约》第11条的规定。委员会建议，缔约国根据《公约》第4条第1款和委员会第25号一般性建议采取具体措施，包括暂行特别措施，消除纵向和横向职业隔离，缩小基于性别的男女工资差距，并采取措施防止非法解雇怀孕和生育妇女的做法。委员会鼓励缔约国针对公共和私营部门中在就业方面对妇女的歧视，包括性骚扰，制定制裁措施，以建立有效的执法和监督机制，确保妇女有机会利用补救手段，包括法律援助和及时处理她们的案件</w:t>
      </w:r>
      <w:r>
        <w:rPr>
          <w:rFonts w:hint="eastAsia"/>
        </w:rPr>
        <w:t>。</w:t>
      </w:r>
    </w:p>
    <w:p w:rsidR="006A7EC8" w:rsidRDefault="00B97862" w:rsidP="00B9786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006A7EC8">
        <w:rPr>
          <w:rFonts w:hint="eastAsia"/>
        </w:rPr>
        <w:t>家庭生活与工作的协调</w:t>
      </w:r>
    </w:p>
    <w:p w:rsidR="00B97862" w:rsidRPr="00B97862" w:rsidRDefault="00B97862" w:rsidP="00B97862">
      <w:pPr>
        <w:pStyle w:val="SingleTxt"/>
        <w:spacing w:after="0" w:line="120" w:lineRule="exact"/>
        <w:rPr>
          <w:rFonts w:hint="eastAsia"/>
          <w:sz w:val="10"/>
        </w:rPr>
      </w:pPr>
    </w:p>
    <w:p w:rsidR="006A7EC8" w:rsidRDefault="006A7EC8" w:rsidP="006A7E67">
      <w:pPr>
        <w:pStyle w:val="SingleTxt"/>
        <w:spacing w:after="180" w:line="340" w:lineRule="exact"/>
        <w:rPr>
          <w:rFonts w:hint="eastAsia"/>
        </w:rPr>
      </w:pPr>
      <w:r>
        <w:rPr>
          <w:rFonts w:hint="eastAsia"/>
        </w:rPr>
        <w:t>47.</w:t>
      </w:r>
      <w:r>
        <w:rPr>
          <w:rFonts w:hint="eastAsia"/>
        </w:rPr>
        <w:tab/>
        <w:t>委员会欢迎缔约国做出立法和政策努力，比如颁布“工作生活平衡宪章”、“促进工作生活平衡行动政策”及“支持儿童和家庭战略”，并采取其他措施以改善家庭生活与工作的协调。不过，委员会关切的是，家务和家庭责任仍然主要由妇女承担，这体现在男子休育儿假的比率极低，而且妇女为履行家庭责任而中断事业或从事非全时工作。</w:t>
      </w:r>
    </w:p>
    <w:p w:rsidR="006A7EC8" w:rsidRDefault="006A7EC8" w:rsidP="006A7E67">
      <w:pPr>
        <w:pStyle w:val="SingleTxt"/>
        <w:spacing w:after="180" w:line="340" w:lineRule="exact"/>
        <w:rPr>
          <w:rFonts w:hint="eastAsia"/>
        </w:rPr>
      </w:pPr>
      <w:r>
        <w:rPr>
          <w:rFonts w:hint="eastAsia"/>
        </w:rPr>
        <w:t>48.</w:t>
      </w:r>
      <w:r w:rsidRPr="00B97862">
        <w:rPr>
          <w:rFonts w:ascii="SimHei" w:eastAsia="SimHei" w:hint="eastAsia"/>
          <w:color w:val="FF0000"/>
        </w:rPr>
        <w:tab/>
        <w:t>委员会鼓励缔约国加紧努力，协助男女兼顾家庭和就业责任，其方法包括，采取进一步宣传和教育举措，使男子和妇女都认识到需要适当分担照料儿女和家务的责任；并确保非全职工作不应几乎全由妇女承担。委员会促请缔约国加紧努力，提供更多的负担得起的不同年龄段儿童的托儿设施，并鼓励更多男子利用育儿假</w:t>
      </w:r>
      <w:r>
        <w:rPr>
          <w:rFonts w:hint="eastAsia"/>
        </w:rPr>
        <w:t>。</w:t>
      </w:r>
    </w:p>
    <w:p w:rsidR="006A7EC8" w:rsidRDefault="00B97862" w:rsidP="00B9786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006A7EC8">
        <w:rPr>
          <w:rFonts w:hint="eastAsia"/>
        </w:rPr>
        <w:t>卫生</w:t>
      </w:r>
    </w:p>
    <w:p w:rsidR="00B97862" w:rsidRPr="00B97862" w:rsidRDefault="00B97862" w:rsidP="00B97862">
      <w:pPr>
        <w:pStyle w:val="SingleTxt"/>
        <w:spacing w:after="0" w:line="120" w:lineRule="exact"/>
        <w:rPr>
          <w:rFonts w:hint="eastAsia"/>
          <w:sz w:val="10"/>
        </w:rPr>
      </w:pPr>
    </w:p>
    <w:p w:rsidR="006A7EC8" w:rsidRDefault="006A7EC8" w:rsidP="006A7E67">
      <w:pPr>
        <w:pStyle w:val="SingleTxt"/>
        <w:spacing w:after="180" w:line="340" w:lineRule="exact"/>
        <w:rPr>
          <w:rFonts w:hint="eastAsia"/>
        </w:rPr>
      </w:pPr>
      <w:r>
        <w:rPr>
          <w:rFonts w:hint="eastAsia"/>
        </w:rPr>
        <w:t>49.</w:t>
      </w:r>
      <w:r>
        <w:rPr>
          <w:rFonts w:hint="eastAsia"/>
        </w:rPr>
        <w:tab/>
        <w:t>委员会赞赏缔约国提供高质量的保健服务，但感到关切的是，近来包括艾滋病毒/艾滋病在内的性传播疾病在日本妇女中的流行率有所上升。委员会还关切的是，少女和年轻妇女的堕胎率高，选择堕胎的妇女可能受到《刑法》的处罚。委员会感到遗憾的是，缺乏关于妇女精神和心理健康的资料。</w:t>
      </w:r>
    </w:p>
    <w:p w:rsidR="006A7EC8" w:rsidRDefault="006A7EC8" w:rsidP="006A7E67">
      <w:pPr>
        <w:pStyle w:val="SingleTxt"/>
        <w:spacing w:after="180" w:line="340" w:lineRule="exact"/>
        <w:rPr>
          <w:rFonts w:hint="eastAsia"/>
        </w:rPr>
      </w:pPr>
      <w:r>
        <w:rPr>
          <w:rFonts w:hint="eastAsia"/>
        </w:rPr>
        <w:t>50.</w:t>
      </w:r>
      <w:r w:rsidRPr="00B97862">
        <w:rPr>
          <w:rFonts w:ascii="SimHei" w:eastAsia="SimHei" w:hint="eastAsia"/>
          <w:color w:val="FF0000"/>
        </w:rPr>
        <w:tab/>
        <w:t>委员会建议缔约国促进针对男女青少年的性健康教育，并确保所有妇女和女孩获取性健康资料和所有服务，包括中止怀孕服务。委员会还请缔约国在下一次报告中提供按性别分列的健康和保健数据，以及关于艾滋病毒/艾滋病等性传播疾病在妇女中的发病率和应对措施的更多资料和数据。委员会建议缔约国在可能情况下修订其将堕胎定为刑事犯罪的立法，按照委员会关于妇女与健康的第24号一般性建议及《北京宣言和行动纲要》，删除针对堕胎妇女的惩罚性规定。委员会请缔约国在下一次报告中列入关于妇女精神和心理健康的资料</w:t>
      </w:r>
      <w:r>
        <w:rPr>
          <w:rFonts w:hint="eastAsia"/>
        </w:rPr>
        <w:t>。</w:t>
      </w:r>
    </w:p>
    <w:p w:rsidR="006A7EC8" w:rsidRDefault="00B97862" w:rsidP="00B9786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006A7EC8">
        <w:rPr>
          <w:rFonts w:hint="eastAsia"/>
        </w:rPr>
        <w:t>少数民族妇女</w:t>
      </w:r>
    </w:p>
    <w:p w:rsidR="00B97862" w:rsidRPr="00B97862" w:rsidRDefault="00B97862" w:rsidP="00B97862">
      <w:pPr>
        <w:pStyle w:val="SingleTxt"/>
        <w:spacing w:after="0" w:line="120" w:lineRule="exact"/>
        <w:rPr>
          <w:rFonts w:hint="eastAsia"/>
          <w:sz w:val="10"/>
        </w:rPr>
      </w:pPr>
    </w:p>
    <w:p w:rsidR="006A7EC8" w:rsidRDefault="006A7EC8" w:rsidP="006A7E67">
      <w:pPr>
        <w:pStyle w:val="SingleTxt"/>
        <w:spacing w:after="180" w:line="340" w:lineRule="exact"/>
        <w:rPr>
          <w:rFonts w:hint="eastAsia"/>
        </w:rPr>
      </w:pPr>
      <w:r>
        <w:rPr>
          <w:rFonts w:hint="eastAsia"/>
        </w:rPr>
        <w:t>51.</w:t>
      </w:r>
      <w:r>
        <w:rPr>
          <w:rFonts w:hint="eastAsia"/>
        </w:rPr>
        <w:tab/>
        <w:t>委员会感到遗憾的是，缺乏缔约国境内少数民族妇女状况的资料和统计数据，这些妇女在广大社会中和各自社区内，都遭受基于性别和族裔的多种歧视。委员会还感到遗憾的是，没有积极主动地为每个少数群体采取措施，包括政策框架，来促进少数民族妇女的权益。</w:t>
      </w:r>
    </w:p>
    <w:p w:rsidR="006A7EC8" w:rsidRDefault="006A7EC8" w:rsidP="006A7E67">
      <w:pPr>
        <w:pStyle w:val="SingleTxt"/>
        <w:spacing w:after="180" w:line="340" w:lineRule="exact"/>
        <w:rPr>
          <w:rFonts w:hint="eastAsia"/>
        </w:rPr>
      </w:pPr>
      <w:r>
        <w:rPr>
          <w:rFonts w:hint="eastAsia"/>
        </w:rPr>
        <w:t>52.</w:t>
      </w:r>
      <w:r w:rsidRPr="00B97862">
        <w:rPr>
          <w:rFonts w:ascii="SimHei" w:eastAsia="SimHei" w:hint="eastAsia"/>
          <w:color w:val="FF0000"/>
        </w:rPr>
        <w:tab/>
        <w:t>委员会敦促缔约国采取有效措施，包括制定政策框架和通过暂行特别措施，消除对少数民族妇女的歧视。为此，委员会敦促缔约国指派少数民族妇女参加决策机构。委员会重申其以前的要求(A/58/38，第366段)，即缔约国在下一次定期报告中提供关于日本境内少数民族妇女状况的资料，特别是与教育、就业、健康、社会福利和遭受暴力等有关的资料。在这方面，委员会吁请缔约国对少数民族妇女状况，包括土著爱奴族、部落民、在日朝鲜人和冲绳妇女的状况，进行一次全面研究</w:t>
      </w:r>
      <w:r>
        <w:rPr>
          <w:rFonts w:hint="eastAsia"/>
        </w:rPr>
        <w:t>。</w:t>
      </w:r>
    </w:p>
    <w:p w:rsidR="006A7EC8" w:rsidRDefault="00B97862" w:rsidP="00B9786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006A7EC8">
        <w:rPr>
          <w:rFonts w:hint="eastAsia"/>
        </w:rPr>
        <w:t>弱势妇女群体</w:t>
      </w:r>
    </w:p>
    <w:p w:rsidR="00B97862" w:rsidRPr="00B97862" w:rsidRDefault="00B97862" w:rsidP="00B97862">
      <w:pPr>
        <w:pStyle w:val="SingleTxt"/>
        <w:spacing w:after="0" w:line="120" w:lineRule="exact"/>
        <w:rPr>
          <w:rFonts w:hint="eastAsia"/>
          <w:sz w:val="10"/>
        </w:rPr>
      </w:pPr>
    </w:p>
    <w:p w:rsidR="006A7EC8" w:rsidRDefault="006A7EC8" w:rsidP="006A7EC8">
      <w:pPr>
        <w:pStyle w:val="SingleTxt"/>
        <w:rPr>
          <w:rFonts w:hint="eastAsia"/>
        </w:rPr>
      </w:pPr>
      <w:r>
        <w:rPr>
          <w:rFonts w:hint="eastAsia"/>
        </w:rPr>
        <w:t>53.</w:t>
      </w:r>
      <w:r>
        <w:rPr>
          <w:rFonts w:hint="eastAsia"/>
        </w:rPr>
        <w:tab/>
        <w:t>委员会注意到缺乏关于弱势妇女群体、特别是农村妇女、单身母亲、残疾妇女、难民和移民妇女的资料和统计数据，这些妇女经常遭受多种形式的歧视，在就业、保健、教育和社会福利等领域尤其如此。</w:t>
      </w:r>
    </w:p>
    <w:p w:rsidR="006A7EC8" w:rsidRDefault="006A7EC8" w:rsidP="006A7EC8">
      <w:pPr>
        <w:pStyle w:val="SingleTxt"/>
        <w:rPr>
          <w:rFonts w:hint="eastAsia"/>
        </w:rPr>
      </w:pPr>
      <w:r>
        <w:rPr>
          <w:rFonts w:hint="eastAsia"/>
        </w:rPr>
        <w:t>54.</w:t>
      </w:r>
      <w:r>
        <w:rPr>
          <w:rFonts w:hint="eastAsia"/>
        </w:rPr>
        <w:tab/>
      </w:r>
      <w:r w:rsidRPr="00B97862">
        <w:rPr>
          <w:rFonts w:ascii="SimHei" w:eastAsia="SimHei" w:hint="eastAsia"/>
          <w:color w:val="FF0000"/>
        </w:rPr>
        <w:t>委员会请缔约国在下一次报告中提供关于在《公约》所述所有领域弱势妇女群体实际状况的全面介绍，以及关于具体方案和成就的资料。委员会吁请缔约国通过能满足弱势妇女群体具体需要的注重两性平等问题的政策和方案</w:t>
      </w:r>
      <w:r>
        <w:rPr>
          <w:rFonts w:hint="eastAsia"/>
        </w:rPr>
        <w:t>。</w:t>
      </w:r>
    </w:p>
    <w:p w:rsidR="006A7EC8" w:rsidRDefault="00B97862" w:rsidP="00B9786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006A7EC8">
        <w:rPr>
          <w:rFonts w:hint="eastAsia"/>
        </w:rPr>
        <w:t>《北京宣言和行动纲要》</w:t>
      </w:r>
    </w:p>
    <w:p w:rsidR="00B97862" w:rsidRPr="00B97862" w:rsidRDefault="00B97862" w:rsidP="00B97862">
      <w:pPr>
        <w:pStyle w:val="SingleTxt"/>
        <w:spacing w:after="0" w:line="120" w:lineRule="exact"/>
        <w:rPr>
          <w:rFonts w:hint="eastAsia"/>
          <w:sz w:val="10"/>
        </w:rPr>
      </w:pPr>
    </w:p>
    <w:p w:rsidR="006A7EC8" w:rsidRPr="006A7E67" w:rsidRDefault="006A7EC8" w:rsidP="006A7EC8">
      <w:pPr>
        <w:pStyle w:val="SingleTxt"/>
        <w:rPr>
          <w:rFonts w:hint="eastAsia"/>
          <w:spacing w:val="-2"/>
        </w:rPr>
      </w:pPr>
      <w:r w:rsidRPr="006A7E67">
        <w:rPr>
          <w:rFonts w:hint="eastAsia"/>
          <w:spacing w:val="-2"/>
        </w:rPr>
        <w:t>55.</w:t>
      </w:r>
      <w:r w:rsidRPr="006A7E67">
        <w:rPr>
          <w:rFonts w:hint="eastAsia"/>
          <w:spacing w:val="-2"/>
        </w:rPr>
        <w:tab/>
      </w:r>
      <w:r w:rsidRPr="006A7E67">
        <w:rPr>
          <w:rFonts w:ascii="SimHei" w:eastAsia="SimHei" w:hint="eastAsia"/>
          <w:color w:val="FF0000"/>
          <w:spacing w:val="-2"/>
        </w:rPr>
        <w:t>委员会敦促缔约国在履行《公约》规定的义务时，继续利用强化《公约》各项规定的《北京宣言和行动纲要》，并请缔约国在下一次定期报告中列入有关资料</w:t>
      </w:r>
      <w:r w:rsidRPr="006A7E67">
        <w:rPr>
          <w:rFonts w:hint="eastAsia"/>
          <w:spacing w:val="-2"/>
        </w:rPr>
        <w:t>。</w:t>
      </w:r>
    </w:p>
    <w:p w:rsidR="006A7EC8" w:rsidRDefault="00C046E9" w:rsidP="00C046E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006A7EC8">
        <w:rPr>
          <w:rFonts w:hint="eastAsia"/>
        </w:rPr>
        <w:t>千年发展目标</w:t>
      </w:r>
    </w:p>
    <w:p w:rsidR="00C046E9" w:rsidRPr="00C046E9" w:rsidRDefault="00C046E9" w:rsidP="00C046E9">
      <w:pPr>
        <w:pStyle w:val="SingleTxt"/>
        <w:spacing w:after="0" w:line="120" w:lineRule="exact"/>
        <w:rPr>
          <w:rFonts w:hint="eastAsia"/>
          <w:sz w:val="10"/>
        </w:rPr>
      </w:pPr>
    </w:p>
    <w:p w:rsidR="006A7EC8" w:rsidRDefault="006A7EC8" w:rsidP="006A7EC8">
      <w:pPr>
        <w:pStyle w:val="SingleTxt"/>
        <w:rPr>
          <w:rFonts w:hint="eastAsia"/>
        </w:rPr>
      </w:pPr>
      <w:r>
        <w:rPr>
          <w:rFonts w:hint="eastAsia"/>
        </w:rPr>
        <w:t>56.</w:t>
      </w:r>
      <w:r>
        <w:rPr>
          <w:rFonts w:hint="eastAsia"/>
        </w:rPr>
        <w:tab/>
      </w:r>
      <w:r w:rsidRPr="00C046E9">
        <w:rPr>
          <w:rFonts w:ascii="SimHei" w:eastAsia="SimHei" w:hint="eastAsia"/>
          <w:color w:val="FF0000"/>
        </w:rPr>
        <w:t>委员会强调，全面和切实执行《公约》是实现千年发展目标的必要条件。委员会要求在所有旨在实现这些目标的努力中纳入两性平等观点，明确体现《公约》的各项规定，并请缔约国在下一次定期报告中列入有关资料</w:t>
      </w:r>
      <w:r>
        <w:rPr>
          <w:rFonts w:hint="eastAsia"/>
        </w:rPr>
        <w:t>。</w:t>
      </w:r>
    </w:p>
    <w:p w:rsidR="006A7EC8" w:rsidRDefault="00C046E9" w:rsidP="00C046E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006A7EC8">
        <w:rPr>
          <w:rFonts w:hint="eastAsia"/>
        </w:rPr>
        <w:t>其他条约的批准</w:t>
      </w:r>
    </w:p>
    <w:p w:rsidR="00C046E9" w:rsidRPr="00C046E9" w:rsidRDefault="00C046E9" w:rsidP="00C046E9">
      <w:pPr>
        <w:pStyle w:val="SingleTxt"/>
        <w:spacing w:after="0" w:line="120" w:lineRule="exact"/>
        <w:rPr>
          <w:rFonts w:hint="eastAsia"/>
          <w:sz w:val="10"/>
        </w:rPr>
      </w:pPr>
    </w:p>
    <w:p w:rsidR="006A7EC8" w:rsidRDefault="006A7EC8" w:rsidP="006A7EC8">
      <w:pPr>
        <w:pStyle w:val="SingleTxt"/>
        <w:rPr>
          <w:rFonts w:hint="eastAsia"/>
        </w:rPr>
      </w:pPr>
      <w:r>
        <w:rPr>
          <w:rFonts w:hint="eastAsia"/>
        </w:rPr>
        <w:t>57.</w:t>
      </w:r>
      <w:r>
        <w:rPr>
          <w:rFonts w:hint="eastAsia"/>
        </w:rPr>
        <w:tab/>
      </w:r>
      <w:r w:rsidRPr="00C046E9">
        <w:rPr>
          <w:rFonts w:ascii="SimHei" w:eastAsia="SimHei" w:hint="eastAsia"/>
          <w:color w:val="FF0000"/>
        </w:rPr>
        <w:t>委员会指出，各国参加九项主要国际人权文书，</w:t>
      </w:r>
      <w:r w:rsidR="00C046E9">
        <w:rPr>
          <w:rStyle w:val="FootnoteReference"/>
          <w:rFonts w:ascii="SimHei" w:eastAsia="SimHei"/>
        </w:rPr>
        <w:footnoteReference w:id="1"/>
      </w:r>
      <w:r w:rsidRPr="00C046E9">
        <w:rPr>
          <w:rFonts w:ascii="SimHei" w:eastAsia="SimHei" w:hint="eastAsia"/>
          <w:color w:val="FF0000"/>
        </w:rPr>
        <w:t xml:space="preserve"> 有助于促进妇女在生活的各个方面享受人权和基本自由。因此，委员会敦促日本政府考虑批准它尚未成为缔约国的条约，即《保护所有移徙工人及其家庭成员权利国际公约》和《残疾人权利公约》</w:t>
      </w:r>
      <w:r>
        <w:rPr>
          <w:rFonts w:hint="eastAsia"/>
        </w:rPr>
        <w:t>。</w:t>
      </w:r>
    </w:p>
    <w:p w:rsidR="006A7EC8" w:rsidRDefault="00C046E9" w:rsidP="00C046E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006A7EC8">
        <w:rPr>
          <w:rFonts w:hint="eastAsia"/>
        </w:rPr>
        <w:t>传播</w:t>
      </w:r>
    </w:p>
    <w:p w:rsidR="00C046E9" w:rsidRPr="00C046E9" w:rsidRDefault="00C046E9" w:rsidP="00C046E9">
      <w:pPr>
        <w:pStyle w:val="SingleTxt"/>
        <w:spacing w:after="0" w:line="120" w:lineRule="exact"/>
        <w:rPr>
          <w:rFonts w:hint="eastAsia"/>
          <w:sz w:val="10"/>
        </w:rPr>
      </w:pPr>
    </w:p>
    <w:p w:rsidR="006A7EC8" w:rsidRDefault="006A7EC8" w:rsidP="006A7EC8">
      <w:pPr>
        <w:pStyle w:val="SingleTxt"/>
        <w:rPr>
          <w:rFonts w:hint="eastAsia"/>
        </w:rPr>
      </w:pPr>
      <w:r>
        <w:rPr>
          <w:rFonts w:hint="eastAsia"/>
        </w:rPr>
        <w:t>58.</w:t>
      </w:r>
      <w:r>
        <w:rPr>
          <w:rFonts w:hint="eastAsia"/>
        </w:rPr>
        <w:tab/>
      </w:r>
      <w:r w:rsidRPr="00C046E9">
        <w:rPr>
          <w:rFonts w:ascii="SimHei" w:eastAsia="SimHei" w:hint="eastAsia"/>
          <w:color w:val="FF0000"/>
        </w:rPr>
        <w:t>委员会请日本在国内广为传播本结论意见，使人民，包括政府官员、政界人士、议员以及妇女组织和人权组织，了解为确保妇女在法律上和事实上的平等而采取的步骤以及在这方面应进一步采取的步骤。委员会请缔约国继续广泛宣传《公约》及其任择议定书、委员会各项一般性建议、《北京宣言和行动纲要》以及题为“2000年妇女：二十一世纪两性平等、发展与和平”的大会第二十三届特别会议成果，特别是向妇女组织和人权组织开展宣传</w:t>
      </w:r>
      <w:r>
        <w:rPr>
          <w:rFonts w:hint="eastAsia"/>
        </w:rPr>
        <w:t>。</w:t>
      </w:r>
    </w:p>
    <w:p w:rsidR="006A7EC8" w:rsidRDefault="00C046E9" w:rsidP="00C046E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006A7EC8">
        <w:rPr>
          <w:rFonts w:hint="eastAsia"/>
        </w:rPr>
        <w:t>结论意见的后续行动</w:t>
      </w:r>
    </w:p>
    <w:p w:rsidR="00C046E9" w:rsidRPr="00C046E9" w:rsidRDefault="00C046E9" w:rsidP="00C046E9">
      <w:pPr>
        <w:pStyle w:val="SingleTxt"/>
        <w:spacing w:after="0" w:line="120" w:lineRule="exact"/>
        <w:rPr>
          <w:rFonts w:hint="eastAsia"/>
          <w:sz w:val="10"/>
        </w:rPr>
      </w:pPr>
    </w:p>
    <w:p w:rsidR="006A7EC8" w:rsidRDefault="006A7EC8" w:rsidP="006A7EC8">
      <w:pPr>
        <w:pStyle w:val="SingleTxt"/>
        <w:rPr>
          <w:rFonts w:hint="eastAsia"/>
        </w:rPr>
      </w:pPr>
      <w:r>
        <w:rPr>
          <w:rFonts w:hint="eastAsia"/>
        </w:rPr>
        <w:t>59.</w:t>
      </w:r>
      <w:r>
        <w:rPr>
          <w:rFonts w:hint="eastAsia"/>
        </w:rPr>
        <w:tab/>
      </w:r>
      <w:r w:rsidRPr="00C046E9">
        <w:rPr>
          <w:rFonts w:ascii="SimHei" w:eastAsia="SimHei" w:hint="eastAsia"/>
          <w:color w:val="FF0000"/>
        </w:rPr>
        <w:t>委员会请缔约国在两年内提供详细书面资料，说明上文第18和28段所载各项建议的执行情况</w:t>
      </w:r>
      <w:r>
        <w:rPr>
          <w:rFonts w:hint="eastAsia"/>
        </w:rPr>
        <w:t>。</w:t>
      </w:r>
    </w:p>
    <w:p w:rsidR="006A7EC8" w:rsidRDefault="00C046E9" w:rsidP="00C046E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006A7EC8">
        <w:rPr>
          <w:rFonts w:hint="eastAsia"/>
        </w:rPr>
        <w:t>下一次报告的日期</w:t>
      </w:r>
    </w:p>
    <w:p w:rsidR="00C046E9" w:rsidRPr="00C046E9" w:rsidRDefault="00C046E9" w:rsidP="00C046E9">
      <w:pPr>
        <w:pStyle w:val="SingleTxt"/>
        <w:spacing w:after="0" w:line="120" w:lineRule="exact"/>
        <w:rPr>
          <w:rFonts w:hint="eastAsia"/>
          <w:sz w:val="10"/>
        </w:rPr>
      </w:pPr>
    </w:p>
    <w:p w:rsidR="00EA31C3" w:rsidRDefault="006A7EC8" w:rsidP="006A7EC8">
      <w:pPr>
        <w:pStyle w:val="SingleTxt"/>
        <w:rPr>
          <w:rFonts w:hint="eastAsia"/>
        </w:rPr>
      </w:pPr>
      <w:r w:rsidRPr="00C046E9">
        <w:rPr>
          <w:rFonts w:ascii="SimHei" w:eastAsia="SimHei" w:hint="eastAsia"/>
          <w:color w:val="FF0000"/>
        </w:rPr>
        <w:t>60.</w:t>
      </w:r>
      <w:r w:rsidRPr="00C046E9">
        <w:rPr>
          <w:rFonts w:ascii="SimHei" w:eastAsia="SimHei" w:hint="eastAsia"/>
          <w:color w:val="FF0000"/>
        </w:rPr>
        <w:tab/>
        <w:t>委员会请缔约国根据《公约》第18条提交的下一次定期报告中答复本结论意见所提出的各项关切。委员会请缔约国在2014年7月提交第七次和第八次合并定期报告</w:t>
      </w:r>
      <w:r>
        <w:rPr>
          <w:rFonts w:hint="eastAsia"/>
        </w:rPr>
        <w:t>。</w:t>
      </w:r>
    </w:p>
    <w:p w:rsidR="00C046E9" w:rsidRPr="00C046E9" w:rsidRDefault="00C046E9" w:rsidP="00C046E9">
      <w:pPr>
        <w:pStyle w:val="SingleTxt"/>
        <w:spacing w:after="0" w:line="240" w:lineRule="auto"/>
        <w:rPr>
          <w:rFonts w:hint="eastAsia"/>
          <w:sz w:val="20"/>
        </w:rPr>
      </w:pPr>
      <w:r>
        <w:rPr>
          <w:rFonts w:hint="eastAsia"/>
          <w:noProof/>
          <w:sz w:val="20"/>
        </w:rPr>
        <w:pict>
          <v:line id="_x0000_s1026" style="position:absolute;left:0;text-align:left;z-index:1;mso-position-horizontal:center" from="0,30pt" to="1in,30pt" strokeweight=".25pt"/>
        </w:pict>
      </w:r>
    </w:p>
    <w:sectPr w:rsidR="00C046E9" w:rsidRPr="00C046E9" w:rsidSect="00EC2DE2">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8-14T20:04:00Z" w:initials="Start">
    <w:p w:rsidR="005326B3" w:rsidRDefault="005326B3">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NO&gt;&gt;N0946109C&lt;&lt;ODS JOB NO&gt;&gt;</w:t>
      </w:r>
    </w:p>
    <w:p w:rsidR="005326B3" w:rsidRDefault="005326B3">
      <w:pPr>
        <w:pStyle w:val="CommentText"/>
      </w:pPr>
      <w:r>
        <w:t>&lt;&lt;ODS DOC SYMBOL1&gt;&gt;CEDAW/C/JPN/CO/6&lt;&lt;ODS DOC SYMBOL1&gt;&gt;</w:t>
      </w:r>
    </w:p>
    <w:p w:rsidR="005326B3" w:rsidRDefault="005326B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23A4" w:rsidRDefault="00A323A4">
      <w:r>
        <w:separator/>
      </w:r>
    </w:p>
  </w:endnote>
  <w:endnote w:type="continuationSeparator" w:id="0">
    <w:p w:rsidR="00A323A4" w:rsidRDefault="00A323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326B3" w:rsidTr="00EC2DE2">
      <w:tblPrEx>
        <w:tblCellMar>
          <w:top w:w="0" w:type="dxa"/>
          <w:bottom w:w="0" w:type="dxa"/>
        </w:tblCellMar>
      </w:tblPrEx>
      <w:tc>
        <w:tcPr>
          <w:tcW w:w="5033" w:type="dxa"/>
          <w:shd w:val="clear" w:color="auto" w:fill="auto"/>
        </w:tcPr>
        <w:p w:rsidR="005326B3" w:rsidRPr="00EC2DE2" w:rsidRDefault="005326B3" w:rsidP="00EC2DE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09-46109 (C)</w:t>
          </w:r>
          <w:r>
            <w:rPr>
              <w:b w:val="0"/>
              <w:w w:val="103"/>
              <w:sz w:val="14"/>
            </w:rPr>
            <w:fldChar w:fldCharType="end"/>
          </w:r>
        </w:p>
      </w:tc>
      <w:tc>
        <w:tcPr>
          <w:tcW w:w="5033" w:type="dxa"/>
          <w:shd w:val="clear" w:color="auto" w:fill="auto"/>
        </w:tcPr>
        <w:p w:rsidR="005326B3" w:rsidRPr="00EC2DE2" w:rsidRDefault="005326B3" w:rsidP="00EC2DE2">
          <w:pPr>
            <w:pStyle w:val="Footer"/>
            <w:jc w:val="left"/>
            <w:rPr>
              <w:w w:val="103"/>
            </w:rPr>
          </w:pPr>
          <w:r>
            <w:rPr>
              <w:w w:val="103"/>
            </w:rPr>
            <w:fldChar w:fldCharType="begin"/>
          </w:r>
          <w:r>
            <w:rPr>
              <w:w w:val="103"/>
            </w:rPr>
            <w:instrText xml:space="preserve"> PAGE  \* MERGEFORMAT </w:instrText>
          </w:r>
          <w:r>
            <w:rPr>
              <w:w w:val="103"/>
            </w:rPr>
            <w:fldChar w:fldCharType="separate"/>
          </w:r>
          <w:r w:rsidR="003F7F78">
            <w:rPr>
              <w:w w:val="103"/>
            </w:rPr>
            <w:t>10</w:t>
          </w:r>
          <w:r>
            <w:rPr>
              <w:w w:val="103"/>
            </w:rPr>
            <w:fldChar w:fldCharType="end"/>
          </w:r>
        </w:p>
      </w:tc>
    </w:tr>
  </w:tbl>
  <w:p w:rsidR="005326B3" w:rsidRPr="00EC2DE2" w:rsidRDefault="005326B3" w:rsidP="00EC2DE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326B3" w:rsidTr="00EC2DE2">
      <w:tblPrEx>
        <w:tblCellMar>
          <w:top w:w="0" w:type="dxa"/>
          <w:bottom w:w="0" w:type="dxa"/>
        </w:tblCellMar>
      </w:tblPrEx>
      <w:tc>
        <w:tcPr>
          <w:tcW w:w="5033" w:type="dxa"/>
          <w:shd w:val="clear" w:color="auto" w:fill="auto"/>
        </w:tcPr>
        <w:p w:rsidR="005326B3" w:rsidRPr="00EC2DE2" w:rsidRDefault="005326B3" w:rsidP="00EC2DE2">
          <w:pPr>
            <w:pStyle w:val="Footer"/>
            <w:jc w:val="right"/>
          </w:pPr>
          <w:r>
            <w:fldChar w:fldCharType="begin"/>
          </w:r>
          <w:r>
            <w:instrText xml:space="preserve"> PAGE  \* MERGEFORMAT </w:instrText>
          </w:r>
          <w:r>
            <w:fldChar w:fldCharType="separate"/>
          </w:r>
          <w:r w:rsidR="003F7F78">
            <w:t>11</w:t>
          </w:r>
          <w:r>
            <w:fldChar w:fldCharType="end"/>
          </w:r>
        </w:p>
      </w:tc>
      <w:tc>
        <w:tcPr>
          <w:tcW w:w="5033" w:type="dxa"/>
          <w:shd w:val="clear" w:color="auto" w:fill="auto"/>
        </w:tcPr>
        <w:p w:rsidR="005326B3" w:rsidRPr="00EC2DE2" w:rsidRDefault="005326B3" w:rsidP="00EC2DE2">
          <w:pPr>
            <w:pStyle w:val="Footer"/>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09-46109 (C)</w:t>
          </w:r>
          <w:r>
            <w:rPr>
              <w:b w:val="0"/>
              <w:w w:val="103"/>
              <w:sz w:val="14"/>
            </w:rPr>
            <w:fldChar w:fldCharType="end"/>
          </w:r>
        </w:p>
      </w:tc>
    </w:tr>
  </w:tbl>
  <w:p w:rsidR="005326B3" w:rsidRPr="00EC2DE2" w:rsidRDefault="005326B3" w:rsidP="00EC2DE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5326B3">
      <w:tblPrEx>
        <w:tblCellMar>
          <w:top w:w="0" w:type="dxa"/>
          <w:bottom w:w="0" w:type="dxa"/>
        </w:tblCellMar>
      </w:tblPrEx>
      <w:tc>
        <w:tcPr>
          <w:tcW w:w="5033" w:type="dxa"/>
        </w:tcPr>
        <w:p w:rsidR="005326B3" w:rsidRDefault="005326B3" w:rsidP="00EC2DE2">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Pr>
              <w:b w:val="0"/>
              <w:sz w:val="21"/>
            </w:rPr>
            <w:t>09-46109 (C)</w:t>
          </w:r>
          <w:r>
            <w:rPr>
              <w:b w:val="0"/>
              <w:sz w:val="21"/>
            </w:rPr>
            <w:fldChar w:fldCharType="end"/>
          </w:r>
          <w:r>
            <w:rPr>
              <w:b w:val="0"/>
              <w:sz w:val="21"/>
            </w:rPr>
            <w:t xml:space="preserve">    140809    </w:t>
          </w:r>
          <w:r>
            <w:rPr>
              <w:rFonts w:hint="eastAsia"/>
              <w:b w:val="0"/>
              <w:sz w:val="21"/>
            </w:rPr>
            <w:t>1109</w:t>
          </w:r>
          <w:r>
            <w:rPr>
              <w:b w:val="0"/>
              <w:sz w:val="21"/>
            </w:rPr>
            <w:t>09</w:t>
          </w:r>
        </w:p>
        <w:p w:rsidR="005326B3" w:rsidRPr="00EC2DE2" w:rsidRDefault="005326B3" w:rsidP="00EC2DE2">
          <w:pPr>
            <w:spacing w:before="80" w:line="210" w:lineRule="exact"/>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Pr>
              <w:rFonts w:ascii="Barcode 3 of 9 by request" w:hAnsi="Barcode 3 of 9 by request"/>
              <w:sz w:val="24"/>
            </w:rPr>
            <w:t>*0946109*</w:t>
          </w:r>
          <w:r>
            <w:rPr>
              <w:rFonts w:ascii="Barcode 3 of 9 by request" w:hAnsi="Barcode 3 of 9 by request"/>
              <w:sz w:val="24"/>
            </w:rPr>
            <w:fldChar w:fldCharType="end"/>
          </w:r>
        </w:p>
      </w:tc>
      <w:tc>
        <w:tcPr>
          <w:tcW w:w="5033" w:type="dxa"/>
        </w:tcPr>
        <w:p w:rsidR="005326B3" w:rsidRDefault="005326B3" w:rsidP="00EC2DE2">
          <w:pPr>
            <w:pStyle w:val="Footer"/>
            <w:jc w:val="right"/>
            <w:rPr>
              <w:b w:val="0"/>
              <w:sz w:val="21"/>
            </w:rPr>
          </w:pPr>
          <w:r w:rsidRPr="00EC2DE2">
            <w:rPr>
              <w:b w:val="0"/>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tc>
    </w:tr>
  </w:tbl>
  <w:p w:rsidR="005326B3" w:rsidRPr="00EC2DE2" w:rsidRDefault="005326B3" w:rsidP="00EC2DE2">
    <w:pPr>
      <w:pStyle w:val="Footer"/>
      <w:spacing w:line="56" w:lineRule="auto"/>
      <w:jc w:val="left"/>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23A4" w:rsidRPr="00C046E9" w:rsidRDefault="00A323A4" w:rsidP="00C046E9">
      <w:pPr>
        <w:pStyle w:val="Footer"/>
        <w:spacing w:after="80"/>
        <w:ind w:left="792"/>
        <w:rPr>
          <w:sz w:val="16"/>
        </w:rPr>
      </w:pPr>
      <w:r w:rsidRPr="00C046E9">
        <w:rPr>
          <w:sz w:val="16"/>
        </w:rPr>
        <w:t>__________________</w:t>
      </w:r>
    </w:p>
  </w:footnote>
  <w:footnote w:type="continuationSeparator" w:id="0">
    <w:p w:rsidR="00A323A4" w:rsidRPr="00C046E9" w:rsidRDefault="00A323A4" w:rsidP="00C046E9">
      <w:pPr>
        <w:pStyle w:val="Footer"/>
        <w:spacing w:after="80"/>
        <w:ind w:left="792"/>
        <w:rPr>
          <w:sz w:val="16"/>
        </w:rPr>
      </w:pPr>
      <w:r w:rsidRPr="00C046E9">
        <w:rPr>
          <w:sz w:val="16"/>
        </w:rPr>
        <w:t>__________________</w:t>
      </w:r>
    </w:p>
  </w:footnote>
  <w:footnote w:id="1">
    <w:p w:rsidR="005326B3" w:rsidRPr="00C046E9" w:rsidRDefault="005326B3" w:rsidP="00C046E9">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C046E9">
        <w:rPr>
          <w:rFonts w:hint="eastAsia"/>
        </w:rPr>
        <w:t>《经济、社会、文化权利国际公约》、《公民及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和《残疾人权利公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5326B3" w:rsidTr="00EC2DE2">
      <w:tblPrEx>
        <w:tblCellMar>
          <w:top w:w="0" w:type="dxa"/>
          <w:bottom w:w="0" w:type="dxa"/>
        </w:tblCellMar>
      </w:tblPrEx>
      <w:trPr>
        <w:trHeight w:hRule="exact" w:val="864"/>
      </w:trPr>
      <w:tc>
        <w:tcPr>
          <w:tcW w:w="4838" w:type="dxa"/>
          <w:shd w:val="clear" w:color="auto" w:fill="auto"/>
          <w:vAlign w:val="bottom"/>
        </w:tcPr>
        <w:p w:rsidR="005326B3" w:rsidRPr="00EC2DE2" w:rsidRDefault="005326B3" w:rsidP="00EC2DE2">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CEDAW/C/JPN/CO/6</w:t>
          </w:r>
          <w:r>
            <w:rPr>
              <w:b/>
              <w:sz w:val="17"/>
            </w:rPr>
            <w:fldChar w:fldCharType="end"/>
          </w:r>
        </w:p>
      </w:tc>
      <w:tc>
        <w:tcPr>
          <w:tcW w:w="5033" w:type="dxa"/>
          <w:shd w:val="clear" w:color="auto" w:fill="auto"/>
          <w:vAlign w:val="bottom"/>
        </w:tcPr>
        <w:p w:rsidR="005326B3" w:rsidRDefault="005326B3" w:rsidP="00EC2DE2">
          <w:pPr>
            <w:pStyle w:val="Header"/>
          </w:pPr>
        </w:p>
      </w:tc>
    </w:tr>
  </w:tbl>
  <w:p w:rsidR="005326B3" w:rsidRPr="00EC2DE2" w:rsidRDefault="005326B3" w:rsidP="00EC2DE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5326B3" w:rsidTr="00EC2DE2">
      <w:tblPrEx>
        <w:tblCellMar>
          <w:top w:w="0" w:type="dxa"/>
          <w:bottom w:w="0" w:type="dxa"/>
        </w:tblCellMar>
      </w:tblPrEx>
      <w:trPr>
        <w:trHeight w:hRule="exact" w:val="864"/>
      </w:trPr>
      <w:tc>
        <w:tcPr>
          <w:tcW w:w="4838" w:type="dxa"/>
          <w:shd w:val="clear" w:color="auto" w:fill="auto"/>
          <w:vAlign w:val="bottom"/>
        </w:tcPr>
        <w:p w:rsidR="005326B3" w:rsidRDefault="005326B3" w:rsidP="00EC2DE2">
          <w:pPr>
            <w:pStyle w:val="Header"/>
          </w:pPr>
        </w:p>
      </w:tc>
      <w:tc>
        <w:tcPr>
          <w:tcW w:w="5033" w:type="dxa"/>
          <w:shd w:val="clear" w:color="auto" w:fill="auto"/>
          <w:vAlign w:val="bottom"/>
        </w:tcPr>
        <w:p w:rsidR="005326B3" w:rsidRPr="00EC2DE2" w:rsidRDefault="005326B3" w:rsidP="00EC2DE2">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CEDAW/C/JPN/CO/6</w:t>
          </w:r>
          <w:r>
            <w:rPr>
              <w:b/>
              <w:sz w:val="17"/>
            </w:rPr>
            <w:fldChar w:fldCharType="end"/>
          </w:r>
        </w:p>
      </w:tc>
    </w:tr>
  </w:tbl>
  <w:p w:rsidR="005326B3" w:rsidRPr="00EC2DE2" w:rsidRDefault="005326B3" w:rsidP="00EC2DE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5326B3" w:rsidTr="00EC2DE2">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5326B3" w:rsidRDefault="005326B3" w:rsidP="00EC2DE2">
          <w:pPr>
            <w:pStyle w:val="Header"/>
            <w:spacing w:after="120"/>
          </w:pPr>
        </w:p>
      </w:tc>
      <w:tc>
        <w:tcPr>
          <w:tcW w:w="1872" w:type="dxa"/>
          <w:tcBorders>
            <w:bottom w:val="single" w:sz="4" w:space="0" w:color="auto"/>
          </w:tcBorders>
          <w:shd w:val="clear" w:color="auto" w:fill="auto"/>
          <w:vAlign w:val="bottom"/>
        </w:tcPr>
        <w:p w:rsidR="005326B3" w:rsidRPr="00EC2DE2" w:rsidRDefault="005326B3" w:rsidP="00EC2DE2">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5326B3" w:rsidRDefault="005326B3" w:rsidP="00EC2DE2">
          <w:pPr>
            <w:pStyle w:val="Header"/>
            <w:spacing w:after="120"/>
          </w:pPr>
        </w:p>
      </w:tc>
      <w:tc>
        <w:tcPr>
          <w:tcW w:w="6523" w:type="dxa"/>
          <w:gridSpan w:val="3"/>
          <w:tcBorders>
            <w:bottom w:val="single" w:sz="4" w:space="0" w:color="auto"/>
          </w:tcBorders>
          <w:shd w:val="clear" w:color="auto" w:fill="auto"/>
          <w:vAlign w:val="bottom"/>
        </w:tcPr>
        <w:p w:rsidR="005326B3" w:rsidRPr="00EC2DE2" w:rsidRDefault="005326B3" w:rsidP="00EC2DE2">
          <w:pPr>
            <w:spacing w:after="80" w:line="240" w:lineRule="auto"/>
            <w:jc w:val="right"/>
            <w:rPr>
              <w:rFonts w:ascii="Times New Roman"/>
              <w:position w:val="-4"/>
            </w:rPr>
          </w:pPr>
          <w:r>
            <w:rPr>
              <w:rFonts w:ascii="Times New Roman"/>
              <w:position w:val="-4"/>
              <w:sz w:val="40"/>
            </w:rPr>
            <w:t>CEDAW</w:t>
          </w:r>
          <w:r>
            <w:rPr>
              <w:rFonts w:ascii="Times New Roman"/>
              <w:position w:val="-4"/>
            </w:rPr>
            <w:t>/C/JPN/CO/6</w:t>
          </w:r>
        </w:p>
      </w:tc>
    </w:tr>
    <w:tr w:rsidR="005326B3" w:rsidRPr="00EC2DE2" w:rsidTr="00EC2DE2">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5326B3" w:rsidRDefault="005326B3" w:rsidP="00EC2DE2">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5326B3" w:rsidRPr="00EC2DE2" w:rsidRDefault="005326B3" w:rsidP="00EC2DE2">
          <w:pPr>
            <w:pStyle w:val="Header"/>
            <w:spacing w:before="109"/>
            <w:ind w:left="-72"/>
          </w:pPr>
        </w:p>
      </w:tc>
      <w:tc>
        <w:tcPr>
          <w:tcW w:w="5227" w:type="dxa"/>
          <w:gridSpan w:val="3"/>
          <w:tcBorders>
            <w:top w:val="single" w:sz="4" w:space="0" w:color="auto"/>
            <w:bottom w:val="single" w:sz="12" w:space="0" w:color="auto"/>
          </w:tcBorders>
          <w:shd w:val="clear" w:color="auto" w:fill="auto"/>
        </w:tcPr>
        <w:p w:rsidR="005326B3" w:rsidRPr="00EC2DE2" w:rsidRDefault="005326B3" w:rsidP="00EC2DE2">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5326B3" w:rsidRPr="00EC2DE2" w:rsidRDefault="005326B3" w:rsidP="00EC2DE2">
          <w:pPr>
            <w:pStyle w:val="Header"/>
            <w:spacing w:before="109"/>
          </w:pPr>
        </w:p>
      </w:tc>
      <w:tc>
        <w:tcPr>
          <w:tcW w:w="3180" w:type="dxa"/>
          <w:gridSpan w:val="2"/>
          <w:tcBorders>
            <w:top w:val="single" w:sz="4" w:space="0" w:color="auto"/>
            <w:bottom w:val="single" w:sz="12" w:space="0" w:color="auto"/>
          </w:tcBorders>
          <w:shd w:val="clear" w:color="auto" w:fill="auto"/>
        </w:tcPr>
        <w:p w:rsidR="005326B3" w:rsidRDefault="005326B3" w:rsidP="00EC2DE2">
          <w:pPr>
            <w:spacing w:before="240" w:line="240" w:lineRule="exact"/>
            <w:rPr>
              <w:rFonts w:ascii="Times New Roman"/>
            </w:rPr>
          </w:pPr>
          <w:r>
            <w:rPr>
              <w:rFonts w:ascii="Times New Roman"/>
            </w:rPr>
            <w:t>Distr.: General</w:t>
          </w:r>
        </w:p>
        <w:p w:rsidR="005326B3" w:rsidRDefault="005326B3" w:rsidP="00EC2DE2">
          <w:pPr>
            <w:spacing w:line="240" w:lineRule="exact"/>
            <w:rPr>
              <w:rFonts w:ascii="Times New Roman"/>
            </w:rPr>
          </w:pPr>
          <w:r>
            <w:rPr>
              <w:rFonts w:ascii="Times New Roman"/>
            </w:rPr>
            <w:t>7 August 2009</w:t>
          </w:r>
        </w:p>
        <w:p w:rsidR="005326B3" w:rsidRDefault="005326B3" w:rsidP="00EC2DE2">
          <w:pPr>
            <w:spacing w:line="240" w:lineRule="exact"/>
            <w:rPr>
              <w:rFonts w:ascii="Times New Roman"/>
            </w:rPr>
          </w:pPr>
          <w:r>
            <w:rPr>
              <w:rFonts w:ascii="Times New Roman"/>
            </w:rPr>
            <w:t>Chinese</w:t>
          </w:r>
        </w:p>
        <w:p w:rsidR="005326B3" w:rsidRPr="00EC2DE2" w:rsidRDefault="005326B3" w:rsidP="00EC2DE2">
          <w:pPr>
            <w:spacing w:line="240" w:lineRule="exact"/>
            <w:rPr>
              <w:rFonts w:ascii="Times New Roman"/>
            </w:rPr>
          </w:pPr>
          <w:r>
            <w:rPr>
              <w:rFonts w:ascii="Times New Roman"/>
            </w:rPr>
            <w:t>Original: English</w:t>
          </w:r>
        </w:p>
      </w:tc>
    </w:tr>
  </w:tbl>
  <w:p w:rsidR="005326B3" w:rsidRPr="00EC2DE2" w:rsidRDefault="005326B3" w:rsidP="00EC2DE2">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46109*"/>
    <w:docVar w:name="CreationDt" w:val="14/08/2009 19:42:38"/>
    <w:docVar w:name="DocCategory" w:val="Doc"/>
    <w:docVar w:name="DocType" w:val="Final"/>
    <w:docVar w:name="FooterJN" w:val="09-46109 (C)"/>
    <w:docVar w:name="jobn" w:val="09-46109 (C)"/>
    <w:docVar w:name="jobnDT" w:val="09-46109 (C)   140809"/>
    <w:docVar w:name="jobnDTDT" w:val="09-46109 (C)   140809   140809"/>
    <w:docVar w:name="JobNo" w:val="0946109C"/>
    <w:docVar w:name="OandT" w:val="lin xq"/>
    <w:docVar w:name="sss1" w:val="CEDAW/C/JPN/CO/6"/>
    <w:docVar w:name="sss2" w:val="-"/>
    <w:docVar w:name="Symbol1" w:val="CEDAW/C/JPN/CO/6"/>
    <w:docVar w:name="Symbol2" w:val="-"/>
  </w:docVars>
  <w:rsids>
    <w:rsidRoot w:val="009B2CB1"/>
    <w:rsid w:val="0000347C"/>
    <w:rsid w:val="000125BC"/>
    <w:rsid w:val="00021A2B"/>
    <w:rsid w:val="00037B39"/>
    <w:rsid w:val="00044CA4"/>
    <w:rsid w:val="00045EFE"/>
    <w:rsid w:val="0007337D"/>
    <w:rsid w:val="000758DF"/>
    <w:rsid w:val="00076EB8"/>
    <w:rsid w:val="00095C67"/>
    <w:rsid w:val="000A31F9"/>
    <w:rsid w:val="000C1786"/>
    <w:rsid w:val="000E240F"/>
    <w:rsid w:val="000E49A4"/>
    <w:rsid w:val="000F1058"/>
    <w:rsid w:val="00101C4E"/>
    <w:rsid w:val="001113F8"/>
    <w:rsid w:val="001212F9"/>
    <w:rsid w:val="00121328"/>
    <w:rsid w:val="0012708E"/>
    <w:rsid w:val="001329F7"/>
    <w:rsid w:val="00141322"/>
    <w:rsid w:val="0015066B"/>
    <w:rsid w:val="00150D3A"/>
    <w:rsid w:val="00153D29"/>
    <w:rsid w:val="00161E69"/>
    <w:rsid w:val="00161F54"/>
    <w:rsid w:val="00170FBE"/>
    <w:rsid w:val="0017506F"/>
    <w:rsid w:val="001B2814"/>
    <w:rsid w:val="001B4F95"/>
    <w:rsid w:val="001C3F7F"/>
    <w:rsid w:val="001C5166"/>
    <w:rsid w:val="001D0354"/>
    <w:rsid w:val="001E20EC"/>
    <w:rsid w:val="001E4442"/>
    <w:rsid w:val="001E5A51"/>
    <w:rsid w:val="001F03A7"/>
    <w:rsid w:val="00207135"/>
    <w:rsid w:val="00231575"/>
    <w:rsid w:val="00247382"/>
    <w:rsid w:val="00252E35"/>
    <w:rsid w:val="00254858"/>
    <w:rsid w:val="00257053"/>
    <w:rsid w:val="00266257"/>
    <w:rsid w:val="00271BE6"/>
    <w:rsid w:val="0027454D"/>
    <w:rsid w:val="00280671"/>
    <w:rsid w:val="002814F9"/>
    <w:rsid w:val="00282D17"/>
    <w:rsid w:val="002A4AEF"/>
    <w:rsid w:val="002B305F"/>
    <w:rsid w:val="002B564F"/>
    <w:rsid w:val="002B5F5D"/>
    <w:rsid w:val="002C2254"/>
    <w:rsid w:val="002C3BC9"/>
    <w:rsid w:val="002C54DB"/>
    <w:rsid w:val="002D039F"/>
    <w:rsid w:val="002D0694"/>
    <w:rsid w:val="002D4ACE"/>
    <w:rsid w:val="002D5503"/>
    <w:rsid w:val="002E66D5"/>
    <w:rsid w:val="002F41E2"/>
    <w:rsid w:val="00320C99"/>
    <w:rsid w:val="003274A9"/>
    <w:rsid w:val="00331221"/>
    <w:rsid w:val="003649EE"/>
    <w:rsid w:val="00371BC6"/>
    <w:rsid w:val="00373A15"/>
    <w:rsid w:val="00383ACA"/>
    <w:rsid w:val="00394A02"/>
    <w:rsid w:val="003C7B20"/>
    <w:rsid w:val="003E4565"/>
    <w:rsid w:val="003E748F"/>
    <w:rsid w:val="003E7612"/>
    <w:rsid w:val="003F7F78"/>
    <w:rsid w:val="00414423"/>
    <w:rsid w:val="004411AD"/>
    <w:rsid w:val="004424EF"/>
    <w:rsid w:val="00453BB0"/>
    <w:rsid w:val="00460162"/>
    <w:rsid w:val="004620A8"/>
    <w:rsid w:val="00466BB5"/>
    <w:rsid w:val="004700CF"/>
    <w:rsid w:val="00487444"/>
    <w:rsid w:val="004A06D1"/>
    <w:rsid w:val="004A11FC"/>
    <w:rsid w:val="004C0224"/>
    <w:rsid w:val="004C053E"/>
    <w:rsid w:val="004C3255"/>
    <w:rsid w:val="004D07E1"/>
    <w:rsid w:val="004D1C19"/>
    <w:rsid w:val="004F29B8"/>
    <w:rsid w:val="004F5A94"/>
    <w:rsid w:val="0050413E"/>
    <w:rsid w:val="00515657"/>
    <w:rsid w:val="00521275"/>
    <w:rsid w:val="0052216F"/>
    <w:rsid w:val="005232CA"/>
    <w:rsid w:val="00523636"/>
    <w:rsid w:val="005326B3"/>
    <w:rsid w:val="005335B9"/>
    <w:rsid w:val="00536CCE"/>
    <w:rsid w:val="005541E4"/>
    <w:rsid w:val="00562FE7"/>
    <w:rsid w:val="0058302A"/>
    <w:rsid w:val="005B7338"/>
    <w:rsid w:val="005C02AB"/>
    <w:rsid w:val="005C5FC3"/>
    <w:rsid w:val="005D0F04"/>
    <w:rsid w:val="005F12F0"/>
    <w:rsid w:val="005F3273"/>
    <w:rsid w:val="005F34A3"/>
    <w:rsid w:val="00610CF2"/>
    <w:rsid w:val="006328DE"/>
    <w:rsid w:val="006353DE"/>
    <w:rsid w:val="006479F1"/>
    <w:rsid w:val="00650BEE"/>
    <w:rsid w:val="006520FA"/>
    <w:rsid w:val="0065377D"/>
    <w:rsid w:val="0065643E"/>
    <w:rsid w:val="00666F57"/>
    <w:rsid w:val="006740A7"/>
    <w:rsid w:val="00691524"/>
    <w:rsid w:val="006A654B"/>
    <w:rsid w:val="006A7E67"/>
    <w:rsid w:val="006A7EC8"/>
    <w:rsid w:val="006E2924"/>
    <w:rsid w:val="006E7A26"/>
    <w:rsid w:val="006F2B3D"/>
    <w:rsid w:val="007052CC"/>
    <w:rsid w:val="007319E0"/>
    <w:rsid w:val="00737B00"/>
    <w:rsid w:val="0075155C"/>
    <w:rsid w:val="00753A05"/>
    <w:rsid w:val="00757193"/>
    <w:rsid w:val="00761190"/>
    <w:rsid w:val="00776537"/>
    <w:rsid w:val="00783A25"/>
    <w:rsid w:val="007877F4"/>
    <w:rsid w:val="007E1B5E"/>
    <w:rsid w:val="007E6253"/>
    <w:rsid w:val="007F2278"/>
    <w:rsid w:val="00805783"/>
    <w:rsid w:val="00806F57"/>
    <w:rsid w:val="00806F90"/>
    <w:rsid w:val="008246FC"/>
    <w:rsid w:val="00824C19"/>
    <w:rsid w:val="00826250"/>
    <w:rsid w:val="008378D1"/>
    <w:rsid w:val="00846462"/>
    <w:rsid w:val="0086691F"/>
    <w:rsid w:val="00883DB0"/>
    <w:rsid w:val="00884C8F"/>
    <w:rsid w:val="00896D38"/>
    <w:rsid w:val="008C3296"/>
    <w:rsid w:val="008E2D03"/>
    <w:rsid w:val="008F2BB5"/>
    <w:rsid w:val="008F425D"/>
    <w:rsid w:val="008F5472"/>
    <w:rsid w:val="008F5D0F"/>
    <w:rsid w:val="009122E0"/>
    <w:rsid w:val="00913351"/>
    <w:rsid w:val="0096193C"/>
    <w:rsid w:val="009769E1"/>
    <w:rsid w:val="00977E0D"/>
    <w:rsid w:val="00986C04"/>
    <w:rsid w:val="009A2F76"/>
    <w:rsid w:val="009B2CB1"/>
    <w:rsid w:val="009D2AC2"/>
    <w:rsid w:val="009E1774"/>
    <w:rsid w:val="009E2668"/>
    <w:rsid w:val="009E40A3"/>
    <w:rsid w:val="009E597D"/>
    <w:rsid w:val="009E5C8C"/>
    <w:rsid w:val="009F10B1"/>
    <w:rsid w:val="009F47E3"/>
    <w:rsid w:val="009F6938"/>
    <w:rsid w:val="00A0537D"/>
    <w:rsid w:val="00A069AD"/>
    <w:rsid w:val="00A17A85"/>
    <w:rsid w:val="00A20856"/>
    <w:rsid w:val="00A24399"/>
    <w:rsid w:val="00A24CA5"/>
    <w:rsid w:val="00A323A4"/>
    <w:rsid w:val="00A33D6D"/>
    <w:rsid w:val="00A37345"/>
    <w:rsid w:val="00A5206D"/>
    <w:rsid w:val="00A65650"/>
    <w:rsid w:val="00A67346"/>
    <w:rsid w:val="00A72E47"/>
    <w:rsid w:val="00A90956"/>
    <w:rsid w:val="00A95404"/>
    <w:rsid w:val="00A968C5"/>
    <w:rsid w:val="00AA3C28"/>
    <w:rsid w:val="00AA759D"/>
    <w:rsid w:val="00AB2786"/>
    <w:rsid w:val="00AD4308"/>
    <w:rsid w:val="00AF2A33"/>
    <w:rsid w:val="00B309DD"/>
    <w:rsid w:val="00B36621"/>
    <w:rsid w:val="00B36D64"/>
    <w:rsid w:val="00B41B48"/>
    <w:rsid w:val="00B56194"/>
    <w:rsid w:val="00B61A34"/>
    <w:rsid w:val="00B64E8E"/>
    <w:rsid w:val="00B65E8B"/>
    <w:rsid w:val="00B8025A"/>
    <w:rsid w:val="00B827B1"/>
    <w:rsid w:val="00B97862"/>
    <w:rsid w:val="00BB23A4"/>
    <w:rsid w:val="00BC2276"/>
    <w:rsid w:val="00BD2150"/>
    <w:rsid w:val="00BE1CC3"/>
    <w:rsid w:val="00BE365A"/>
    <w:rsid w:val="00BE47C4"/>
    <w:rsid w:val="00C046E9"/>
    <w:rsid w:val="00C052A2"/>
    <w:rsid w:val="00C06A4A"/>
    <w:rsid w:val="00C1391A"/>
    <w:rsid w:val="00C14CE6"/>
    <w:rsid w:val="00C15218"/>
    <w:rsid w:val="00C2725D"/>
    <w:rsid w:val="00C42033"/>
    <w:rsid w:val="00C464DD"/>
    <w:rsid w:val="00C62EF9"/>
    <w:rsid w:val="00C76854"/>
    <w:rsid w:val="00C92AE0"/>
    <w:rsid w:val="00C94EC3"/>
    <w:rsid w:val="00CB2B1E"/>
    <w:rsid w:val="00CC3E8B"/>
    <w:rsid w:val="00CC4E84"/>
    <w:rsid w:val="00CD5641"/>
    <w:rsid w:val="00CE64AC"/>
    <w:rsid w:val="00CF7718"/>
    <w:rsid w:val="00D177F1"/>
    <w:rsid w:val="00D323B5"/>
    <w:rsid w:val="00D42ACC"/>
    <w:rsid w:val="00D51DC5"/>
    <w:rsid w:val="00D676D7"/>
    <w:rsid w:val="00D71517"/>
    <w:rsid w:val="00D7168D"/>
    <w:rsid w:val="00D874E1"/>
    <w:rsid w:val="00D9586D"/>
    <w:rsid w:val="00DA51B2"/>
    <w:rsid w:val="00DB0932"/>
    <w:rsid w:val="00DC2506"/>
    <w:rsid w:val="00DC49FA"/>
    <w:rsid w:val="00DD3D6B"/>
    <w:rsid w:val="00DD4467"/>
    <w:rsid w:val="00DD61C8"/>
    <w:rsid w:val="00DD772B"/>
    <w:rsid w:val="00E041F4"/>
    <w:rsid w:val="00E050BA"/>
    <w:rsid w:val="00E25442"/>
    <w:rsid w:val="00E25A1F"/>
    <w:rsid w:val="00E36E8A"/>
    <w:rsid w:val="00E37EEB"/>
    <w:rsid w:val="00E710FB"/>
    <w:rsid w:val="00E806D9"/>
    <w:rsid w:val="00E82CA2"/>
    <w:rsid w:val="00E94E5A"/>
    <w:rsid w:val="00E95594"/>
    <w:rsid w:val="00EA31C3"/>
    <w:rsid w:val="00EB33AC"/>
    <w:rsid w:val="00EC2DE2"/>
    <w:rsid w:val="00EC6F21"/>
    <w:rsid w:val="00EE0913"/>
    <w:rsid w:val="00F01440"/>
    <w:rsid w:val="00F13305"/>
    <w:rsid w:val="00F40463"/>
    <w:rsid w:val="00F50336"/>
    <w:rsid w:val="00F55E5B"/>
    <w:rsid w:val="00F62E3F"/>
    <w:rsid w:val="00F67F90"/>
    <w:rsid w:val="00F77B3E"/>
    <w:rsid w:val="00F833CB"/>
    <w:rsid w:val="00F87754"/>
    <w:rsid w:val="00F90A4B"/>
    <w:rsid w:val="00F90C56"/>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1E5A51"/>
    <w:pPr>
      <w:keepNext/>
      <w:keepLines/>
      <w:suppressAutoHyphens/>
      <w:outlineLvl w:val="0"/>
    </w:pPr>
    <w:rPr>
      <w:rFonts w:ascii="SimHei" w:eastAsia="SimHei"/>
      <w:color w:val="FF0000"/>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SingleTxt"/>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39</TotalTime>
  <Pages>1</Pages>
  <Words>4884</Words>
  <Characters>4982</Characters>
  <Application>Microsoft Office Word</Application>
  <DocSecurity>4</DocSecurity>
  <Lines>191</Lines>
  <Paragraphs>109</Paragraphs>
  <ScaleCrop>false</ScaleCrop>
  <Company>United Nations</Company>
  <LinksUpToDate>false</LinksUpToDate>
  <CharactersWithSpaces>9757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CTPU User</dc:creator>
  <cp:keywords/>
  <dc:description/>
  <cp:lastModifiedBy>CTPU User</cp:lastModifiedBy>
  <cp:revision>19</cp:revision>
  <cp:lastPrinted>2009-08-17T10:14:00Z</cp:lastPrinted>
  <dcterms:created xsi:type="dcterms:W3CDTF">2009-08-14T18:41:00Z</dcterms:created>
  <dcterms:modified xsi:type="dcterms:W3CDTF">2009-09-11T15:00:00Z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0946109</vt:lpwstr>
  </property>
  <property fmtid="{D5CDD505-2E9C-101B-9397-08002B2CF9AE}" pid="3" name="Symbol1">
    <vt:lpwstr>CEDAW/C/JPN/CO/6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lin xq</vt:lpwstr>
  </property>
</Properties>
</file>