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rPr>
        <w:pict>
          <v:shapetype id="_x0000_t202" coordsize="21600,21600" o:spt="202" path="m,l,21600r21600,l21600,xe">
            <v:stroke joinstyle="miter"/>
            <v:path gradientshapeok="t" o:connecttype="rect"/>
          </v:shapetype>
          <v:shape id="_x0000_s1028" type="#_x0000_t202" style="position:absolute;margin-left:85.05pt;margin-top:722.65pt;width:198pt;height:18pt;z-index:1;mso-position-horizontal-relative:page" stroked="f">
            <v:textbox style="mso-next-textbox:#_x0000_s1028" inset="0,0,0,0">
              <w:txbxContent>
                <w:p w:rsidR="00000000" w:rsidRDefault="00000000">
                  <w:r>
                    <w:rPr>
                      <w:lang w:val="en-US"/>
                    </w:rPr>
                    <w:t xml:space="preserve">GE.06-45260   (R)    291106    </w:t>
                  </w:r>
                  <w:r>
                    <w:t>301106</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pPr>
            <w:r>
              <w:rPr>
                <w:b/>
                <w:sz w:val="30"/>
              </w:rPr>
              <w:t xml:space="preserve">ОРГАНИЗАЦИЯ </w:t>
            </w:r>
            <w:r>
              <w:rPr>
                <w:b/>
                <w:sz w:val="30"/>
              </w:rPr>
              <w:b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9667" w:type="dxa"/>
        <w:tblLayout w:type="fixed"/>
        <w:tblCellMar>
          <w:left w:w="28" w:type="dxa"/>
          <w:right w:w="28" w:type="dxa"/>
        </w:tblCellMar>
        <w:tblLook w:val="0000" w:firstRow="0" w:lastRow="0" w:firstColumn="0" w:lastColumn="0" w:noHBand="0" w:noVBand="0"/>
      </w:tblPr>
      <w:tblGrid>
        <w:gridCol w:w="1558"/>
        <w:gridCol w:w="5983"/>
        <w:gridCol w:w="2126"/>
      </w:tblGrid>
      <w:tr w:rsidR="00000000">
        <w:tblPrEx>
          <w:tblCellMar>
            <w:top w:w="0" w:type="dxa"/>
            <w:bottom w:w="0" w:type="dxa"/>
          </w:tblCellMar>
        </w:tblPrEx>
        <w:tc>
          <w:tcPr>
            <w:tcW w:w="1558" w:type="dxa"/>
            <w:tcBorders>
              <w:bottom w:val="single" w:sz="36" w:space="0" w:color="auto"/>
            </w:tcBorders>
          </w:tcPr>
          <w:bookmarkStart w:id="0" w:name="_MON_1113892389"/>
          <w:bookmarkEnd w:id="0"/>
          <w:p w:rsidR="00000000" w:rsidRDefault="00000000">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444046405"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98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000000" w:rsidRDefault="00000000">
            <w:pPr>
              <w:tabs>
                <w:tab w:val="left" w:pos="0"/>
                <w:tab w:val="left" w:pos="7086"/>
              </w:tabs>
              <w:suppressAutoHyphens/>
              <w:spacing w:line="312" w:lineRule="auto"/>
              <w:ind w:right="283"/>
              <w:rPr>
                <w:sz w:val="20"/>
              </w:rPr>
            </w:pPr>
          </w:p>
        </w:tc>
        <w:tc>
          <w:tcPr>
            <w:tcW w:w="2126" w:type="dxa"/>
            <w:tcBorders>
              <w:bottom w:val="single" w:sz="36" w:space="0" w:color="auto"/>
            </w:tcBorders>
          </w:tcPr>
          <w:p w:rsidR="00000000" w:rsidRDefault="00000000"/>
          <w:p w:rsidR="00000000" w:rsidRDefault="00000000">
            <w:pPr>
              <w:spacing w:line="216" w:lineRule="auto"/>
              <w:rPr>
                <w:sz w:val="22"/>
              </w:rPr>
            </w:pPr>
            <w:r>
              <w:rPr>
                <w:sz w:val="22"/>
              </w:rPr>
              <w:t>Distr.</w:t>
            </w:r>
          </w:p>
          <w:p w:rsidR="00000000" w:rsidRDefault="00000000">
            <w:pPr>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000000" w:rsidRDefault="00000000">
            <w:pPr>
              <w:spacing w:line="216" w:lineRule="auto"/>
              <w:rPr>
                <w:sz w:val="22"/>
              </w:rPr>
            </w:pPr>
            <w:r>
              <w:rPr>
                <w:sz w:val="22"/>
              </w:rPr>
              <w:fldChar w:fldCharType="begin"/>
            </w:r>
            <w:r>
              <w:rPr>
                <w:sz w:val="22"/>
              </w:rPr>
              <w:instrText xml:space="preserve"> FILLIN  "Введите дату документа" \* MERGEFORMAT </w:instrText>
            </w:r>
            <w:r>
              <w:rPr>
                <w:sz w:val="22"/>
              </w:rPr>
              <w:fldChar w:fldCharType="separate"/>
            </w:r>
            <w:r>
              <w:rPr>
                <w:sz w:val="22"/>
              </w:rPr>
              <w:t>CERD/C/RUS/19</w:t>
            </w:r>
            <w:r>
              <w:rPr>
                <w:sz w:val="22"/>
              </w:rPr>
              <w:fldChar w:fldCharType="end"/>
            </w:r>
          </w:p>
          <w:p w:rsidR="00000000" w:rsidRDefault="00000000">
            <w:pPr>
              <w:spacing w:line="216" w:lineRule="auto"/>
              <w:rPr>
                <w:sz w:val="22"/>
              </w:rPr>
            </w:pPr>
            <w:r>
              <w:rPr>
                <w:sz w:val="22"/>
              </w:rPr>
              <w:t>23 October 2006</w:t>
            </w:r>
          </w:p>
          <w:p w:rsidR="00000000" w:rsidRDefault="00000000">
            <w:pPr>
              <w:spacing w:line="216" w:lineRule="auto"/>
              <w:rPr>
                <w:sz w:val="22"/>
              </w:rPr>
            </w:pPr>
          </w:p>
          <w:p w:rsidR="00000000" w:rsidRDefault="00000000">
            <w:pPr>
              <w:spacing w:line="216" w:lineRule="auto"/>
              <w:rPr>
                <w:sz w:val="22"/>
              </w:rPr>
            </w:pPr>
            <w:r>
              <w:rPr>
                <w:sz w:val="22"/>
              </w:rPr>
              <w:t>Original:   RUSSIAN</w:t>
            </w:r>
          </w:p>
          <w:p w:rsidR="00000000" w:rsidRDefault="00000000"/>
          <w:p w:rsidR="00000000" w:rsidRDefault="00000000">
            <w:pPr>
              <w:tabs>
                <w:tab w:val="left" w:pos="0"/>
                <w:tab w:val="left" w:pos="7086"/>
              </w:tabs>
              <w:suppressAutoHyphens/>
              <w:spacing w:line="216" w:lineRule="auto"/>
              <w:ind w:left="284"/>
              <w:rPr>
                <w:sz w:val="22"/>
              </w:rPr>
            </w:pPr>
          </w:p>
        </w:tc>
      </w:tr>
    </w:tbl>
    <w:p w:rsidR="00000000" w:rsidRDefault="00000000">
      <w:pPr>
        <w:tabs>
          <w:tab w:val="left" w:pos="0"/>
          <w:tab w:val="left" w:pos="7086"/>
        </w:tabs>
        <w:suppressAutoHyphens/>
        <w:spacing w:line="216" w:lineRule="auto"/>
      </w:pPr>
    </w:p>
    <w:p w:rsidR="00000000" w:rsidRDefault="00000000">
      <w:r>
        <w:t xml:space="preserve">КОМИТЕТ ПО ЛИКВИДАЦИИ </w:t>
      </w:r>
    </w:p>
    <w:p w:rsidR="00000000" w:rsidRDefault="00000000">
      <w:r>
        <w:t>РАСОВОЙ ДИСКРИМИНАЦИИ</w:t>
      </w:r>
    </w:p>
    <w:p w:rsidR="00000000" w:rsidRDefault="00000000">
      <w:pPr>
        <w:spacing w:line="240" w:lineRule="auto"/>
      </w:pPr>
    </w:p>
    <w:p w:rsidR="00000000" w:rsidRDefault="00000000">
      <w:pPr>
        <w:spacing w:line="240" w:lineRule="auto"/>
      </w:pPr>
    </w:p>
    <w:p w:rsidR="00000000" w:rsidRDefault="00000000">
      <w:pPr>
        <w:spacing w:line="240" w:lineRule="auto"/>
      </w:pPr>
    </w:p>
    <w:p w:rsidR="00000000" w:rsidRDefault="00000000">
      <w:pPr>
        <w:jc w:val="center"/>
      </w:pPr>
      <w:r>
        <w:t>ДОКЛАДЫ, ПРЕДСТАВЛЯЕМЫЕ ГОСУДАРСТВАМИ-УЧАСТНИКАМИ В СООТВЕТСТВИИ СО СТАТЬЕЙ 9 КОНВЕНЦИИ</w:t>
      </w:r>
    </w:p>
    <w:p w:rsidR="00000000" w:rsidRDefault="00000000">
      <w:pPr>
        <w:jc w:val="center"/>
      </w:pPr>
    </w:p>
    <w:p w:rsidR="00000000" w:rsidRDefault="00000000">
      <w:pPr>
        <w:jc w:val="center"/>
      </w:pPr>
      <w:r>
        <w:rPr>
          <w:u w:val="single"/>
        </w:rPr>
        <w:t>Девятнадцатые периодические доклады государств-участников</w:t>
      </w:r>
      <w:r>
        <w:t>,</w:t>
      </w:r>
    </w:p>
    <w:p w:rsidR="00000000" w:rsidRDefault="00000000">
      <w:pPr>
        <w:jc w:val="center"/>
        <w:rPr>
          <w:u w:val="single"/>
        </w:rPr>
      </w:pPr>
      <w:r>
        <w:rPr>
          <w:u w:val="single"/>
        </w:rPr>
        <w:t>подлежащие представлению в 2006 году</w:t>
      </w:r>
    </w:p>
    <w:p w:rsidR="00000000" w:rsidRDefault="00000000">
      <w:pPr>
        <w:jc w:val="center"/>
      </w:pPr>
    </w:p>
    <w:p w:rsidR="00000000" w:rsidRDefault="00000000">
      <w:pPr>
        <w:jc w:val="center"/>
        <w:rPr>
          <w:u w:val="single"/>
        </w:rPr>
      </w:pPr>
      <w:r>
        <w:rPr>
          <w:u w:val="single"/>
        </w:rPr>
        <w:t>Добавление</w:t>
      </w:r>
    </w:p>
    <w:p w:rsidR="00000000" w:rsidRDefault="00000000"/>
    <w:p w:rsidR="00000000" w:rsidRDefault="00000000">
      <w:pPr>
        <w:jc w:val="center"/>
      </w:pPr>
      <w:r>
        <w:t>РОССИЙСКАЯ ФЕДЕРАЦИЯ</w:t>
      </w:r>
      <w:r>
        <w:rPr>
          <w:rStyle w:val="FootnoteReference"/>
          <w:b w:val="0"/>
          <w:bCs/>
          <w:vertAlign w:val="baseline"/>
        </w:rPr>
        <w:footnoteReference w:customMarkFollows="1" w:id="1"/>
        <w:t>*</w:t>
      </w:r>
      <w:r>
        <w:t xml:space="preserve">  </w:t>
      </w:r>
      <w:r>
        <w:rPr>
          <w:rStyle w:val="FootnoteReference"/>
          <w:b w:val="0"/>
          <w:bCs/>
          <w:vertAlign w:val="baseline"/>
        </w:rPr>
        <w:footnoteReference w:customMarkFollows="1" w:id="2"/>
        <w:t>**</w:t>
      </w:r>
      <w:r>
        <w:rPr>
          <w:bCs/>
        </w:rPr>
        <w:t xml:space="preserve">  ***</w:t>
      </w:r>
    </w:p>
    <w:p w:rsidR="00000000" w:rsidRDefault="00000000">
      <w:pPr>
        <w:jc w:val="center"/>
      </w:pPr>
    </w:p>
    <w:p w:rsidR="00000000" w:rsidRDefault="00000000">
      <w:pPr>
        <w:jc w:val="right"/>
      </w:pPr>
      <w:r>
        <w:t>[13 октября 2006 года]</w:t>
      </w:r>
    </w:p>
    <w:p w:rsidR="00000000" w:rsidRDefault="00000000"/>
    <w:p w:rsidR="00000000" w:rsidRDefault="00000000">
      <w:pPr>
        <w:jc w:val="center"/>
        <w:rPr>
          <w:b/>
          <w:bCs/>
        </w:rPr>
      </w:pPr>
      <w:r>
        <w:br w:type="page"/>
      </w:r>
      <w:r>
        <w:rPr>
          <w:b/>
          <w:bCs/>
        </w:rPr>
        <w:t>ВОСЕМНАДЦАТЫЙ И ДЕВЯТНАДЦАТЫЙ ПЕРИОДИЧЕСКИЕ ДОКЛАДЫ РОССИЙСКОЙ ФЕДЕРАЦИИ О ВЫПОЛНЕНИИ МЕЖДУНАРОДНОЙ КОНВЕНЦИИ О ЛИКВИДАЦИИ ВСЕХ ФОРМ</w:t>
      </w:r>
    </w:p>
    <w:p w:rsidR="00000000" w:rsidRDefault="00000000">
      <w:pPr>
        <w:jc w:val="center"/>
        <w:rPr>
          <w:b/>
          <w:bCs/>
        </w:rPr>
      </w:pPr>
      <w:r>
        <w:rPr>
          <w:b/>
          <w:bCs/>
        </w:rPr>
        <w:t>РАСОВОЙ ДИСКРИМИНАЦИИ</w:t>
      </w:r>
    </w:p>
    <w:p w:rsidR="00000000" w:rsidRDefault="00000000"/>
    <w:p w:rsidR="00000000" w:rsidRDefault="00000000">
      <w:pPr>
        <w:jc w:val="center"/>
        <w:rPr>
          <w:iCs/>
        </w:rPr>
      </w:pPr>
      <w:r>
        <w:rPr>
          <w:iCs/>
        </w:rPr>
        <w:t>СОДЕРЖАНИЕ</w:t>
      </w:r>
    </w:p>
    <w:p w:rsidR="00000000" w:rsidRDefault="00000000">
      <w:pPr>
        <w:jc w:val="center"/>
        <w:rPr>
          <w:iCs/>
        </w:rPr>
      </w:pPr>
    </w:p>
    <w:p w:rsidR="00000000" w:rsidRDefault="00000000">
      <w:pPr>
        <w:tabs>
          <w:tab w:val="clear" w:pos="6237"/>
          <w:tab w:val="left" w:pos="567"/>
          <w:tab w:val="left" w:pos="1134"/>
          <w:tab w:val="left" w:pos="1701"/>
          <w:tab w:val="left" w:pos="2268"/>
          <w:tab w:val="center" w:pos="8759"/>
        </w:tabs>
        <w:rPr>
          <w:iCs/>
        </w:rPr>
      </w:pPr>
      <w:r>
        <w:rPr>
          <w:iCs/>
        </w:rPr>
        <w:tab/>
      </w:r>
      <w:r>
        <w:rPr>
          <w:iCs/>
        </w:rPr>
        <w:tab/>
      </w:r>
      <w:r>
        <w:rPr>
          <w:iCs/>
        </w:rPr>
        <w:tab/>
      </w:r>
      <w:r>
        <w:rPr>
          <w:iCs/>
        </w:rPr>
        <w:tab/>
      </w:r>
      <w:r>
        <w:rPr>
          <w:iCs/>
        </w:rPr>
        <w:tab/>
      </w:r>
      <w:r>
        <w:rPr>
          <w:iCs/>
          <w:u w:val="single"/>
        </w:rPr>
        <w:t>Пункты</w:t>
      </w:r>
    </w:p>
    <w:p w:rsidR="00000000" w:rsidRDefault="00000000">
      <w:pPr>
        <w:tabs>
          <w:tab w:val="clear" w:pos="6237"/>
          <w:tab w:val="left" w:pos="567"/>
          <w:tab w:val="left" w:pos="1134"/>
          <w:tab w:val="left" w:pos="1701"/>
          <w:tab w:val="left" w:pos="2268"/>
          <w:tab w:val="center" w:pos="8759"/>
        </w:tabs>
        <w:rPr>
          <w:iCs/>
        </w:rPr>
      </w:pPr>
    </w:p>
    <w:p w:rsidR="00000000" w:rsidRDefault="00000000">
      <w:pPr>
        <w:tabs>
          <w:tab w:val="clear" w:pos="1134"/>
          <w:tab w:val="clear" w:pos="1701"/>
          <w:tab w:val="clear" w:pos="2268"/>
          <w:tab w:val="clear" w:pos="6237"/>
          <w:tab w:val="left" w:pos="567"/>
          <w:tab w:val="right" w:leader="dot" w:pos="7750"/>
          <w:tab w:val="center" w:pos="8759"/>
        </w:tabs>
        <w:rPr>
          <w:iCs/>
          <w:lang w:val="en-US"/>
        </w:rPr>
      </w:pPr>
      <w:r>
        <w:rPr>
          <w:iCs/>
        </w:rPr>
        <w:t xml:space="preserve">Введение </w:t>
      </w:r>
      <w:r>
        <w:rPr>
          <w:iCs/>
        </w:rPr>
        <w:tab/>
      </w:r>
      <w:r>
        <w:rPr>
          <w:iCs/>
        </w:rPr>
        <w:tab/>
        <w:t>1 - 4</w:t>
      </w:r>
    </w:p>
    <w:p w:rsidR="00000000" w:rsidRDefault="00000000">
      <w:pPr>
        <w:tabs>
          <w:tab w:val="clear" w:pos="1134"/>
          <w:tab w:val="clear" w:pos="1701"/>
          <w:tab w:val="clear" w:pos="2268"/>
          <w:tab w:val="clear" w:pos="6237"/>
          <w:tab w:val="left" w:pos="567"/>
          <w:tab w:val="right" w:leader="dot" w:pos="7750"/>
          <w:tab w:val="center" w:pos="8759"/>
        </w:tabs>
        <w:rPr>
          <w:iCs/>
          <w:lang w:val="en-US"/>
        </w:rPr>
      </w:pPr>
    </w:p>
    <w:p w:rsidR="00000000" w:rsidRDefault="00000000">
      <w:pPr>
        <w:tabs>
          <w:tab w:val="clear" w:pos="1134"/>
          <w:tab w:val="clear" w:pos="1701"/>
          <w:tab w:val="clear" w:pos="2268"/>
          <w:tab w:val="clear" w:pos="6237"/>
          <w:tab w:val="left" w:pos="567"/>
          <w:tab w:val="right" w:leader="dot" w:pos="7750"/>
          <w:tab w:val="center" w:pos="8759"/>
        </w:tabs>
        <w:rPr>
          <w:iCs/>
          <w:lang w:val="en-US"/>
        </w:rPr>
      </w:pPr>
      <w:r>
        <w:rPr>
          <w:iCs/>
        </w:rPr>
        <w:t xml:space="preserve">Статья 2 </w:t>
      </w:r>
      <w:r>
        <w:rPr>
          <w:iCs/>
        </w:rPr>
        <w:tab/>
      </w:r>
      <w:r>
        <w:rPr>
          <w:iCs/>
        </w:rPr>
        <w:tab/>
        <w:t xml:space="preserve">  5 - 79</w:t>
      </w:r>
    </w:p>
    <w:p w:rsidR="00000000" w:rsidRDefault="00000000">
      <w:pPr>
        <w:tabs>
          <w:tab w:val="clear" w:pos="1134"/>
          <w:tab w:val="clear" w:pos="1701"/>
          <w:tab w:val="clear" w:pos="2268"/>
          <w:tab w:val="clear" w:pos="6237"/>
          <w:tab w:val="left" w:pos="567"/>
          <w:tab w:val="right" w:leader="dot" w:pos="7750"/>
          <w:tab w:val="center" w:pos="8759"/>
        </w:tabs>
        <w:rPr>
          <w:iCs/>
          <w:lang w:val="en-US"/>
        </w:rPr>
      </w:pPr>
    </w:p>
    <w:p w:rsidR="00000000" w:rsidRDefault="00000000">
      <w:pPr>
        <w:tabs>
          <w:tab w:val="clear" w:pos="1134"/>
          <w:tab w:val="clear" w:pos="1701"/>
          <w:tab w:val="clear" w:pos="2268"/>
          <w:tab w:val="clear" w:pos="6237"/>
          <w:tab w:val="left" w:pos="567"/>
          <w:tab w:val="right" w:leader="dot" w:pos="7750"/>
          <w:tab w:val="center" w:pos="8759"/>
        </w:tabs>
        <w:rPr>
          <w:iCs/>
          <w:lang w:val="en-US"/>
        </w:rPr>
      </w:pPr>
      <w:r>
        <w:rPr>
          <w:iCs/>
        </w:rPr>
        <w:t xml:space="preserve">Статья 3 </w:t>
      </w:r>
      <w:r>
        <w:rPr>
          <w:iCs/>
        </w:rPr>
        <w:tab/>
      </w:r>
      <w:r>
        <w:rPr>
          <w:iCs/>
        </w:rPr>
        <w:tab/>
        <w:t>80</w:t>
      </w:r>
    </w:p>
    <w:p w:rsidR="00000000" w:rsidRDefault="00000000">
      <w:pPr>
        <w:tabs>
          <w:tab w:val="clear" w:pos="1134"/>
          <w:tab w:val="clear" w:pos="1701"/>
          <w:tab w:val="clear" w:pos="2268"/>
          <w:tab w:val="clear" w:pos="6237"/>
          <w:tab w:val="left" w:pos="567"/>
          <w:tab w:val="right" w:leader="dot" w:pos="7750"/>
          <w:tab w:val="center" w:pos="8759"/>
        </w:tabs>
        <w:rPr>
          <w:iCs/>
          <w:lang w:val="en-US"/>
        </w:rPr>
      </w:pPr>
    </w:p>
    <w:p w:rsidR="00000000" w:rsidRDefault="00000000">
      <w:pPr>
        <w:tabs>
          <w:tab w:val="clear" w:pos="1134"/>
          <w:tab w:val="clear" w:pos="1701"/>
          <w:tab w:val="clear" w:pos="2268"/>
          <w:tab w:val="clear" w:pos="6237"/>
          <w:tab w:val="left" w:pos="567"/>
          <w:tab w:val="right" w:leader="dot" w:pos="7750"/>
          <w:tab w:val="center" w:pos="8759"/>
        </w:tabs>
        <w:rPr>
          <w:iCs/>
          <w:lang w:val="en-US"/>
        </w:rPr>
      </w:pPr>
      <w:r>
        <w:rPr>
          <w:iCs/>
        </w:rPr>
        <w:t xml:space="preserve">Статья 4 </w:t>
      </w:r>
      <w:r>
        <w:rPr>
          <w:iCs/>
        </w:rPr>
        <w:tab/>
      </w:r>
      <w:r>
        <w:rPr>
          <w:iCs/>
        </w:rPr>
        <w:tab/>
        <w:t xml:space="preserve">  81 - 108</w:t>
      </w:r>
    </w:p>
    <w:p w:rsidR="00000000" w:rsidRDefault="00000000">
      <w:pPr>
        <w:tabs>
          <w:tab w:val="clear" w:pos="1134"/>
          <w:tab w:val="clear" w:pos="1701"/>
          <w:tab w:val="clear" w:pos="2268"/>
          <w:tab w:val="clear" w:pos="6237"/>
          <w:tab w:val="left" w:pos="567"/>
          <w:tab w:val="right" w:leader="dot" w:pos="7750"/>
          <w:tab w:val="center" w:pos="8759"/>
        </w:tabs>
        <w:rPr>
          <w:iCs/>
          <w:lang w:val="en-US"/>
        </w:rPr>
      </w:pPr>
    </w:p>
    <w:p w:rsidR="00000000" w:rsidRDefault="00000000">
      <w:pPr>
        <w:tabs>
          <w:tab w:val="clear" w:pos="1134"/>
          <w:tab w:val="clear" w:pos="1701"/>
          <w:tab w:val="clear" w:pos="2268"/>
          <w:tab w:val="clear" w:pos="6237"/>
          <w:tab w:val="left" w:pos="567"/>
          <w:tab w:val="right" w:leader="dot" w:pos="7750"/>
          <w:tab w:val="center" w:pos="8759"/>
        </w:tabs>
        <w:rPr>
          <w:iCs/>
          <w:lang w:val="en-US"/>
        </w:rPr>
      </w:pPr>
      <w:r>
        <w:rPr>
          <w:iCs/>
        </w:rPr>
        <w:t xml:space="preserve">Статья 5 </w:t>
      </w:r>
      <w:r>
        <w:rPr>
          <w:iCs/>
        </w:rPr>
        <w:tab/>
      </w:r>
      <w:r>
        <w:rPr>
          <w:iCs/>
        </w:rPr>
        <w:tab/>
        <w:t>109 - 133</w:t>
      </w:r>
    </w:p>
    <w:p w:rsidR="00000000" w:rsidRDefault="00000000">
      <w:pPr>
        <w:tabs>
          <w:tab w:val="clear" w:pos="1134"/>
          <w:tab w:val="clear" w:pos="1701"/>
          <w:tab w:val="clear" w:pos="2268"/>
          <w:tab w:val="clear" w:pos="6237"/>
          <w:tab w:val="left" w:pos="567"/>
          <w:tab w:val="right" w:leader="dot" w:pos="7750"/>
          <w:tab w:val="center" w:pos="8759"/>
        </w:tabs>
        <w:rPr>
          <w:iCs/>
          <w:lang w:val="en-US"/>
        </w:rPr>
      </w:pPr>
    </w:p>
    <w:p w:rsidR="00000000" w:rsidRDefault="00000000">
      <w:pPr>
        <w:tabs>
          <w:tab w:val="clear" w:pos="1134"/>
          <w:tab w:val="clear" w:pos="1701"/>
          <w:tab w:val="clear" w:pos="2268"/>
          <w:tab w:val="clear" w:pos="6237"/>
          <w:tab w:val="left" w:pos="567"/>
          <w:tab w:val="right" w:leader="dot" w:pos="7750"/>
          <w:tab w:val="center" w:pos="8759"/>
        </w:tabs>
        <w:rPr>
          <w:iCs/>
          <w:lang w:val="en-US"/>
        </w:rPr>
      </w:pPr>
      <w:r>
        <w:rPr>
          <w:iCs/>
        </w:rPr>
        <w:t xml:space="preserve">Статья 6 </w:t>
      </w:r>
      <w:r>
        <w:rPr>
          <w:iCs/>
        </w:rPr>
        <w:tab/>
      </w:r>
      <w:r>
        <w:rPr>
          <w:iCs/>
        </w:rPr>
        <w:tab/>
        <w:t>134 - 138</w:t>
      </w:r>
    </w:p>
    <w:p w:rsidR="00000000" w:rsidRDefault="00000000">
      <w:pPr>
        <w:tabs>
          <w:tab w:val="clear" w:pos="1134"/>
          <w:tab w:val="clear" w:pos="1701"/>
          <w:tab w:val="clear" w:pos="2268"/>
          <w:tab w:val="clear" w:pos="6237"/>
          <w:tab w:val="left" w:pos="567"/>
          <w:tab w:val="right" w:leader="dot" w:pos="7750"/>
          <w:tab w:val="center" w:pos="8759"/>
        </w:tabs>
        <w:rPr>
          <w:iCs/>
          <w:lang w:val="en-US"/>
        </w:rPr>
      </w:pPr>
    </w:p>
    <w:p w:rsidR="00000000" w:rsidRDefault="00000000">
      <w:pPr>
        <w:tabs>
          <w:tab w:val="clear" w:pos="1134"/>
          <w:tab w:val="clear" w:pos="1701"/>
          <w:tab w:val="clear" w:pos="2268"/>
          <w:tab w:val="clear" w:pos="6237"/>
          <w:tab w:val="left" w:pos="567"/>
          <w:tab w:val="right" w:leader="dot" w:pos="7750"/>
          <w:tab w:val="center" w:pos="8759"/>
        </w:tabs>
        <w:rPr>
          <w:iCs/>
        </w:rPr>
      </w:pPr>
      <w:r>
        <w:rPr>
          <w:iCs/>
        </w:rPr>
        <w:t xml:space="preserve">Статья 7 </w:t>
      </w:r>
      <w:r>
        <w:rPr>
          <w:iCs/>
        </w:rPr>
        <w:tab/>
      </w:r>
      <w:r>
        <w:rPr>
          <w:iCs/>
        </w:rPr>
        <w:tab/>
        <w:t>139</w:t>
      </w:r>
      <w:r>
        <w:rPr>
          <w:iCs/>
          <w:lang w:val="en-US"/>
        </w:rPr>
        <w:t xml:space="preserve"> </w:t>
      </w:r>
      <w:r>
        <w:rPr>
          <w:iCs/>
        </w:rPr>
        <w:t>-</w:t>
      </w:r>
      <w:r>
        <w:rPr>
          <w:iCs/>
          <w:lang w:val="en-US"/>
        </w:rPr>
        <w:t xml:space="preserve"> </w:t>
      </w:r>
      <w:r>
        <w:rPr>
          <w:iCs/>
        </w:rPr>
        <w:t>154</w:t>
      </w:r>
    </w:p>
    <w:p w:rsidR="00000000" w:rsidRDefault="00000000">
      <w:pPr>
        <w:tabs>
          <w:tab w:val="clear" w:pos="1134"/>
          <w:tab w:val="clear" w:pos="1701"/>
          <w:tab w:val="clear" w:pos="2268"/>
          <w:tab w:val="clear" w:pos="6237"/>
          <w:tab w:val="left" w:pos="567"/>
          <w:tab w:val="right" w:leader="dot" w:pos="7750"/>
          <w:tab w:val="center" w:pos="8759"/>
        </w:tabs>
        <w:rPr>
          <w:iCs/>
        </w:rPr>
      </w:pPr>
    </w:p>
    <w:p w:rsidR="00000000" w:rsidRDefault="00000000">
      <w:pPr>
        <w:jc w:val="center"/>
        <w:rPr>
          <w:b/>
          <w:bCs/>
          <w:i/>
        </w:rPr>
      </w:pPr>
      <w:r>
        <w:rPr>
          <w:b/>
          <w:bCs/>
          <w:i/>
        </w:rPr>
        <w:br w:type="page"/>
        <w:t>Введение</w:t>
      </w:r>
    </w:p>
    <w:p w:rsidR="00000000" w:rsidRDefault="00000000">
      <w:pPr>
        <w:jc w:val="center"/>
        <w:rPr>
          <w:iCs/>
        </w:rPr>
      </w:pPr>
    </w:p>
    <w:p w:rsidR="00000000" w:rsidRDefault="00000000">
      <w:r>
        <w:t>1.</w:t>
      </w:r>
      <w:r>
        <w:tab/>
        <w:t>Настоящие доклады представляются в соответствии с пунктом 1 статьи 9 Международной конвенции о ликвидации всех форм расовой дискриминации и составлены в соответствии с Общими руководящими принципами, касающимися формы и содержания докладов, подлежащих представлению государствами-участниками в Комитет по ликвидации расовой дискриминации в соответствии с пунктом 1 статьи 9 Конвенции.</w:t>
      </w:r>
    </w:p>
    <w:p w:rsidR="00000000" w:rsidRDefault="00000000"/>
    <w:p w:rsidR="00000000" w:rsidRDefault="00000000">
      <w:r>
        <w:t>2.</w:t>
      </w:r>
      <w:r>
        <w:tab/>
        <w:t>Доклады охватывают период с февраля 2002 года по июль 2006 года и содержат описание событий, происшедших со времени представления пятнадцатого, шестнадцатого и семнадцатого периодических докладов Российской Федерации (CERD/C/431/Add.2).</w:t>
      </w:r>
    </w:p>
    <w:p w:rsidR="00000000" w:rsidRDefault="00000000"/>
    <w:p w:rsidR="00000000" w:rsidRDefault="00000000">
      <w:r>
        <w:t>3.</w:t>
      </w:r>
      <w:r>
        <w:tab/>
        <w:t>Кроме того, в докладах учтены заключительные замечания Комитета по ликвидации расовой дискриминации по итогам рассмотрения пятнадцатого, шестнадцатого и семнадцатого докладов России (CERD/C/62/СО/7).</w:t>
      </w:r>
    </w:p>
    <w:p w:rsidR="00000000" w:rsidRDefault="00000000"/>
    <w:p w:rsidR="00000000" w:rsidRDefault="00000000">
      <w:pPr>
        <w:rPr>
          <w:lang w:val="en-US"/>
        </w:rPr>
      </w:pPr>
      <w:r>
        <w:t>4.</w:t>
      </w:r>
      <w:r>
        <w:tab/>
        <w:t>В Приложении I к настоящим докладам содержится среднесрочная городская целевая программа "Москва многонациональная:  формирование гражданской солидарности, культуры мира и согласия (2005-2007 годы)", утвержденная постановлением № 3-ПП правительства Москвы от 11 января 2005 года.  В Приложении II к настоящим докладам содержится список изданий на национальных языках, получающих государственные субсидии.</w:t>
      </w:r>
    </w:p>
    <w:p w:rsidR="00000000" w:rsidRDefault="00000000">
      <w:pPr>
        <w:rPr>
          <w:lang w:val="en-US"/>
        </w:rPr>
      </w:pPr>
    </w:p>
    <w:p w:rsidR="00000000" w:rsidRDefault="00000000">
      <w:pPr>
        <w:rPr>
          <w:b/>
          <w:bCs/>
          <w:i/>
          <w:iCs/>
        </w:rPr>
      </w:pPr>
      <w:r>
        <w:rPr>
          <w:b/>
          <w:bCs/>
          <w:i/>
          <w:iCs/>
        </w:rPr>
        <w:t>Статья 2</w:t>
      </w:r>
    </w:p>
    <w:p w:rsidR="00000000" w:rsidRDefault="00000000"/>
    <w:p w:rsidR="00000000" w:rsidRDefault="00000000">
      <w:r>
        <w:t>5.</w:t>
      </w:r>
      <w:r>
        <w:tab/>
        <w:t>Конституция Российской Федерации 1993 года содержит запрет любых форм дискриминации.  Данное конституционное положение находится в полном соответствии с международными обязательствами России.</w:t>
      </w:r>
    </w:p>
    <w:p w:rsidR="00000000" w:rsidRDefault="00000000"/>
    <w:p w:rsidR="00000000" w:rsidRDefault="00000000">
      <w:r>
        <w:t>6.</w:t>
      </w:r>
      <w:r>
        <w:tab/>
        <w:t>Статья 19 Конституции гласит:</w:t>
      </w:r>
    </w:p>
    <w:p w:rsidR="00000000" w:rsidRDefault="00000000"/>
    <w:p w:rsidR="00000000" w:rsidRDefault="00000000">
      <w:r>
        <w:tab/>
        <w:t>"1.</w:t>
      </w:r>
      <w:r>
        <w:tab/>
        <w:t>Все равны перед законом и судом.</w:t>
      </w:r>
    </w:p>
    <w:p w:rsidR="00000000" w:rsidRDefault="00000000"/>
    <w:p w:rsidR="00000000" w:rsidRDefault="00000000">
      <w:pPr>
        <w:ind w:left="567" w:hanging="567"/>
      </w:pPr>
      <w:r>
        <w:tab/>
        <w:t>2.</w:t>
      </w:r>
      <w:r>
        <w:tab/>
        <w:t>Государство гарантирует равенство прав и свобод человека и гражданина независимо от пола, расы, национальности, языка,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других обстоятельств.  Запрещаются любые формы ограничения прав граждан по признакам социальной, расовой, национальной, языковой или религиозной принадлежности".</w:t>
      </w:r>
    </w:p>
    <w:p w:rsidR="00000000" w:rsidRDefault="00000000">
      <w:pPr>
        <w:ind w:left="567" w:hanging="567"/>
      </w:pPr>
    </w:p>
    <w:p w:rsidR="00000000" w:rsidRDefault="00000000">
      <w:r>
        <w:t>7.</w:t>
      </w:r>
      <w:r>
        <w:tab/>
        <w:t>Следует отметить, что приведенный в пункте 2 статьи 19 Конституции перечень признаков, по которым запрещена дискриминация, не является исчерпывающим.</w:t>
      </w:r>
    </w:p>
    <w:p w:rsidR="00000000" w:rsidRDefault="00000000"/>
    <w:p w:rsidR="00000000" w:rsidRDefault="00000000">
      <w:r>
        <w:t>8.</w:t>
      </w:r>
      <w:r>
        <w:tab/>
        <w:t>В соответствии с пунктом 5 статьи 13 Конституции запрещаются создание и деятельность общественных объединений, цели или действия которых направлены на разжигание социальной, расовой, национальной и религиозной розни.</w:t>
      </w:r>
    </w:p>
    <w:p w:rsidR="00000000" w:rsidRDefault="00000000"/>
    <w:p w:rsidR="00000000" w:rsidRDefault="00000000">
      <w:r>
        <w:t>9.</w:t>
      </w:r>
      <w:r>
        <w:tab/>
        <w:t>Другим важным конституционным положением, направленным на недопущение какой-либо дискриминации, является пункт 2 статьи 29, который гласит:</w:t>
      </w:r>
    </w:p>
    <w:p w:rsidR="00000000" w:rsidRDefault="00000000"/>
    <w:p w:rsidR="00000000" w:rsidRDefault="00000000">
      <w:pPr>
        <w:ind w:left="567" w:hanging="567"/>
      </w:pPr>
      <w:r>
        <w:tab/>
        <w:t>"Не допускаются пропаганда или агитация, возбуждающие социальную, расовую, национальную или религиозную ненависть и вражду.  Запрещается пропаганда социального, расового, национального, религиозного или языкового превосходства".</w:t>
      </w:r>
    </w:p>
    <w:p w:rsidR="00000000" w:rsidRDefault="00000000">
      <w:pPr>
        <w:ind w:left="567" w:hanging="567"/>
      </w:pPr>
    </w:p>
    <w:p w:rsidR="00000000" w:rsidRDefault="00000000">
      <w:r>
        <w:t>10.</w:t>
      </w:r>
      <w:r>
        <w:tab/>
        <w:t>В соответствии со статьей 28 Конституции Российской Федерации каждому гарантируется свобода совести, свобода вероисповедания, включая право исповедовать индивидуально или совместно с другими любую религию или не исповедовать никакой, свободно выбирать, иметь и распространять религиозные и иные убеждения и действовать в соответствии с ними.</w:t>
      </w:r>
    </w:p>
    <w:p w:rsidR="00000000" w:rsidRDefault="00000000"/>
    <w:p w:rsidR="00000000" w:rsidRDefault="00000000">
      <w:r>
        <w:t>11.</w:t>
      </w:r>
      <w:r>
        <w:tab/>
        <w:t>Необходимо также отметить, что статья 26 Конституции закрепляет за каждым право определять и указывать свою национальную принадлежность.  Пункт 2 указанной статьи предоставляет всем без исключения право на пользование родным языком, на свободный выбор языка общения, воспитания, обучения и творчества.</w:t>
      </w:r>
    </w:p>
    <w:p w:rsidR="00000000" w:rsidRDefault="00000000"/>
    <w:p w:rsidR="00000000" w:rsidRDefault="00000000">
      <w:r>
        <w:t>12.</w:t>
      </w:r>
      <w:r>
        <w:tab/>
        <w:t>Указанные статьи Конституции нашли свое дальнейшее отражение и развитие в других нормативно-правовых актах Российской Федерации.</w:t>
      </w:r>
    </w:p>
    <w:p w:rsidR="00000000" w:rsidRDefault="00000000"/>
    <w:p w:rsidR="00000000" w:rsidRDefault="00000000">
      <w:r>
        <w:t>13.</w:t>
      </w:r>
      <w:r>
        <w:tab/>
        <w:t>Законодательство Российской Федерации стремится в полном объеме урегулировать вопросы, связанные с обеспечением равенства прав граждан Российской Федерации, иностранных лиц и лиц без гражданства, а также с недопустимостью дискриминации внутри многонационального народа, составляющего население России.</w:t>
      </w:r>
    </w:p>
    <w:p w:rsidR="00000000" w:rsidRDefault="00000000"/>
    <w:p w:rsidR="00000000" w:rsidRDefault="00000000">
      <w:r>
        <w:t>14.</w:t>
      </w:r>
      <w:r>
        <w:tab/>
        <w:t>Законодательство Российской Федерации в социальной сфере характеризуется, в частности, закреплением в конкретных нормах положений о недопущении всех форм дискриминации по каким-либо признакам, а также содержит нормы, устанавливающие равные права для предоставления установленных государством гарантий.</w:t>
      </w:r>
    </w:p>
    <w:p w:rsidR="00000000" w:rsidRDefault="00000000"/>
    <w:p w:rsidR="00000000" w:rsidRDefault="00000000">
      <w:r>
        <w:t>15.</w:t>
      </w:r>
      <w:r>
        <w:tab/>
        <w:t>Статьей 5 Закона № 3266-1 Российской Федерации "Об образовании" от 10 июля 1992 года гражданам Российской Федерации гарантируется возможность получения образования независимо от пола, расы, национальности, языка, происхождения, места жительства, отношения к религии, убеждений, социального, имущественного и должностного положения.</w:t>
      </w:r>
    </w:p>
    <w:p w:rsidR="00000000" w:rsidRDefault="00000000"/>
    <w:p w:rsidR="00000000" w:rsidRDefault="00000000">
      <w:r>
        <w:t>16.</w:t>
      </w:r>
      <w:r>
        <w:tab/>
        <w:t>В соответствии со статьей 17 Основ законодательства об охране здоровья граждан государство обеспечивает гражданам охрану здоровья независимо от расовой, национальной и иной принадлежности.  Государство гарантирует гражданам защиту от любых форм дискриминации, связанной с наличием у них каких-либо заболеваний.  Иностранным гражданам, находящимся на территории Российской Федерации, гарантируется право на охрану здоровья в соответствии с международными договорами Российской Федерации.  Лица без гражданства, постоянно проживающие на территории Российской Федерации, и беженцы пользуются правом на охрану здоровья наравне с гражданами России (статья 18).</w:t>
      </w:r>
    </w:p>
    <w:p w:rsidR="00000000" w:rsidRDefault="00000000"/>
    <w:p w:rsidR="00000000" w:rsidRDefault="00000000">
      <w:pPr>
        <w:rPr>
          <w:lang w:val="en-US"/>
        </w:rPr>
      </w:pPr>
      <w:r>
        <w:t>17.</w:t>
      </w:r>
      <w:r>
        <w:tab/>
        <w:t>Трудовой кодекс Российской Федерации от 30 декабря 2001 года содержит ряд статей, направленных на искоренение любых форм дискриминации в трудовых отношениях.  Так, согласно статьям 2-3 Трудового кодекса запрещается дискриминация в сфере труда, каждому гарантируются равные возможности для реализации своих трудовых прав.  Никто не может быть ограничен в трудовых правах и свободах.  Статья 4 содержит запрет принудительного труда.</w:t>
      </w:r>
    </w:p>
    <w:p w:rsidR="00000000" w:rsidRDefault="00000000">
      <w:pPr>
        <w:rPr>
          <w:lang w:val="en-US"/>
        </w:rPr>
      </w:pPr>
    </w:p>
    <w:p w:rsidR="00000000" w:rsidRDefault="00000000">
      <w:r>
        <w:t>18.</w:t>
      </w:r>
      <w:r>
        <w:tab/>
        <w:t>Государство гарантирует гражданам пожилого возраста и инвалидам возможность получения социальных услуг на основе принципа социальной справедливости независимо от расовой или национальной принадлежности.</w:t>
      </w:r>
    </w:p>
    <w:p w:rsidR="00000000" w:rsidRDefault="00000000"/>
    <w:p w:rsidR="00000000" w:rsidRDefault="00000000">
      <w:r>
        <w:t>19.</w:t>
      </w:r>
      <w:r>
        <w:tab/>
        <w:t>В Семейном кодексе Российской Федерации от 29 декабря 1995 года указывается, что "запрещаются любые формы ограничения прав граждан при вступлении в брак и в семейных отношениях по признакам социальной, расовой, национальной, языковой или религиозной принадлежности" (пункт 4 статьи 1).</w:t>
      </w:r>
    </w:p>
    <w:p w:rsidR="00000000" w:rsidRDefault="00000000"/>
    <w:p w:rsidR="00000000" w:rsidRDefault="00000000">
      <w:r>
        <w:t>20.</w:t>
      </w:r>
      <w:r>
        <w:tab/>
        <w:t>Основы законодательства Российской Федерации о культуре устанавливают обязанность государства по обеспечению свобод и самостоятельности всех субъектов культурной деятельности.  Органы государственной власти и управления, органы местного самоуправления не вмешиваются в творческую деятельность граждан и их объединений, государственных и негосударственных организаций культуры за исключением случаев, когда такая деятельность ведет к пропаганде насилия, жестокости, расовой, национальной, религиозной и иной исключительности или нетерпимости.</w:t>
      </w:r>
    </w:p>
    <w:p w:rsidR="00000000" w:rsidRDefault="00000000"/>
    <w:p w:rsidR="00000000" w:rsidRDefault="00000000">
      <w:r>
        <w:t>21.</w:t>
      </w:r>
      <w:r>
        <w:tab/>
        <w:t>Значительное внимание запрещению любых форм дискриминации уделяется в Уголовном кодексе Российской Федерации (УК РФ), вступившем в силу 1 января 1997 года.</w:t>
      </w:r>
    </w:p>
    <w:p w:rsidR="00000000" w:rsidRDefault="00000000"/>
    <w:p w:rsidR="00000000" w:rsidRDefault="00000000">
      <w:r>
        <w:t>22.</w:t>
      </w:r>
      <w:r>
        <w:tab/>
        <w:t>В заключительных замечаниях по итогам рассмотрения пятнадцатого, шестнадцатого и семнадцатого докладов России о выполнении Международной конвенции о ликвидации всех форм расовой дискриминации Комитет по ликвидации расовой дискриминации отмечает отсутствие определения понятия "расовая дискриминация" в национальном законодательстве Российской Федерации.  В этой связи следует отметить, что 8 декабря 2003 года был принят Федеральный закон "О внесении изменений и дополнений в Уголовный кодекс Российской Федерации".  Данным законом в статью 136 УК РФ было введено определение понятия "дискриминация".  Под дискриминацией понимается нарушение прав, свобод и законных интересов человека и гражданина в зависимости от его пола, расы, национальности, языка, происхождения, имущественного и должностного положения, места жительства, отношения к религии, убеждений, принадлежности к общественным объединениям или каким-либо социальным группам.</w:t>
      </w:r>
    </w:p>
    <w:p w:rsidR="00000000" w:rsidRDefault="00000000"/>
    <w:p w:rsidR="00000000" w:rsidRDefault="00000000">
      <w:r>
        <w:t>23.</w:t>
      </w:r>
      <w:r>
        <w:tab/>
        <w:t>Статья 4 главы I УК, касающейся задач и принципов Кодекса, устанавливает, что "лица, совершившие преступления, равны перед законом и подлежат уголовной ответственности независимо от пола, расы, национальности, языка,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других обстоятельств".</w:t>
      </w:r>
    </w:p>
    <w:p w:rsidR="00000000" w:rsidRDefault="00000000"/>
    <w:p w:rsidR="00000000" w:rsidRDefault="00000000">
      <w:r>
        <w:t>24.</w:t>
      </w:r>
      <w:r>
        <w:tab/>
        <w:t>В УК РФ установлено общее правило, в соответствии с которым совершение преступления по мотиву национальной, расовой, религиозной ненависти или вражды является отягчающим обстоятельством.  Соответственно за совершение преступлений по указанным мотивам предусмотрено более суровое наказание.  Так, по пункту "з" части 2 статьи 117 УК РФ ("Причинение физических или психических страданий путем систематического нанесения побоев либо иных насильственных действий – истязание по мотиву национальной, расовой, религиозной ненависти или вражды") назначается наказание от 3 до 7 лет лишения свободы;  по пункту "е" части 2 статьи 111 УК РФ о причинении тяжкого вреда здоровью потерпевшего по аналогичному мотиву назначается наказание от 3 до 10 лет лишения свободы;  по пункту "л" части 2 статьи 105 УК РФ ("Убийство по мотиву национальной, расовой, религиозной ненависти или вражды") может быть назначено наказание от 8 до 20 лет лишения свободы либо пожизненное заключение.</w:t>
      </w:r>
    </w:p>
    <w:p w:rsidR="00000000" w:rsidRDefault="00000000"/>
    <w:p w:rsidR="00000000" w:rsidRDefault="00000000">
      <w:r>
        <w:t>25.</w:t>
      </w:r>
      <w:r>
        <w:tab/>
        <w:t>В отдельную статью 282 УК РФ ("Возбуждение ненависти либо вражды, а равно унижение человеческого достоинства"), отнесенную к главе о преступлениях против основ конституционного строя и безопасности государства, выделен состав преступления, предусматривающий уголовную ответственность за возбуждение национальной, расовой или религиозной вражды.  В указанной статье говорится:</w:t>
      </w:r>
    </w:p>
    <w:p w:rsidR="00000000" w:rsidRDefault="00000000"/>
    <w:p w:rsidR="00000000" w:rsidRDefault="00000000">
      <w:pPr>
        <w:ind w:left="567" w:hanging="567"/>
      </w:pPr>
      <w:r>
        <w:tab/>
        <w:t>"Действия, направленные на возбуждение ненависти либо вражды, а также на унижение достоинства человека либо группы лиц по признакам пола, расы, национальности, языка, происхождения, отношения к религии, а равно принадлежности к какой-либо социальной группе, совершенные публично или с использованием средств массовой информации, - наказываются штрафом в размере от ста тысяч до трехсот тысяч рублей или в размере заработной платы или иного дохода осужденного за период от одного года до двух лет, либо лишением права занимать определенные должности или заниматься определенной деятельностью на срок до трех лет, либо обязательными работами на срок до ста восьмидесяти часов, либо исправительными работами на срок до одного года, либо лишением свободы на срок до двух лет.</w:t>
      </w:r>
    </w:p>
    <w:p w:rsidR="00000000" w:rsidRDefault="00000000">
      <w:pPr>
        <w:ind w:left="567" w:hanging="567"/>
      </w:pPr>
    </w:p>
    <w:p w:rsidR="00000000" w:rsidRDefault="00000000">
      <w:r>
        <w:tab/>
        <w:t>Те же деяния, совершенные:</w:t>
      </w:r>
    </w:p>
    <w:p w:rsidR="00000000" w:rsidRDefault="00000000"/>
    <w:p w:rsidR="00000000" w:rsidRDefault="00000000">
      <w:pPr>
        <w:rPr>
          <w:szCs w:val="24"/>
        </w:rPr>
      </w:pPr>
      <w:r>
        <w:rPr>
          <w:szCs w:val="24"/>
        </w:rPr>
        <w:tab/>
        <w:t>а)</w:t>
      </w:r>
      <w:r>
        <w:rPr>
          <w:szCs w:val="24"/>
        </w:rPr>
        <w:tab/>
        <w:t>с применением насилия или с угрозой его применения;</w:t>
      </w:r>
    </w:p>
    <w:p w:rsidR="00000000" w:rsidRDefault="00000000">
      <w:pPr>
        <w:rPr>
          <w:szCs w:val="24"/>
        </w:rPr>
      </w:pPr>
      <w:r>
        <w:rPr>
          <w:szCs w:val="24"/>
        </w:rPr>
        <w:tab/>
        <w:t>б)</w:t>
      </w:r>
      <w:r>
        <w:rPr>
          <w:szCs w:val="24"/>
        </w:rPr>
        <w:tab/>
        <w:t>лицом с использованием своего служебного положения;</w:t>
      </w:r>
    </w:p>
    <w:p w:rsidR="00000000" w:rsidRDefault="00000000">
      <w:pPr>
        <w:rPr>
          <w:szCs w:val="24"/>
        </w:rPr>
      </w:pPr>
      <w:r>
        <w:rPr>
          <w:szCs w:val="24"/>
        </w:rPr>
        <w:tab/>
        <w:t>в)</w:t>
      </w:r>
      <w:r>
        <w:rPr>
          <w:szCs w:val="24"/>
        </w:rPr>
        <w:tab/>
        <w:t>организованной группой,</w:t>
      </w:r>
    </w:p>
    <w:p w:rsidR="00000000" w:rsidRDefault="00000000">
      <w:pPr>
        <w:rPr>
          <w:szCs w:val="24"/>
        </w:rPr>
      </w:pPr>
    </w:p>
    <w:p w:rsidR="00000000" w:rsidRDefault="00000000">
      <w:pPr>
        <w:ind w:left="567" w:hanging="567"/>
        <w:rPr>
          <w:szCs w:val="24"/>
        </w:rPr>
      </w:pPr>
      <w:r>
        <w:rPr>
          <w:szCs w:val="24"/>
        </w:rPr>
        <w:tab/>
        <w:t>наказываются штрафом в размере от ста тысяч до пятисот тысяч рублей или в размере заработной платы или иного дохода осужденного за период от одного года до трех лет, либо лишением права занимать определенные должности или заниматься определенной деятельностью на срок до пяти лет, либо обязательными работами на срок от ста двадцати до двухсот сорока часов, либо исправительными работами на срок от одного года до двух лет, либо лишением свободы на срок до пяти лет".</w:t>
      </w:r>
    </w:p>
    <w:p w:rsidR="00000000" w:rsidRDefault="00000000">
      <w:pPr>
        <w:ind w:left="567" w:hanging="567"/>
        <w:rPr>
          <w:szCs w:val="24"/>
        </w:rPr>
      </w:pPr>
    </w:p>
    <w:p w:rsidR="00000000" w:rsidRDefault="00000000">
      <w:r>
        <w:t>26.</w:t>
      </w:r>
      <w:r>
        <w:tab/>
        <w:t>Статья 357 УК РФ ("Геноцид") предусматривает уголовную ответственность за действия, "направленные на полное или частичное уничтожение национальной, этнической, расовой или религиозной группы путем убийства членов этой группы, причинения тяжкого вреда их здоровью, насильственного препятствия деторождению, принудительной передачи детей, насильственного переселения либо иного создания жизненных условий, рассчитанных на физическое уничтожение членов этой группы".  Законодательством данное преступление отнесено к группе особо тяжких (часть 5 статьи 15 УК РФ).</w:t>
      </w:r>
    </w:p>
    <w:p w:rsidR="00000000" w:rsidRDefault="00000000"/>
    <w:p w:rsidR="00000000" w:rsidRDefault="00000000">
      <w:pPr>
        <w:rPr>
          <w:szCs w:val="24"/>
        </w:rPr>
      </w:pPr>
      <w:r>
        <w:rPr>
          <w:szCs w:val="24"/>
        </w:rPr>
        <w:t>27.</w:t>
      </w:r>
      <w:r>
        <w:rPr>
          <w:szCs w:val="24"/>
        </w:rPr>
        <w:tab/>
        <w:t>Особое внимание в своей государственной политике Российская Федерация уделяет развитию и совершенствованию законодательства, обеспечивающего правовую защиту каждого этнокультурного сообщества.  С целью реального обеспечения этнокультурного развития народов Российской Федерации, решения вопросов межнационального сотрудничества и взаимодействия с религиозными организациями в сентябре 2004 года Указом Президента Российской Федерации было создано Министерство регионального развития Российской Федерации, к ведению которого были отнесены вопросы национальной политики.  Министерство регионального развития Российской Федерации наделено полномочиями по выработке государственной политики и нормативно-правовому регулированию в сфере социально-экономического развития субъектов Российской Федерации, федеративных и национальных отношений, защиты прав национальных меньшинств, исконной среды обитания и традиционного образа жизни коренных малочисленных народов и этнических общностей.</w:t>
      </w:r>
    </w:p>
    <w:p w:rsidR="00000000" w:rsidRDefault="00000000">
      <w:pPr>
        <w:rPr>
          <w:szCs w:val="24"/>
        </w:rPr>
      </w:pPr>
    </w:p>
    <w:p w:rsidR="00000000" w:rsidRDefault="00000000">
      <w:pPr>
        <w:rPr>
          <w:szCs w:val="24"/>
        </w:rPr>
      </w:pPr>
      <w:r>
        <w:rPr>
          <w:szCs w:val="24"/>
        </w:rPr>
        <w:t>28.</w:t>
      </w:r>
      <w:r>
        <w:rPr>
          <w:szCs w:val="24"/>
        </w:rPr>
        <w:tab/>
        <w:t>Россия постоянно совершенствует свою политику в межнациональной сфере.  В частности, Министерством регионального развития Российской Федерации проводится большая работа по гармонизации межнациональных отношений, сохранению культурного разнообразия, противодействию расовой дискриминации, ксенофобии и нетерпимости.</w:t>
      </w:r>
    </w:p>
    <w:p w:rsidR="00000000" w:rsidRDefault="00000000">
      <w:pPr>
        <w:rPr>
          <w:szCs w:val="24"/>
        </w:rPr>
      </w:pPr>
    </w:p>
    <w:p w:rsidR="00000000" w:rsidRDefault="00000000">
      <w:r>
        <w:t>29.</w:t>
      </w:r>
      <w:r>
        <w:tab/>
        <w:t>Активное противодействие всем формам национализма и нетерпимости оказывает созданная в 2006 году Общественная палата Российской Федерации, в рамках которой функционирует Комиссия Общественной палаты по вопросам толерантности и свободы совести.  Федеральный закон № 32-ФЗ "Об Общественной палате Российской Федерации" от 4 апреля 2004 года определяет цели и задачи Общественной палаты, а именно обеспечение взаимодействия граждан Российской Федерации с федеральными органами государственной власти, органами государственной власти субъектов Российской Федерации и органами местного самоуправления в целях учета потребностей и интересов граждан Российской Федерации, защита прав и свобод граждан Российской Федерации и прав общественных объединений при формировании и реализации государственной политики (пункт 28 замечаний).</w:t>
      </w:r>
    </w:p>
    <w:p w:rsidR="00000000" w:rsidRDefault="00000000"/>
    <w:p w:rsidR="00000000" w:rsidRDefault="00000000">
      <w:r>
        <w:t>30.</w:t>
      </w:r>
      <w:r>
        <w:tab/>
        <w:t>Указом Президента Российской Федерации № 1417 от 6 ноября 2004 года Комиссия по правам человека при Президенте Российской Федерации была преобразована в Совет при Президенте Российской Федерации по содействию развитию институтов гражданского общества и правам человека под председательством Э.А. Памфиловой.  В результате повышения статуса данного органа его возможности расширились.  В Совет входят 33 специалиста, способные профессионально, аргументировано разрабатывать политику в той или иной сфере, опираясь на широкую сеть общественных организаций.  Основными результатами деятельности Комиссии – Совета за предшествующий период являются:</w:t>
      </w:r>
    </w:p>
    <w:p w:rsidR="00000000" w:rsidRDefault="00000000"/>
    <w:p w:rsidR="00000000" w:rsidRDefault="00000000">
      <w:pPr>
        <w:numPr>
          <w:ilvl w:val="0"/>
          <w:numId w:val="9"/>
        </w:numPr>
        <w:tabs>
          <w:tab w:val="clear" w:pos="1134"/>
        </w:tabs>
        <w:ind w:left="567"/>
      </w:pPr>
      <w:r>
        <w:t>разработан проект федерального закона "О праве граждан на индивидуальные и коллективные обращения";</w:t>
      </w:r>
    </w:p>
    <w:p w:rsidR="00000000" w:rsidRDefault="00000000">
      <w:pPr>
        <w:tabs>
          <w:tab w:val="clear" w:pos="1134"/>
        </w:tabs>
      </w:pPr>
    </w:p>
    <w:p w:rsidR="00000000" w:rsidRDefault="00000000">
      <w:pPr>
        <w:numPr>
          <w:ilvl w:val="0"/>
          <w:numId w:val="9"/>
        </w:numPr>
        <w:tabs>
          <w:tab w:val="clear" w:pos="1134"/>
        </w:tabs>
        <w:ind w:left="567"/>
      </w:pPr>
      <w:r>
        <w:t>подготовлено экспертное заключение на законопроект «О внесении изменений и дополнений в Закон РФ "О праве граждан на свободу передвижения, выбор места пребывания и жительства"»;</w:t>
      </w:r>
    </w:p>
    <w:p w:rsidR="00000000" w:rsidRDefault="00000000">
      <w:pPr>
        <w:tabs>
          <w:tab w:val="clear" w:pos="1134"/>
        </w:tabs>
      </w:pPr>
    </w:p>
    <w:p w:rsidR="00000000" w:rsidRDefault="00000000">
      <w:pPr>
        <w:numPr>
          <w:ilvl w:val="0"/>
          <w:numId w:val="9"/>
        </w:numPr>
        <w:tabs>
          <w:tab w:val="clear" w:pos="1134"/>
        </w:tabs>
        <w:ind w:left="567"/>
      </w:pPr>
      <w:r>
        <w:t>подготовлен законопроект о внесении изменений и дополнений в текст статьи 251 Налогового кодекса РФ, согласно которому в список видов деятельности, освобождаемых от налога на прибыль, должно быть включено грантовое финансирование правозащитной деятельности.  5 августа 2004 года в первом чтении был принят проект ФЗ № 58666-4 "О внесении изменений в главы 23 и 25 части второй Налогового кодекса Российской Федерации и некоторые другие законодательные акты о налогах и сборах".  Согласно проекту, расширилась сфера применений грантов:  в число видов деятельности внесены охрана здоровья, права и свободы человека и социальное обслуживание незащищенных групп населения, что многократно обсуждалось Комиссией по правам человека, в том числе и на встрече с Президентом РФ.  Проект содержит ряд нововведений, применение которых может поставить весь процесс выдачи и получения грантов под необоснованный бюрократический контроль.  В связи с этим Комиссия по правам человека направила поправку ко второму чтению указанного законопроекта, и позиция Комиссии была поддержана Главой администрации Президента РФ Медведевым Д.А.;</w:t>
      </w:r>
    </w:p>
    <w:p w:rsidR="00000000" w:rsidRDefault="00000000">
      <w:pPr>
        <w:tabs>
          <w:tab w:val="clear" w:pos="1134"/>
        </w:tabs>
      </w:pPr>
    </w:p>
    <w:p w:rsidR="00000000" w:rsidRDefault="00000000">
      <w:pPr>
        <w:numPr>
          <w:ilvl w:val="0"/>
          <w:numId w:val="9"/>
        </w:numPr>
        <w:tabs>
          <w:tab w:val="clear" w:pos="1134"/>
        </w:tabs>
        <w:ind w:left="567"/>
      </w:pPr>
      <w:r>
        <w:t>Указом Президента Российской Федерации № 1237 от 20 сентября 2004 года "О дополнительных мерах государственной поддержки правозащитного движения в Российской Федерации" создан Международный правозащитный центр, задачами которого являются обеспечение деятельности Совета;  координация взаимодействия российских и международных неправительственных организаций;  поддержка правозащитного движения в России и за ее пределами;  проведение экспертизы общественно значимых нормативно-правовых актов;  подготовка предложений Президенту и правительству о мерах по устранению дефектов в системе обеспечения прав человека в России, препятствующих развитию гражданского общества;  обеспечение эффективной защиты прав и законных интересов российских граждан за рубежом;</w:t>
      </w:r>
    </w:p>
    <w:p w:rsidR="00000000" w:rsidRDefault="00000000">
      <w:pPr>
        <w:tabs>
          <w:tab w:val="clear" w:pos="1134"/>
        </w:tabs>
      </w:pPr>
    </w:p>
    <w:p w:rsidR="00000000" w:rsidRDefault="00000000">
      <w:pPr>
        <w:numPr>
          <w:ilvl w:val="0"/>
          <w:numId w:val="9"/>
        </w:numPr>
        <w:tabs>
          <w:tab w:val="clear" w:pos="1134"/>
        </w:tabs>
        <w:ind w:left="567"/>
      </w:pPr>
      <w:r>
        <w:t>обращение к Председателю Правительства Российской Федерации по вопросу о нецелесообразности приостановления в 2005 году финансирования федеральной целевой программы "Формирование установок толерантного сознания и профилактика экстремизма в российском обществе (2001–2005 годы)".  В результате Правительством РФ было принято решение о финансировании в 2005 году наиболее важных мероприятий указанной программы в рамках Федеральной программы развития образования;</w:t>
      </w:r>
    </w:p>
    <w:p w:rsidR="00000000" w:rsidRDefault="00000000">
      <w:pPr>
        <w:tabs>
          <w:tab w:val="clear" w:pos="1134"/>
        </w:tabs>
      </w:pPr>
    </w:p>
    <w:p w:rsidR="00000000" w:rsidRDefault="00000000">
      <w:pPr>
        <w:numPr>
          <w:ilvl w:val="0"/>
          <w:numId w:val="9"/>
        </w:numPr>
        <w:tabs>
          <w:tab w:val="clear" w:pos="1134"/>
        </w:tabs>
        <w:ind w:left="567"/>
      </w:pPr>
      <w:r>
        <w:t>во взаимодействии с Московской Хельсинкской группой организован Форум "Дети против фашизма, войны и терроризма" (26-27 марта 2003 года).  Обсуждались вопросы проявления межнациональной напряженности, усиления националистических и ксенофобских настроений в стране;</w:t>
      </w:r>
    </w:p>
    <w:p w:rsidR="00000000" w:rsidRDefault="00000000">
      <w:pPr>
        <w:tabs>
          <w:tab w:val="clear" w:pos="1134"/>
        </w:tabs>
      </w:pPr>
    </w:p>
    <w:p w:rsidR="00000000" w:rsidRDefault="00000000">
      <w:pPr>
        <w:numPr>
          <w:ilvl w:val="0"/>
          <w:numId w:val="9"/>
        </w:numPr>
        <w:tabs>
          <w:tab w:val="clear" w:pos="1134"/>
        </w:tabs>
        <w:ind w:left="567"/>
      </w:pPr>
      <w:r>
        <w:t>проведено Общероссийское совещание руководителей комиссий по правам человека при главах исполнительной власти субъектов Российской Федерации (15-16 июля 2003 года, Москва).  В работе совещания приняли участие представители комиссий по правам человека из 60 субъектов России, региональные уполномоченные по правам человека и по правам ребенка, заместители Полномочных представителей Президента РФ в федеральных округах, руководство Генеральной Прокуратуры, Верховного Суда и Министерства юстиции, Администрации Президента Российской Федерации, эксперты и представители общественных правозащитных организаций;</w:t>
      </w:r>
    </w:p>
    <w:p w:rsidR="00000000" w:rsidRDefault="00000000">
      <w:pPr>
        <w:tabs>
          <w:tab w:val="clear" w:pos="1134"/>
        </w:tabs>
      </w:pPr>
    </w:p>
    <w:p w:rsidR="00000000" w:rsidRDefault="00000000">
      <w:pPr>
        <w:numPr>
          <w:ilvl w:val="0"/>
          <w:numId w:val="9"/>
        </w:numPr>
        <w:tabs>
          <w:tab w:val="clear" w:pos="1134"/>
        </w:tabs>
        <w:ind w:left="567"/>
      </w:pPr>
      <w:r>
        <w:t>содействие мероприятиям по процессу урегулирования общественно-политической ситуации в Чеченской Республике.  В соответствии с поручением Президента Российской Федерации, данным на встрече с Комиссией по правам человека при Президенте Российской Федерации 10 декабря 2002 года, рабочая группа, сформированная из числа членов Комиссии (Алексеева Л.М., Ганнушкина С.А., Памфилова Э.А.), а также представителей Правительства РФ (Ильясов С.В., Юнаш И.Б.) дважды (26-29 декабря 2002 года и 7-8 февраля 2003 года), выезжала в Чеченскую Республику и Республику Ингушетия с целью ознакомления с ситуацией в местах временного размещения внутриперемещенных лиц (ВПЛ) из Чеченской Республики.  По итогам работы группой подготовлен совместный согласованный доклад Президенту Российской Федерации, в котором содержатся конкретные предложения по решению этой проблемы.  C 4 по 6 сентября 2003 года члены Комиссии в составе 10 человек выезжали в Чеченскую Республику во время выборов Главы Республики.  Члены Комиссии посетили свыше пятидесяти избирательных участков в различных районах Чечни, включая город Грозный.  29-30 января 2004 года состоялась рабочая поездка членов Комиссии во главе с ее Председателем в Чеченскую Республику для организации и проведения встречи представителей местных правозащитных организаций с руководством Республики в целях выработки совместных действий по недопущению пропажи без вести жителей Чечни.  В общей сложности за период работы члены Комиссии во главе с ее Председателем осуществили более двадцати рабочих поездок в Чеченскую Республику и Республику Ингушетия;</w:t>
      </w:r>
    </w:p>
    <w:p w:rsidR="00000000" w:rsidRDefault="00000000">
      <w:pPr>
        <w:tabs>
          <w:tab w:val="clear" w:pos="1134"/>
        </w:tabs>
      </w:pPr>
    </w:p>
    <w:p w:rsidR="00000000" w:rsidRDefault="00000000">
      <w:pPr>
        <w:numPr>
          <w:ilvl w:val="0"/>
          <w:numId w:val="9"/>
        </w:numPr>
        <w:tabs>
          <w:tab w:val="clear" w:pos="1134"/>
        </w:tabs>
        <w:ind w:left="567"/>
      </w:pPr>
      <w:r>
        <w:t>15 апреля 2004 года ответственный секретарь Комиссии принял участие в круглом столе "О вопросах совершенствования законодательства РФ в отношении российских соотечественников за рубежом и вынужденных переселенцев", прошедшем в Государственной думе Российской Федерации.  Круглый стол был посвящен совершенствованию механизмов применения законов "О гражданстве РФ", "О государственной политике РФ в отношении соотечественников за рубежом", "О правовом положении иностранных граждан в РФ";</w:t>
      </w:r>
    </w:p>
    <w:p w:rsidR="00000000" w:rsidRDefault="00000000">
      <w:pPr>
        <w:tabs>
          <w:tab w:val="clear" w:pos="1134"/>
        </w:tabs>
      </w:pPr>
    </w:p>
    <w:p w:rsidR="00000000" w:rsidRDefault="00000000">
      <w:pPr>
        <w:numPr>
          <w:ilvl w:val="0"/>
          <w:numId w:val="9"/>
        </w:numPr>
        <w:tabs>
          <w:tab w:val="clear" w:pos="1134"/>
        </w:tabs>
        <w:ind w:left="567"/>
      </w:pPr>
      <w:r>
        <w:t>неоднократные выступления членов Комиссии – Совета с заявлением о недопустимости распространения идеологии неофашизма, расизма и ксенофобии;</w:t>
      </w:r>
    </w:p>
    <w:p w:rsidR="00000000" w:rsidRDefault="00000000">
      <w:pPr>
        <w:tabs>
          <w:tab w:val="clear" w:pos="1134"/>
        </w:tabs>
      </w:pPr>
    </w:p>
    <w:p w:rsidR="00000000" w:rsidRDefault="00000000">
      <w:pPr>
        <w:numPr>
          <w:ilvl w:val="0"/>
          <w:numId w:val="9"/>
        </w:numPr>
        <w:tabs>
          <w:tab w:val="clear" w:pos="1134"/>
        </w:tabs>
        <w:ind w:left="567"/>
      </w:pPr>
      <w:r>
        <w:t>участие в организованном Бюро ЮНЕСКО в Москве совместно с отделом по правам человека и борьбе против дискриминации штаб-квартиры ЮНЕСКО в Париже совещании европейских экспертов по вопросам борьбы с расизмом, ксенофобией, дискриминацией и связанной с ними нетерпимостью в Европе (20-21 марта 2003 года);</w:t>
      </w:r>
    </w:p>
    <w:p w:rsidR="00000000" w:rsidRDefault="00000000">
      <w:pPr>
        <w:tabs>
          <w:tab w:val="clear" w:pos="1134"/>
        </w:tabs>
      </w:pPr>
    </w:p>
    <w:p w:rsidR="00000000" w:rsidRDefault="00000000">
      <w:pPr>
        <w:numPr>
          <w:ilvl w:val="0"/>
          <w:numId w:val="9"/>
        </w:numPr>
        <w:tabs>
          <w:tab w:val="clear" w:pos="1134"/>
        </w:tabs>
        <w:ind w:left="567"/>
      </w:pPr>
      <w:r>
        <w:t>участие в Международной конференции по антисемитизму (28-29 апреля 2004 года, Берлин);</w:t>
      </w:r>
    </w:p>
    <w:p w:rsidR="00000000" w:rsidRDefault="00000000">
      <w:pPr>
        <w:tabs>
          <w:tab w:val="clear" w:pos="1134"/>
        </w:tabs>
      </w:pPr>
    </w:p>
    <w:p w:rsidR="00000000" w:rsidRDefault="00000000">
      <w:pPr>
        <w:numPr>
          <w:ilvl w:val="0"/>
          <w:numId w:val="9"/>
        </w:numPr>
        <w:tabs>
          <w:tab w:val="clear" w:pos="1134"/>
        </w:tabs>
        <w:ind w:left="567"/>
      </w:pPr>
      <w:r>
        <w:t>созданы и осуществляют прием граждан на постоянной основе Общественная приемная Совета и Общественное юридическое бюро;</w:t>
      </w:r>
    </w:p>
    <w:p w:rsidR="00000000" w:rsidRDefault="00000000">
      <w:pPr>
        <w:tabs>
          <w:tab w:val="clear" w:pos="1134"/>
        </w:tabs>
      </w:pPr>
    </w:p>
    <w:p w:rsidR="00000000" w:rsidRDefault="00000000">
      <w:pPr>
        <w:numPr>
          <w:ilvl w:val="0"/>
          <w:numId w:val="9"/>
        </w:numPr>
        <w:tabs>
          <w:tab w:val="clear" w:pos="1134"/>
        </w:tabs>
        <w:ind w:left="567"/>
      </w:pPr>
      <w:r>
        <w:t>рассмотрено более 18 000 обращений граждан и оказано содействие в решении поставленных вопросов;</w:t>
      </w:r>
    </w:p>
    <w:p w:rsidR="00000000" w:rsidRDefault="00000000">
      <w:pPr>
        <w:tabs>
          <w:tab w:val="clear" w:pos="1134"/>
        </w:tabs>
      </w:pPr>
    </w:p>
    <w:p w:rsidR="00000000" w:rsidRDefault="00000000">
      <w:pPr>
        <w:numPr>
          <w:ilvl w:val="0"/>
          <w:numId w:val="9"/>
        </w:numPr>
        <w:tabs>
          <w:tab w:val="clear" w:pos="1134"/>
        </w:tabs>
        <w:ind w:left="567"/>
      </w:pPr>
      <w:r>
        <w:t>разработаны концептуальные и практические материалы в сфере прав человека.  Проведена работа над проектом Федеральной концепции обеспечения и защиты прав и свобод человека.</w:t>
      </w:r>
    </w:p>
    <w:p w:rsidR="00000000" w:rsidRDefault="00000000">
      <w:pPr>
        <w:tabs>
          <w:tab w:val="clear" w:pos="1134"/>
        </w:tabs>
      </w:pPr>
    </w:p>
    <w:p w:rsidR="00000000" w:rsidRDefault="00000000">
      <w:pPr>
        <w:rPr>
          <w:szCs w:val="24"/>
        </w:rPr>
      </w:pPr>
      <w:r>
        <w:rPr>
          <w:szCs w:val="24"/>
        </w:rPr>
        <w:t>31.</w:t>
      </w:r>
      <w:r>
        <w:rPr>
          <w:szCs w:val="24"/>
        </w:rPr>
        <w:tab/>
        <w:t>Федеральные органы исполнительной власти постоянно проводят консультации и поддерживают другие рабочие контакты с Общественной палатой Российской Федерации, российскими и международными правозащитными организациями.  В целях оптимизации данной работы в Министерстве регионального развития Российской Федерации ведется работа по созданию Консультативного совета по делам национально-культурных автономий и Межведомственной комиссии по взаимодействию с национальными общественными объединениями.  Кроме того, в настоящее время Министерством регионального развития Российской Федерации подготавливаются соглашения с Ассамблеей народов России и Ассоциацией коренных малочисленных народов Севера, Сибири и Дальнего Востока в целях улучшения взаимодействия в ходе реализации совместных национально-культурных проектов.</w:t>
      </w:r>
    </w:p>
    <w:p w:rsidR="00000000" w:rsidRDefault="00000000">
      <w:pPr>
        <w:rPr>
          <w:szCs w:val="24"/>
        </w:rPr>
      </w:pPr>
    </w:p>
    <w:p w:rsidR="00000000" w:rsidRDefault="00000000">
      <w:r>
        <w:t>32.</w:t>
      </w:r>
      <w:r>
        <w:tab/>
        <w:t>2 августа 2001 года на заседании Правительства Российской Федерации был принят проект федеральной целевой программы "Формирование установок толерантного сознания и профилактика экстремизма в российском обществе (2001-2005 годы)".  Удалось провести работу по формированию и внедрению в социальную практику норм толерантности, определяющих устойчивость поведения отдельных личностей и социальных групп в различных ситуациях социальной напряженности как основу согласия в демократическом государстве.</w:t>
      </w:r>
    </w:p>
    <w:p w:rsidR="00000000" w:rsidRDefault="00000000"/>
    <w:p w:rsidR="00000000" w:rsidRDefault="00000000">
      <w:r>
        <w:t>33.</w:t>
      </w:r>
      <w:r>
        <w:tab/>
        <w:t>С целью формирования условий для устойчивого развития каждого народа России в атмосфере взаимопонимания и сотрудничества и создания системы регулярного мониторинга ситуации в сфере межнациональных отношений в настоящее время разрабатывается Федеральная целевая программа "Этнокультурное развитие регионов России (2006-2008 годы)".</w:t>
      </w:r>
    </w:p>
    <w:p w:rsidR="00000000" w:rsidRDefault="00000000"/>
    <w:p w:rsidR="00000000" w:rsidRDefault="00000000">
      <w:r>
        <w:t>34.</w:t>
      </w:r>
      <w:r>
        <w:tab/>
        <w:t>Постоянно проводится работа по совершенствованию законодательства и правоприменительной практики в данной области.  Разрабатывается проект федерального закона "Об основах государственной национальной политики Российской Федерации", проект постановления Правительства Российской Федерации "Об уполномоченном представителе коренных малочисленных народов Севера", разрабатывается проект концепции воспитания культуры межнационального общения Российской Федерации и создания системы воспитания культуры межнационального общения.</w:t>
      </w:r>
    </w:p>
    <w:p w:rsidR="00000000" w:rsidRDefault="00000000"/>
    <w:p w:rsidR="00000000" w:rsidRDefault="00000000">
      <w:r>
        <w:t>35.</w:t>
      </w:r>
      <w:r>
        <w:tab/>
        <w:t>Необходимо отметить важную роль гражданского общества в сфере предотвращения расовой дискриминации и нетерпимости.  В Российской Федерации в рамках принятых нормативных правовых актов функционирует большое количество общественных правозащитных организаций.  Так, международная сеть Молодежное правозащитное движение совместно со Свободным университетом и Молодежной правозащитной группой инициировало двухлетнюю информационную кампанию "Антифашизм и толерантность".  Межрегиональная общественная организация содействия развитию суверенной демократии "Наши" регулярно проводит массовые молодежные акции в регионах России по противодействию нетерпимости и фашизму в молодежной среде.  Только в последние месяцы состоялось большое количество знаковых мероприятий, организованных представителями гражданского общества.  Например, 3 июня 2006 года в городе Москве на Васильевском спуске прошла акция в память людей, погибших от рук скинхедов по мотивам национальной вражды и нетерпимости.  Акция была организована группой армянской молодежи, участие в ней приняли представители армянской молодежи Москвы и Московской области.  В мае 2006 года в Москве в Зале Славы Мемориального комплекса на Поклонной горе состоялась торжественная церемония подписания Соглашения о противодействии национализму, ксенофобии и религиозной розни (Антифашистский пакт).  Чтобы поставить свои подписи под этим документом на Поклонную гору съехались руководители 12 политических партий России:  "Единая Россия", ЛДПР, Аграрной партии России, СПС, СЕПР, Партии пенсионеров, Партии "Патриоты России", Партии социальной справедливости, Российской объединенной промышленной партии, Российской партии мира, Партии "Свободная Россия", Демократической партии России.</w:t>
      </w:r>
    </w:p>
    <w:p w:rsidR="00000000" w:rsidRDefault="00000000"/>
    <w:p w:rsidR="00000000" w:rsidRDefault="00000000">
      <w:r>
        <w:t>36.</w:t>
      </w:r>
      <w:r>
        <w:tab/>
        <w:t>В июне текущего года состоялась международная конференция "Многонациональная Россия в XXI веке:  диалог культур и религий, права человека", в которой принимали участие представители общественных объединений, религиозных организаций, федеральных и региональных органов власти, ученые и деятели искусства.  По итогам конференции Председатель Комитета Государственной думы Российской Федерации (Госдумы) по международным делам К.И. Косачев предложил поручить Министерству регионального развития Российской Федерации осуществить сравнительный анализ российского и зарубежного законодательства, регламентирующего права и положение национально-культурных меньшинств.  Председатель Комитета Госдумы по делам национальностей Е.Н. Трофимов обратил особое внимание на проблемы управляемости межэтническими процессами и противодействия расовой, национальной и религиозной нетерпимости.  В Комитете в настоящее время обсуждается вопрос о внесении изменений в нормативно-правовую базу в целях выведения преступлений на расовой почве в самостоятельную категорию.  Выступление Председателя Отдела внешних церковных связей Московской патриархии митрополита Смоленского и Калининградского Кирилла было посвящено вопросам нравственной ответственности и духовного воспитания, для чего он призвал более активно использовать нравственный потенциал, сопрягая его с многоконфессиональностью российского общества.</w:t>
      </w:r>
    </w:p>
    <w:p w:rsidR="00000000" w:rsidRDefault="00000000"/>
    <w:p w:rsidR="00000000" w:rsidRDefault="00000000">
      <w:r>
        <w:t>37.</w:t>
      </w:r>
      <w:r>
        <w:tab/>
      </w:r>
      <w:bookmarkStart w:id="2" w:name="OCRUncertain010"/>
      <w:bookmarkEnd w:id="2"/>
      <w:r>
        <w:t>Работа в данном направлении активно осуществляется не только на федеральном, но и на уровне субъектов Российской Федерации.  Правительство Москвы постоянно рассматривает вопросы взаимодействия общественных организаций и органов государственной власти по проблемам недопущения любых форм дискриминации.  Головным органом в данной сфере является Комитет межрегиональных связей и национальной политики города Москвы, создан Межнациональный консультативный совет при Правительстве Москвы (МКС).</w:t>
      </w:r>
    </w:p>
    <w:p w:rsidR="00000000" w:rsidRDefault="00000000"/>
    <w:p w:rsidR="00000000" w:rsidRDefault="00000000">
      <w:r>
        <w:t>38.</w:t>
      </w:r>
      <w:r>
        <w:tab/>
        <w:t>В настоящее время идет реализация среднесрочной городской целевой программы (СГЦП) "Москва многонациональная:  формирование гражданской ответственности, культуры мира и согласия (2005-2007 годы)", которая базируется на принципах завершившейся в 2004 году СГЦП "Москва на пути к культуре мира:  формирование установок толерантного сознания, профилактика экстремизма, воспитание культуры мира (2002-2004 годы)".  В программе использованы позитивный опыт, материалы и наработки, апробированные в других субъектах России при реализации Концепции государственной национальной политики Российской Федерации.  Объектом Программы являются жители города Москвы – граждане Российской Федерации, имеющие место жительства в Москве, независимо от сроков проживания, места рождения и национальности, а также постоянно и временно проживающие граждане иностранных государств.  Программа направлена на содействие развитию гражданского общества, укрепление российской государственности, единства москвичей, органичное сочетание общегосударственных интересов и прав граждан на сохранение своей этнокультурной, языковой и религиозной принадлежности, утверждение атмосферы межнационального согласия.</w:t>
      </w:r>
    </w:p>
    <w:p w:rsidR="00000000" w:rsidRDefault="00000000"/>
    <w:p w:rsidR="00000000" w:rsidRDefault="00000000">
      <w:r>
        <w:t>39.</w:t>
      </w:r>
      <w:r>
        <w:tab/>
        <w:t>Значительная роль в данной работе принадлежит московским общественным объединениям – землячествам.  Более 40 из них тесно сотрудничают с правительством Москвы, создан Координационный совет региональных землячеств.  В октябре-ноябре 2004 года были проведены симпозиум-практикум "Толерантная личность как идеал гражданского общества и активный фактор размывания экстремизма:  от деклараций к технологиям" и совещание "Этнические стереотипы и ксенофобия в средствах массовой информации".  Ежегодно проводятся культурные мероприятия, направленные на ознакомление с культурой и традициями народов России и мира, среди них Дни славянской письменности, татарско-башкирский праздник "Сабантуй", бурятский праздник "Сагаалган", чувашский "Акатуй", фестиваль цыганского искусства "Цыганское подворье", фестивали национальных искусств "Созвездие дружбы", "Красота спасет мир", форум "Единение" и многие другие.  Московский дом национальностей обеспечивает удовлетворение национально-культурных потребностей жителей и гостей города.  В 2004</w:t>
      </w:r>
      <w:r>
        <w:noBreakHyphen/>
        <w:t>2005 годах здесь прошли 372 мероприятия, в которых участвовало почти 20 000 человек.</w:t>
      </w:r>
    </w:p>
    <w:p w:rsidR="00000000" w:rsidRDefault="00000000"/>
    <w:p w:rsidR="00000000" w:rsidRDefault="00000000">
      <w:r>
        <w:t>40.</w:t>
      </w:r>
      <w:r>
        <w:tab/>
        <w:t>Администрация и правительство Санкт-Петербурга уделяют значительное внимание формированию полиэтничности города.  Эти вопросы курирует Комитет по внешним связям Санкт-Петербурга, в составе которого работает специальный отдел по связям с национальными объединениями города и соотечественниками за рубежом.  Принят и реализуется городской закон "О межнациональных отношениях в Санкт-Петербурге".  Подготовлен проект среднесрочной городской программы гармонизации межэтнических и межкультурных отношений, профилактики проявлений ксенофобии, укрепления толерантности в городском сообществе Санкт-Петербурга (2006-2010 годы) "Толерантность".</w:t>
      </w:r>
    </w:p>
    <w:p w:rsidR="00000000" w:rsidRDefault="00000000"/>
    <w:p w:rsidR="00000000" w:rsidRDefault="00000000">
      <w:r>
        <w:t>41.</w:t>
      </w:r>
      <w:r>
        <w:tab/>
        <w:t>В Санкт-Петербурге по распоряжению Комитета по вопросам законности, правопорядка и безопасности городской администрации создана Рабочая группа по вопросам обеспечения безопасного пребывания в городе иностранных граждан.  Вопросы обеспечения безопасности иностранных граждан, обучающихся в вузах Санкт</w:t>
      </w:r>
      <w:r>
        <w:noBreakHyphen/>
        <w:t>Петербурга, регулярно обсуждаются на координационных совещаниях при начальнике Главного управления МВД России по Северо-Западному Федеральному округу и рабочих встречах руководства Главного управления внутренних дел (ГУВД) с проректорами по международным связям вузов Санкт-Петербурга.  В частности, 9 апреля 2004 года издано распоряжение ГУВД "О дополнительных мерах по обеспечению безопасности иностранных граждан, обучающихся в вузах Санкт</w:t>
      </w:r>
      <w:r>
        <w:noBreakHyphen/>
        <w:t>Петербурга", в котором прописан механизм взаимодействия с Ассоциацией проректоров по международным связям.  В 2005 году Прокуратура Санкт-Петербурга выпустила памятку "Защити себя" для иностранных студентов, которую распространили во многих общежитиях.  Она призвана помочь им избежать нападений, также в ней имеются необходимые контактные телефоны соответствующих подразделений правоохранительных органов.</w:t>
      </w:r>
    </w:p>
    <w:p w:rsidR="00000000" w:rsidRDefault="00000000"/>
    <w:p w:rsidR="00000000" w:rsidRDefault="00000000">
      <w:r>
        <w:t>42.</w:t>
      </w:r>
      <w:r>
        <w:tab/>
        <w:t>Санкт-Петербург имеет особую культуру, органично соединяющую лучшие компоненты разных этнических традиций.  Традиционными являются цивилизованные формы социального и культурного общежития крупных и малых национальных групп, русского большинства и национальных меньшинств.  Длительное время действуют различные национальные общества и клубы, национальные школы, выходят газеты и журналы на родных для нерусского населения языках.  В настоящее время в городе зарегистрированы более 150 различных национальных и межнациональных обществ, объединений, землячеств, центров и ассоциаций.  Совместно с ними действуют национально-культурные автономии.  Координирующими центрами их работы являются Санкт-Петербургский дом национальных культур и ассоциация "Лига наций".  Действуют уникальное творческое объединение – союз писателей "Многонациональный Санкт-Петербург" и научный центр "Петрополь".</w:t>
      </w:r>
    </w:p>
    <w:p w:rsidR="00000000" w:rsidRDefault="00000000"/>
    <w:p w:rsidR="00000000" w:rsidRDefault="00000000">
      <w:r>
        <w:t>43.</w:t>
      </w:r>
      <w:r>
        <w:tab/>
        <w:t>Администрацией Владимирской области был организован мониторинг политической ситуации молодежной среды, неформальных молодежных групп, причисляющих себя к так называемым "скинхедам".</w:t>
      </w:r>
    </w:p>
    <w:p w:rsidR="00000000" w:rsidRDefault="00000000"/>
    <w:p w:rsidR="00000000" w:rsidRDefault="00000000">
      <w:r>
        <w:t>44.</w:t>
      </w:r>
      <w:r>
        <w:tab/>
        <w:t>В Воронежской и Ярославской областях представители национальных диаспор участвовали в координационных совещаниях правоохранительных органов по вопросам борьбы с экстремизмом, на которых был определен комплекс мероприятий по активизации работы всех силовых структур области, а также в молодежном форуме "Толерантность в межнациональных отношениях - путь к миру".</w:t>
      </w:r>
    </w:p>
    <w:p w:rsidR="00000000" w:rsidRDefault="00000000"/>
    <w:p w:rsidR="00000000" w:rsidRDefault="00000000">
      <w:pPr>
        <w:rPr>
          <w:szCs w:val="24"/>
        </w:rPr>
      </w:pPr>
      <w:r>
        <w:rPr>
          <w:szCs w:val="24"/>
        </w:rPr>
        <w:t>45.</w:t>
      </w:r>
      <w:r>
        <w:rPr>
          <w:szCs w:val="24"/>
        </w:rPr>
        <w:tab/>
        <w:t>В Пермской области принята Программа развития и гармонизации народов Пермской области на 2004-2008 годы, которая направлена на создание условий для межнационального взаимодействия народов, проживающих на территории области, укрепление правовой базы государственной национальной политики, профилактику национального экстремизма.</w:t>
      </w:r>
    </w:p>
    <w:p w:rsidR="00000000" w:rsidRDefault="00000000">
      <w:pPr>
        <w:rPr>
          <w:szCs w:val="24"/>
        </w:rPr>
      </w:pPr>
    </w:p>
    <w:p w:rsidR="00000000" w:rsidRDefault="00000000">
      <w:r>
        <w:t>46.</w:t>
      </w:r>
      <w:r>
        <w:tab/>
        <w:t>Россия выступает за соблюдение и защиту прав человека независимо от их расы, цвета кожи, национального или этнического происхождения.  В то же время ввиду постоянной угрозы международного терроризма Российская Федерация вынуждена, как и другие государства, принимать меры, которые, в том числе, могут временно ограничивать права и свободы граждан страны.  Усиление паспортного контроля со стороны представителей правоохранительных органов связано с требованием обеспечения безопасности и общественного порядка в рамках комплекса антитеррористических мер.</w:t>
      </w:r>
    </w:p>
    <w:p w:rsidR="00000000" w:rsidRDefault="00000000"/>
    <w:p w:rsidR="00000000" w:rsidRDefault="00000000">
      <w:r>
        <w:t>47.</w:t>
      </w:r>
      <w:r>
        <w:tab/>
        <w:t>Отдельные негативные моменты, связанные с деятельностью правоохранительных органов, в определенной степени объясняются тем, что сотрудники соответствующих структур являются неотъемлемой частью общества, им могут быть присущи в том числе и негативные черты.  В настоящее время в МВД России и других правоохранительных структурах пристальное внимание уделяется подбору и подготовке кадров, владеющих иностранными языками, совершенствованию профессиональной подготовки сотрудников по вопросам правового положения иностранных граждан на территории России, учету их национальных и религиозных обычаев, традиций и особенностей при приеме сообщений о преступлениях, их оперативному расследованию и раскрытию.  14 июля 2006 года в Самаре прошла презентация специального пособия "Справочник самарского милиционера", которое содержит описание религиозных и национальных традиций 130 национальностей, проживающих в регионе (пункт 13 Заключительных замечаний Комитета по итогам рассмотрения пятнадцатого, шестнадцатого и семнадцатого докладов России).</w:t>
      </w:r>
    </w:p>
    <w:p w:rsidR="00000000" w:rsidRDefault="00000000"/>
    <w:p w:rsidR="00000000" w:rsidRDefault="00000000">
      <w:pPr>
        <w:rPr>
          <w:szCs w:val="24"/>
        </w:rPr>
      </w:pPr>
      <w:r>
        <w:rPr>
          <w:szCs w:val="24"/>
        </w:rPr>
        <w:t>48.</w:t>
      </w:r>
      <w:r>
        <w:rPr>
          <w:szCs w:val="24"/>
        </w:rPr>
        <w:tab/>
        <w:t>В заключительных замечаниях Комитета по итогам рассмотрения пятнадцатого, шестнадцатого и семнадцатого периодических докладов Российской Федерации (пункт 20) выражается озабоченность трудным положением коренных народов в России.  В этой связи необходимо отметить следующее.  Коренные малочисленные народы занимают особое место в национальном составе населения России.  Их статус определен Конституцией Российской Федерации, Федеральным законом № 82-ФЗ от 30 апреля 1999 года "О гарантиях прав коренных малочисленных народов Российской Федерации" и другими федеральными нормативными актами.  Министерством регионального развития Российской Федерации взята на контроль реализация федеральных законов о правах коренных малочисленных народов и программы "Экономическое и социальное развитие коренных малочисленных народов Севера до 2011 года".  Ряд ключевых проблем коренных малочисленных народов был включен в План мероприятий социально-экономического развития районов Севера, утвержденный распоряжением № 185-р правительства Российской Федерации от 21 февраля 2005 года.</w:t>
      </w:r>
    </w:p>
    <w:p w:rsidR="00000000" w:rsidRDefault="00000000">
      <w:pPr>
        <w:rPr>
          <w:szCs w:val="24"/>
        </w:rPr>
      </w:pPr>
    </w:p>
    <w:p w:rsidR="00000000" w:rsidRDefault="00000000">
      <w:pPr>
        <w:rPr>
          <w:szCs w:val="24"/>
        </w:rPr>
      </w:pPr>
      <w:r>
        <w:rPr>
          <w:szCs w:val="24"/>
        </w:rPr>
        <w:t>49.</w:t>
      </w:r>
      <w:r>
        <w:rPr>
          <w:szCs w:val="24"/>
        </w:rPr>
        <w:tab/>
        <w:t>Министерством регионального развития Российской Федерации совместно с Комитетом по делам национальностей Государственной думы Российской Федерации ведется работа над проектом закона "О защите исконной среды обитания коренных малочисленных народов Севера, Сибири и Дальнего Востока Российской Федерации".  При участии Министерства регионального развития Российской Федерации был подготовлен и проведен 5-й Съезд коренных малочисленных народов Севера, Сибири и Дальнего Востока 12-14 апреля 2005 года, что позволило в значительной мере восстановить взаимодействие федеральных органов исполнительной власти с объединениями коренных малочисленных народов.</w:t>
      </w:r>
    </w:p>
    <w:p w:rsidR="00000000" w:rsidRDefault="00000000">
      <w:pPr>
        <w:rPr>
          <w:szCs w:val="24"/>
        </w:rPr>
      </w:pPr>
    </w:p>
    <w:p w:rsidR="00000000" w:rsidRDefault="00000000">
      <w:pPr>
        <w:rPr>
          <w:szCs w:val="24"/>
        </w:rPr>
      </w:pPr>
      <w:r>
        <w:rPr>
          <w:szCs w:val="24"/>
        </w:rPr>
        <w:t>50.</w:t>
      </w:r>
      <w:r>
        <w:rPr>
          <w:szCs w:val="24"/>
        </w:rPr>
        <w:tab/>
        <w:t>Одной из наиболее важных проблем современного развития коренных малочисленных народов и сохранения их традиционной культуры и образа жизни является создание территорий традиционного природопользования коренных малочисленных народов, что связано с непосредственной зависимостью культуры, образа жизни, традиционного хозяйства этих народов от окружающей природной среды.  Учитывая особую уязвимость коренных малочисленных народов, государство должно стать гарантом защиты их прав на традиционное природопользование и традиционный образ жизни, в том числе - посредством выделения территорий традиционного природопользования.</w:t>
      </w:r>
    </w:p>
    <w:p w:rsidR="00000000" w:rsidRDefault="00000000">
      <w:pPr>
        <w:rPr>
          <w:szCs w:val="24"/>
        </w:rPr>
      </w:pPr>
    </w:p>
    <w:p w:rsidR="00000000" w:rsidRDefault="00000000">
      <w:pPr>
        <w:rPr>
          <w:szCs w:val="24"/>
        </w:rPr>
      </w:pPr>
      <w:r>
        <w:rPr>
          <w:szCs w:val="24"/>
        </w:rPr>
        <w:t>51.</w:t>
      </w:r>
      <w:r>
        <w:rPr>
          <w:szCs w:val="24"/>
        </w:rPr>
        <w:tab/>
        <w:t>7 мая 2001 года был принят Федеральный закон № 49-ФЗ "О территориях традиционного природопользования коренных малочисленных народов Севера, Сибири и Дальнего Востока Российской Федерации".  Целью данного закона является защита исконной среды обитания и традиционного образа жизни малочисленных народов;  сохранение и развитие самобытной культуры малочисленных народов;  сохранение на территориях традиционного природопользования биологического разнообразия.  В настоящее время ведется работа по эффективной реализации данного закона.  Во исполнение распоряжения № 185-р правительства Российской Федерации от 21 февраля 2005 года  в Министерстве регионального развития Российской Федерации проводится работа по подготовке нормативной документации по созданию территорий традиционного природопользования коренных малочисленных народов Севера.</w:t>
      </w:r>
    </w:p>
    <w:p w:rsidR="00000000" w:rsidRDefault="00000000">
      <w:pPr>
        <w:rPr>
          <w:szCs w:val="24"/>
        </w:rPr>
      </w:pPr>
    </w:p>
    <w:p w:rsidR="00000000" w:rsidRDefault="00000000">
      <w:pPr>
        <w:rPr>
          <w:szCs w:val="24"/>
        </w:rPr>
      </w:pPr>
      <w:r>
        <w:rPr>
          <w:szCs w:val="24"/>
        </w:rPr>
        <w:t>52.</w:t>
      </w:r>
      <w:r>
        <w:rPr>
          <w:szCs w:val="24"/>
        </w:rPr>
        <w:tab/>
        <w:t>Во взаимодействии с Ассоциацией коренных малочисленных народов Севера, Сибири и Дальнего Востока Российской Федерации Российской академией естественных наук был подготовлен проект положения о модельной территории традиционного природопользования коренных малочисленных народов федерального значения "Бикин" (Приморский край), который планируется направить в правительство Российской Федерации на утверждение.</w:t>
      </w:r>
    </w:p>
    <w:p w:rsidR="00000000" w:rsidRDefault="00000000">
      <w:pPr>
        <w:rPr>
          <w:szCs w:val="24"/>
        </w:rPr>
      </w:pPr>
    </w:p>
    <w:p w:rsidR="00000000" w:rsidRDefault="00000000">
      <w:r>
        <w:t>53.</w:t>
      </w:r>
      <w:r>
        <w:tab/>
        <w:t>В соответствии с распоряжением № 758-р правительства Российской Федерации от 27 мая 2006 года создан Национальный организационный комитет по подготовке и проведению в Российской Федерации Второго Международного десятилетия коренных народов мира, готовится к утверждению межведомственный Комплексный план мероприятий по данному вопросу.</w:t>
      </w:r>
    </w:p>
    <w:p w:rsidR="00000000" w:rsidRDefault="00000000"/>
    <w:p w:rsidR="00000000" w:rsidRDefault="00000000">
      <w:r>
        <w:t>54.</w:t>
      </w:r>
      <w:r>
        <w:tab/>
        <w:t>Российская Федерация прилагает все усилия в целях укрепления международного сотрудничества для решения проблем, стоящих перед коренными народами в таких областях, как культура, образование, окружающая среда и социально-экономическое развитие.  Наша страна взаимодействует со всеми механизмами и структурами системы ООН по защите прав коренных народов, включая Постоянный форум ООН по вопросам коренных народов, Рабочую группу по коренному населению Подкомиссии ООН по поощрению и защите прав человека, институт Спецдокладчика по вопросу о ситуации с правами человека и основными свободами коренных народов.</w:t>
      </w:r>
    </w:p>
    <w:p w:rsidR="00000000" w:rsidRDefault="00000000"/>
    <w:p w:rsidR="00000000" w:rsidRDefault="00000000">
      <w:r>
        <w:t>55.</w:t>
      </w:r>
      <w:r>
        <w:tab/>
        <w:t>Кроме уже упомянутых нормативно-правовых актов правовое положение коренных народов затрагивают следующие законы:  Федеральный закон № 189-ФЗ от 26 декабря 2005 года "О федеральном бюджете на 2006 год" предусматривает осуществление отчислений из федерального бюджета на реализацию Федеральной целевой программы "Экономическое и социальное развитие коренных малочисленных народов севера до 2011 года".  Федеральный закон № 199-ФЗ от 31 декабря 2005 года "О внесении изменений в отдельные законодательные акты Российской Федерации в связи с совершенствованием разграничения полномочий" ввел подпункт 54 в часть 2 статьи 26.3 Федерального закона № 184-ФЗ от 6 октября 1999 года "Об общих принципах организации законодательных (представительных) и исполнительных органов государственной власти субъектов Российской Федерации", в соответствии с которым к полномочиям органов государственной власти субъекта Российской Федерации отнесена организация и обеспечение защиты исконной среды обитания и традиционного образа жизни коренных малочисленных народов Российской Федерации.</w:t>
      </w:r>
    </w:p>
    <w:p w:rsidR="00000000" w:rsidRDefault="00000000"/>
    <w:p w:rsidR="00000000" w:rsidRDefault="00000000">
      <w:r>
        <w:t>56.</w:t>
      </w:r>
      <w:r>
        <w:tab/>
        <w:t>Федеральный закон № 102-ФЗ от 4 июля 2003 года «О внесении изменений и дополнений в статью 18 Федерального закона "Об основных гарантиях избирательных прав и права на участие в референдуме граждан Российской Федерации"» предусматривает увеличение предела отклонения от средней нормы представительства избирателей на территориях компактного проживания коренных малочисленных народов при образовании избирательных округов.</w:t>
      </w:r>
    </w:p>
    <w:p w:rsidR="00000000" w:rsidRDefault="00000000"/>
    <w:p w:rsidR="00000000" w:rsidRDefault="00000000">
      <w:r>
        <w:t>57.</w:t>
      </w:r>
      <w:r>
        <w:tab/>
        <w:t>Многие из указанных законов были приняты по инициативе Комитета Государственной думы по делам национальностей.  Кроме того, в 2003 году по инициативе Комитета были приняты законы «О внесении изменений и дополнений в Федеральный закон "О национально-культурной автономии"», «О внесении изменений и дополнений в Федеральный закон "О реабилитации жертв политических репрессий"» (по вопросу реабилитации граждан России, репрессированных на территории бывших союзных республик, а также приравненных к жертвам политических репрессий детей репрессированных родителей), "О государственном языке Российской Федерации".  В плане работы Комитета значится большое количество законопроектов по национальной тематике.  В том числе:  «О внесении дополнений в Федеральный закон "О некоммерческих организациях"» (в части отнесения общин коренных малочисленных народов к одной из форм некоммерческих организаций);  "Об основах государственной национальной политики в Российской Федерации";  "О русском народе";  "О порядке предупреждения и разрешения межнациональных конфликтов в Российской Федерации", «"О внесении изменений и дополнений в Федеральный закон "Об образовании"» (по проблемам этнокультурного образования), "О борьбе с национальным экстремизмом", «О внесении изменений и дополнений в Федеральный закон "Об общих принципах организации местного самоуправления в Российской Федерации"» (в части, касающейся прав коренных малочисленных народов и национальных меньшинств на участие в осуществлении местного самоуправления в местах их компактного проживания), «О внесении изменений и дополнений в Федеральный закон "Об общих принципах организации местного самоуправления в Российской Федерации"» (по вопросу о статусе национальных административно-территориальных единиц), "О гарантиях представительства коренных малочисленных народов и национальных меньшинств в государственных органах власти Российской Федерации", "О миграционном учете иностранных граждан и лиц без гражданства в Российской Федерации" и др.</w:t>
      </w:r>
    </w:p>
    <w:p w:rsidR="00000000" w:rsidRDefault="00000000"/>
    <w:p w:rsidR="00000000" w:rsidRDefault="00000000">
      <w:r>
        <w:t>58.</w:t>
      </w:r>
      <w:r>
        <w:tab/>
        <w:t>В Комитете Госдумы по делам национальностей подготовлен законопроект "Об уполномоченном Федерального Собрания Российской Федерации по правам народов в Российской Федерации".  Законопроект обсуждался на выездном семинаре в Краснодарском крае с председателями законодательных органов субъектов РФ, более 40 представителей регионов дали ему одобрительную оценку.  Предполагается, что это будет независимая публичная структура, нацеленная на осуществление парламентского контроля за государственной защитой прав народов Российской Федерации, на социально-экономическое и национально-культурное развитие независимо от их численности и наличия национально-государственных или национально-территориальных образований.  Первоочередной задачей Уполномоченного будет рассмотрение "этнически окрашенных" жалоб на действия государственных органов, общественных организаций, должностных лиц, нарушающие права народов Российской Федерации, а также коллективные или индивидуальные права граждан в связи с их этнической принадлежностью.  Уполномоченный сможет устранять конфликты путем убеждения, придания делу гласности или давать рекомендации о привлечении к ответственности.  Особая роль ему отводится в разрешении конфликтов, возникающих из противопоставления государственных интересов, с одной стороны, и этноиндивидуальных, и этногрупповых - с другой.  Данный институт будет дополнять систему органов государственной власти, осуществляющих регулирование и защиту прав народов России на свободное, национальное развитие, способствовать формированию необходимого уровня межнациональных отношений.</w:t>
      </w:r>
    </w:p>
    <w:p w:rsidR="00000000" w:rsidRDefault="00000000"/>
    <w:p w:rsidR="00000000" w:rsidRDefault="00000000">
      <w:pPr>
        <w:rPr>
          <w:szCs w:val="24"/>
        </w:rPr>
      </w:pPr>
      <w:r>
        <w:rPr>
          <w:szCs w:val="24"/>
        </w:rPr>
        <w:t>59.</w:t>
      </w:r>
      <w:r>
        <w:rPr>
          <w:szCs w:val="24"/>
        </w:rPr>
        <w:tab/>
        <w:t>В Комитете созданы подкомитет по национально-культурному развитию русского и других народов Российской Федерации, подкомитет по малочисленным народам, национальным меньшинствам и языковой политике и подкомитет по проблемам Северного Кавказа, репрессированных народов, беженцев и вынужденных переселенцев.</w:t>
      </w:r>
    </w:p>
    <w:p w:rsidR="00000000" w:rsidRDefault="00000000">
      <w:pPr>
        <w:rPr>
          <w:szCs w:val="24"/>
        </w:rPr>
      </w:pPr>
    </w:p>
    <w:p w:rsidR="00000000" w:rsidRDefault="00000000">
      <w:r>
        <w:t>60.</w:t>
      </w:r>
      <w:r>
        <w:tab/>
        <w:t>В перечень вопросов ведения Комитета входит предварительное рассмотрение и подготовка к рассмотрению Государственной думой законопроектов и (или) проектов постановлений палаты по следующим вопросам:</w:t>
      </w:r>
    </w:p>
    <w:p w:rsidR="00000000" w:rsidRDefault="00000000"/>
    <w:p w:rsidR="00000000" w:rsidRDefault="00000000">
      <w:pPr>
        <w:numPr>
          <w:ilvl w:val="0"/>
          <w:numId w:val="10"/>
        </w:numPr>
        <w:tabs>
          <w:tab w:val="clear" w:pos="720"/>
        </w:tabs>
        <w:ind w:left="567" w:hanging="567"/>
      </w:pPr>
      <w:r>
        <w:t>Реализация государственной национальной политики Российской Федерации.</w:t>
      </w:r>
    </w:p>
    <w:p w:rsidR="00000000" w:rsidRDefault="00000000"/>
    <w:p w:rsidR="00000000" w:rsidRDefault="00000000">
      <w:pPr>
        <w:numPr>
          <w:ilvl w:val="0"/>
          <w:numId w:val="10"/>
        </w:numPr>
        <w:tabs>
          <w:tab w:val="clear" w:pos="720"/>
        </w:tabs>
        <w:ind w:left="567" w:hanging="567"/>
      </w:pPr>
      <w:r>
        <w:t>Национально-культурное развитие русского народа и других народов Российской Федерации.</w:t>
      </w:r>
    </w:p>
    <w:p w:rsidR="00000000" w:rsidRDefault="00000000"/>
    <w:p w:rsidR="00000000" w:rsidRDefault="00000000">
      <w:pPr>
        <w:numPr>
          <w:ilvl w:val="0"/>
          <w:numId w:val="10"/>
        </w:numPr>
        <w:tabs>
          <w:tab w:val="clear" w:pos="720"/>
        </w:tabs>
        <w:ind w:left="567" w:hanging="567"/>
      </w:pPr>
      <w:r>
        <w:t>Гарантия прав коренных малочисленных народов и защита прав национальных меньшинств.</w:t>
      </w:r>
    </w:p>
    <w:p w:rsidR="00000000" w:rsidRDefault="00000000"/>
    <w:p w:rsidR="00000000" w:rsidRDefault="00000000">
      <w:pPr>
        <w:numPr>
          <w:ilvl w:val="0"/>
          <w:numId w:val="10"/>
        </w:numPr>
        <w:tabs>
          <w:tab w:val="clear" w:pos="720"/>
        </w:tabs>
        <w:ind w:left="567" w:hanging="567"/>
      </w:pPr>
      <w:r>
        <w:t>Защита исконной среды обитания и традиционного образа жизни коренных малочисленных народов Севера, Сибири и Дальнего Востока Российской Федерации (совместно с Комитетом Государственной Думы по проблемам Севера и Дальнего Востока).</w:t>
      </w:r>
    </w:p>
    <w:p w:rsidR="00000000" w:rsidRDefault="00000000"/>
    <w:p w:rsidR="00000000" w:rsidRDefault="00000000">
      <w:pPr>
        <w:numPr>
          <w:ilvl w:val="0"/>
          <w:numId w:val="10"/>
        </w:numPr>
        <w:tabs>
          <w:tab w:val="clear" w:pos="720"/>
        </w:tabs>
        <w:ind w:left="567" w:hanging="567"/>
      </w:pPr>
      <w:r>
        <w:t xml:space="preserve">Социально-экономическая и </w:t>
      </w:r>
      <w:bookmarkStart w:id="3" w:name="OCRUncertain006"/>
      <w:r>
        <w:t>этнополитическая</w:t>
      </w:r>
      <w:bookmarkEnd w:id="3"/>
      <w:r>
        <w:t xml:space="preserve"> обстановка на Северном Кавказе.</w:t>
      </w:r>
    </w:p>
    <w:p w:rsidR="00000000" w:rsidRDefault="00000000"/>
    <w:p w:rsidR="00000000" w:rsidRDefault="00000000">
      <w:pPr>
        <w:numPr>
          <w:ilvl w:val="0"/>
          <w:numId w:val="10"/>
        </w:numPr>
        <w:tabs>
          <w:tab w:val="clear" w:pos="720"/>
        </w:tabs>
        <w:ind w:left="567" w:hanging="567"/>
      </w:pPr>
      <w:r>
        <w:t>Содействие политическому урегулированию и соблюдению прав человека в Чеченской Республике (совместно с Комиссией Государственной думы Федерального собрания Российской Федерации по содействию политическому урегулированию и соблюдению прав человека в Чеченской Республике).</w:t>
      </w:r>
    </w:p>
    <w:p w:rsidR="00000000" w:rsidRDefault="00000000"/>
    <w:p w:rsidR="00000000" w:rsidRDefault="00000000">
      <w:pPr>
        <w:numPr>
          <w:ilvl w:val="0"/>
          <w:numId w:val="10"/>
        </w:numPr>
        <w:tabs>
          <w:tab w:val="clear" w:pos="720"/>
        </w:tabs>
        <w:ind w:left="567" w:hanging="567"/>
      </w:pPr>
      <w:r>
        <w:t>Репрессированные народы, беженцы, вынужденные переселенцы и соотечественники за рубежом.</w:t>
      </w:r>
    </w:p>
    <w:p w:rsidR="00000000" w:rsidRDefault="00000000"/>
    <w:p w:rsidR="00000000" w:rsidRDefault="00000000">
      <w:pPr>
        <w:numPr>
          <w:ilvl w:val="0"/>
          <w:numId w:val="10"/>
        </w:numPr>
        <w:tabs>
          <w:tab w:val="clear" w:pos="720"/>
        </w:tabs>
        <w:ind w:left="567" w:hanging="567"/>
      </w:pPr>
      <w:r>
        <w:t>Взаимодействие с национально-культурными автономиями и иными национальными общественными объединениями (Ассамблеей народов России, региональными ассамблеями, ассоциациями малочисленных народов и т.</w:t>
      </w:r>
      <w:bookmarkStart w:id="4" w:name="OCRUncertain007"/>
      <w:r>
        <w:t>п.).</w:t>
      </w:r>
      <w:bookmarkEnd w:id="4"/>
    </w:p>
    <w:p w:rsidR="00000000" w:rsidRDefault="00000000"/>
    <w:p w:rsidR="00000000" w:rsidRDefault="00000000">
      <w:pPr>
        <w:numPr>
          <w:ilvl w:val="0"/>
          <w:numId w:val="10"/>
        </w:numPr>
        <w:tabs>
          <w:tab w:val="clear" w:pos="720"/>
        </w:tabs>
        <w:ind w:left="567" w:hanging="567"/>
      </w:pPr>
      <w:r>
        <w:t>Создание и деятельность национально-территориальных органов местного самоуправления.</w:t>
      </w:r>
    </w:p>
    <w:p w:rsidR="00000000" w:rsidRDefault="00000000"/>
    <w:p w:rsidR="00000000" w:rsidRDefault="00000000">
      <w:pPr>
        <w:numPr>
          <w:ilvl w:val="0"/>
          <w:numId w:val="10"/>
        </w:numPr>
        <w:tabs>
          <w:tab w:val="clear" w:pos="720"/>
        </w:tabs>
        <w:ind w:left="567" w:hanging="567"/>
      </w:pPr>
      <w:r>
        <w:t>Финансирование государственной национальной политики и принятых в этих целях федеральных и региональных программ (совместно с Комитетом Государственной думы по бюджету и налогам).</w:t>
      </w:r>
    </w:p>
    <w:p w:rsidR="00000000" w:rsidRDefault="00000000"/>
    <w:p w:rsidR="00000000" w:rsidRDefault="00000000">
      <w:pPr>
        <w:numPr>
          <w:ilvl w:val="0"/>
          <w:numId w:val="10"/>
        </w:numPr>
        <w:tabs>
          <w:tab w:val="clear" w:pos="720"/>
        </w:tabs>
        <w:ind w:left="567" w:hanging="567"/>
      </w:pPr>
      <w:r>
        <w:t>Финансирование национально-культурных и общественных объединений (совместно с Комитетом Государственной думы по бюджету и налогам).</w:t>
      </w:r>
    </w:p>
    <w:p w:rsidR="00000000" w:rsidRDefault="00000000"/>
    <w:p w:rsidR="00000000" w:rsidRDefault="00000000">
      <w:pPr>
        <w:numPr>
          <w:ilvl w:val="0"/>
          <w:numId w:val="10"/>
        </w:numPr>
        <w:tabs>
          <w:tab w:val="clear" w:pos="720"/>
        </w:tabs>
        <w:ind w:left="567" w:hanging="567"/>
      </w:pPr>
      <w:r>
        <w:t>Федеративные отношения в Российской Федерации (совместно с Комитетом Государственной думы по делам Федерации и региональной политике).</w:t>
      </w:r>
    </w:p>
    <w:p w:rsidR="00000000" w:rsidRDefault="00000000"/>
    <w:p w:rsidR="00000000" w:rsidRDefault="00000000">
      <w:pPr>
        <w:numPr>
          <w:ilvl w:val="0"/>
          <w:numId w:val="10"/>
        </w:numPr>
        <w:tabs>
          <w:tab w:val="clear" w:pos="720"/>
        </w:tabs>
        <w:ind w:left="567" w:hanging="567"/>
      </w:pPr>
      <w:r>
        <w:t>Языковая политика (совместно с Комитетом Государственной думы по образованию и науке и Комитетом Государственной думы по культуре и туризму).</w:t>
      </w:r>
    </w:p>
    <w:p w:rsidR="00000000" w:rsidRDefault="00000000"/>
    <w:p w:rsidR="00000000" w:rsidRDefault="00000000">
      <w:pPr>
        <w:numPr>
          <w:ilvl w:val="0"/>
          <w:numId w:val="10"/>
        </w:numPr>
        <w:tabs>
          <w:tab w:val="clear" w:pos="720"/>
        </w:tabs>
        <w:ind w:left="567" w:hanging="567"/>
      </w:pPr>
      <w:r>
        <w:t>Реализация общепризнанных принципов и норм международного права по национальным вопросам (совместно с Комитетом Государственной думы по международным делам).</w:t>
      </w:r>
    </w:p>
    <w:p w:rsidR="00000000" w:rsidRDefault="00000000"/>
    <w:p w:rsidR="00000000" w:rsidRDefault="00000000">
      <w:pPr>
        <w:numPr>
          <w:ilvl w:val="0"/>
          <w:numId w:val="10"/>
        </w:numPr>
        <w:tabs>
          <w:tab w:val="clear" w:pos="720"/>
        </w:tabs>
        <w:ind w:left="567" w:hanging="567"/>
      </w:pPr>
      <w:r>
        <w:t>Участие в официальных мероприятиях по национальным проблемам, проводимых другими федеральными органами государственной власти, органами государственной власти субъектов Российской Федерации, международными организациями.</w:t>
      </w:r>
    </w:p>
    <w:p w:rsidR="00000000" w:rsidRDefault="00000000"/>
    <w:p w:rsidR="00000000" w:rsidRDefault="00000000">
      <w:pPr>
        <w:numPr>
          <w:ilvl w:val="0"/>
          <w:numId w:val="10"/>
        </w:numPr>
        <w:tabs>
          <w:tab w:val="clear" w:pos="720"/>
        </w:tabs>
        <w:ind w:left="567" w:hanging="567"/>
      </w:pPr>
      <w:r>
        <w:t>Взаимодействие с комитетами и комиссиями по делам национальностей законодательных (представительных) органов субъектов Российской Федерации, проведение совместных совещаний, семинаров, конференций и индивидуальных консультаций.</w:t>
      </w:r>
    </w:p>
    <w:p w:rsidR="00000000" w:rsidRDefault="00000000"/>
    <w:p w:rsidR="00000000" w:rsidRDefault="00000000">
      <w:pPr>
        <w:numPr>
          <w:ilvl w:val="0"/>
          <w:numId w:val="10"/>
        </w:numPr>
        <w:tabs>
          <w:tab w:val="clear" w:pos="720"/>
        </w:tabs>
        <w:ind w:left="567" w:hanging="567"/>
      </w:pPr>
      <w:r>
        <w:t>Взаимодействие с национально-культурными автономиями и другими национальными общественными объединениями и движениями Российской Федерации, проведение совместных мероприятий по национальным проблемам.</w:t>
      </w:r>
    </w:p>
    <w:p w:rsidR="00000000" w:rsidRDefault="00000000"/>
    <w:p w:rsidR="00000000" w:rsidRDefault="00000000">
      <w:pPr>
        <w:numPr>
          <w:ilvl w:val="0"/>
          <w:numId w:val="10"/>
        </w:numPr>
        <w:tabs>
          <w:tab w:val="clear" w:pos="720"/>
        </w:tabs>
        <w:ind w:left="567" w:hanging="567"/>
      </w:pPr>
      <w:r>
        <w:t>Организационное, документационное, информационное, материально-техническое обеспечение деятельности Комиссии Государственной думы Федерального собрания Российской Федерации по содействию политическому урегулированию и соблюдению прав человека в Чеченской Республике.</w:t>
      </w:r>
    </w:p>
    <w:p w:rsidR="00000000" w:rsidRDefault="00000000"/>
    <w:p w:rsidR="00000000" w:rsidRDefault="00000000">
      <w:r>
        <w:t>61.</w:t>
      </w:r>
      <w:r>
        <w:tab/>
        <w:t>Одним из основных документов, регулирующих сферу национальных отношений в России, является Концепция государственной национальной политики России, утвержденная Президентом Российской Федерации в 1996 году.  В соответствии с Концепцией государственная политика строится на принципах равенства прав и свобод человека и гражданина, независимо от его расы, языка, вероисповедания;  сохранения исторически сложившейся целостности государства;  сохранения и развития языков и культур народов России;  своевременного и мирного разрешения противоречий и конфликтов;  запрещения деятельности, направленной на возбуждение социальной, расовой, национальной и религиозной розни, ненависти либо вражды.  В 2005 году в Министерстве регионального развития Российской Федерации была создана Межведомственная комиссия по внесению корректив в Концепцию государственной национальной политики.  В разработке корректив принимали участие МВД России, МИД России, Министерство культуры и массовых коммуникаций Российской Федерации, Министерство образования и науки Российской Федерации, Министерство экономического развития и торговли Российской Федерации, Министерство юстиции Российской Федерации, ФМС России, ФСБ России и субъекты Российской Федерации.  Было проведено около 20 совещаний, круглых столов, рабочих встреч с национальными и правозащитными общественными объединениями, представителями науки, на которых обсуждались коррективы, вырабатывались взвешенные подходы, принимались дополнения и уточнения.  Одним из конкретных мероприятий в данной сфере является создание единой экспертной комиссии, в полномочия которой будет входить исследование и определение фактов пропаганды ксенофобии, национальной и религиозной нетерпимости, экстремизма.  7 марта 2006 года новый вариант Концепции был обсужден на заседании Комиссии Общественной палаты Российской Федерации по вопросам толерантности и свободы совести.  Подготовленные коррективы направлены на согласование в субъекты Российской Федерации.</w:t>
      </w:r>
    </w:p>
    <w:p w:rsidR="00000000" w:rsidRDefault="00000000"/>
    <w:p w:rsidR="00000000" w:rsidRDefault="00000000">
      <w:r>
        <w:t>62.</w:t>
      </w:r>
      <w:r>
        <w:tab/>
        <w:t>В соответствии с пунктом 15 Заключительных замечаний Комитета хотелось бы сообщить следующее.  Ситуацию в сфере межнациональных отношений в Южном федеральном округе осложняет не до конца решенная проблема турок-месхетинцев, проживающих в Российской Федерации.  Урегулирование данной проблемы осуществлялось в 2005 году по нескольким направлениям:</w:t>
      </w:r>
    </w:p>
    <w:p w:rsidR="00000000" w:rsidRDefault="00000000"/>
    <w:p w:rsidR="00000000" w:rsidRDefault="00000000">
      <w:pPr>
        <w:numPr>
          <w:ilvl w:val="0"/>
          <w:numId w:val="11"/>
        </w:numPr>
      </w:pPr>
      <w:r>
        <w:t>реализация программы выезда в США (в Краснодарском крае);</w:t>
      </w:r>
    </w:p>
    <w:p w:rsidR="00000000" w:rsidRDefault="00000000">
      <w:pPr>
        <w:numPr>
          <w:ilvl w:val="0"/>
          <w:numId w:val="11"/>
        </w:numPr>
      </w:pPr>
      <w:r>
        <w:t>натурализация турок-месхетинцев, имеющих для этого законные основания;</w:t>
      </w:r>
    </w:p>
    <w:p w:rsidR="00000000" w:rsidRDefault="00000000">
      <w:pPr>
        <w:numPr>
          <w:ilvl w:val="0"/>
          <w:numId w:val="11"/>
        </w:numPr>
      </w:pPr>
      <w:r>
        <w:t>выяснение пожеланий групп турок-месхетинцев, не участвующих в программе выезда в США и не имеющих оснований для натурализации.</w:t>
      </w:r>
    </w:p>
    <w:p w:rsidR="00000000" w:rsidRDefault="00000000"/>
    <w:p w:rsidR="00000000" w:rsidRDefault="00000000">
      <w:pPr>
        <w:rPr>
          <w:szCs w:val="24"/>
        </w:rPr>
      </w:pPr>
      <w:r>
        <w:rPr>
          <w:szCs w:val="24"/>
        </w:rPr>
        <w:t>63.</w:t>
      </w:r>
      <w:r>
        <w:rPr>
          <w:szCs w:val="24"/>
        </w:rPr>
        <w:tab/>
        <w:t>Процесс определения правового статуса турок-месхетинцев замедлялся тем, что часть этой этнической общности рассматривает свое пребывание на территории субъектов Российской Федерации как временное на пути возвращения в Грузию.  На протяжении ряда лет этот процесс тормозится невыполнением Грузией обязательств, взятых на себя в 1999 году при вступлении в Совет Европы, - принять в течение двух лет закон о репатриации турок-месхетинцев (предусматривающий предоставление им грузинского гражданства) и осуществить репатриацию в последующие 10 лет.  Указом президента Грузии в период до 2000 года Республика должна была принять 5 000 репатриантов.  Реально в этом направлении не было сделано ничего.</w:t>
      </w:r>
    </w:p>
    <w:p w:rsidR="00000000" w:rsidRDefault="00000000">
      <w:pPr>
        <w:rPr>
          <w:szCs w:val="24"/>
        </w:rPr>
      </w:pPr>
    </w:p>
    <w:p w:rsidR="00000000" w:rsidRDefault="00000000">
      <w:r>
        <w:t>64.</w:t>
      </w:r>
      <w:r>
        <w:tab/>
        <w:t>В настоящее время МИД России проводит работу в рамках Совета Европы и в других международных организациях с целью добиться от Грузии своевременного выполнения взятых перед Советом Европы обязательств.  В связи с отсутствием в настоящее время ближайших перспектив репатриации турок-месхетинцев на историческую родину в Грузию российской стороной в качестве альтернативы рассмотрено добровольное переселение турок-месхетинцев в третьи страны.  Начиная с февраля 2004 года правительство США при поддержке Международной организации по миграции (MOM) осуществляет программу добровольного переселения турок-месхетинцев в США.</w:t>
      </w:r>
    </w:p>
    <w:p w:rsidR="00000000" w:rsidRDefault="00000000"/>
    <w:p w:rsidR="00000000" w:rsidRDefault="00000000">
      <w:pPr>
        <w:rPr>
          <w:szCs w:val="24"/>
        </w:rPr>
      </w:pPr>
      <w:r>
        <w:rPr>
          <w:szCs w:val="24"/>
        </w:rPr>
        <w:t>65.</w:t>
      </w:r>
      <w:r>
        <w:rPr>
          <w:szCs w:val="24"/>
        </w:rPr>
        <w:tab/>
        <w:t>В своих Заключительных замечаниях по итогам рассмотрения предыдущих докладов России Комитет высказал обеспокоенность в отношении участия некоторых казачьих организаций в актах запугивания и насилия (пункт 16).  В этой связи необходимо отметить следующее.  Казачество России в основном объединено в казачьи организации, представленные казачьими обществами и казачьими общественными объединениями.  Все казачьи организации России созданы строго в соответствии с Конституцией Российской Федерации.  Основными законодательными актами, регулирующими жизнедеятельность казачьих организаций, являются Федеральные законы № 154-ФЗ "О государственной службе российского казачества" от 5 декабря 2005 года и № 82-ФЗ "Об общественных объединениях" от 19 мая 1995 года.</w:t>
      </w:r>
    </w:p>
    <w:p w:rsidR="00000000" w:rsidRDefault="00000000">
      <w:pPr>
        <w:rPr>
          <w:szCs w:val="24"/>
        </w:rPr>
      </w:pPr>
    </w:p>
    <w:p w:rsidR="00000000" w:rsidRDefault="00000000">
      <w:pPr>
        <w:rPr>
          <w:szCs w:val="24"/>
        </w:rPr>
      </w:pPr>
      <w:r>
        <w:rPr>
          <w:szCs w:val="24"/>
        </w:rPr>
        <w:t>66.</w:t>
      </w:r>
      <w:r>
        <w:rPr>
          <w:szCs w:val="24"/>
        </w:rPr>
        <w:tab/>
        <w:t>Наибольшее количество казаков входит в казачьи общества.  Казачье общество - добровольное объединение граждан Российской Федерации в форме некоммерческой организации, образованное в соответствии с федеральным законодательством, внесенное в государственный реестр казачьих обществ в Российской Федерации и члены которого в установленном порядке приняли на себя обязательства по несению государственной и иной службы.  В Российской Федерации членом казачьего общества может стать любой гражданин вне зависимости от его национальности и вероисповедания.  В Тверском войсковом казачьем обществе существуют отделы, где преобладают осетины и ингуши;  в войсковое казачье общество "Всевеликое войско Донское" входит калмыцкий округ;  существует окружное казачье общество "Якутский реестровый казачий полк";  в республиках Бурятия и Тува также активно работают казачьи общества, в которые входят представители местного населения и т.д.  Казачьи общества противодействуют проявлениям шовинизма и ксенофобии.  Проводятся фестивали дружбы, совместные акции с представителями различных диаспор.  В январе 2006 года в Волгоградской области казачьи общества прорабатывали вопрос охраны синагоги города Волгограда от возможных актов вандализма.  В Краснодарском крае в мае 2006 года подведены итоги викторины "Ратная доблесть кубанских казаков и горских народов в первой мировой войне", осенью планируется собрать всех потомков всадников "Дикой дивизии" и казаков "Георгиевских кавалеров", воевавших в период первой мировой войны.</w:t>
      </w:r>
    </w:p>
    <w:p w:rsidR="00000000" w:rsidRDefault="00000000">
      <w:pPr>
        <w:rPr>
          <w:szCs w:val="24"/>
        </w:rPr>
      </w:pPr>
    </w:p>
    <w:p w:rsidR="00000000" w:rsidRDefault="00000000">
      <w:r>
        <w:t>67.</w:t>
      </w:r>
      <w:r>
        <w:tab/>
        <w:t>Второе место по численности занимают казачьи общественные объединения, представленные общественными организациями, общественными движениями, общественными фондами и органами общественной самодеятельности (до 9% казаков).  Казачьи общественные объединения также не мононациональны, хотя в настоящее время существует Международное Армянское казачье объединение, в которое входят преимущественно представители армянской диаспоры.  Большинство казачьих общественных объединений выступают с инициативами развития толерантности и межкультурного диалога.  Ряд общественных объединений казачества выступают инициаторами проведения всероссийских научных конференций, фестивалей, конкурсов и других мероприятий, укрепляющих добрососедские отношения между народами России.</w:t>
      </w:r>
    </w:p>
    <w:p w:rsidR="00000000" w:rsidRDefault="00000000"/>
    <w:p w:rsidR="00000000" w:rsidRDefault="00000000">
      <w:r>
        <w:t>68.</w:t>
      </w:r>
      <w:r>
        <w:tab/>
        <w:t>Согласно российскому законодательству ни одна казачья организация в Российской Федерации, даже взявшая на себя в установленном порядке обязательства по несению государственной и иной службы, не имеет прав проведения силовых мероприятий.</w:t>
      </w:r>
    </w:p>
    <w:p w:rsidR="00000000" w:rsidRDefault="00000000"/>
    <w:p w:rsidR="00000000" w:rsidRDefault="00000000">
      <w:pPr>
        <w:rPr>
          <w:szCs w:val="24"/>
        </w:rPr>
      </w:pPr>
      <w:r>
        <w:rPr>
          <w:szCs w:val="24"/>
        </w:rPr>
        <w:t>69.</w:t>
      </w:r>
      <w:r>
        <w:rPr>
          <w:szCs w:val="24"/>
        </w:rPr>
        <w:tab/>
        <w:t>С 2001 года отсутствуют федеральные программы поддержки казачьих организаций.  В субъектах Российской Федерации по состоянию на 2006 год существует только три региональные программы поддержки казачьих обществ:  в Ростовской области, Краснодарском и Ставропольском краях.  Фактов разжигания межнациональной розни, актов запугивания и насилия в отношении отдельных этнических групп казачьими обществами, получающими поддержку из бюджетов субъектов Российской Федерации, зафиксировано не было.  Факты участия казаков в актах запугивания и насилия в отношении этнических групп, упомянутые в ряде западных средств массовой информации, мониторингах отдельных российских правозащитных организаций, не имеют под собой реальных оснований.  Разделяя обеспокоенность Комитета, стоит отметить, что большинство случаев проявлений экстремизма и ксенофобии приходится на неформальные организации, не прошедшие государственной регистрации, либо лишенные ее в официальном порядке.  Данные организации не финансируются государством и не имеют полномочий по выполнению правоохранительных функций.</w:t>
      </w:r>
    </w:p>
    <w:p w:rsidR="00000000" w:rsidRDefault="00000000">
      <w:pPr>
        <w:rPr>
          <w:szCs w:val="24"/>
        </w:rPr>
      </w:pPr>
    </w:p>
    <w:p w:rsidR="00000000" w:rsidRDefault="00000000">
      <w:r>
        <w:t>70.</w:t>
      </w:r>
      <w:r>
        <w:tab/>
        <w:t>В соответствии с пунктами 17-18 Заключительных замечаний Комитета по итогам рассмотрения предыдущих докладов России хотелось бы отметить следующее.  Все граждане Российской Федерации обладают равными правами, вне зависимости от национальной или расовой принадлежности.  Правоохранительные органы России защищают гражданский мир и порядок исключительно руководствуясь действующими законами и нормативными правовыми актами, не разделяя правонарушителей по национальному признаку.  Положение представителей чеченской национальности не отличается от общественного положения представителей других национальностей, о чем свидетельствует социально-экономический статус чеченцев, степень их вовлеченности в политическую и бизнес элиту и широкая сеть национально-культурных организаций в субъектах Российской Федерации.  Например, чеченские бизнесмены в Москве (по некоторым данным около 200 000 человек) вполне ассоциировались в российский бизнес и в российское общество.</w:t>
      </w:r>
    </w:p>
    <w:p w:rsidR="00000000" w:rsidRDefault="00000000"/>
    <w:p w:rsidR="00000000" w:rsidRDefault="00000000">
      <w:r>
        <w:t>71.</w:t>
      </w:r>
      <w:r>
        <w:tab/>
        <w:t>По состоянию на 8 февраля 2006 года на учете в территориальных органах Федеральной миграционной службы Российской Федерации (ФМС России) в субъектах Российской Федерации, расположенных в пределах Южного федерального округа, состояло 62 500 вынужденных переселенцев (в том числе 8 327 лиц, пострадавших в результате осетино-ингушского конфликта) и более 82 200 внутренне перемещенных лиц.  Термин "внутренне перемещенные лица" означает лица, перемещенные внутри страны, он появился в Российской Федерации в последние годы и применяется к гражданам Российской Федерации, временно покинувшим места постоянного проживания в Чеченской Республике (в основном в период разрешения кризиса) и находящимся в местах временного размещения на территории Российской Федерации (в том числе и на территории самой Чеченской Республики), которые планируют вернуться в места прежнего проживания.</w:t>
      </w:r>
    </w:p>
    <w:p w:rsidR="00000000" w:rsidRDefault="00000000"/>
    <w:p w:rsidR="00000000" w:rsidRDefault="00000000">
      <w:r>
        <w:t>72.</w:t>
      </w:r>
      <w:r>
        <w:tab/>
        <w:t>В 2005 году проведена большая работа по сбору правоустанавливающих документов по проблемам вынужденных переселенцев.  По инициативе ФМС России впервые за весь период постконфликтного урегулирования проведено анкетирование вынужденных переселенцев в целях установления их намерений по жилищному обустройству.  Численность внутренне перемещенных лиц, находящихся в местах временного размещения на территории Северо-Кавказского региона, составляет 62 200 человек, в том числе 22 100 человек - в Республике Ингушетия и 60 100 человек - на территории Чеченской Республики.  Все они являются гражданами Российской Федерации и находятся под защитой Конституции и законов Российской Федерации.  В рамках реализации поручения № Пр-1277 Президента Российской Федерации от 11 июля 2001 года и пункта 3.6 протокола № 1 заседания Совета Безопасности Российской Федерации от 27 февраля 2002 года ФМС России совместно с заинтересованными федеральными органами исполнительной власти и правительством Чеченской Республики проводится ряд мероприятий, направленных на создание условий для возвращения внутренне перемещенных лиц в Чеченскую Республику.</w:t>
      </w:r>
    </w:p>
    <w:p w:rsidR="00000000" w:rsidRDefault="00000000"/>
    <w:p w:rsidR="00000000" w:rsidRDefault="00000000">
      <w:r>
        <w:t>73.</w:t>
      </w:r>
      <w:r>
        <w:tab/>
        <w:t>Подход государства к решению проблемы возвращения внутренне перемещенных лиц на Северном Кавказе строится исключительно на принципах добровольности и защиты прав граждан.  Проводимая в этой области политика направлена на поощрение возвращения в места постоянного проживания за счет ряда мер социально-экономического характера.  Все мероприятия по созданию условий переселения внутренне перемещенных лиц находятся под контролем Представительства УВКБ ООН, Совета Европы, различных неправительственных, международных и российских гуманитарных организаций.</w:t>
      </w:r>
    </w:p>
    <w:p w:rsidR="00000000" w:rsidRDefault="00000000"/>
    <w:p w:rsidR="00000000" w:rsidRDefault="00000000">
      <w:r>
        <w:t>74.</w:t>
      </w:r>
      <w:r>
        <w:tab/>
        <w:t>На федеральном и региональном уровнях активно реализуется Федеральная целевая программа "Восстановление экономики и социальной сферы Чеченской Республики (2002 год и последующие годы)".  Процесс возвращения внутренне перемещенных лиц по мере стабилизации ситуации на территории Чеченской Республики значительно активизировался.  Это касается не только жителей Чеченской Республики, проживающих в субъектах Российской Федерации, но и тех, кто находится за рубежом.  За период совместной работы в этом направлении удалось снять все палаточные городки на территории Республики Ингушетия и создать более достойные условия проживания для более 60 100 человек, возвратившихся на территорию Чеченской Республики.  Процесс возвращения указанной категории лиц на территорию Чеченской Республики продолжается.</w:t>
      </w:r>
    </w:p>
    <w:p w:rsidR="00000000" w:rsidRDefault="00000000"/>
    <w:p w:rsidR="00000000" w:rsidRDefault="00000000">
      <w:r>
        <w:t>75.</w:t>
      </w:r>
      <w:r>
        <w:tab/>
        <w:t>В последние три года отлажена и эффективно действует система государственной поддержки внутренне перемещенных лиц.  Лицам, возвращающимся к местам прежнего проживания, выделяется транспорт, оказывается помощь по оплате проезда и провоза багажа.  Для их размещения в Чеченской Республике за счет средств федерального бюджета восстановлены и функционируют 32 пункта временного размещения (в том числе 22 - в городе Грозном).  Кроме того, в Шелковском и Сунженском районах, а также в городе Грозном создано 14 объектов под места компактного проживания.  Всего в Чеченской Республике построено 46 благоустроенных общежитий, в которых проживает более 48 000 человек (в том числе около 22 000 детей).  Все общежития подготовлены для проживания граждан в зимних условиях, обеспечены электро- и газоснабжением, привозной питьевой водой, отопительными системами.</w:t>
      </w:r>
    </w:p>
    <w:p w:rsidR="00000000" w:rsidRDefault="00000000"/>
    <w:p w:rsidR="00000000" w:rsidRDefault="00000000">
      <w:r>
        <w:t>76.</w:t>
      </w:r>
      <w:r>
        <w:tab/>
        <w:t>В пунктах временного размещения на территории Чеченской Республики имеются медицинские кабинеты.  В целях создания дополнительных условий для образовательного и культурного развития детей внутренне перемещенных лиц, организации их досуга совместными усилиями ФМС России и правительства Чеченской Республики, а также отдельных неправительственных организаций (Всероссийское спортивное общество и библиотечный фонд, Русская Православная Церковь - через программу "Церкви в совместном действии - Северный Кавказ" и др.) в отдельных пунктах временного размещения открыты компьютерные классы, миниспортивные залы, библиотечные комнаты и центры психологической реабилитации детей.</w:t>
      </w:r>
    </w:p>
    <w:p w:rsidR="00000000" w:rsidRDefault="00000000"/>
    <w:p w:rsidR="00000000" w:rsidRDefault="00000000">
      <w:r>
        <w:t>77.</w:t>
      </w:r>
      <w:r>
        <w:tab/>
        <w:t>Дети внутренне перемещенных лиц обучаются в общеобразовательных школах.  По информации Министерства образования Российской Федерации, системой образования Республики охвачено около 240 000 детей и молодежи.  Кроме школ, дошкольных и средних специальных учреждений функционируют три вуза.  Предусмотрены меры по подготовке специалистов высшего, послевузовского и среднего профессионального образования в высших и средних специальных учреждениях Российской Федерации.  В этих целях в 86 вузах страны введена практика выделения мест для очного обучения выпускников школ Чеченской Республики (пункт 19 Заключительных замечаний).</w:t>
      </w:r>
    </w:p>
    <w:p w:rsidR="00000000" w:rsidRDefault="00000000"/>
    <w:p w:rsidR="00000000" w:rsidRDefault="00000000">
      <w:r>
        <w:t>78.</w:t>
      </w:r>
      <w:r>
        <w:tab/>
        <w:t>С учетом обращений российских граждан, вынужденно покинувших места постоянного проживания в Чеченской Республике и находящихся в Грузии, в соответствии с поручением № пр-810 Президента Российской Федерации от 17 мая 2004 года ФМС России совместно с заинтересованными федеральными органами исполнительной власти и правительством Чеченской Республики осуществляют мероприятия, направленные на создание условий для их возвращения.  Оказано содействие в возвращении из Грузии в Чеченскую Республику более 180 человек.  Работа в данном направлении продолжается.</w:t>
      </w:r>
    </w:p>
    <w:p w:rsidR="00000000" w:rsidRDefault="00000000"/>
    <w:p w:rsidR="00000000" w:rsidRDefault="00000000">
      <w:r>
        <w:t>79.</w:t>
      </w:r>
      <w:r>
        <w:tab/>
        <w:t>Указом № 1285 Президента Российской Федерации от 6 октября 2004 года "О мерах по совершенствованию деятельности государственных органов по развитию отношений между Республикой Северная Осетия-Алания и Республикой Ингушетия" на ФМС России возложены новые задачи, связанные с вопросами урегулирования последствий осетино-ингушского конфликта.  В целях выполнения поставленных задач, в том числе по организации мероприятий по жилищному обустройству вынужденных переселенцев, лишившихся жилья в результате осетино-ингушского конфликта в октябре-ноябре 1992 года, создано Межрегиональное управление ФМС России (с местом дислокации в городе Владикавказе).  В результате осетино-ингушского конфликта территорию Республики Северная Осетия-Алания покинуло свыше 40 000 человек.  На сегодняшний день нуждаются в жилищном обустройстве 8 327 человек, состоящих на учете в Межрегиональном управлении ФМС России.  ФМС России подготовлено и 30 декабря 2005 года правительством Российской Федерации принято постановление № 846 "О внесении изменений и дополнений в постановление № 274 правительства Российской Федерации от 6 марта 1998 года" (постановление № 274 правительства Российской Федерации от 6 марта 1998 года "Об оказании государственной поддержки гражданам Российской Федерации, лишившимся жилья в результате осетино-ингушского конфликта в октябре-ноябре 1992 года").</w:t>
      </w:r>
    </w:p>
    <w:p w:rsidR="00000000" w:rsidRDefault="00000000"/>
    <w:p w:rsidR="00000000" w:rsidRDefault="00000000">
      <w:pPr>
        <w:rPr>
          <w:b/>
          <w:bCs/>
          <w:i/>
          <w:iCs/>
        </w:rPr>
      </w:pPr>
      <w:r>
        <w:rPr>
          <w:b/>
          <w:bCs/>
          <w:i/>
          <w:iCs/>
        </w:rPr>
        <w:t>Статья 3</w:t>
      </w:r>
    </w:p>
    <w:p w:rsidR="00000000" w:rsidRDefault="00000000"/>
    <w:p w:rsidR="00000000" w:rsidRDefault="00000000">
      <w:r>
        <w:t>80.</w:t>
      </w:r>
      <w:r>
        <w:tab/>
        <w:t>В соответствии с пунктом 2 статьи 3 Конвенции представителям малых народов предоставляется особые возможности для сохранения и развития традиционной культуры.  Например, в соответствии с распоряжением № 185-р правительства Российской Федерации от 21 февраля 2005 года в нынешнем году реализуются мероприятия по совершенствованию нормативной правовой базы, касающейся коренных малочисленных народов, по развитию инфраструктуры районов их проживания и по расширению международного сотрудничества в деле сохранения их культур.</w:t>
      </w:r>
    </w:p>
    <w:p w:rsidR="00000000" w:rsidRDefault="00000000"/>
    <w:p w:rsidR="00000000" w:rsidRDefault="00000000">
      <w:pPr>
        <w:keepNext/>
        <w:rPr>
          <w:b/>
          <w:bCs/>
          <w:i/>
          <w:iCs/>
        </w:rPr>
      </w:pPr>
      <w:r>
        <w:rPr>
          <w:b/>
          <w:bCs/>
          <w:i/>
          <w:iCs/>
        </w:rPr>
        <w:t>Статья 4</w:t>
      </w:r>
    </w:p>
    <w:p w:rsidR="00000000" w:rsidRDefault="00000000"/>
    <w:p w:rsidR="00000000" w:rsidRDefault="00000000">
      <w:r>
        <w:t>81.</w:t>
      </w:r>
      <w:r>
        <w:tab/>
        <w:t>В соответствии с Конституцией Российской Федерации запрещается создание и деятельность общественных объединений, цели или действия которых направлены на разжигание социальной, расовой, национальной и религиозной розни (часть 5 статьи 13).</w:t>
      </w:r>
    </w:p>
    <w:p w:rsidR="00000000" w:rsidRDefault="00000000"/>
    <w:p w:rsidR="00000000" w:rsidRDefault="00000000">
      <w:r>
        <w:t>82.</w:t>
      </w:r>
      <w:r>
        <w:tab/>
        <w:t>В развитие этой конституционной нормы 25 июля 2002 года был принят Федеральный закон № 114-ФЗ "О противодействии экстремистской деятельности".  В целях защиты прав и свобод человека и гражданина, основ конституционного строя, обеспечения целостности и безопасности Российской Федерации названным Законом определяются правовые и организационные основы противодействия экстремистской деятельности, устанавливается ответственность за ее осуществление.  В частности, согласно статье 1 Закона, под экстремистской деятельностью понимается:</w:t>
      </w:r>
    </w:p>
    <w:p w:rsidR="00000000" w:rsidRDefault="00000000"/>
    <w:p w:rsidR="00000000" w:rsidRDefault="00000000">
      <w:pPr>
        <w:numPr>
          <w:ilvl w:val="0"/>
          <w:numId w:val="13"/>
        </w:numPr>
        <w:ind w:left="567"/>
      </w:pPr>
      <w:r>
        <w:t>деятельность общественных и религиозных объединений либо иных организаций, либо средств массовой информации, либо физических лиц по планированию, организации, подготовке и совершению действий, направленных, в том числе на:  возбуждение расовой, национальной или религиозной розни, а также социальной розни, связанной с насилием или призывами к насилию;  унижение национального достоинства;</w:t>
      </w:r>
    </w:p>
    <w:p w:rsidR="00000000" w:rsidRDefault="00000000"/>
    <w:p w:rsidR="00000000" w:rsidRDefault="00000000">
      <w:pPr>
        <w:numPr>
          <w:ilvl w:val="0"/>
          <w:numId w:val="13"/>
        </w:numPr>
        <w:ind w:left="567"/>
      </w:pPr>
      <w:r>
        <w:t>осуществление массовых беспорядков, хулиганских действий и актов вандализма по мотивам идеологической, политической, расовой, национальной или религиозной ненависти либо вражды, а равно по мотивам ненависти либо вражды в отношении какой-либо социальной группы;</w:t>
      </w:r>
    </w:p>
    <w:p w:rsidR="00000000" w:rsidRDefault="00000000"/>
    <w:p w:rsidR="00000000" w:rsidRDefault="00000000">
      <w:pPr>
        <w:numPr>
          <w:ilvl w:val="0"/>
          <w:numId w:val="13"/>
        </w:numPr>
        <w:ind w:left="567"/>
      </w:pPr>
      <w:r>
        <w:t>пропаганда исключительности, превосходства либо неполноценности граждан по признаку их отношения к религии, социальной, расовой, национальной, религиозной или языковой принадлежности;</w:t>
      </w:r>
    </w:p>
    <w:p w:rsidR="00000000" w:rsidRDefault="00000000"/>
    <w:p w:rsidR="00000000" w:rsidRDefault="00000000">
      <w:pPr>
        <w:numPr>
          <w:ilvl w:val="0"/>
          <w:numId w:val="13"/>
        </w:numPr>
        <w:ind w:left="567"/>
      </w:pPr>
      <w:r>
        <w:t>пропаганда и публичное демонстрирование нацистской атрибутики или символики либо атрибутики или символики, сходных с нацистской атрибутикой или символикой до степени смешения;</w:t>
      </w:r>
    </w:p>
    <w:p w:rsidR="00000000" w:rsidRDefault="00000000"/>
    <w:p w:rsidR="00000000" w:rsidRDefault="00000000">
      <w:pPr>
        <w:numPr>
          <w:ilvl w:val="0"/>
          <w:numId w:val="13"/>
        </w:numPr>
        <w:ind w:left="567"/>
      </w:pPr>
      <w:r>
        <w:t>публичные призывы к осуществлению указанной деятельности или совершению указанных действий;</w:t>
      </w:r>
    </w:p>
    <w:p w:rsidR="00000000" w:rsidRDefault="00000000"/>
    <w:p w:rsidR="00000000" w:rsidRDefault="00000000">
      <w:pPr>
        <w:numPr>
          <w:ilvl w:val="0"/>
          <w:numId w:val="13"/>
        </w:numPr>
        <w:ind w:left="567"/>
      </w:pPr>
      <w:r>
        <w:t>финансирование указанной деятельности либо иное содействие ее осуществлению или совершению указанных действий, в том числе путем предоставления для осуществления указанной деятельности финансовых средств, недвижимости, учебной, полиграфической и материально-технической базы, телефонной, факсимильной и иных видов связи, информационных услуг, иных материально-технических средств.</w:t>
      </w:r>
    </w:p>
    <w:p w:rsidR="00000000" w:rsidRDefault="00000000"/>
    <w:p w:rsidR="00000000" w:rsidRDefault="00000000">
      <w:r>
        <w:t>В соответствии с указанным Законом экстремистская организация представляет собой общественное или религиозное объединение либо иную организацию, в отношении которых по основаниям, предусмотренным указанным Федеральным законом, судом принято вступившее в законную силу решение о ликвидации или запрете деятельности в связи с осуществлением экстремистской деятельности.</w:t>
      </w:r>
    </w:p>
    <w:p w:rsidR="00000000" w:rsidRDefault="00000000"/>
    <w:p w:rsidR="00000000" w:rsidRDefault="00000000">
      <w:r>
        <w:t>83.</w:t>
      </w:r>
      <w:r>
        <w:tab/>
        <w:t>Противодействие экстремистской деятельности основывается на принципах признания, соблюдения и защиты прав и свобод человека и гражданина, а равно законных интересов организаций, законности, гласности, приоритета безопасности Российской Федерации (статья 2 Закона).  Закон включает в себя такие меры противодействия экстремистской деятельности организаций, как объявление предостережения, вынесение предупреждения, в том числе о недопустимости распространения экстремистских материалов, приостановление деятельности.  Во всех случаях предусматривается возможность обжалования действий государственных органов в судебном порядке (статьи 6-8, 10).  Ликвидация объединения или организации, либо запрет деятельности объединения, не являющегося юридическим лицом, осуществляется только через суд (статья 9).</w:t>
      </w:r>
    </w:p>
    <w:p w:rsidR="00000000" w:rsidRDefault="00000000"/>
    <w:p w:rsidR="00000000" w:rsidRDefault="00000000">
      <w:r>
        <w:t>84.</w:t>
      </w:r>
      <w:r>
        <w:tab/>
        <w:t>В Комитете Госдумы по гражданскому, уголовному, арбитражному и процессуальному законодательству подготовлен пакет поправок в действующее законодательство, в том числе в ФЗ "О противодействии экстремистской деятельности", согласно которым предлагается установить ответственность за распространение экстремистской информации через Интернет и компьютерную продукцию.  Поправки в ближайшее время будут представлены для рассмотрения Советом Государственной думы.</w:t>
      </w:r>
    </w:p>
    <w:p w:rsidR="00000000" w:rsidRDefault="00000000"/>
    <w:p w:rsidR="00000000" w:rsidRDefault="00000000">
      <w:pPr>
        <w:rPr>
          <w:szCs w:val="24"/>
        </w:rPr>
      </w:pPr>
      <w:r>
        <w:rPr>
          <w:szCs w:val="24"/>
        </w:rPr>
        <w:t>85.</w:t>
      </w:r>
      <w:r>
        <w:rPr>
          <w:szCs w:val="24"/>
        </w:rPr>
        <w:tab/>
        <w:t>Федеральным законом от 25 июля 2002 года УК РФ был дополнен статьей 282.1, которой предусмотрена ответственность за организацию экстремистского сообщества, т.е. организованной группы лиц для подготовки или совершения преступлений по мотивам идеологической, политической, расовой, национальной или религиозной ненависти либо вражды, а равно по мотивам ненависти либо вражды в отношении какой-либо социальной группы, а также за руководство таким экстремистским сообществом, его частью или входящими в такое сообщество структурными подразделениями.  Кроме того, указанная статья предусматривает ответственность за участие в экстремистском сообществе.  В соответствии с примечанием к статье 282.1 УК РФ лицо, добровольно прекратившее участие в экстремистском сообществе, освобождается от уголовной ответственности, если в его действиях не содержится иного состава преступления.  Кроме того, законодатель особо выделил и предусмотрел более строгую ответственность за совершение указанного преступления лицом с использованием своего служебного положения.</w:t>
      </w:r>
    </w:p>
    <w:p w:rsidR="00000000" w:rsidRDefault="00000000">
      <w:pPr>
        <w:rPr>
          <w:szCs w:val="24"/>
        </w:rPr>
      </w:pPr>
    </w:p>
    <w:p w:rsidR="00000000" w:rsidRDefault="00000000">
      <w:pPr>
        <w:rPr>
          <w:szCs w:val="24"/>
        </w:rPr>
      </w:pPr>
      <w:r>
        <w:rPr>
          <w:szCs w:val="24"/>
        </w:rPr>
        <w:t>86.</w:t>
      </w:r>
      <w:r>
        <w:rPr>
          <w:szCs w:val="24"/>
        </w:rPr>
        <w:tab/>
        <w:t>Тем же Федеральным законом в УК РФ была введена статья 282.2, устанавливающая ответственность за организацию либо участие в деятельности общественного или религиозного объединения либо иной организации, в отношении которых судом принято вступившее в законную силу решение о ликвидации или запрете деятельности в связи с осуществлением экстремистской деятельности.</w:t>
      </w:r>
    </w:p>
    <w:p w:rsidR="00000000" w:rsidRDefault="00000000">
      <w:pPr>
        <w:rPr>
          <w:szCs w:val="24"/>
        </w:rPr>
      </w:pPr>
    </w:p>
    <w:p w:rsidR="00000000" w:rsidRDefault="00000000">
      <w:pPr>
        <w:rPr>
          <w:szCs w:val="24"/>
        </w:rPr>
      </w:pPr>
      <w:r>
        <w:rPr>
          <w:szCs w:val="24"/>
        </w:rPr>
        <w:t>87.</w:t>
      </w:r>
      <w:r>
        <w:rPr>
          <w:szCs w:val="24"/>
        </w:rPr>
        <w:tab/>
        <w:t>Федеральным законом № 153-ФЗ от 27 июля 2006 года УК РФ дополнен статьей 104</w:t>
      </w:r>
      <w:r>
        <w:rPr>
          <w:szCs w:val="24"/>
        </w:rPr>
        <w:noBreakHyphen/>
        <w:t>1, предусматривающей конфискацию денег, ценностей и иного имущества, полученных в результате совершения преступлений, предусмотренных статьями, перечисленными в указанной статье, в том числе и за преступления, связанные с мотивами национальной, расовой, религиозной ненависти и вражды (часть 2 статьи 105, часть 2 статьи 111 УК РФ), а также за преступления, связанные с организацией экстремистского сообщества и деятельностью экстремистской организации (статьи 282-1 и 282-2 УК РФ).  Конфискации также подлежат деньги, ценности и иное имущество, используемое или предназначенное для финансирования терроризма, экстремизма, национализма, преступного сообщества.</w:t>
      </w:r>
    </w:p>
    <w:p w:rsidR="00000000" w:rsidRDefault="00000000">
      <w:pPr>
        <w:rPr>
          <w:szCs w:val="24"/>
        </w:rPr>
      </w:pPr>
    </w:p>
    <w:p w:rsidR="00000000" w:rsidRDefault="00000000">
      <w:pPr>
        <w:rPr>
          <w:iCs/>
        </w:rPr>
      </w:pPr>
      <w:r>
        <w:rPr>
          <w:iCs/>
        </w:rPr>
        <w:t>88.</w:t>
      </w:r>
      <w:r>
        <w:rPr>
          <w:iCs/>
        </w:rPr>
        <w:tab/>
        <w:t>Вопросы противодействия экстремистским проявлениям, ксенофобии, расовой нетерпимости, связанным с этими явлениями правонарушениям являются одним из приоритетных направлений в надзорной деятельности органов прокуратуры.</w:t>
      </w:r>
    </w:p>
    <w:p w:rsidR="00000000" w:rsidRDefault="00000000">
      <w:pPr>
        <w:rPr>
          <w:iCs/>
        </w:rPr>
      </w:pPr>
    </w:p>
    <w:p w:rsidR="00000000" w:rsidRDefault="00000000">
      <w:r>
        <w:t>89.</w:t>
      </w:r>
      <w:r>
        <w:tab/>
        <w:t>Генеральным прокурором Российской Федерации издан приказ № 13 от</w:t>
      </w:r>
      <w:r>
        <w:rPr>
          <w:bCs/>
        </w:rPr>
        <w:t xml:space="preserve"> </w:t>
      </w:r>
      <w:r>
        <w:t>17 мая 2004 года "О повышении эффективности прокурорского надзора за исполнением законодательства о противодействии экстремистской деятельности", в соответствии с которым органами прокуратуры проводится работа по профилактике, выявлению, предупреждению и пресечению экстремистской деятельности общественных и религиозных объединений, средств массовой информации и физических лиц.  В данный руководящий документ своевременно вносятся соответствующие изменения и дополнения, в частности в настоящее время готовятся коррективы в связи с поправками, принятыми Федеральным законом № 148-ФЗ от 27 июля 2006 года «О внесении изменений в статьи 1 и 15 ФЗ "О противодействии экстремистской деятельности"».</w:t>
      </w:r>
    </w:p>
    <w:p w:rsidR="00000000" w:rsidRDefault="00000000"/>
    <w:p w:rsidR="00000000" w:rsidRDefault="00000000">
      <w:r>
        <w:t>90.</w:t>
      </w:r>
      <w:r>
        <w:tab/>
        <w:t>В деятельности Генеральной прокуратуры Российской Федерации, прокуратур субъектов Российской Федерации пристальное внимание уделяется анализу состояния законности в данной сфере правоотношений.  Практика применения Федерального закона "О противодействии экстремистской деятельности" показывает, что с его принятием в значительной степени возросла роль правоохранительных и других заинтересованных органов в осуществлении противодействия экстремизму в деятельности общественных и религиозных объединений, физических лиц, в соблюдении национального, расового и религиозного равноправия граждан.</w:t>
      </w:r>
    </w:p>
    <w:p w:rsidR="00000000" w:rsidRDefault="00000000"/>
    <w:p w:rsidR="00000000" w:rsidRDefault="00000000">
      <w:r>
        <w:t>91.</w:t>
      </w:r>
      <w:r>
        <w:tab/>
        <w:t>Для более глубокого изучения криминогенной ситуации разработана форма государственной статистической отчетности, специально учитывающая преступления экстремистской направленности, утвержден алгоритм, определяющий перечень уголовных составов, относящихся к преступлениям экстремистской направленности.  На новый уровень вышла роль надзорной функции органов прокуратуры за расследованием преступлений, совершенных по мотиву национальной, расовой и религиозной вражды.</w:t>
      </w:r>
    </w:p>
    <w:p w:rsidR="00000000" w:rsidRDefault="00000000"/>
    <w:p w:rsidR="00000000" w:rsidRDefault="00000000">
      <w:pPr>
        <w:rPr>
          <w:szCs w:val="24"/>
        </w:rPr>
      </w:pPr>
      <w:r>
        <w:rPr>
          <w:szCs w:val="24"/>
        </w:rPr>
        <w:t>92.</w:t>
      </w:r>
      <w:r>
        <w:rPr>
          <w:szCs w:val="24"/>
        </w:rPr>
        <w:tab/>
        <w:t>С учетом актуальности данного вопроса, о результатах работы органов прокуратуры России по надзору за исполнением законодательства о противодействии экстремистской деятельности в первом полугодии 2005 года информирован Президент Российской Федерации.</w:t>
      </w:r>
    </w:p>
    <w:p w:rsidR="00000000" w:rsidRDefault="00000000">
      <w:pPr>
        <w:rPr>
          <w:szCs w:val="24"/>
        </w:rPr>
      </w:pPr>
    </w:p>
    <w:p w:rsidR="00000000" w:rsidRDefault="00000000">
      <w:pPr>
        <w:rPr>
          <w:szCs w:val="24"/>
        </w:rPr>
      </w:pPr>
      <w:r>
        <w:rPr>
          <w:szCs w:val="24"/>
        </w:rPr>
        <w:t>93.</w:t>
      </w:r>
      <w:r>
        <w:rPr>
          <w:szCs w:val="24"/>
        </w:rPr>
        <w:tab/>
        <w:t>Прокурорами субъектов Российской Федерации в анализируемый период проводились проверки исполнения требований законодательства о противодействии экстремизму.  Поступающая с мест информация свидетельствуют о том, что работа в этом направлении активизировалась, наметился ее целенаправленный и системный характер.</w:t>
      </w:r>
    </w:p>
    <w:p w:rsidR="00000000" w:rsidRDefault="00000000">
      <w:pPr>
        <w:rPr>
          <w:szCs w:val="24"/>
        </w:rPr>
      </w:pPr>
    </w:p>
    <w:p w:rsidR="00000000" w:rsidRDefault="00000000">
      <w:r>
        <w:t>94.</w:t>
      </w:r>
      <w:r>
        <w:tab/>
        <w:t>Проблема межнациональных и межконфессиональных отношений продолжает оставаться одной из приоритетных в деятельности органов прокуратуры России.  Повсеместно организовано активное взаимодействие с органами исполнительной власти в сфере юстиции и массовой информации, местного самоуправления, а также иными государственными структурами, являющимися субъектами противодействия экстремистским проявлениям.  Основными направлениями борьбы с экстремизмом является принятие профилактических мер, выявление, предупреждение и пресечение экстремистской деятельности общественных и религиозных объединений, иных организаций, физических лиц.</w:t>
      </w:r>
    </w:p>
    <w:p w:rsidR="00000000" w:rsidRDefault="00000000"/>
    <w:p w:rsidR="00000000" w:rsidRDefault="00000000">
      <w:r>
        <w:t>95.</w:t>
      </w:r>
      <w:r>
        <w:tab/>
        <w:t>Органами прокуратуры совместно с другими правоохранительными органами принимаются меры к пресечению и предупреждению экстремистских проявлений в молодежной и подростковой среде, рост которых вызывает тревогу.</w:t>
      </w:r>
    </w:p>
    <w:p w:rsidR="00000000" w:rsidRDefault="00000000"/>
    <w:p w:rsidR="00000000" w:rsidRDefault="00000000">
      <w:pPr>
        <w:rPr>
          <w:szCs w:val="24"/>
        </w:rPr>
      </w:pPr>
      <w:r>
        <w:rPr>
          <w:szCs w:val="24"/>
        </w:rPr>
        <w:t>96.</w:t>
      </w:r>
      <w:r>
        <w:rPr>
          <w:szCs w:val="24"/>
        </w:rPr>
        <w:tab/>
        <w:t>Прокурорские проверки свидетельствуют о наличии во многих субъектах Российской Федерации запрещенных и действующих на нелегальном положении неформальных молодежных группировок и организаций экстремистской направленности:  "Скинхеды", "Русское национальное единство" (РНЕ), Национально-державная партия (НДПР), Национал-большевитская партия (НБП), идеологической основой деятельности которых является пропаганда расовой и национальной исключительности.  Правоохранительные органы проводят в сфере своей компетенции оперативно-розыскные мероприятия по пресечению деятельности данных организаций.</w:t>
      </w:r>
    </w:p>
    <w:p w:rsidR="00000000" w:rsidRDefault="00000000">
      <w:pPr>
        <w:rPr>
          <w:szCs w:val="24"/>
        </w:rPr>
      </w:pPr>
    </w:p>
    <w:p w:rsidR="00000000" w:rsidRDefault="00000000">
      <w:r>
        <w:t>97.</w:t>
      </w:r>
      <w:r>
        <w:tab/>
        <w:t>На территории Сибирского федерального округа продолжают существовать отдельные группы представителей неформальных молодежных течений "скинхеды", "панки", "металлисты", "реперы", "фанаты", пропагандирующие идеи национализма и нетерпимости к лицам другой расы.  В Томской области зафиксированы попытки создания регионального отделения молодежного движения "Оборона".  Одной из его задач является вовлечение молодежи в организацию массовых акций протеста по оказанию давления на органы власти и управления.  Правоохранительными органами региона ведется активная работа по противодействию деятельности этих молодежных групп, а также отдельных граждан.</w:t>
      </w:r>
    </w:p>
    <w:p w:rsidR="00000000" w:rsidRDefault="00000000"/>
    <w:p w:rsidR="00000000" w:rsidRDefault="00000000">
      <w:r>
        <w:t>98.</w:t>
      </w:r>
      <w:r>
        <w:tab/>
        <w:t>Органами прокуратуры Республики Башкортостан совместно с органами внутренних дел Республики проводятся оперативно-розыскные мероприятия в отношении группы лиц, причисляющих себя к движению "скинхедов".  Данная группа состоит из молодых людей в возрасте от 17 до 25 лет, которые исповедуют идеи превосходства "белой расы".  Члены движения распространяли листовки и литературу, призывающую к активно-агрессивным действиям по отношению к выходцам из регионов Кавказа, Азии, Африки, и занимались совершением нападений на иностранных граждан.</w:t>
      </w:r>
    </w:p>
    <w:p w:rsidR="00000000" w:rsidRDefault="00000000"/>
    <w:p w:rsidR="00000000" w:rsidRDefault="00000000">
      <w:pPr>
        <w:rPr>
          <w:szCs w:val="24"/>
        </w:rPr>
      </w:pPr>
      <w:r>
        <w:rPr>
          <w:szCs w:val="24"/>
        </w:rPr>
        <w:t>99.</w:t>
      </w:r>
      <w:r>
        <w:rPr>
          <w:szCs w:val="24"/>
        </w:rPr>
        <w:tab/>
        <w:t>В числе юридических гарантий равенства прав и свобод человека и гражданина следует отметить меры юридической ответственности.  К таковым относятся, в частности, запрещение, приостановление, прекращение деятельности либо ликвидация религиозного или общественного объединения, либо иной организации, средства массовой информации в связи с осуществлением экстремистской деятельности (статьи 9-11 Федерального закона "О противодействии экстремистской деятельности").</w:t>
      </w:r>
    </w:p>
    <w:p w:rsidR="00000000" w:rsidRDefault="00000000">
      <w:pPr>
        <w:rPr>
          <w:szCs w:val="24"/>
        </w:rPr>
      </w:pPr>
    </w:p>
    <w:p w:rsidR="00000000" w:rsidRDefault="00000000">
      <w:pPr>
        <w:rPr>
          <w:szCs w:val="24"/>
        </w:rPr>
      </w:pPr>
      <w:r>
        <w:rPr>
          <w:szCs w:val="24"/>
        </w:rPr>
        <w:t>100.</w:t>
      </w:r>
      <w:r>
        <w:rPr>
          <w:szCs w:val="24"/>
        </w:rPr>
        <w:tab/>
        <w:t>Министерство юстиции Российской Федерации осуществляет контроль за соответствием уставов и деятельности общественных объединений Конституции Российской Федерации и действующему законодательству.  В связи с этим ряду организаций после проведения правовой экспертизы учредительных документов было отказано в государственной регистрации.  Увеличилось число отказов в государственной регистрации религиозных организаций, что связано с повышенными требованиями органов юстиции при проведении правовой экспертизы поступающих на регистрацию документов.</w:t>
      </w:r>
    </w:p>
    <w:p w:rsidR="00000000" w:rsidRDefault="00000000">
      <w:pPr>
        <w:rPr>
          <w:szCs w:val="24"/>
        </w:rPr>
      </w:pPr>
    </w:p>
    <w:p w:rsidR="00000000" w:rsidRDefault="00000000">
      <w:r>
        <w:t>101.</w:t>
      </w:r>
      <w:r>
        <w:tab/>
        <w:t>При выявлении нарушений общественными объединениями действующего законодательства или совершения ими действий, противоречащих их уставным целям, органом, регистрирующим общественное объединение, может быть вынесено предупреждение руководителям данных организаций.  Кроме того, деятельность общественного объединения может быть приостановлена или запрещена по решению суда в случае нарушения Конституции Российской Федерации, конституций субъектов или российского законодательства.</w:t>
      </w:r>
    </w:p>
    <w:p w:rsidR="00000000" w:rsidRDefault="00000000"/>
    <w:p w:rsidR="00000000" w:rsidRDefault="00000000">
      <w:r>
        <w:t>102.</w:t>
      </w:r>
      <w:r>
        <w:tab/>
        <w:t>Так, в целях осуществления контроля за соблюдением устава относительно целей и порядка деятельности в 2005 году Главным управлением Федеральной регистрационной службы по Республике Башкортостан проверено 217 общественных объединений, 86 религиозных организаций.  По выявленным нарушениям законодательства вынесено 93 предупреждения за непредставление ежегодной информации о продолжении своей деятельности и ненадлежащее оформление печати.  Руководители 52 общественных объединений и религиозных организаций привлечены к административной ответственности по статье 19.7 Кодекса Российской Федерации об административных правонарушениях.</w:t>
      </w:r>
    </w:p>
    <w:p w:rsidR="00000000" w:rsidRDefault="00000000"/>
    <w:p w:rsidR="00000000" w:rsidRDefault="00000000">
      <w:r>
        <w:t>103.</w:t>
      </w:r>
      <w:r>
        <w:tab/>
        <w:t>В соответствии с пунктом 25 Заключительных замечаний Комитета хотелось бы сообщить следующее.  Органы прокуратуры стали более активно реагировать на появление в средствах массовой информации публикаций, возбуждающих религиозную и межнациональную вражду.  В Псковской области и Республике Коми имели место факты распространения через средства массовой информации статей, содержащих признаки экстремизма.  Так, в ходе проверки прокуратурой Псковской области установлены факты размещения Псковским информационным агентством "Рим" в сети Интернет 29 апреля и 5 мая 2005 года статей, содержащих утверждения экстремистского толка и обосновывающих нарушения территориальной целостности Российской Федерации.  В связи с этим на основании статьи 8 Федерального закона № 114-ФЗ "О противодействии экстремистской деятельности" от 25 июля 2002 года исполняющим обязанности прокурора Псковской области 14 июня 2005 года вынесены письменные предупреждения о недопустимости нарушений закона главному редактору информационного агентства "Рим" и председателю региональной общественной организации, учредившей это информагентство.  По результатам рассмотрения обращения в связи с опубликованием в мае 2005 года в Республике Коми в газете "Епархиальные ведомости" статьи "Шовинизм или православное богодержавие", при написании которой использовались стилистические приемы, усиливающие агрессивный характер публикации, акцентировалось противостояние наций, прокурором города Сыктывкара 8 июня 2005 года в адрес епископа Сыктывкарского и Воркутинского внесено представление об устранении нарушений законодательства об экстремистской деятельности.  Данное представление удовлетворено.  В ряде случаев подобных мер реагирования было недостаточно и по фактам публикаций, возбуждающих религиозную и межнациональную вражду, возбуждались уголовные дела по статье 282 УК РФ.  Чертановской межрайонной прокуратурой города Москвы 25 апреля 2005 года в отношении главного редактора газеты "Русская правда" Аратова A.M. возбуждено уголовное дело по части 1 статьи 282 УК РФ.  Аратов A.M. в № 35 названной газеты опубликовал статью "Основные заповеди Иисуса Христа", в тексте которой имеются многочисленные утверждения, направленные на возбуждение в обществе национальной и религиозной вражды.  Уголовное дело в отношении Аратова А.М. передано 25 апреля 2006 года для рассмотрения в Чертановский межрайонный суд города Москвы.  Нальчикским городским судом Кабардино-Балкарской Республики 26 января 2005 года Пшиготыжев З.А. осужден по части 1 статьи 282 УК РФ к одному году исправительных работ.  С целью разжигания религиозной вражды, пропаганды исключительности и превосходства ислама он распространил в городе Нальчик более двухсот экземпляров книги "Сквозь призму ислама", в которой провозглашались жесткие требования религиозной нетерпимости, абсолютного неприятия компромисса с иными религиозными конфессиями, призывы к вооруженной борьбе со всем сообществом людей, не являющихся мусульманами, с целью их уничтожения.</w:t>
      </w:r>
    </w:p>
    <w:p w:rsidR="00000000" w:rsidRDefault="00000000"/>
    <w:p w:rsidR="00000000" w:rsidRDefault="00000000">
      <w:pPr>
        <w:rPr>
          <w:szCs w:val="24"/>
        </w:rPr>
      </w:pPr>
      <w:r>
        <w:rPr>
          <w:szCs w:val="24"/>
        </w:rPr>
        <w:t>104.</w:t>
      </w:r>
      <w:r>
        <w:rPr>
          <w:szCs w:val="24"/>
        </w:rPr>
        <w:tab/>
        <w:t>Особую опасность представляют проявления экстремизма и ксенофобии, посягающие на гарантированные статьей 28 Конституции Российской Федерации свободу совести, свободу вероисповедания, включающие право исповедовать любую религию или не исповедовать никакой.  Такие же гарантии установлены в статье 3 Федерального закона "О свободе совести и о религиозных объединениях" от 26 сентября 1997 года, из которого следует, что право человека и гражданина на свободу совести и вероисповедания может быть ограничено только федеральным законом.  Из этих правовых норм следует, что Российская Федерация, являясь светским государством, гарантирует право каждого действовать в соответствии со своими религиозными убеждениями в пределах, ограниченных федеральным законом.</w:t>
      </w:r>
    </w:p>
    <w:p w:rsidR="00000000" w:rsidRDefault="00000000">
      <w:pPr>
        <w:rPr>
          <w:szCs w:val="24"/>
        </w:rPr>
      </w:pPr>
    </w:p>
    <w:p w:rsidR="00000000" w:rsidRDefault="00000000">
      <w:pPr>
        <w:rPr>
          <w:szCs w:val="24"/>
        </w:rPr>
      </w:pPr>
      <w:r>
        <w:rPr>
          <w:szCs w:val="24"/>
        </w:rPr>
        <w:t>105.</w:t>
      </w:r>
      <w:r>
        <w:rPr>
          <w:szCs w:val="24"/>
        </w:rPr>
        <w:tab/>
        <w:t>Гарантированная Конституцией свобода вероисповедания является объектом уголовно-правовой охраны.  В частности, в 2002 году по статье 148 УК РФ за незаконное воспрепятствование деятельности религиозных организаций было осуждено два человека.  В последующие годы случаев осуждения за совершение указанного преступления не зафиксировано.</w:t>
      </w:r>
    </w:p>
    <w:p w:rsidR="00000000" w:rsidRDefault="00000000">
      <w:pPr>
        <w:rPr>
          <w:szCs w:val="24"/>
        </w:rPr>
      </w:pPr>
    </w:p>
    <w:p w:rsidR="00000000" w:rsidRDefault="00000000">
      <w:pPr>
        <w:rPr>
          <w:szCs w:val="24"/>
        </w:rPr>
      </w:pPr>
      <w:r>
        <w:rPr>
          <w:szCs w:val="24"/>
        </w:rPr>
        <w:t>106.</w:t>
      </w:r>
      <w:r>
        <w:rPr>
          <w:szCs w:val="24"/>
        </w:rPr>
        <w:tab/>
        <w:t>Вместе с тем реализация гражданами своих конституционных прав, в частности права на свободу вероисповедания, должна осуществляться таким образом, чтобы не нарушать других охраняемых законом прав и интересов граждан, общества и государства.  Поэтому создание религиозного объединения, деятельность которого сопряжена с посягательствами на личность и права граждан, а также участие в таких объединениях запрещены под угрозой применения уголовного наказания, предусмотренного за совершение указанных деяний статьей 239 УК РФ.  По данным официальной судебной статистики в течение 2002-2003 годов за создание религиозного объединения, деятельность которого сопряжена с насилием над гражданами, а равно за руководство такими объединениями было осуждено три человека.  В 2004 году за организацию объединения, посягающего на личность и права граждан, осуждено семь лиц и одно лицо – за участие в таком объединении.</w:t>
      </w:r>
    </w:p>
    <w:p w:rsidR="00000000" w:rsidRDefault="00000000">
      <w:pPr>
        <w:rPr>
          <w:szCs w:val="24"/>
        </w:rPr>
      </w:pPr>
    </w:p>
    <w:p w:rsidR="00000000" w:rsidRDefault="00000000">
      <w:r>
        <w:t>107.</w:t>
      </w:r>
      <w:r>
        <w:tab/>
        <w:t>Повышенную общественную опасность представляют преступные деяния, совершаемые по мотивам религиозной нетерпимости.  Судом Республики Дагестан рассмотрено уголовное дело по части первой статьи 282 УК РФ (возбуждение национальной, расовой или религиозной вражды) в отношении А.О. Магомедова – руководителя Шуры алимов (Совета мусульманских ученых), органа, объявившего о восстановлении независимости Исламской Республики Дагестан и обратившегося к чеченским сепаратистам с просьбой о помощи.  В двух публичных обращениях Шуры содержались такие утверждения, как "сионизм - враг мусульман", "кафирский (неверный) мир", "еврейская мафия", а также высказывания о превосходстве ислама над другими религиями.  Суд расценил эти обращения, подписанные осужденным, как действия, направленные на возбуждение национальной и религиозной вражды, унижение национального достоинства, а также как пропаганду исключительности, превосходства либо неполноценности граждан по признаку их отношения к религии и национальной принадлежности.  А.О. Магомедову было назначено наказание в виде штрафа в размере 600 минимальных размеров оплаты труда.</w:t>
      </w:r>
    </w:p>
    <w:p w:rsidR="00000000" w:rsidRDefault="00000000"/>
    <w:p w:rsidR="00000000" w:rsidRDefault="00000000">
      <w:r>
        <w:t>108.</w:t>
      </w:r>
      <w:r>
        <w:tab/>
        <w:t>Уголовное дело в отношении М.О. Акаева является примером пресечении деятельности незаконно действовавшей на территории Дагестана экстремистской религиозной организации.  Приговором Буйнакского районного суда Республики Дагестан М.О. Акаев осужден по части второй статьи 282 УК РФ за совершение преступления, направленного на возбуждение религиозной вражды с применением насилия, и части второй статьи 208 за участие в вооруженном формировании, не предусмотренном федеральным законом.</w:t>
      </w:r>
    </w:p>
    <w:p w:rsidR="00000000" w:rsidRDefault="00000000">
      <w:pPr>
        <w:rPr>
          <w:szCs w:val="24"/>
        </w:rPr>
      </w:pPr>
    </w:p>
    <w:p w:rsidR="00000000" w:rsidRDefault="00000000">
      <w:pPr>
        <w:keepNext/>
        <w:rPr>
          <w:b/>
          <w:bCs/>
          <w:i/>
          <w:iCs/>
        </w:rPr>
      </w:pPr>
      <w:r>
        <w:rPr>
          <w:b/>
          <w:bCs/>
          <w:i/>
          <w:iCs/>
        </w:rPr>
        <w:t>Статья 5</w:t>
      </w:r>
    </w:p>
    <w:p w:rsidR="00000000" w:rsidRDefault="00000000">
      <w:pPr>
        <w:keepNext/>
        <w:rPr>
          <w:szCs w:val="24"/>
        </w:rPr>
      </w:pPr>
    </w:p>
    <w:p w:rsidR="00000000" w:rsidRDefault="00000000">
      <w:pPr>
        <w:rPr>
          <w:szCs w:val="24"/>
        </w:rPr>
      </w:pPr>
      <w:r>
        <w:rPr>
          <w:szCs w:val="24"/>
        </w:rPr>
        <w:t>109.</w:t>
      </w:r>
      <w:r>
        <w:rPr>
          <w:szCs w:val="24"/>
        </w:rPr>
        <w:tab/>
        <w:t>Статья 32 Конституции Российской Федерации предусматривает право граждан Российской Федерации участвовать в управлении государством как непосредственно, так и через представителей;  избирать и быть избранными в органы государственной власти и участвовать в референдуме;  участвовать в отправлении правосудия.  Этой же статьей установлено, что граждане Российской Федерации имеют равный доступ к государственной службе.</w:t>
      </w:r>
    </w:p>
    <w:p w:rsidR="00000000" w:rsidRDefault="00000000">
      <w:pPr>
        <w:rPr>
          <w:szCs w:val="24"/>
        </w:rPr>
      </w:pPr>
    </w:p>
    <w:p w:rsidR="00000000" w:rsidRDefault="00000000">
      <w:pPr>
        <w:rPr>
          <w:szCs w:val="24"/>
        </w:rPr>
      </w:pPr>
      <w:r>
        <w:rPr>
          <w:szCs w:val="24"/>
        </w:rPr>
        <w:t>110.</w:t>
      </w:r>
      <w:r>
        <w:rPr>
          <w:szCs w:val="24"/>
        </w:rPr>
        <w:tab/>
        <w:t>Законодательство, регулирующее вопросы избирательного права, содержит соответствующие положения, не допускающие агитацию, возбуждающую социальную, расовую, национальную или религиозную ненависть и вражду, а также запрещающие пропаганду социального, расового, национального, религиозного или языкового превосходства (федеральные законы № 67-ФЗ "Об основных гарантиях избирательных прав и права на участие в референдуме граждан Российской Федерации" от 12 июня 2002 года, № 19-ФЗ "О выборах Президента Российской Федерации" от 10 января 2003 года, Федеральный конституционный закон от 28 июня 2004 года "О референдуме Российской Федерации" и др.).</w:t>
      </w:r>
    </w:p>
    <w:p w:rsidR="00000000" w:rsidRDefault="00000000">
      <w:pPr>
        <w:rPr>
          <w:szCs w:val="24"/>
        </w:rPr>
      </w:pPr>
    </w:p>
    <w:p w:rsidR="00000000" w:rsidRDefault="00000000">
      <w:pPr>
        <w:rPr>
          <w:szCs w:val="24"/>
        </w:rPr>
      </w:pPr>
      <w:r>
        <w:rPr>
          <w:szCs w:val="24"/>
        </w:rPr>
        <w:t>111.</w:t>
      </w:r>
      <w:r>
        <w:rPr>
          <w:szCs w:val="24"/>
        </w:rPr>
        <w:tab/>
        <w:t>Согласно статье 3 Конституции Российской Федерации, "...единственным источником власти в Российской Федерации является ее многонациональный народ".  В соответствии с этой и другими нормами, заложенными в Основной закон, представители всех национальностей Российской Федерации имеют равное право на участие в органах власти всех уровней, без ущемления или приоритетов по национальному признаку, что соответствует статье 5 Конвенции.  Равное право на участие в органах власти представителей любых национальностей Российской Федерации не дает возможности вести статистический учет в данных органах по национальному признаку.  Тем не менее, по имеющимся сведениям, например, среди депутатов Государственной думы Федерального собрания Российской Федерации представлены:  русские (306 человек), украинцы (более 40 человек), евреи (более 30 человек), татары (14 человек), белорусы (11 человек), башкиры (5 человек), ингуши (4 человека), аварцы (4 человека), кабардинцы (3 человека), армяне (3 человека), чеченцы (2 человека), лезгины (2 человека), лакцы, якуты, калмыки, немцы, коми-пермяки, корейцы, тувинцы, буряты, абхазы, казахи, греки, латыши, осетины, чуваши, алтайцы, кумыки, даргинцы, удмурты - по одному человеку.  Таким образом, в верховный орган представительной власти избраны практически все основные национальные меньшинства России.  Типологически сходная ситуация наблюдается в представительных органах государственной власти субъектов Российской Федерации.  В органах государственной исполнительной власти всех уровней подобная статистика не ведется по принципиальным соображениям - чтобы исключить любые возможности для проявления дискриминации по национальному признаку.  Можно лишь предположить, что ситуация здесь незначительно отличается от представительных органов власти.</w:t>
      </w:r>
    </w:p>
    <w:p w:rsidR="00000000" w:rsidRDefault="00000000">
      <w:pPr>
        <w:rPr>
          <w:szCs w:val="24"/>
        </w:rPr>
      </w:pPr>
    </w:p>
    <w:p w:rsidR="00000000" w:rsidRDefault="00000000">
      <w:pPr>
        <w:rPr>
          <w:szCs w:val="24"/>
        </w:rPr>
      </w:pPr>
      <w:r>
        <w:rPr>
          <w:szCs w:val="24"/>
        </w:rPr>
        <w:t>112.</w:t>
      </w:r>
      <w:r>
        <w:rPr>
          <w:szCs w:val="24"/>
        </w:rPr>
        <w:tab/>
        <w:t>Регулирование и защита прав и свобод человека и гражданина, а также гражданство в Российской Федерации, регулирование и защита прав национальных меньшинств, в силу статьи 71 Конституции Российской Федерации, относятся к ведению Российской Федерации.  Ограничение этих прав, в силу части 3 статьи 55 Конституции Российской Федерации, может быть осуществлено только федеральным законом в той мере, в какой это необходимо для защиты основ конституционного строя, нравственности, здоровья, прав и законных интересов других лиц, обеспечения обороны страны и безопасности государства.  Эти конституционные положения, требования Всеобщей декларации прав человека (статья 13), Конвенции о статусе беженцев (статья 2) и Протокола к ней 1967 года, Международного пакта о гражданских и политических правах (статья 12) нашли свое развитие в федеральных законах № 62-ФЗ "О гражданстве Российской Федерации" от 31 мая 2002 года, № 115-ФЗ "О правовом положении иностранных граждан в Российской Федерации" от 25 июля 2002 года, № 4528-1 "О беженцах" от 19 февраля 1993 года , № 114-ФЗ "О порядке выезда из Российской Федерации и въезда в Российскую Федерацию" от 15 августа 1996 года, № 4530-1 "О вынужденных переселенцах" от 19 февраля 1993 года, в Законе № 5242-1 Российской Федерации "О праве граждан Российской Федерации на свободу передвижения, выбор места пребывания и жительства в пределах Российской Федерации" от 25 июня 1993 года, иных законах и в ряде нормативных правовых актов Президента Российской Федерации и правительства Российской Федерации.</w:t>
      </w:r>
    </w:p>
    <w:p w:rsidR="00000000" w:rsidRDefault="00000000">
      <w:pPr>
        <w:rPr>
          <w:szCs w:val="24"/>
        </w:rPr>
      </w:pPr>
    </w:p>
    <w:p w:rsidR="00000000" w:rsidRDefault="00000000">
      <w:pPr>
        <w:rPr>
          <w:szCs w:val="24"/>
        </w:rPr>
      </w:pPr>
      <w:r>
        <w:rPr>
          <w:szCs w:val="24"/>
        </w:rPr>
        <w:t>113.</w:t>
      </w:r>
      <w:r>
        <w:rPr>
          <w:szCs w:val="24"/>
        </w:rPr>
        <w:tab/>
        <w:t>В целях обеспечения соблюдения основополагающих принципов гражданства Российской Федерации, условий для реализации гражданином Российской Федерации, иностранными гражданами и лицами без гражданства своих прав и свобод Федеральным законом "О гражданстве Российской Федерации" установлен общий и упрощенный порядок приобретения или прекращения гражданства Российской Федерации, а также порядок изменения гражданства, получение вида на жительство.</w:t>
      </w:r>
    </w:p>
    <w:p w:rsidR="00000000" w:rsidRDefault="00000000">
      <w:pPr>
        <w:rPr>
          <w:szCs w:val="24"/>
        </w:rPr>
      </w:pPr>
    </w:p>
    <w:p w:rsidR="00000000" w:rsidRDefault="00000000">
      <w:pPr>
        <w:rPr>
          <w:szCs w:val="24"/>
        </w:rPr>
      </w:pPr>
      <w:r>
        <w:rPr>
          <w:szCs w:val="24"/>
        </w:rPr>
        <w:t>114.</w:t>
      </w:r>
      <w:r>
        <w:rPr>
          <w:szCs w:val="24"/>
        </w:rPr>
        <w:tab/>
        <w:t>Федеральным законом "О гражданстве Российской Федерации" предусмотрено право гражданина, иностранных граждан и лиц без гражданства защищать свои права путем обжалования в судебном порядке решения полномочного органа, ведающего делами о гражданстве Российской Федерации, об отклонении заявления по вопросам гражданства Российской Федерации, а также обжалования действий (бездействия) должностных лиц органов, ведающих делами о гражданстве Российской Федерации.</w:t>
      </w:r>
    </w:p>
    <w:p w:rsidR="00000000" w:rsidRDefault="00000000">
      <w:pPr>
        <w:rPr>
          <w:szCs w:val="24"/>
        </w:rPr>
      </w:pPr>
    </w:p>
    <w:p w:rsidR="00000000" w:rsidRDefault="00000000">
      <w:pPr>
        <w:rPr>
          <w:szCs w:val="24"/>
        </w:rPr>
      </w:pPr>
      <w:r>
        <w:rPr>
          <w:szCs w:val="24"/>
        </w:rPr>
        <w:t>115.</w:t>
      </w:r>
      <w:r>
        <w:rPr>
          <w:szCs w:val="24"/>
        </w:rPr>
        <w:tab/>
        <w:t>Содержащееся в пункте 12 Заключительных замечаний Комитета по итогам рассмотрения пятнадцатого, шестнадцатого и семнадцатого докладов России утверждение о том, что большинство граждан бывших советских государств, проживавших ранее в Российской Федерации на законных основаниях, после вступления в силу в 2002 году федерального законодательства о российском гражданстве и о правовом статусе иностранных граждан в Российской Федерации считаются незаконными мигрантами, не соответствует действительности.  Граждане бывшего СССР, переехавшие в Российскую Федерацию на постоянное место жительства, были зарегистрированы по месту жительства и пользовались всеми социальными правами.  Статьей 14 Федерального закона "О гражданстве" предусмотрен упрощенный порядок приема в гражданство лиц, имевших гражданство бывшего СССР, проживающих на территории Российской Федерации.</w:t>
      </w:r>
    </w:p>
    <w:p w:rsidR="00000000" w:rsidRDefault="00000000">
      <w:pPr>
        <w:rPr>
          <w:szCs w:val="24"/>
        </w:rPr>
      </w:pPr>
    </w:p>
    <w:p w:rsidR="00000000" w:rsidRDefault="00000000">
      <w:r>
        <w:t>116.</w:t>
      </w:r>
      <w:r>
        <w:tab/>
        <w:t>Свобода передвижения и выбора места жительства предусмотрена частью 1 статьи 27 Конституции Российской Федерации.  Согласно статье 3 Федерального закона № 5242</w:t>
      </w:r>
      <w:r>
        <w:noBreakHyphen/>
        <w:t>1 от 25 июня 1993 года "О праве граждан Российской Федерации на свободу передвижения, выбор места пребывания и жительства в пределах Российской Федерации" вводится регистрационный учет граждан Российской Федерации по месту пребывания и жительства в целях обеспечения необходимых условий для реализации гражданином Российской Федерации его прав и свобод, а также исполнения им обязанностей перед другими гражданами, государством и обществом.  В указанной норме также прописано, что регистрация или отсутствие таковой не могут служить основанием для ограничения или условием реализации прав и свобод граждан.</w:t>
      </w:r>
    </w:p>
    <w:p w:rsidR="00000000" w:rsidRDefault="00000000"/>
    <w:p w:rsidR="00000000" w:rsidRDefault="00000000">
      <w:pPr>
        <w:rPr>
          <w:szCs w:val="24"/>
        </w:rPr>
      </w:pPr>
      <w:r>
        <w:rPr>
          <w:szCs w:val="24"/>
        </w:rPr>
        <w:t>117.</w:t>
      </w:r>
      <w:r>
        <w:rPr>
          <w:szCs w:val="24"/>
        </w:rPr>
        <w:tab/>
        <w:t>Позиция государства, касающаяся института регистрации, выражена в Постановлении № 9-П Конституционного суда Российской Федерации от 4 апреля 1996 года по делу о проверке конституционности ряда нормативных актов города Москвы и Московской области, Ставропольского края, Воронежской области и города Воронежа, регламентирующих порядок регистрации граждан, прибывающих на постоянное место жительства в названные регионы.  Согласно данному постановлению, право на выбор места жительства составляет часть свободы самоопределения личности.  Органы государственной власти уполномочены лишь на регистрацию результата акта свободного волеизъявления гражданина при выборе места жительства.  Поэтому регистрационный учет носит уведомительный характер.</w:t>
      </w:r>
    </w:p>
    <w:p w:rsidR="00000000" w:rsidRDefault="00000000">
      <w:pPr>
        <w:rPr>
          <w:szCs w:val="24"/>
        </w:rPr>
      </w:pPr>
    </w:p>
    <w:p w:rsidR="00000000" w:rsidRDefault="00000000">
      <w:pPr>
        <w:rPr>
          <w:szCs w:val="24"/>
        </w:rPr>
      </w:pPr>
      <w:r>
        <w:rPr>
          <w:szCs w:val="24"/>
        </w:rPr>
        <w:t>118.</w:t>
      </w:r>
      <w:r>
        <w:rPr>
          <w:szCs w:val="24"/>
        </w:rPr>
        <w:tab/>
        <w:t>Полагаем также целесообразным сообщить, что в настоящее время разработан проект федерального закона "О праве граждан Российской Федерации на свободу передвижения, выбор места пребывания и жительства в пределах Российской Федерации и их учете".  Законопроект предусматривает упрощенный уведомительный порядок постановки и снятия граждан России с учета по месту пребывания и жительства в пределах Российской Федерации, определяет цели, основные принципы и содержание учета по месту пребывания и жительства граждан в Российской Федерации, перечень и полномочия учетных органов и организаций, наделенных отдельными полномочиями в данной области и их финансирование.  В целях обеспечения равенства прав граждан Российской Федерации, а также прав иностранных граждан и лиц без гражданства в разработанном законопроекте учтены положения проекта федерального закона "О миграционном учете иностранных граждан и лиц без гражданства в Российской Федерации", прошедшего в первом чтении обсуждение в Государственной думе Федерального собрания Российской Федерации.</w:t>
      </w:r>
    </w:p>
    <w:p w:rsidR="00000000" w:rsidRDefault="00000000">
      <w:pPr>
        <w:rPr>
          <w:szCs w:val="24"/>
        </w:rPr>
      </w:pPr>
    </w:p>
    <w:p w:rsidR="00000000" w:rsidRDefault="00000000">
      <w:pPr>
        <w:rPr>
          <w:szCs w:val="24"/>
        </w:rPr>
      </w:pPr>
      <w:r>
        <w:rPr>
          <w:szCs w:val="24"/>
        </w:rPr>
        <w:t>119.</w:t>
      </w:r>
      <w:r>
        <w:rPr>
          <w:szCs w:val="24"/>
        </w:rPr>
        <w:tab/>
        <w:t>Одной из действенных форм защиты права гражданина на свободу передвижения и выбор места пребывания и жительства является судебная защита данного права, реализуемая при обращении в суд с требованиями о пресечении нарушений, допускаемых в этой области, путем рассмотрения жалоб на действия должностных лиц органов регистрационного учета, связанные с применением законодательства, регулирующего порядок и процедуру регистрации граждан по месту пребывания и жительства, а также заявлений о признании недействующими и не подлежащими применению положений нормативных правовых актов субъектов Российской Федерации.</w:t>
      </w:r>
    </w:p>
    <w:p w:rsidR="00000000" w:rsidRDefault="00000000">
      <w:pPr>
        <w:rPr>
          <w:szCs w:val="24"/>
        </w:rPr>
      </w:pPr>
    </w:p>
    <w:p w:rsidR="00000000" w:rsidRDefault="00000000">
      <w:pPr>
        <w:rPr>
          <w:szCs w:val="24"/>
        </w:rPr>
      </w:pPr>
      <w:r>
        <w:rPr>
          <w:szCs w:val="24"/>
        </w:rPr>
        <w:t>120.</w:t>
      </w:r>
      <w:r>
        <w:rPr>
          <w:szCs w:val="24"/>
        </w:rPr>
        <w:tab/>
        <w:t>Необходимо отметить, что существенное влияние на формирование правоприменительной практики в судах общей юрисдикции оказали постановления Конституционного суда Российской Федерации по вопросам, связанным с конституционным правом граждан на свободу передвижения и выбор места жительства.  Изложенные в них позиции учитываются судами при рассмотрении конкретных дел.  Так, Конституционный суд Российской Федерации в постановлении № 4-П от 2 февраля 1998 года указал на недопустимость установления органами исполнительной власти сроков регистрации граждан по месту пребывания, поскольку установление по усмотрению органов регистрационного учета срока, по истечении которого гражданин обязан покинуть место пребывания, является вмешательством органов исполнительной власти и других органов регистрационного учета в гражданские, жилищные и иные правоотношения, складывающиеся на основе согласия сторон, и ограничивает конституционное право граждан на свободу выбора места пребывания и жительства.  Срок нахождения в том или ином месте временного пребывания должен определяться самим гражданином.</w:t>
      </w:r>
    </w:p>
    <w:p w:rsidR="00000000" w:rsidRDefault="00000000">
      <w:pPr>
        <w:rPr>
          <w:szCs w:val="24"/>
        </w:rPr>
      </w:pPr>
    </w:p>
    <w:p w:rsidR="00000000" w:rsidRDefault="00000000">
      <w:pPr>
        <w:rPr>
          <w:szCs w:val="24"/>
        </w:rPr>
      </w:pPr>
      <w:r>
        <w:rPr>
          <w:szCs w:val="24"/>
        </w:rPr>
        <w:t>121.</w:t>
      </w:r>
      <w:r>
        <w:rPr>
          <w:szCs w:val="24"/>
        </w:rPr>
        <w:tab/>
        <w:t>Также необходимо отметить, что данное право не носит абсолютного характера и подлежит правовому регулированию с учетом того, что его осуществление может привести к нарушению прав и свобод других лиц, что недопустимо в силу части 3 статьи 17 Конституции Российской Федерации.  В силу указанных выше норм правовой режим ограничений права на выбор места жительства может вводиться только федеральным законом в той мере, в какой это необходимо в целях защиты основ конституционного строя, нравственности, здоровья, прав и законных интересов других лиц.</w:t>
      </w:r>
    </w:p>
    <w:p w:rsidR="00000000" w:rsidRDefault="00000000">
      <w:pPr>
        <w:rPr>
          <w:szCs w:val="24"/>
        </w:rPr>
      </w:pPr>
    </w:p>
    <w:p w:rsidR="00000000" w:rsidRDefault="00000000">
      <w:pPr>
        <w:rPr>
          <w:szCs w:val="24"/>
        </w:rPr>
      </w:pPr>
      <w:r>
        <w:rPr>
          <w:szCs w:val="24"/>
        </w:rPr>
        <w:t>122.</w:t>
      </w:r>
      <w:r>
        <w:rPr>
          <w:szCs w:val="24"/>
        </w:rPr>
        <w:tab/>
        <w:t>В соответствии с пунктом 19 Заключительных замечаний Комитета необходимо отметить следующее.  В соответствии с частью 1 статьи 63 Конституции Российской Федерации Российская Федерация предоставляет политическое убежище иностранным гражданам и лицам без гражданства в соответствии с общепризнанными нормами международного права.  Кроме того, в Российской Федерации не допускается выдача другим государствам лиц, преследуемых за политические убеждения, а также за действия (или бездействие), не признаваемые в Российской Федерации преступлением (часть 2 статьи 63).  Указанные конституционные положения, а также требования Всеобщей декларации прав человека, Конвенции ООН о статусе беженцев 1951 года и Протокола к ней 1967 года, рекомендации Исполнительного комитета Управления Верховного комиссара ООН по делам беженцев, даваемые в заключениях, касающихся статуса беженцев, иных международных договоров Российской Федерации нашли свое развитие в следующих федеральных законах:  "О беженцах", "О порядке выезда из Российской Федерации и въезда в Российскую Федерацию", "О правовом положении иностранных граждан в Российской Федерации", "О гражданстве Российской Федерации", в постановлениях правительства Российской Федерации, касающихся вопроса предоставления временного убежища на территории Российской Федерации, иных нормативных правовых актах Российской Федерации, регулирующих данный вид правоотношений.  Федеральный закон "О беженцах" предоставил лицам, ходатайствующим о признании их беженцами на территории Российской Федерации, право обжалования решений и действий (бездействия) миграционных служб в судебном порядке.  В Российской Федерации имеет место судебная практика по различным вопросам, возникающим в связи с применением законодательства о беженцах.  Эта судебная практика по данной категории дел важна, так как, с одной стороны, она позволяет защищать права беженцев, а с другой стороны – помогает предотвратить нарушение Российской Федерацией международных обязательств по защите прав беженцев.  При рассмотрении заявлений лиц, ищущих убежище, на решения и действия (бездействие) территориальных миграционных служб суды применяли такие концепции, как "правило безопасной третьей страны", "беженец на месте", "беженец войны", принцип "единства, воссоединения семьи", иные принципы и международные стандарты.</w:t>
      </w:r>
    </w:p>
    <w:p w:rsidR="00000000" w:rsidRDefault="00000000">
      <w:pPr>
        <w:rPr>
          <w:szCs w:val="24"/>
        </w:rPr>
      </w:pPr>
    </w:p>
    <w:p w:rsidR="00000000" w:rsidRDefault="00000000">
      <w:r>
        <w:t>123.</w:t>
      </w:r>
      <w:r>
        <w:tab/>
        <w:t>По пункту 12 Заключительных замечаний Комитета по ликвидации расовой дискриминации сообщаем, что в настоящее время приняты Государственной Думой Федерального собрания Российской Федерации в первом чтении проекты федеральных законов «О внесении изменений в Федеральный закон "О правовом положении иностранных граждан в Российской Федерации" и о признании утратившими силу отдельных положений Федерального закона "О внесении изменений и дополнений в некоторые законодательные акты Российской Федерации"» и "О миграционном учете иностранных граждан и лиц без гражданства в Российской Федерации".</w:t>
      </w:r>
    </w:p>
    <w:p w:rsidR="00000000" w:rsidRDefault="00000000"/>
    <w:p w:rsidR="00000000" w:rsidRDefault="00000000">
      <w:r>
        <w:t>124.</w:t>
      </w:r>
      <w:r>
        <w:tab/>
        <w:t>Законопроект «О внесении изменений в Федеральный закон "О правовом положении иностранных граждан в Российской Федерации" и о признании утратившими силу отдельных положений Федерального закона "О внесении изменений и дополнений в некоторые законодательные акты Российской Федерации"» направлен на упрощение миграционных процедур, связанных с получением статуса временно проживающего в Российской Федерации, механизмом трудоустройства иностранных граждан и лиц без гражданства на территории Российской Федерации, а также на совершенствование государственного регулирования рынка иностранной рабочей силы.</w:t>
      </w:r>
    </w:p>
    <w:p w:rsidR="00000000" w:rsidRDefault="00000000"/>
    <w:p w:rsidR="00000000" w:rsidRDefault="00000000">
      <w:pPr>
        <w:rPr>
          <w:szCs w:val="24"/>
        </w:rPr>
      </w:pPr>
      <w:r>
        <w:rPr>
          <w:szCs w:val="24"/>
        </w:rPr>
        <w:t>125.</w:t>
      </w:r>
      <w:r>
        <w:rPr>
          <w:szCs w:val="24"/>
        </w:rPr>
        <w:tab/>
        <w:t>Законопроектом "О миграционном учете иностранных граждан и лиц без гражданства в Российской Федерации" предлагается создать новый административно-правовой механизм учета иностранных граждан и лиц без гражданства.  Его внедрение позволит более эффективно управлять миграционными процессами, сократить нелегальную иммиграцию и в то же время существенно повысить уровень конституционно-правовых гарантий прав соотечественников и других категорий иностранцев, желающих трудиться и жить в Российской Федерации.</w:t>
      </w:r>
    </w:p>
    <w:p w:rsidR="00000000" w:rsidRDefault="00000000">
      <w:pPr>
        <w:rPr>
          <w:szCs w:val="24"/>
        </w:rPr>
      </w:pPr>
    </w:p>
    <w:p w:rsidR="00000000" w:rsidRDefault="00000000">
      <w:r>
        <w:t>126.</w:t>
      </w:r>
      <w:r>
        <w:tab/>
        <w:t>По пункту 14 Заключительных замечаний Комитета по ликвидации расовой дискриминации следует отметить, что регистрационный учет граждан Российской Федерации по месту пребывания и по месту жительства в пределах Российской Федерации предусмотрен статьей 3 Закона Российской Федерации "О праве граждан Российской Федерации на свободу передвижения, выбор места пребывания и жительства в пределах Российской Федерации", основными целями которого является обеспечение необходимых условий для реализации гражданином Российской Федерации его прав и свобод, а также исполнения им обязанностей перед другими гражданами, государством и обществом.</w:t>
      </w:r>
    </w:p>
    <w:p w:rsidR="00000000" w:rsidRDefault="00000000"/>
    <w:p w:rsidR="00000000" w:rsidRDefault="00000000">
      <w:pPr>
        <w:rPr>
          <w:szCs w:val="24"/>
        </w:rPr>
      </w:pPr>
      <w:r>
        <w:rPr>
          <w:szCs w:val="24"/>
        </w:rPr>
        <w:t>127.</w:t>
      </w:r>
      <w:r>
        <w:rPr>
          <w:szCs w:val="24"/>
        </w:rPr>
        <w:tab/>
        <w:t>Наиболее эффективным методом правового реагирования на факты нарушения равноправия граждан по признаку расы, национальности или вероисповедания является уголовное преследование лиц за совершение указанных действий.  В УК РФ содержится целый ряд правовых норм, имеющих своей целью предупреждение и пресечение проявлений расовой, национальной и религиозной дискриминации, охрану прав и свобод всех граждан от преступных посягательств.</w:t>
      </w:r>
    </w:p>
    <w:p w:rsidR="00000000" w:rsidRDefault="00000000">
      <w:pPr>
        <w:rPr>
          <w:szCs w:val="24"/>
        </w:rPr>
      </w:pPr>
    </w:p>
    <w:p w:rsidR="00000000" w:rsidRDefault="00000000">
      <w:r>
        <w:t>128.</w:t>
      </w:r>
      <w:r>
        <w:tab/>
        <w:t>В УК предусмотрена уголовная ответственность за такие виновно совершенные общественно опасные деяния, как нарушение равноправия граждан (статья 136 УК РФ);  возбуждение национальной, расовой или религиозной вражды (статья 282 УК РФ).  Уголовная ответственность по указанным составам преступлений наступает за дискриминацию, т.е. нарушение прав, свобод и законных интересов человека и гражданина в зависимости от его пола, расы, национальности, языка, происхождения, имущественного и должностного положения, места жительства, отношения к религии, убеждений, принадлежности к общественным объединениям или социальным группам.</w:t>
      </w:r>
    </w:p>
    <w:p w:rsidR="00000000" w:rsidRDefault="00000000"/>
    <w:p w:rsidR="00000000" w:rsidRDefault="00000000">
      <w:pPr>
        <w:rPr>
          <w:szCs w:val="24"/>
        </w:rPr>
      </w:pPr>
      <w:r>
        <w:rPr>
          <w:szCs w:val="24"/>
        </w:rPr>
        <w:t>129.</w:t>
      </w:r>
      <w:r>
        <w:rPr>
          <w:szCs w:val="24"/>
        </w:rPr>
        <w:tab/>
        <w:t>В соответствии с пунктом 23 Заключительных замечаний Комитета по итогам рассмотрения пятнадцатого, шестнадцатого и семнадцатого периодических докладов России актуальна следующая информация:</w:t>
      </w:r>
    </w:p>
    <w:p w:rsidR="00000000" w:rsidRDefault="00000000">
      <w:pPr>
        <w:rPr>
          <w:szCs w:val="24"/>
        </w:rPr>
      </w:pPr>
    </w:p>
    <w:p w:rsidR="00000000" w:rsidRDefault="00000000">
      <w:pPr>
        <w:ind w:left="567" w:hanging="567"/>
        <w:rPr>
          <w:szCs w:val="24"/>
        </w:rPr>
      </w:pPr>
      <w:r>
        <w:rPr>
          <w:szCs w:val="24"/>
        </w:rPr>
        <w:tab/>
        <w:t>в 2005 году в Российской Федерации различными следственными подразделениями по 152 фактам совершения преступлений экстремистской направленности возбуждены уголовные дела, в том числе:</w:t>
      </w:r>
    </w:p>
    <w:p w:rsidR="00000000" w:rsidRDefault="00000000">
      <w:pPr>
        <w:ind w:left="567" w:hanging="567"/>
        <w:rPr>
          <w:szCs w:val="24"/>
        </w:rPr>
      </w:pPr>
    </w:p>
    <w:p w:rsidR="00000000" w:rsidRDefault="00000000">
      <w:pPr>
        <w:numPr>
          <w:ilvl w:val="0"/>
          <w:numId w:val="15"/>
        </w:numPr>
      </w:pPr>
      <w:r>
        <w:t>по статье 105, часть 2, пункт "л", УК РФ (убийство, совершенное по мотиву национальной, расовой, религиозной ненависти или вражды) – 11;</w:t>
      </w:r>
    </w:p>
    <w:p w:rsidR="00000000" w:rsidRDefault="00000000"/>
    <w:p w:rsidR="00000000" w:rsidRDefault="00000000">
      <w:pPr>
        <w:numPr>
          <w:ilvl w:val="0"/>
          <w:numId w:val="15"/>
        </w:numPr>
      </w:pPr>
      <w:r>
        <w:t>по статье 111, часть 2, пункт "е", УК РФ (умышленное причинение тяжкого вреда здоровью по мотиву национальной, расовой, религиозной ненависти или вражды) - 10;</w:t>
      </w:r>
    </w:p>
    <w:p w:rsidR="00000000" w:rsidRDefault="00000000"/>
    <w:p w:rsidR="00000000" w:rsidRDefault="00000000">
      <w:pPr>
        <w:numPr>
          <w:ilvl w:val="0"/>
          <w:numId w:val="15"/>
        </w:numPr>
      </w:pPr>
      <w:r>
        <w:t>по статье 112, часть 2, пункт "е", УК РФ (умышленное причинение средней тяжести вреда здоровью по мотиву национальной, расовой, религиозной ненависти или вражды) - 5;</w:t>
      </w:r>
    </w:p>
    <w:p w:rsidR="00000000" w:rsidRDefault="00000000"/>
    <w:p w:rsidR="00000000" w:rsidRDefault="00000000">
      <w:pPr>
        <w:numPr>
          <w:ilvl w:val="0"/>
          <w:numId w:val="15"/>
        </w:numPr>
      </w:pPr>
      <w:r>
        <w:t>по статье 116 УК РФ (побои) - 2;</w:t>
      </w:r>
    </w:p>
    <w:p w:rsidR="00000000" w:rsidRDefault="00000000"/>
    <w:p w:rsidR="00000000" w:rsidRDefault="00000000">
      <w:pPr>
        <w:numPr>
          <w:ilvl w:val="0"/>
          <w:numId w:val="15"/>
        </w:numPr>
      </w:pPr>
      <w:r>
        <w:t>по статье 117, часть 2, пункт "з", УК РФ (истязание по мотиву национальной, расовой, религиозной ненависти или вражды) - 3;</w:t>
      </w:r>
    </w:p>
    <w:p w:rsidR="00000000" w:rsidRDefault="00000000"/>
    <w:p w:rsidR="00000000" w:rsidRDefault="00000000">
      <w:pPr>
        <w:numPr>
          <w:ilvl w:val="0"/>
          <w:numId w:val="15"/>
        </w:numPr>
      </w:pPr>
      <w:r>
        <w:t>по статье 212 УК РФ (массовые беспорядки) - 1;</w:t>
      </w:r>
    </w:p>
    <w:p w:rsidR="00000000" w:rsidRDefault="00000000">
      <w:pPr>
        <w:tabs>
          <w:tab w:val="clear" w:pos="1134"/>
        </w:tabs>
      </w:pPr>
    </w:p>
    <w:p w:rsidR="00000000" w:rsidRDefault="00000000">
      <w:pPr>
        <w:numPr>
          <w:ilvl w:val="0"/>
          <w:numId w:val="15"/>
        </w:numPr>
      </w:pPr>
      <w:r>
        <w:t>по статье 213 УК РФ (хулиганство на национальной почве) - 16;</w:t>
      </w:r>
    </w:p>
    <w:p w:rsidR="00000000" w:rsidRDefault="00000000"/>
    <w:p w:rsidR="00000000" w:rsidRDefault="00000000">
      <w:pPr>
        <w:numPr>
          <w:ilvl w:val="0"/>
          <w:numId w:val="15"/>
        </w:numPr>
      </w:pPr>
      <w:r>
        <w:t>по статье 214 УК РФ (вандализм на национальной почве) - 3;</w:t>
      </w:r>
    </w:p>
    <w:p w:rsidR="00000000" w:rsidRDefault="00000000"/>
    <w:p w:rsidR="00000000" w:rsidRDefault="00000000">
      <w:pPr>
        <w:numPr>
          <w:ilvl w:val="0"/>
          <w:numId w:val="15"/>
        </w:numPr>
      </w:pPr>
      <w:r>
        <w:t>по статье 239 УК РФ (организация объединения, посягающего на личность и права граждан) - 1;</w:t>
      </w:r>
    </w:p>
    <w:p w:rsidR="00000000" w:rsidRDefault="00000000"/>
    <w:p w:rsidR="00000000" w:rsidRDefault="00000000">
      <w:pPr>
        <w:numPr>
          <w:ilvl w:val="0"/>
          <w:numId w:val="15"/>
        </w:numPr>
      </w:pPr>
      <w:r>
        <w:t>по статье 244, часть 2, пункт "б", УК РФ (надругательство над местами захоронения по мотиву национальной, расовой, религиозной ненависти или вражды) - 6;</w:t>
      </w:r>
    </w:p>
    <w:p w:rsidR="00000000" w:rsidRDefault="00000000"/>
    <w:p w:rsidR="00000000" w:rsidRDefault="00000000">
      <w:pPr>
        <w:numPr>
          <w:ilvl w:val="0"/>
          <w:numId w:val="15"/>
        </w:numPr>
      </w:pPr>
      <w:r>
        <w:t>по статье 280 УК РФ (публичные призывы к осуществлению экстремистской деятельности) - 9;</w:t>
      </w:r>
    </w:p>
    <w:p w:rsidR="00000000" w:rsidRDefault="00000000"/>
    <w:p w:rsidR="00000000" w:rsidRDefault="00000000">
      <w:pPr>
        <w:numPr>
          <w:ilvl w:val="0"/>
          <w:numId w:val="15"/>
        </w:numPr>
      </w:pPr>
      <w:r>
        <w:t>по статье 282 УК РФ (возбуждение ненависти либо вражды, а равно унижение человеческого достоинства) - 66;</w:t>
      </w:r>
    </w:p>
    <w:p w:rsidR="00000000" w:rsidRDefault="00000000"/>
    <w:p w:rsidR="00000000" w:rsidRDefault="00000000">
      <w:pPr>
        <w:numPr>
          <w:ilvl w:val="0"/>
          <w:numId w:val="15"/>
        </w:numPr>
      </w:pPr>
      <w:r>
        <w:t>по статье 282.1 УК РФ (организация экстремистского сообщества) - 2;</w:t>
      </w:r>
    </w:p>
    <w:p w:rsidR="00000000" w:rsidRDefault="00000000">
      <w:pPr>
        <w:tabs>
          <w:tab w:val="clear" w:pos="1134"/>
        </w:tabs>
      </w:pPr>
    </w:p>
    <w:p w:rsidR="00000000" w:rsidRDefault="00000000">
      <w:pPr>
        <w:numPr>
          <w:ilvl w:val="0"/>
          <w:numId w:val="15"/>
        </w:numPr>
      </w:pPr>
      <w:r>
        <w:t>по статье 282.2 УК РФ (организация деятельности экстремистской организации) - 17.</w:t>
      </w:r>
    </w:p>
    <w:p w:rsidR="00000000" w:rsidRDefault="00000000"/>
    <w:p w:rsidR="00000000" w:rsidRDefault="00000000">
      <w:pPr>
        <w:ind w:left="567" w:hanging="567"/>
      </w:pPr>
      <w:r>
        <w:tab/>
        <w:t>На контроле в Генеральной прокуратуре Российской Федерации находилось 258 дел и материалов указанной категории, с учетом преступлений, совершенных в прошлый период.  Рассмотрено 1 318 обращений и заявлений о нарушениях прав граждан, связанных с национальной, расовой или религиозной враждой.  Проверено 59 материалов об отказе в возбуждении уголовного дела;  подготовлено 71 заключение о законности и обоснованности принятых процессуальных решений.</w:t>
      </w:r>
    </w:p>
    <w:p w:rsidR="00000000" w:rsidRDefault="00000000">
      <w:pPr>
        <w:ind w:left="567" w:hanging="567"/>
      </w:pPr>
    </w:p>
    <w:p w:rsidR="00000000" w:rsidRDefault="00000000">
      <w:pPr>
        <w:ind w:left="567" w:hanging="567"/>
      </w:pPr>
      <w:r>
        <w:tab/>
        <w:t>Всего в 2005 году расследовалось 199 уголовных дел экстремистской направленности (в 2004 году - 133 дела).  В суды направлены 122 дела.  Наибольшее количество экстремистских преступлений зарегистрировано в городе Санкт</w:t>
      </w:r>
      <w:r>
        <w:noBreakHyphen/>
        <w:t>Петербурге (19), в городе Москве (13), в Свердловской области (13), в Республике Татарстан (12).</w:t>
      </w:r>
    </w:p>
    <w:p w:rsidR="00000000" w:rsidRDefault="00000000">
      <w:pPr>
        <w:ind w:left="567" w:hanging="567"/>
      </w:pPr>
    </w:p>
    <w:p w:rsidR="00000000" w:rsidRDefault="00000000">
      <w:r>
        <w:t>130.</w:t>
      </w:r>
      <w:r>
        <w:tab/>
        <w:t>Обеспокоенность вызывает ситуация, связанная с насильственными преступлениями в отношении граждан иностранных государств (включая жителей СНГ), совершенными по мотиву национальной, расовой и религиозной вражды.  Всего таких преступлений в отчетном периоде совершено 13, из них 4 - предусмотренные пунктом "л" части 2 статьи 105 УК РФ (убийство, совершенное по мотиву национальной, расовой, религиозной ненависти или вражды), 2 - пунктом "е" части 2 статьи 111 УК РФ (умышленное причинение тяжкого вреда здоровью по мотиву национальной, расовой, религиозной ненависти или вражды), 1 - пунктом "</w:t>
      </w:r>
      <w:proofErr w:type="spellStart"/>
      <w:r>
        <w:t>е</w:t>
      </w:r>
      <w:proofErr w:type="spellEnd"/>
      <w:r>
        <w:t>" части 2 статьи 112 УК РФ (умышленное причинение вреда средней тяжести здоровью по мотиву национальной, расовой, религиозной ненависти или вражды) и 6 - статьей 213 УК РФ (хулиганство на национальной почве).  Наиболее тревожное положение сложилось в городах Санкт</w:t>
      </w:r>
      <w:r>
        <w:noBreakHyphen/>
        <w:t>Петербург и Воронеж, где в 2005 году совершены убийства иностранных студентов, вызвавшие большой общественный резонанс и повлекшие в указанных городах массовые выступления молодежи с протестами против насилия на почве национальной и расовой ненависти и вражды.  Из общего количества совершенных в городе Санкт</w:t>
      </w:r>
      <w:r>
        <w:noBreakHyphen/>
        <w:t>Петербурге экстремистских преступлений (19) по 7 установлены виновные лица, что составляет 36,8 %.  По этим делам привлечены к уголовной ответственности 35 лиц.</w:t>
      </w:r>
    </w:p>
    <w:p w:rsidR="00000000" w:rsidRDefault="00000000"/>
    <w:p w:rsidR="00000000" w:rsidRDefault="00000000">
      <w:r>
        <w:t>131.</w:t>
      </w:r>
      <w:r>
        <w:tab/>
        <w:t>Кроме этого, продолжают совершаться преступления антисемитской направленности.  Это преступления, связанные с публикациями в средствах массовой информации, изданием и распространением литературы и листовок антисемитского содержания, а также преступления, связанные с провозглашением в общественных и иных местах антисемитских лозунгов, осквернением еврейских кладбищ и различного рода насильственными действиями в отношении лиц еврейской национальности.  В прошедшем году увеличилось количество обращений представителей еврейских общественных организаций, в частности Московского Бюро по правам человека, в связи с публикациями в средствах массовой информации и публичными выступлениями отдельных лиц, формирующими в российском обществе негативное отношение к евреям.  По результатам проверки одного из них прокуратурой города Санкт-Петербурга 14 января 2005 года возбуждено по части 1 статьи 282 УК РФ (возбуждение ненависти либо вражды, а равно унижение человеческого достоинства) уголовное дело в отношении В.И. Проскурина, опубликовавшего в газете "Наше отечество" статью "Война с ветром" антисемитского содержания.  Прокуратурой Владимирской области по факту обнаружения оскорбительных и нецензурных надписей на заборе здания областной общественной организации "Еврейский общественно-благотворительный центр (Хесед</w:t>
      </w:r>
      <w:r>
        <w:noBreakHyphen/>
        <w:t>Озер)" возбуждено уголовное дело по признакам преступлений, предусмотренных статьей 214 и пунктом "а" части 2 статьи 282 УК РФ.  Данное уголовное дело принято к производству следственным отделом прокуратуры области.</w:t>
      </w:r>
    </w:p>
    <w:p w:rsidR="00000000" w:rsidRDefault="00000000"/>
    <w:p w:rsidR="00000000" w:rsidRDefault="00000000">
      <w:pPr>
        <w:rPr>
          <w:szCs w:val="24"/>
        </w:rPr>
      </w:pPr>
      <w:r>
        <w:rPr>
          <w:szCs w:val="24"/>
        </w:rPr>
        <w:t>132.</w:t>
      </w:r>
      <w:r>
        <w:rPr>
          <w:szCs w:val="24"/>
        </w:rPr>
        <w:tab/>
        <w:t>Приговоры по делам о преступлениях экстремистской направленности выносились судами республик Кабардино-Балкарской, Удмуртской, Коми, Татарстан, Башкортостан, Пермского, Красноярского краев, Калужской, Кемеровской, Новгородской, Омской, Орловской, Самарской, Тамбовской областей, городов Москвы, Санкт-Петербурга и других регионов.</w:t>
      </w:r>
    </w:p>
    <w:p w:rsidR="00000000" w:rsidRDefault="00000000">
      <w:pPr>
        <w:rPr>
          <w:szCs w:val="24"/>
        </w:rPr>
      </w:pPr>
    </w:p>
    <w:p w:rsidR="00000000" w:rsidRDefault="00000000">
      <w:r>
        <w:t>133.</w:t>
      </w:r>
      <w:r>
        <w:tab/>
      </w:r>
      <w:bookmarkStart w:id="5" w:name="моя"/>
      <w:bookmarkEnd w:id="5"/>
      <w:r>
        <w:t>Осуждены 135 человек, в том числе 33 - по статье 282 УК РФ (в том числе трое - по совокупности со статьей 282.1), 12 - по пункту "л" части 2 статьи 105 УК РФ, 6 - по статье 280 УК РФ (из них трое - по совокупности со статьей 282 УК РФ), 1 - по статье 282.1 УК РФ, 36 - по статье 282.2 УК РФ, 5 - по части 4 статьи 111 УК РФ, 39 - по части 2 статьи 212 УК РФ, 1 - по пункту "е" части 2 статьи 112 УК РФ и 2 - по пункту "б" части 2 статьи 244 УК РФ.</w:t>
      </w:r>
    </w:p>
    <w:p w:rsidR="00000000" w:rsidRDefault="00000000">
      <w:pPr>
        <w:rPr>
          <w:szCs w:val="24"/>
        </w:rPr>
      </w:pPr>
    </w:p>
    <w:p w:rsidR="00000000" w:rsidRDefault="00000000">
      <w:pPr>
        <w:rPr>
          <w:b/>
          <w:bCs/>
          <w:i/>
          <w:iCs/>
        </w:rPr>
      </w:pPr>
      <w:r>
        <w:rPr>
          <w:b/>
          <w:bCs/>
          <w:i/>
          <w:iCs/>
        </w:rPr>
        <w:t>Статья 6</w:t>
      </w:r>
    </w:p>
    <w:p w:rsidR="00000000" w:rsidRDefault="00000000">
      <w:pPr>
        <w:rPr>
          <w:bCs/>
          <w:i/>
          <w:iCs/>
          <w:u w:val="single"/>
        </w:rPr>
      </w:pPr>
    </w:p>
    <w:p w:rsidR="00000000" w:rsidRDefault="00000000">
      <w:r>
        <w:t>134.</w:t>
      </w:r>
      <w:r>
        <w:tab/>
        <w:t>Конституционный принцип равенства всех граждан перед законом применительно к лицам, совершившим преступления, закреплен в статье 4 УК РФ.  Меры, принимаемые государством в уголовном судопроизводстве в целях обеспечения каждому человеку, подпадающему под его юрисдикцию, эффективной защиты от любых проявлений расовой дискриминации, нарушающих его права и основные свободы, реализуются через положения вступившего в силу 1 июля 2002 года Уголовно-процессуального кодекса Российской Федерации (УПК РФ), в соответствии с которым уголовное правосудие отправляется на основе состязательности и равноправия сторон, в условиях обеспечения каждому его участнику личной безопасности.</w:t>
      </w:r>
    </w:p>
    <w:p w:rsidR="00000000" w:rsidRDefault="00000000"/>
    <w:p w:rsidR="00000000" w:rsidRDefault="00000000">
      <w:pPr>
        <w:rPr>
          <w:szCs w:val="24"/>
        </w:rPr>
      </w:pPr>
      <w:r>
        <w:rPr>
          <w:szCs w:val="24"/>
        </w:rPr>
        <w:t>135.</w:t>
      </w:r>
      <w:r>
        <w:rPr>
          <w:szCs w:val="24"/>
        </w:rPr>
        <w:tab/>
        <w:t>Статьей 1 УПК РФ предусмотрено, что общепризнанные принципы и нормы международного права и международные договоры Российской Федерации являются составной частью законодательства Российской Федерации, регулирующего уголовное судопроизводство.  Если международным договором Российской Федерации установлены иные правила, чем предусмотренные вышеназванным Кодексом, то применяются правила международного договора.</w:t>
      </w:r>
    </w:p>
    <w:p w:rsidR="00000000" w:rsidRDefault="00000000">
      <w:pPr>
        <w:rPr>
          <w:szCs w:val="24"/>
        </w:rPr>
      </w:pPr>
    </w:p>
    <w:p w:rsidR="00000000" w:rsidRDefault="00000000">
      <w:r>
        <w:t>136.</w:t>
      </w:r>
      <w:r>
        <w:tab/>
        <w:t>Соблюдение законности при производстве по уголовному делу является одним из принципов уголовного судопроизводства, закрепленного статьей 7 УПК РФ.  Названной статьей установлено, что суд, прокурор, следователь, орган дознания и дознаватель не вправе применять федеральный закон, противоречащий Уголовно-процессуальному кодексу Российской Федерации.  Суд, установив в ходе производства по уголовному делу несоответствие федерального закона или иного нормативного правового акта УПК РФ, принимает решение в соответствии с указанным Кодексом.  Нарушение норм УПК РФ судом, прокурором, следователем, органом дознания или дознавателем в ходе уголовного судопроизводства влечет за собой признание недопустимыми полученных таким путем доказательств.  Определения суда, постановления судьи, прокурора, следователя, дознавателя должны быть законными, обоснованными и мотивированными.</w:t>
      </w:r>
    </w:p>
    <w:p w:rsidR="00000000" w:rsidRDefault="00000000"/>
    <w:p w:rsidR="00000000" w:rsidRDefault="00000000">
      <w:r>
        <w:t>137.</w:t>
      </w:r>
      <w:r>
        <w:tab/>
        <w:t>Уголовно-процессуальным кодексом Российской Федерации 2002 года существенно расширена компетенция судов в отношении контроля за действиями органов дознания и следствия.  Согласно статье 29 нового УПК РФ только суд, в том числе в ходе досудебного производства, правомочен принимать решения по следующим вопросам:</w:t>
      </w:r>
    </w:p>
    <w:p w:rsidR="00000000" w:rsidRDefault="00000000"/>
    <w:p w:rsidR="00000000" w:rsidRDefault="00000000">
      <w:pPr>
        <w:numPr>
          <w:ilvl w:val="0"/>
          <w:numId w:val="17"/>
        </w:numPr>
      </w:pPr>
      <w:r>
        <w:t>об избрании меры пресечения в виде заключения под стражу, домашнего ареста;</w:t>
      </w:r>
    </w:p>
    <w:p w:rsidR="00000000" w:rsidRDefault="00000000"/>
    <w:p w:rsidR="00000000" w:rsidRDefault="00000000">
      <w:pPr>
        <w:numPr>
          <w:ilvl w:val="0"/>
          <w:numId w:val="17"/>
        </w:numPr>
      </w:pPr>
      <w:r>
        <w:t>о продлении срока содержания под стражей;</w:t>
      </w:r>
    </w:p>
    <w:p w:rsidR="00000000" w:rsidRDefault="00000000"/>
    <w:p w:rsidR="00000000" w:rsidRDefault="00000000">
      <w:pPr>
        <w:numPr>
          <w:ilvl w:val="0"/>
          <w:numId w:val="17"/>
        </w:numPr>
      </w:pPr>
      <w:r>
        <w:t>о помещении подозреваемого, обвиняемого, не находящегося под стражей, в медицинский или психиатрический стационар для производства соответственно судебно-медицинской или судебно-психиатрической экспертизы;</w:t>
      </w:r>
    </w:p>
    <w:p w:rsidR="00000000" w:rsidRDefault="00000000"/>
    <w:p w:rsidR="00000000" w:rsidRDefault="00000000">
      <w:pPr>
        <w:numPr>
          <w:ilvl w:val="0"/>
          <w:numId w:val="17"/>
        </w:numPr>
      </w:pPr>
      <w:r>
        <w:t>о наложении ареста на корреспонденцию и выемке ее в учреждениях связи;</w:t>
      </w:r>
    </w:p>
    <w:p w:rsidR="00000000" w:rsidRDefault="00000000"/>
    <w:p w:rsidR="00000000" w:rsidRDefault="00000000">
      <w:pPr>
        <w:numPr>
          <w:ilvl w:val="0"/>
          <w:numId w:val="17"/>
        </w:numPr>
      </w:pPr>
      <w:r>
        <w:t>о наложении ареста на имущество, включая денежные средства физических и юридических лиц, находящиеся на счетах и во вкладах или на хранении в банках и иных кредитных организациях;</w:t>
      </w:r>
    </w:p>
    <w:p w:rsidR="00000000" w:rsidRDefault="00000000"/>
    <w:p w:rsidR="00000000" w:rsidRDefault="00000000">
      <w:pPr>
        <w:numPr>
          <w:ilvl w:val="0"/>
          <w:numId w:val="17"/>
        </w:numPr>
        <w:rPr>
          <w:szCs w:val="24"/>
        </w:rPr>
      </w:pPr>
      <w:r>
        <w:rPr>
          <w:szCs w:val="24"/>
        </w:rPr>
        <w:t>о временном отстранении обвиняемого от должности в соответствии со статьей 114 УПК РФ;</w:t>
      </w:r>
    </w:p>
    <w:p w:rsidR="00000000" w:rsidRDefault="00000000">
      <w:pPr>
        <w:rPr>
          <w:szCs w:val="24"/>
        </w:rPr>
      </w:pPr>
    </w:p>
    <w:p w:rsidR="00000000" w:rsidRDefault="00000000">
      <w:pPr>
        <w:numPr>
          <w:ilvl w:val="0"/>
          <w:numId w:val="17"/>
        </w:numPr>
      </w:pPr>
      <w:r>
        <w:t>о контроле и записи телефонных и иных переговоров;</w:t>
      </w:r>
    </w:p>
    <w:p w:rsidR="00000000" w:rsidRDefault="00000000"/>
    <w:p w:rsidR="00000000" w:rsidRDefault="00000000">
      <w:pPr>
        <w:numPr>
          <w:ilvl w:val="0"/>
          <w:numId w:val="17"/>
        </w:numPr>
      </w:pPr>
      <w:r>
        <w:t>о производстве обыска и выемки в жилище.</w:t>
      </w:r>
    </w:p>
    <w:p w:rsidR="00000000" w:rsidRDefault="00000000"/>
    <w:p w:rsidR="00000000" w:rsidRDefault="00000000">
      <w:pPr>
        <w:rPr>
          <w:szCs w:val="24"/>
        </w:rPr>
      </w:pPr>
      <w:r>
        <w:rPr>
          <w:szCs w:val="24"/>
        </w:rPr>
        <w:t>138.</w:t>
      </w:r>
      <w:r>
        <w:rPr>
          <w:szCs w:val="24"/>
        </w:rPr>
        <w:tab/>
        <w:t>Уголовно-процессуальным кодексом Российской Федерации 2002 года также расширена компетенция суда в области контроля за соблюдением прав граждан на свободу и личную неприкосновенность на стадии предварительного следствия.  Статьей 125 УПК РФ предусмотрено, что постановления дознавателя, следователя, прокурора об отказе в возбуждении уголовного дела, о прекращении уголовного дела, а равно иные их решения и действия (бездействие), которые способны причинить ущерб конституционным правам и свободам участников уголовного судопроизводства либо затруднить доступ граждан к правосудию, могут быть обжалованы в суде по месту производства предварительного расследования.  Жалоба может быть подана в суд заявителем, его защитником, законным представителем или представителем непосредственно либо через дознавателя, следователя или прокурора.  Судья проверяет законность и обоснованность действий (бездействия) и решений дознавателя, следователя, прокурора не позднее чем через пять суток со дня поступления жалобы в судебном заседании с участием заявителя и его защитника, законного представителя или представителя, если они участвуют в уголовном деле, иных лиц, чьи интересы непосредственно затрагиваются обжалуемым действием (бездействием) или решением, а также с участием прокурора.  Принесение жалобы не приостанавливает производство обжалуемого действия и исполнение обжалуемого решения, если это не найдет нужным сделать орган дознания, дознаватель, следователь, прокурор или судья.  Вынесенные по таким жалобам судебные постановления могут быть обжалованы в кассационном порядке, а после вступления в силу - в порядке надзора.  Согласно данным официальной судебной статистики, в 2005 году судами общей юрисдикции рассмотрено 52 659 жалоб на постановления дознавателя, следователя, прокурора об отказе в возбуждении уголовного дела, о прекращении уголовного дела, а также на иные их решения и действия в ходе предварительного расследования.  При этом судами было удовлетворено 14 687 жалоб (28%), из которых 79 были связаны с правами и интересами несовершеннолетних.</w:t>
      </w:r>
    </w:p>
    <w:p w:rsidR="00000000" w:rsidRDefault="00000000"/>
    <w:p w:rsidR="00000000" w:rsidRDefault="00000000">
      <w:pPr>
        <w:rPr>
          <w:b/>
          <w:bCs/>
          <w:i/>
          <w:iCs/>
        </w:rPr>
      </w:pPr>
      <w:r>
        <w:rPr>
          <w:b/>
          <w:bCs/>
          <w:i/>
          <w:iCs/>
        </w:rPr>
        <w:t>Статья 7</w:t>
      </w:r>
    </w:p>
    <w:p w:rsidR="00000000" w:rsidRDefault="00000000">
      <w:pPr>
        <w:rPr>
          <w:bCs/>
          <w:i/>
          <w:iCs/>
          <w:u w:val="single"/>
        </w:rPr>
      </w:pPr>
    </w:p>
    <w:p w:rsidR="00000000" w:rsidRDefault="00000000">
      <w:pPr>
        <w:rPr>
          <w:szCs w:val="24"/>
        </w:rPr>
      </w:pPr>
      <w:r>
        <w:rPr>
          <w:szCs w:val="24"/>
        </w:rPr>
        <w:t>139.</w:t>
      </w:r>
      <w:r>
        <w:rPr>
          <w:szCs w:val="24"/>
        </w:rPr>
        <w:tab/>
        <w:t>Федеральное агентство по печати и массовым коммуникациям в целях стимулирования интереса электронных, печатных СМИ, литературной продукции к вопросам формирования установок толерантного сознания, профилактики экстремизма и ксенофобии в российском обществе, развития межэтнических отношений, уважения к людям разной веры и разной культуры ежегодно выделяет на конкурсной основе из федерального бюджета субсидии на производство, распространение и тиражирование телевизионных и радиопрограмм, Интернет-ресурсов по этой тематике.</w:t>
      </w:r>
    </w:p>
    <w:p w:rsidR="00000000" w:rsidRDefault="00000000">
      <w:pPr>
        <w:rPr>
          <w:szCs w:val="24"/>
        </w:rPr>
      </w:pPr>
    </w:p>
    <w:p w:rsidR="00000000" w:rsidRDefault="00000000">
      <w:pPr>
        <w:rPr>
          <w:szCs w:val="24"/>
        </w:rPr>
      </w:pPr>
      <w:r>
        <w:rPr>
          <w:szCs w:val="24"/>
        </w:rPr>
        <w:t>140.</w:t>
      </w:r>
      <w:r>
        <w:rPr>
          <w:szCs w:val="24"/>
        </w:rPr>
        <w:tab/>
        <w:t>По данным Федеральной службы по надзору за соблюдением законодательства в сфере массовых коммуникаций и охране культурного наследия, в Российской Федерации зарегистрировано 1 355 печатных периодических изданий и 9 301 электронное СМИ, ориентированных на освещение национальных и этноконфессиональных вопросов, включая выходящие на языках народов России.</w:t>
      </w:r>
    </w:p>
    <w:p w:rsidR="00000000" w:rsidRDefault="00000000">
      <w:pPr>
        <w:rPr>
          <w:szCs w:val="24"/>
        </w:rPr>
      </w:pPr>
    </w:p>
    <w:p w:rsidR="00000000" w:rsidRDefault="00000000">
      <w:pPr>
        <w:rPr>
          <w:szCs w:val="24"/>
        </w:rPr>
      </w:pPr>
      <w:r>
        <w:rPr>
          <w:szCs w:val="24"/>
        </w:rPr>
        <w:t>141.</w:t>
      </w:r>
      <w:r>
        <w:rPr>
          <w:szCs w:val="24"/>
        </w:rPr>
        <w:tab/>
        <w:t>4 мая 2006 года на сайте Федерального агентства по печати и массовым коммуникациям было опубликовано Обращение к журналистскому сообществу по вопросам межнационального согласия и толерантности, подписанное лидерами медиаиндустрии.  В нем, в частности, обращается внимание на недопустимость тенденциозного подбора фактов с межнациональной окраской.</w:t>
      </w:r>
    </w:p>
    <w:p w:rsidR="00000000" w:rsidRDefault="00000000">
      <w:pPr>
        <w:rPr>
          <w:szCs w:val="24"/>
        </w:rPr>
      </w:pPr>
    </w:p>
    <w:p w:rsidR="00000000" w:rsidRDefault="00000000">
      <w:pPr>
        <w:rPr>
          <w:szCs w:val="24"/>
        </w:rPr>
      </w:pPr>
      <w:r>
        <w:rPr>
          <w:szCs w:val="24"/>
        </w:rPr>
        <w:t>142.</w:t>
      </w:r>
      <w:r>
        <w:rPr>
          <w:szCs w:val="24"/>
        </w:rPr>
        <w:tab/>
        <w:t>Среди проектов, получавших финансовую поддержку Агентства, телепроект "Лица России", фильм "Алтай - жемчужина России", телепрограмма "Чой-Чой", документальный фильм "Тысячелетние соседи.  Беседы о татарах", телепрограммы "Удивительный Дагестан", "Улгур", цикл "Открытые острова".  Финансовую поддержку получает выходящая с 2001 года на федеральном радиоканале "Радио России" программа "Народы России", знакомящая с историей, культурой, современной жизнью малых народов, этническим многообразием населения Российской Федерации.</w:t>
      </w:r>
    </w:p>
    <w:p w:rsidR="00000000" w:rsidRDefault="00000000">
      <w:pPr>
        <w:rPr>
          <w:szCs w:val="24"/>
        </w:rPr>
      </w:pPr>
    </w:p>
    <w:p w:rsidR="00000000" w:rsidRDefault="00000000">
      <w:pPr>
        <w:rPr>
          <w:szCs w:val="24"/>
        </w:rPr>
      </w:pPr>
      <w:r>
        <w:rPr>
          <w:szCs w:val="24"/>
        </w:rPr>
        <w:t>143.</w:t>
      </w:r>
      <w:r>
        <w:rPr>
          <w:szCs w:val="24"/>
        </w:rPr>
        <w:tab/>
        <w:t>Не первый год оказывается поддержка радиопрограммам для радиостанции "Чечня Свободная", включающим, помимо информационных выпусков новостей, циклы программ на русском и чеченском языках.  Республиканские и многие областные телерадиокомпании, помимо русского, вещают на национальных языках.  В частности, ГТРК "Карелия" - на карельском, вепсском;  эвенкийская ГТРК "Хэглэн" - на эвенкийском, якутском, кётском;  ГТРК "Ямал" - на ненецком, коми, ханты.  На ГТРК "Чукотка" телевизионные программы ведутся на русском и чукотском языках, радиопрограммы - на русском, чукотском и эскимосском.</w:t>
      </w:r>
    </w:p>
    <w:p w:rsidR="00000000" w:rsidRDefault="00000000">
      <w:pPr>
        <w:rPr>
          <w:szCs w:val="24"/>
        </w:rPr>
      </w:pPr>
    </w:p>
    <w:p w:rsidR="00000000" w:rsidRDefault="00000000">
      <w:pPr>
        <w:rPr>
          <w:szCs w:val="24"/>
        </w:rPr>
      </w:pPr>
      <w:r>
        <w:rPr>
          <w:szCs w:val="24"/>
        </w:rPr>
        <w:t>144.</w:t>
      </w:r>
      <w:r>
        <w:rPr>
          <w:szCs w:val="24"/>
        </w:rPr>
        <w:tab/>
        <w:t>Министерство культуры и массовых коммуникаций Российской Федерации и Федеральное агентство по культуре и кинематографии (Роскультура) совместно с федеральными национально-культурными автономиями и национальными землячествами проводят большую работу с национальными культурными центрами, создаваемыми при государственных учреждениях культуры субъектов Российской Федерации и при муниципальных учреждениях, а также с общественными организациями и национально-культурными объединениями.  Сегодня в России зарегистрировано на местном уровне 315 национально-культурных объединений, на региональном - 173, а также 15 федеральных национально-культурных автономий.  При поддержке органов культуры создаются национальные этнокультурные центры, школы искусств, творческие художественные коллективы, а также кружки и школы русского языка и народной культуры.  С учетом демографических особенностей и национального состава жителей во всех регионах России проводятся фестивали и праздники национальных культур, народных традиций, выставки народных художественных промыслов и ремесел.  Широкую популярность у общественности завоевали ставшие традиционными всероссийские и международные фестивали финно-угорских, тюркских народов, всероссийские фестивали национальных культур "Родники Поволжья", "Жемчужина Севера", "Традиции" и др.  Международное общественное движение содействия мигрантам и их объединениям "Форум переселенческих организаций" при поддержке Роскультуры провел в 2005 году в восьми регионах России 2-й Всероссийский фестиваль искусств одаренных детей-мигрантов "Сквозь тернии - к звездам".  В рамках фестивалей проводятся творческие лаборатории, мастер-классы, "круглые столы" по проблемам сохранения и развития традиционной народной культуры.  Активную работу по формированию у населения толерантного отношения к мигрантам и к иммигрантам, гармонизации межэтнических отношений и формированию культуры межнационального общения ведут библиотеки и музеи страны.</w:t>
      </w:r>
    </w:p>
    <w:p w:rsidR="00000000" w:rsidRDefault="00000000">
      <w:pPr>
        <w:rPr>
          <w:szCs w:val="24"/>
        </w:rPr>
      </w:pPr>
    </w:p>
    <w:p w:rsidR="00000000" w:rsidRDefault="00000000">
      <w:pPr>
        <w:rPr>
          <w:szCs w:val="24"/>
        </w:rPr>
      </w:pPr>
      <w:r>
        <w:rPr>
          <w:szCs w:val="24"/>
        </w:rPr>
        <w:t>145.</w:t>
      </w:r>
      <w:r>
        <w:rPr>
          <w:szCs w:val="24"/>
        </w:rPr>
        <w:tab/>
        <w:t>Федеральное агентство по культуре и кинематографии (Роскультура) проводит большую работу по осуществлению права коренных народов России на равное участие в культурной жизни.  При финансовой поддержке Роскультуры в 2005 году были проведены следующие мероприятия:  кинофестивали, посвященные 60-летию Победы (Республика Адыгея, Республика Алтай, Республика Башкортостан, Кабардино-Балкарская Республика, Республика Калмыкия, Республика Карелия, Республика Коми, Краснодарский край, Республика Мордовия, Ямало-Ненецкий а.о., Республика Северная Осетия-Алания, Республика Тува, Удмуртская Республика, Ханты-мансийский а.о.);  фестивали "Кино против наркотиков" (Еврейская а.о., Ямало-Ненецкий а.о.);  детский кинофестиваль - Чукотский а.о., а также мероприятия по восстановлению фильмофонда Чеченской Республики.  Прошли международные кинофестивали:  в Ханты-Мансийске - МКФ кинематографических дебютов "Дух огня", в Казани - МКФ тюрко-язычных стран "Золотой Минбар", в Краснодарском крае - Открытый фестиваль стран СНГ и Балтии (город Анапа) "Киношок".</w:t>
      </w:r>
    </w:p>
    <w:p w:rsidR="00000000" w:rsidRDefault="00000000">
      <w:pPr>
        <w:rPr>
          <w:szCs w:val="24"/>
        </w:rPr>
      </w:pPr>
    </w:p>
    <w:p w:rsidR="00000000" w:rsidRDefault="00000000">
      <w:pPr>
        <w:rPr>
          <w:szCs w:val="24"/>
        </w:rPr>
      </w:pPr>
      <w:r>
        <w:rPr>
          <w:szCs w:val="24"/>
        </w:rPr>
        <w:t>146.</w:t>
      </w:r>
      <w:r>
        <w:rPr>
          <w:szCs w:val="24"/>
        </w:rPr>
        <w:tab/>
        <w:t>В учебных заведениях, подведомственных Роскультуре, постоянно проводится работа по недопущению проявлений расовой дискриминации.  Более того, в вузах создаются условия для обучения студентов из социально неблагополучных регионов.  Например, в Московском государственном университете культуры и искусств с 2000 года обучалась группа студентов из Чеченской Республики (студия "Нахим").  В настоящее время данная группа проходит преддипломную практику в драматическом театре города Грозного, и после окончания курса обучения эта группа вольется в труппу указанного театра.</w:t>
      </w:r>
    </w:p>
    <w:p w:rsidR="00000000" w:rsidRDefault="00000000">
      <w:pPr>
        <w:rPr>
          <w:szCs w:val="24"/>
        </w:rPr>
      </w:pPr>
    </w:p>
    <w:p w:rsidR="00000000" w:rsidRDefault="00000000">
      <w:pPr>
        <w:rPr>
          <w:szCs w:val="24"/>
        </w:rPr>
      </w:pPr>
      <w:r>
        <w:rPr>
          <w:szCs w:val="24"/>
        </w:rPr>
        <w:t>147.</w:t>
      </w:r>
      <w:r>
        <w:rPr>
          <w:szCs w:val="24"/>
        </w:rPr>
        <w:tab/>
        <w:t>В Краснодарском государственном университете культуры и искусств проходят обучение студенты из социально-неблагополучных республик Северного Кавказа.  В данном учебном заведении активно применяются формы целевого набора в тесной связи с органами культуры указанных регионов.  Руководство вуза проводит активную работу по недопущению каких-либо попыток разжигания межнациональной розни и расовой дискриминации в своих стенах.</w:t>
      </w:r>
    </w:p>
    <w:p w:rsidR="00000000" w:rsidRDefault="00000000">
      <w:pPr>
        <w:rPr>
          <w:szCs w:val="24"/>
        </w:rPr>
      </w:pPr>
    </w:p>
    <w:p w:rsidR="00000000" w:rsidRDefault="00000000">
      <w:pPr>
        <w:rPr>
          <w:szCs w:val="24"/>
        </w:rPr>
      </w:pPr>
      <w:r>
        <w:rPr>
          <w:szCs w:val="24"/>
        </w:rPr>
        <w:t>148.</w:t>
      </w:r>
      <w:r>
        <w:rPr>
          <w:szCs w:val="24"/>
        </w:rPr>
        <w:tab/>
        <w:t>В Концепции модернизации российского образования на период до 2010 года подчеркивается, что потенциал образования должен быть в полной мере использован для консолидации общества, сохранения единого социокультурного пространства страны, преодоления этнонациональной напряженности и социальных конфликтов на началах приоритета прав личности, равноправия национальных культур и различных конфессий, ограничения социального неравенства.</w:t>
      </w:r>
    </w:p>
    <w:p w:rsidR="00000000" w:rsidRDefault="00000000">
      <w:pPr>
        <w:rPr>
          <w:szCs w:val="24"/>
        </w:rPr>
      </w:pPr>
    </w:p>
    <w:p w:rsidR="00000000" w:rsidRDefault="00000000">
      <w:r>
        <w:t>149.</w:t>
      </w:r>
      <w:r>
        <w:tab/>
        <w:t>В целях укрепления веротерпимости и общественного согласия, совершенствования межконфессионального диалога Министерство образования и науки Российской Федерации (Минобрнауки России) во взаимодействии с общественными организациями и религиозными объединениями осуществляет комплекс мер по пропаганде миролюбия, противодействия проявлениям ксенофобии, национальной и религиозной нетерпимости в обществе.  Эти проблемы являются предметом постоянного внимания и рассматриваются на конференциях, совещаниях и круглых столах.  Минобрнауки России постоянно проводит встречи, консультации и совещания с представителями научной общественности, Русской православной церкви, лидерами исламского духовенства России и других конфессий.</w:t>
      </w:r>
    </w:p>
    <w:p w:rsidR="00000000" w:rsidRDefault="00000000"/>
    <w:p w:rsidR="00000000" w:rsidRDefault="00000000">
      <w:r>
        <w:t>150.</w:t>
      </w:r>
      <w:r>
        <w:tab/>
        <w:t>В условиях эскалации угрозы международного терроризма и религиозного экстремизма в Российской Федерации нарастает потребность реализации комплексного подхода к развитию религиозного образования, прежде всего мусульманского.  Важнейшей составляющей такого подхода является формирование непрерывной многоуровневой системы подготовки высококвалифицированных кадров, специалистов по исламской истории и культуре для работы как в учреждениях профессионального религиозного образования, так и в негосударственных образовательных учреждениях, подготовленных к формированию у обучающихся установок толерантности, по профилактике дискриминации, ксенофобии на основе равноправия национальных культур и религий.</w:t>
      </w:r>
    </w:p>
    <w:p w:rsidR="00000000" w:rsidRDefault="00000000"/>
    <w:p w:rsidR="00000000" w:rsidRDefault="00000000">
      <w:pPr>
        <w:rPr>
          <w:szCs w:val="24"/>
        </w:rPr>
      </w:pPr>
      <w:r>
        <w:rPr>
          <w:szCs w:val="24"/>
        </w:rPr>
        <w:t>151.</w:t>
      </w:r>
      <w:r>
        <w:rPr>
          <w:szCs w:val="24"/>
        </w:rPr>
        <w:tab/>
        <w:t>Укреплению веротерпимости и общественного согласия, совершенствованию межконфессионального диалога способствует также изучение в образовательных учреждениях истории и культуры религии.  В регионах Российской Федерации в рамках национального, регионального и школьного компонентов разработаны программы спецкурсов, факультативов.  Кроме того, новое поколение учебников по истории, литературе, обществознанию содержит значительный объем материала по духовной культуре, быту, традициям народов России и мира.</w:t>
      </w:r>
    </w:p>
    <w:p w:rsidR="00000000" w:rsidRDefault="00000000">
      <w:pPr>
        <w:rPr>
          <w:szCs w:val="24"/>
        </w:rPr>
      </w:pPr>
    </w:p>
    <w:p w:rsidR="00000000" w:rsidRDefault="00000000">
      <w:pPr>
        <w:rPr>
          <w:szCs w:val="24"/>
        </w:rPr>
      </w:pPr>
      <w:r>
        <w:rPr>
          <w:szCs w:val="24"/>
        </w:rPr>
        <w:t>152.</w:t>
      </w:r>
      <w:r>
        <w:rPr>
          <w:szCs w:val="24"/>
        </w:rPr>
        <w:tab/>
        <w:t>В ряде субъектов Российской Федерации действуют соглашения между региональными органами государственного управления и церковными властями, подписаны и реализуются договоры о совместной научно-педагогической и культурно-просветительской деятельности.</w:t>
      </w:r>
    </w:p>
    <w:p w:rsidR="00000000" w:rsidRDefault="00000000">
      <w:pPr>
        <w:rPr>
          <w:szCs w:val="24"/>
        </w:rPr>
      </w:pPr>
    </w:p>
    <w:p w:rsidR="00000000" w:rsidRDefault="00000000">
      <w:r>
        <w:t>153.</w:t>
      </w:r>
      <w:r>
        <w:tab/>
        <w:t>На сегодняшний день совместно с Минрегионом России идет обсуждение комплекса мер по формированию у населения толерантного отношения к мигрантам, который будет включен в Концепцию государственной миграционной политики Российской Федерации.</w:t>
      </w:r>
    </w:p>
    <w:p w:rsidR="00000000" w:rsidRDefault="00000000"/>
    <w:p w:rsidR="00000000" w:rsidRDefault="00000000">
      <w:r>
        <w:t>154.</w:t>
      </w:r>
      <w:r>
        <w:tab/>
        <w:t>В сфере международного сотрудничества Минобрнауки России реализует в последние годы ряд проектов по данной проблематике.  В частности, совместно с Советом Европы идет работа по двум направлениям:  "Межкультурный и межконфессиональный диалог через образование" и "Преподавание истории в поликультурном обществе".  Совместно с ЮНЕСКО реализуется программа по содействию восстановлению системы образования в Чеченской Республике;  а также программа по толерантности, культуре мира и мероприятия по профилактике экстремизма, расизма и ксенофобии.</w:t>
      </w:r>
    </w:p>
    <w:p w:rsidR="00000000" w:rsidRDefault="00000000"/>
    <w:p w:rsidR="00000000" w:rsidRDefault="00000000">
      <w:pPr>
        <w:rPr>
          <w:szCs w:val="24"/>
        </w:rPr>
      </w:pPr>
    </w:p>
    <w:p w:rsidR="00000000" w:rsidRDefault="00000000">
      <w:pPr>
        <w:jc w:val="center"/>
      </w:pPr>
      <w:r>
        <w:t>- - - - -</w:t>
      </w:r>
    </w:p>
    <w:p w:rsidR="00000000" w:rsidRDefault="00000000"/>
    <w:sectPr w:rsidR="00000000">
      <w:headerReference w:type="even" r:id="rId9"/>
      <w:headerReference w:type="default" r:id="rId10"/>
      <w:footerReference w:type="even" r:id="rId11"/>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r>
        <w:rPr>
          <w:rStyle w:val="FootnoteReference"/>
          <w:b w:val="0"/>
          <w:bCs/>
          <w:vertAlign w:val="baseline"/>
        </w:rPr>
        <w:t>*</w:t>
      </w:r>
      <w:r>
        <w:tab/>
        <w:t xml:space="preserve">Настоящий документ представляет собой сводный вариант восемнадцатого и девятнадцатого периодических докладов Российской Федерации, подлежавших представлению 6 марта 2006 года и представленных в одном документе.   Пятнадцатый-семнадцатый периодические доклады и краткие отчеты о заседаниях, на которых Комитет рассматривал доклад, содержатся в документах </w:t>
      </w:r>
      <w:r>
        <w:rPr>
          <w:lang w:val="en-US"/>
        </w:rPr>
        <w:t>CERD</w:t>
      </w:r>
      <w:r>
        <w:t>/</w:t>
      </w:r>
      <w:r>
        <w:rPr>
          <w:lang w:val="en-US"/>
        </w:rPr>
        <w:t>C</w:t>
      </w:r>
      <w:r>
        <w:t>/431/</w:t>
      </w:r>
      <w:r>
        <w:rPr>
          <w:lang w:val="en-US"/>
        </w:rPr>
        <w:t>Add</w:t>
      </w:r>
      <w:r>
        <w:t xml:space="preserve">.2 и </w:t>
      </w:r>
      <w:r>
        <w:rPr>
          <w:lang w:val="en-US"/>
        </w:rPr>
        <w:t>CERD</w:t>
      </w:r>
      <w:r>
        <w:t>/</w:t>
      </w:r>
      <w:r>
        <w:rPr>
          <w:lang w:val="en-US"/>
        </w:rPr>
        <w:t>C</w:t>
      </w:r>
      <w:r>
        <w:t>/SR.1565.</w:t>
      </w:r>
    </w:p>
    <w:p w:rsidR="00000000" w:rsidRDefault="00000000">
      <w:pPr>
        <w:pStyle w:val="FootnoteText"/>
      </w:pPr>
    </w:p>
  </w:footnote>
  <w:footnote w:id="2">
    <w:p w:rsidR="00000000" w:rsidRDefault="00000000">
      <w:pPr>
        <w:pStyle w:val="FootnoteText"/>
        <w:rPr>
          <w:color w:val="000000"/>
          <w:szCs w:val="22"/>
          <w:lang w:eastAsia="ru-RU"/>
        </w:rPr>
      </w:pPr>
      <w:r>
        <w:rPr>
          <w:rStyle w:val="FootnoteReference"/>
          <w:b w:val="0"/>
          <w:bCs/>
          <w:vertAlign w:val="baseline"/>
        </w:rPr>
        <w:t>**</w:t>
      </w:r>
      <w:r>
        <w:tab/>
      </w:r>
      <w:r>
        <w:rPr>
          <w:color w:val="000000"/>
          <w:szCs w:val="22"/>
          <w:lang w:eastAsia="ru-RU"/>
        </w:rPr>
        <w:t>Как сообщалось государствам-участникам по поводу оформления их докладов, настоящий доклад не был официально отредактирован до его передачи в службы перевода Организации Объединенных Наций.</w:t>
      </w:r>
    </w:p>
    <w:p w:rsidR="00000000" w:rsidRDefault="00000000">
      <w:pPr>
        <w:pStyle w:val="FootnoteText"/>
        <w:rPr>
          <w:color w:val="000000"/>
          <w:sz w:val="22"/>
          <w:szCs w:val="22"/>
          <w:lang w:eastAsia="ru-RU"/>
        </w:rPr>
      </w:pPr>
    </w:p>
    <w:p w:rsidR="00000000" w:rsidRDefault="00000000">
      <w:pPr>
        <w:pStyle w:val="FootnoteText"/>
        <w:rPr>
          <w:color w:val="000000"/>
          <w:szCs w:val="22"/>
          <w:lang w:eastAsia="ru-RU"/>
        </w:rPr>
      </w:pPr>
      <w:r>
        <w:rPr>
          <w:color w:val="000000"/>
          <w:szCs w:val="22"/>
          <w:lang w:eastAsia="ru-RU"/>
        </w:rPr>
        <w:t>***</w:t>
      </w:r>
      <w:r>
        <w:rPr>
          <w:color w:val="000000"/>
          <w:szCs w:val="22"/>
          <w:lang w:eastAsia="ru-RU"/>
        </w:rPr>
        <w:tab/>
        <w:t>С приложениями к докладу можно ознакомиться в архивах секретариата.</w:t>
      </w:r>
    </w:p>
    <w:p w:rsidR="00000000" w:rsidRDefault="00000000">
      <w:pPr>
        <w:pStyle w:val="FootnoteText"/>
        <w:rPr>
          <w:color w:val="000000"/>
          <w:szCs w:val="22"/>
          <w:lang w:eastAsia="ru-RU"/>
        </w:rPr>
      </w:pPr>
    </w:p>
    <w:p w:rsidR="00000000" w:rsidRDefault="0000000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CERD/C/RUS/19</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52</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371"/>
      </w:tabs>
      <w:rPr>
        <w:lang w:val="en-US"/>
      </w:rPr>
    </w:pPr>
    <w:r>
      <w:rPr>
        <w:lang w:val="en-US"/>
      </w:rPr>
      <w:tab/>
    </w:r>
    <w:r>
      <w:rPr>
        <w:lang w:val="en-US"/>
      </w:rPr>
      <w:tab/>
      <w:t>CERD/C/RUS/19</w:t>
    </w:r>
  </w:p>
  <w:p w:rsidR="00000000" w:rsidRDefault="00000000">
    <w:pPr>
      <w:pStyle w:val="Header"/>
      <w:tabs>
        <w:tab w:val="left" w:pos="737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51</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FFFFFFFE"/>
    <w:multiLevelType w:val="singleLevel"/>
    <w:tmpl w:val="FFFFFFFF"/>
    <w:lvl w:ilvl="0">
      <w:numFmt w:val="decimal"/>
      <w:lvlText w:val="*"/>
      <w:lvlJc w:val="left"/>
    </w:lvl>
  </w:abstractNum>
  <w:abstractNum w:abstractNumId="2">
    <w:nsid w:val="00863F90"/>
    <w:multiLevelType w:val="hybridMultilevel"/>
    <w:tmpl w:val="F6D63754"/>
    <w:lvl w:ilvl="0" w:tplc="508A1996">
      <w:start w:val="15"/>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01CD49EC"/>
    <w:multiLevelType w:val="singleLevel"/>
    <w:tmpl w:val="2B3A98E8"/>
    <w:lvl w:ilvl="0">
      <w:start w:val="1"/>
      <w:numFmt w:val="decimal"/>
      <w:lvlText w:val="%1."/>
      <w:legacy w:legacy="1" w:legacySpace="0" w:legacyIndent="360"/>
      <w:lvlJc w:val="left"/>
      <w:pPr>
        <w:ind w:left="360" w:hanging="360"/>
      </w:pPr>
      <w:rPr>
        <w:rFonts w:ascii="Times New Roman" w:hAnsi="Times New Roman" w:hint="default"/>
      </w:rPr>
    </w:lvl>
  </w:abstractNum>
  <w:abstractNum w:abstractNumId="4">
    <w:nsid w:val="06023133"/>
    <w:multiLevelType w:val="hybridMultilevel"/>
    <w:tmpl w:val="7C2035F4"/>
    <w:lvl w:ilvl="0" w:tplc="7F242B80">
      <w:start w:val="1"/>
      <w:numFmt w:val="bullet"/>
      <w:lvlText w:val="─"/>
      <w:lvlJc w:val="left"/>
      <w:pPr>
        <w:tabs>
          <w:tab w:val="num" w:pos="1134"/>
        </w:tabs>
        <w:ind w:left="1134" w:hanging="567"/>
      </w:pPr>
      <w:rPr>
        <w:rFonts w:ascii="Times New Roman" w:hAnsi="Times New Roman" w:cs="Times New Roman" w:hint="default"/>
        <w:sz w:val="16"/>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6">
    <w:nsid w:val="18F06C61"/>
    <w:multiLevelType w:val="hybridMultilevel"/>
    <w:tmpl w:val="2870B2C8"/>
    <w:lvl w:ilvl="0" w:tplc="ACBEA2BA">
      <w:start w:val="15"/>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1C314164"/>
    <w:multiLevelType w:val="hybridMultilevel"/>
    <w:tmpl w:val="B15E17FC"/>
    <w:lvl w:ilvl="0" w:tplc="A2425582">
      <w:start w:val="26"/>
      <w:numFmt w:val="bullet"/>
      <w:lvlText w:val="-"/>
      <w:lvlJc w:val="left"/>
      <w:pPr>
        <w:tabs>
          <w:tab w:val="num" w:pos="435"/>
        </w:tabs>
        <w:ind w:left="435" w:hanging="360"/>
      </w:pPr>
      <w:rPr>
        <w:rFonts w:ascii="Times New Roman" w:eastAsia="Times New Roman" w:hAnsi="Times New Roman" w:cs="Times New Roman" w:hint="default"/>
      </w:rPr>
    </w:lvl>
    <w:lvl w:ilvl="1" w:tplc="04190003" w:tentative="1">
      <w:start w:val="1"/>
      <w:numFmt w:val="bullet"/>
      <w:lvlText w:val="o"/>
      <w:lvlJc w:val="left"/>
      <w:pPr>
        <w:tabs>
          <w:tab w:val="num" w:pos="1155"/>
        </w:tabs>
        <w:ind w:left="1155" w:hanging="360"/>
      </w:pPr>
      <w:rPr>
        <w:rFonts w:ascii="Courier New" w:hAnsi="Courier New" w:hint="default"/>
      </w:rPr>
    </w:lvl>
    <w:lvl w:ilvl="2" w:tplc="04190005" w:tentative="1">
      <w:start w:val="1"/>
      <w:numFmt w:val="bullet"/>
      <w:lvlText w:val=""/>
      <w:lvlJc w:val="left"/>
      <w:pPr>
        <w:tabs>
          <w:tab w:val="num" w:pos="1875"/>
        </w:tabs>
        <w:ind w:left="1875" w:hanging="360"/>
      </w:pPr>
      <w:rPr>
        <w:rFonts w:ascii="Wingdings" w:hAnsi="Wingdings" w:hint="default"/>
      </w:rPr>
    </w:lvl>
    <w:lvl w:ilvl="3" w:tplc="04190001" w:tentative="1">
      <w:start w:val="1"/>
      <w:numFmt w:val="bullet"/>
      <w:lvlText w:val=""/>
      <w:lvlJc w:val="left"/>
      <w:pPr>
        <w:tabs>
          <w:tab w:val="num" w:pos="2595"/>
        </w:tabs>
        <w:ind w:left="2595" w:hanging="360"/>
      </w:pPr>
      <w:rPr>
        <w:rFonts w:ascii="Symbol" w:hAnsi="Symbol" w:hint="default"/>
      </w:rPr>
    </w:lvl>
    <w:lvl w:ilvl="4" w:tplc="04190003" w:tentative="1">
      <w:start w:val="1"/>
      <w:numFmt w:val="bullet"/>
      <w:lvlText w:val="o"/>
      <w:lvlJc w:val="left"/>
      <w:pPr>
        <w:tabs>
          <w:tab w:val="num" w:pos="3315"/>
        </w:tabs>
        <w:ind w:left="3315" w:hanging="360"/>
      </w:pPr>
      <w:rPr>
        <w:rFonts w:ascii="Courier New" w:hAnsi="Courier New" w:hint="default"/>
      </w:rPr>
    </w:lvl>
    <w:lvl w:ilvl="5" w:tplc="04190005" w:tentative="1">
      <w:start w:val="1"/>
      <w:numFmt w:val="bullet"/>
      <w:lvlText w:val=""/>
      <w:lvlJc w:val="left"/>
      <w:pPr>
        <w:tabs>
          <w:tab w:val="num" w:pos="4035"/>
        </w:tabs>
        <w:ind w:left="4035" w:hanging="360"/>
      </w:pPr>
      <w:rPr>
        <w:rFonts w:ascii="Wingdings" w:hAnsi="Wingdings" w:hint="default"/>
      </w:rPr>
    </w:lvl>
    <w:lvl w:ilvl="6" w:tplc="04190001" w:tentative="1">
      <w:start w:val="1"/>
      <w:numFmt w:val="bullet"/>
      <w:lvlText w:val=""/>
      <w:lvlJc w:val="left"/>
      <w:pPr>
        <w:tabs>
          <w:tab w:val="num" w:pos="4755"/>
        </w:tabs>
        <w:ind w:left="4755" w:hanging="360"/>
      </w:pPr>
      <w:rPr>
        <w:rFonts w:ascii="Symbol" w:hAnsi="Symbol" w:hint="default"/>
      </w:rPr>
    </w:lvl>
    <w:lvl w:ilvl="7" w:tplc="04190003" w:tentative="1">
      <w:start w:val="1"/>
      <w:numFmt w:val="bullet"/>
      <w:lvlText w:val="o"/>
      <w:lvlJc w:val="left"/>
      <w:pPr>
        <w:tabs>
          <w:tab w:val="num" w:pos="5475"/>
        </w:tabs>
        <w:ind w:left="5475" w:hanging="360"/>
      </w:pPr>
      <w:rPr>
        <w:rFonts w:ascii="Courier New" w:hAnsi="Courier New" w:hint="default"/>
      </w:rPr>
    </w:lvl>
    <w:lvl w:ilvl="8" w:tplc="04190005" w:tentative="1">
      <w:start w:val="1"/>
      <w:numFmt w:val="bullet"/>
      <w:lvlText w:val=""/>
      <w:lvlJc w:val="left"/>
      <w:pPr>
        <w:tabs>
          <w:tab w:val="num" w:pos="6195"/>
        </w:tabs>
        <w:ind w:left="6195" w:hanging="360"/>
      </w:pPr>
      <w:rPr>
        <w:rFonts w:ascii="Wingdings" w:hAnsi="Wingdings" w:hint="default"/>
      </w:rPr>
    </w:lvl>
  </w:abstractNum>
  <w:abstractNum w:abstractNumId="8">
    <w:nsid w:val="29FB2B5A"/>
    <w:multiLevelType w:val="hybridMultilevel"/>
    <w:tmpl w:val="8B24794C"/>
    <w:lvl w:ilvl="0" w:tplc="03C62D6A">
      <w:start w:val="15"/>
      <w:numFmt w:val="bullet"/>
      <w:lvlText w:val="-"/>
      <w:lvlJc w:val="left"/>
      <w:pPr>
        <w:tabs>
          <w:tab w:val="num" w:pos="570"/>
        </w:tabs>
        <w:ind w:left="570" w:hanging="510"/>
      </w:pPr>
      <w:rPr>
        <w:rFonts w:ascii="Times New Roman" w:eastAsia="Times New Roman" w:hAnsi="Times New Roman" w:cs="Times New Roman" w:hint="default"/>
      </w:rPr>
    </w:lvl>
    <w:lvl w:ilvl="1" w:tplc="04190003" w:tentative="1">
      <w:start w:val="1"/>
      <w:numFmt w:val="bullet"/>
      <w:lvlText w:val="o"/>
      <w:lvlJc w:val="left"/>
      <w:pPr>
        <w:tabs>
          <w:tab w:val="num" w:pos="1140"/>
        </w:tabs>
        <w:ind w:left="1140" w:hanging="360"/>
      </w:pPr>
      <w:rPr>
        <w:rFonts w:ascii="Courier New" w:hAnsi="Courier New" w:hint="default"/>
      </w:rPr>
    </w:lvl>
    <w:lvl w:ilvl="2" w:tplc="04190005" w:tentative="1">
      <w:start w:val="1"/>
      <w:numFmt w:val="bullet"/>
      <w:lvlText w:val=""/>
      <w:lvlJc w:val="left"/>
      <w:pPr>
        <w:tabs>
          <w:tab w:val="num" w:pos="1860"/>
        </w:tabs>
        <w:ind w:left="1860" w:hanging="360"/>
      </w:pPr>
      <w:rPr>
        <w:rFonts w:ascii="Wingdings" w:hAnsi="Wingdings" w:hint="default"/>
      </w:rPr>
    </w:lvl>
    <w:lvl w:ilvl="3" w:tplc="04190001" w:tentative="1">
      <w:start w:val="1"/>
      <w:numFmt w:val="bullet"/>
      <w:lvlText w:val=""/>
      <w:lvlJc w:val="left"/>
      <w:pPr>
        <w:tabs>
          <w:tab w:val="num" w:pos="2580"/>
        </w:tabs>
        <w:ind w:left="2580" w:hanging="360"/>
      </w:pPr>
      <w:rPr>
        <w:rFonts w:ascii="Symbol" w:hAnsi="Symbol" w:hint="default"/>
      </w:rPr>
    </w:lvl>
    <w:lvl w:ilvl="4" w:tplc="04190003" w:tentative="1">
      <w:start w:val="1"/>
      <w:numFmt w:val="bullet"/>
      <w:lvlText w:val="o"/>
      <w:lvlJc w:val="left"/>
      <w:pPr>
        <w:tabs>
          <w:tab w:val="num" w:pos="3300"/>
        </w:tabs>
        <w:ind w:left="3300" w:hanging="360"/>
      </w:pPr>
      <w:rPr>
        <w:rFonts w:ascii="Courier New" w:hAnsi="Courier New" w:hint="default"/>
      </w:rPr>
    </w:lvl>
    <w:lvl w:ilvl="5" w:tplc="04190005" w:tentative="1">
      <w:start w:val="1"/>
      <w:numFmt w:val="bullet"/>
      <w:lvlText w:val=""/>
      <w:lvlJc w:val="left"/>
      <w:pPr>
        <w:tabs>
          <w:tab w:val="num" w:pos="4020"/>
        </w:tabs>
        <w:ind w:left="4020" w:hanging="360"/>
      </w:pPr>
      <w:rPr>
        <w:rFonts w:ascii="Wingdings" w:hAnsi="Wingdings" w:hint="default"/>
      </w:rPr>
    </w:lvl>
    <w:lvl w:ilvl="6" w:tplc="04190001" w:tentative="1">
      <w:start w:val="1"/>
      <w:numFmt w:val="bullet"/>
      <w:lvlText w:val=""/>
      <w:lvlJc w:val="left"/>
      <w:pPr>
        <w:tabs>
          <w:tab w:val="num" w:pos="4740"/>
        </w:tabs>
        <w:ind w:left="4740" w:hanging="360"/>
      </w:pPr>
      <w:rPr>
        <w:rFonts w:ascii="Symbol" w:hAnsi="Symbol" w:hint="default"/>
      </w:rPr>
    </w:lvl>
    <w:lvl w:ilvl="7" w:tplc="04190003" w:tentative="1">
      <w:start w:val="1"/>
      <w:numFmt w:val="bullet"/>
      <w:lvlText w:val="o"/>
      <w:lvlJc w:val="left"/>
      <w:pPr>
        <w:tabs>
          <w:tab w:val="num" w:pos="5460"/>
        </w:tabs>
        <w:ind w:left="5460" w:hanging="360"/>
      </w:pPr>
      <w:rPr>
        <w:rFonts w:ascii="Courier New" w:hAnsi="Courier New" w:hint="default"/>
      </w:rPr>
    </w:lvl>
    <w:lvl w:ilvl="8" w:tplc="04190005" w:tentative="1">
      <w:start w:val="1"/>
      <w:numFmt w:val="bullet"/>
      <w:lvlText w:val=""/>
      <w:lvlJc w:val="left"/>
      <w:pPr>
        <w:tabs>
          <w:tab w:val="num" w:pos="6180"/>
        </w:tabs>
        <w:ind w:left="6180" w:hanging="360"/>
      </w:pPr>
      <w:rPr>
        <w:rFonts w:ascii="Wingdings" w:hAnsi="Wingdings" w:hint="default"/>
      </w:rPr>
    </w:lvl>
  </w:abstractNum>
  <w:abstractNum w:abstractNumId="9">
    <w:nsid w:val="37DD5332"/>
    <w:multiLevelType w:val="hybridMultilevel"/>
    <w:tmpl w:val="D040D67E"/>
    <w:lvl w:ilvl="0" w:tplc="7F242B80">
      <w:start w:val="1"/>
      <w:numFmt w:val="bullet"/>
      <w:lvlText w:val="─"/>
      <w:lvlJc w:val="left"/>
      <w:pPr>
        <w:tabs>
          <w:tab w:val="num" w:pos="1134"/>
        </w:tabs>
        <w:ind w:left="1134" w:hanging="567"/>
      </w:pPr>
      <w:rPr>
        <w:rFonts w:ascii="Times New Roman" w:hAnsi="Times New Roman" w:cs="Times New Roman" w:hint="default"/>
        <w:sz w:val="16"/>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3C4145F6"/>
    <w:multiLevelType w:val="hybridMultilevel"/>
    <w:tmpl w:val="2158A3B2"/>
    <w:lvl w:ilvl="0" w:tplc="509ABC7A">
      <w:start w:val="15"/>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410E6778"/>
    <w:multiLevelType w:val="hybridMultilevel"/>
    <w:tmpl w:val="7D3CDE70"/>
    <w:lvl w:ilvl="0" w:tplc="7F242B80">
      <w:start w:val="1"/>
      <w:numFmt w:val="bullet"/>
      <w:lvlText w:val="─"/>
      <w:lvlJc w:val="left"/>
      <w:pPr>
        <w:tabs>
          <w:tab w:val="num" w:pos="1134"/>
        </w:tabs>
        <w:ind w:left="1134" w:hanging="567"/>
      </w:pPr>
      <w:rPr>
        <w:rFonts w:ascii="Times New Roman" w:hAnsi="Times New Roman" w:cs="Times New Roman" w:hint="default"/>
        <w:sz w:val="16"/>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56857DD2"/>
    <w:multiLevelType w:val="hybridMultilevel"/>
    <w:tmpl w:val="E954CD1E"/>
    <w:lvl w:ilvl="0" w:tplc="C038C3AA">
      <w:numFmt w:val="bullet"/>
      <w:lvlText w:val="-"/>
      <w:lvlJc w:val="left"/>
      <w:pPr>
        <w:tabs>
          <w:tab w:val="num" w:pos="440"/>
        </w:tabs>
        <w:ind w:left="440" w:hanging="360"/>
      </w:pPr>
      <w:rPr>
        <w:rFonts w:ascii="Times New Roman" w:eastAsia="Times New Roman" w:hAnsi="Times New Roman" w:cs="Times New Roman" w:hint="default"/>
      </w:rPr>
    </w:lvl>
    <w:lvl w:ilvl="1" w:tplc="0419000F">
      <w:start w:val="1"/>
      <w:numFmt w:val="decimal"/>
      <w:lvlText w:val="%2."/>
      <w:lvlJc w:val="left"/>
      <w:pPr>
        <w:tabs>
          <w:tab w:val="num" w:pos="1160"/>
        </w:tabs>
        <w:ind w:left="1160" w:hanging="360"/>
      </w:pPr>
    </w:lvl>
    <w:lvl w:ilvl="2" w:tplc="04190005" w:tentative="1">
      <w:start w:val="1"/>
      <w:numFmt w:val="bullet"/>
      <w:lvlText w:val=""/>
      <w:lvlJc w:val="left"/>
      <w:pPr>
        <w:tabs>
          <w:tab w:val="num" w:pos="1880"/>
        </w:tabs>
        <w:ind w:left="1880" w:hanging="360"/>
      </w:pPr>
      <w:rPr>
        <w:rFonts w:ascii="Wingdings" w:hAnsi="Wingdings" w:hint="default"/>
      </w:rPr>
    </w:lvl>
    <w:lvl w:ilvl="3" w:tplc="04190001" w:tentative="1">
      <w:start w:val="1"/>
      <w:numFmt w:val="bullet"/>
      <w:lvlText w:val=""/>
      <w:lvlJc w:val="left"/>
      <w:pPr>
        <w:tabs>
          <w:tab w:val="num" w:pos="2600"/>
        </w:tabs>
        <w:ind w:left="2600" w:hanging="360"/>
      </w:pPr>
      <w:rPr>
        <w:rFonts w:ascii="Symbol" w:hAnsi="Symbol" w:hint="default"/>
      </w:rPr>
    </w:lvl>
    <w:lvl w:ilvl="4" w:tplc="04190003" w:tentative="1">
      <w:start w:val="1"/>
      <w:numFmt w:val="bullet"/>
      <w:lvlText w:val="o"/>
      <w:lvlJc w:val="left"/>
      <w:pPr>
        <w:tabs>
          <w:tab w:val="num" w:pos="3320"/>
        </w:tabs>
        <w:ind w:left="3320" w:hanging="360"/>
      </w:pPr>
      <w:rPr>
        <w:rFonts w:ascii="Courier New" w:hAnsi="Courier New" w:hint="default"/>
      </w:rPr>
    </w:lvl>
    <w:lvl w:ilvl="5" w:tplc="04190005" w:tentative="1">
      <w:start w:val="1"/>
      <w:numFmt w:val="bullet"/>
      <w:lvlText w:val=""/>
      <w:lvlJc w:val="left"/>
      <w:pPr>
        <w:tabs>
          <w:tab w:val="num" w:pos="4040"/>
        </w:tabs>
        <w:ind w:left="4040" w:hanging="360"/>
      </w:pPr>
      <w:rPr>
        <w:rFonts w:ascii="Wingdings" w:hAnsi="Wingdings" w:hint="default"/>
      </w:rPr>
    </w:lvl>
    <w:lvl w:ilvl="6" w:tplc="04190001" w:tentative="1">
      <w:start w:val="1"/>
      <w:numFmt w:val="bullet"/>
      <w:lvlText w:val=""/>
      <w:lvlJc w:val="left"/>
      <w:pPr>
        <w:tabs>
          <w:tab w:val="num" w:pos="4760"/>
        </w:tabs>
        <w:ind w:left="4760" w:hanging="360"/>
      </w:pPr>
      <w:rPr>
        <w:rFonts w:ascii="Symbol" w:hAnsi="Symbol" w:hint="default"/>
      </w:rPr>
    </w:lvl>
    <w:lvl w:ilvl="7" w:tplc="04190003" w:tentative="1">
      <w:start w:val="1"/>
      <w:numFmt w:val="bullet"/>
      <w:lvlText w:val="o"/>
      <w:lvlJc w:val="left"/>
      <w:pPr>
        <w:tabs>
          <w:tab w:val="num" w:pos="5480"/>
        </w:tabs>
        <w:ind w:left="5480" w:hanging="360"/>
      </w:pPr>
      <w:rPr>
        <w:rFonts w:ascii="Courier New" w:hAnsi="Courier New" w:hint="default"/>
      </w:rPr>
    </w:lvl>
    <w:lvl w:ilvl="8" w:tplc="04190005" w:tentative="1">
      <w:start w:val="1"/>
      <w:numFmt w:val="bullet"/>
      <w:lvlText w:val=""/>
      <w:lvlJc w:val="left"/>
      <w:pPr>
        <w:tabs>
          <w:tab w:val="num" w:pos="6200"/>
        </w:tabs>
        <w:ind w:left="6200" w:hanging="360"/>
      </w:pPr>
      <w:rPr>
        <w:rFonts w:ascii="Wingdings" w:hAnsi="Wingdings" w:hint="default"/>
      </w:rPr>
    </w:lvl>
  </w:abstractNum>
  <w:abstractNum w:abstractNumId="13">
    <w:nsid w:val="5FB979B8"/>
    <w:multiLevelType w:val="hybridMultilevel"/>
    <w:tmpl w:val="D026BC8A"/>
    <w:lvl w:ilvl="0" w:tplc="7F242B80">
      <w:start w:val="1"/>
      <w:numFmt w:val="bullet"/>
      <w:lvlText w:val="─"/>
      <w:lvlJc w:val="left"/>
      <w:pPr>
        <w:tabs>
          <w:tab w:val="num" w:pos="1134"/>
        </w:tabs>
        <w:ind w:left="1134" w:hanging="567"/>
      </w:pPr>
      <w:rPr>
        <w:rFonts w:ascii="Times New Roman" w:hAnsi="Times New Roman" w:cs="Times New Roman" w:hint="default"/>
        <w:sz w:val="16"/>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74B47277"/>
    <w:multiLevelType w:val="hybridMultilevel"/>
    <w:tmpl w:val="20163FA4"/>
    <w:lvl w:ilvl="0" w:tplc="7F242B80">
      <w:start w:val="1"/>
      <w:numFmt w:val="bullet"/>
      <w:lvlText w:val="─"/>
      <w:lvlJc w:val="left"/>
      <w:pPr>
        <w:tabs>
          <w:tab w:val="num" w:pos="1134"/>
        </w:tabs>
        <w:ind w:left="1134" w:hanging="567"/>
      </w:pPr>
      <w:rPr>
        <w:rFonts w:ascii="Times New Roman" w:hAnsi="Times New Roman" w:cs="Times New Roman" w:hint="default"/>
        <w:sz w:val="16"/>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7F9133F0"/>
    <w:multiLevelType w:val="hybridMultilevel"/>
    <w:tmpl w:val="79005C2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5"/>
  </w:num>
  <w:num w:numId="3">
    <w:abstractNumId w:val="3"/>
  </w:num>
  <w:num w:numId="4">
    <w:abstractNumId w:val="3"/>
    <w:lvlOverride w:ilvl="0">
      <w:lvl w:ilvl="0">
        <w:start w:val="2"/>
        <w:numFmt w:val="decimal"/>
        <w:lvlText w:val="%1."/>
        <w:legacy w:legacy="1" w:legacySpace="0" w:legacyIndent="360"/>
        <w:lvlJc w:val="left"/>
        <w:pPr>
          <w:ind w:left="360" w:hanging="360"/>
        </w:pPr>
        <w:rPr>
          <w:rFonts w:ascii="Times New Roman" w:hAnsi="Times New Roman" w:hint="default"/>
        </w:rPr>
      </w:lvl>
    </w:lvlOverride>
  </w:num>
  <w:num w:numId="5">
    <w:abstractNumId w:val="7"/>
  </w:num>
  <w:num w:numId="6">
    <w:abstractNumId w:val="3"/>
    <w:lvlOverride w:ilvl="0">
      <w:lvl w:ilvl="0">
        <w:start w:val="5"/>
        <w:numFmt w:val="decimal"/>
        <w:lvlText w:val="%1."/>
        <w:legacy w:legacy="1" w:legacySpace="0" w:legacyIndent="360"/>
        <w:lvlJc w:val="left"/>
        <w:pPr>
          <w:ind w:left="360" w:hanging="360"/>
        </w:pPr>
        <w:rPr>
          <w:rFonts w:ascii="Times New Roman" w:hAnsi="Times New Roman" w:hint="default"/>
        </w:rPr>
      </w:lvl>
    </w:lvlOverride>
  </w:num>
  <w:num w:numId="7">
    <w:abstractNumId w:val="1"/>
    <w:lvlOverride w:ilvl="0">
      <w:lvl w:ilvl="0">
        <w:start w:val="1"/>
        <w:numFmt w:val="bullet"/>
        <w:lvlText w:val=""/>
        <w:legacy w:legacy="1" w:legacySpace="0" w:legacyIndent="360"/>
        <w:lvlJc w:val="left"/>
        <w:pPr>
          <w:ind w:left="360" w:hanging="360"/>
        </w:pPr>
        <w:rPr>
          <w:rFonts w:ascii="Symbol" w:hAnsi="Symbol" w:hint="default"/>
        </w:rPr>
      </w:lvl>
    </w:lvlOverride>
  </w:num>
  <w:num w:numId="8">
    <w:abstractNumId w:val="12"/>
  </w:num>
  <w:num w:numId="9">
    <w:abstractNumId w:val="14"/>
  </w:num>
  <w:num w:numId="10">
    <w:abstractNumId w:val="15"/>
  </w:num>
  <w:num w:numId="11">
    <w:abstractNumId w:val="9"/>
  </w:num>
  <w:num w:numId="12">
    <w:abstractNumId w:val="8"/>
  </w:num>
  <w:num w:numId="13">
    <w:abstractNumId w:val="13"/>
  </w:num>
  <w:num w:numId="14">
    <w:abstractNumId w:val="10"/>
  </w:num>
  <w:num w:numId="15">
    <w:abstractNumId w:val="11"/>
  </w:num>
  <w:num w:numId="16">
    <w:abstractNumId w:val="2"/>
  </w:num>
  <w:num w:numId="17">
    <w:abstractNumId w:val="4"/>
  </w:num>
  <w:num w:numId="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6"/>
  <w:mirrorMargins/>
  <w:activeWritingStyle w:appName="MSWord" w:lang="ru-RU" w:vendorID="1" w:dllVersion="512" w:checkStyle="1"/>
  <w:proofState w:spelling="clean" w:grammar="clean"/>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1</TotalTime>
  <Pages>1</Pages>
  <Words>17865</Words>
  <Characters>101832</Characters>
  <Application>Microsoft Office Word</Application>
  <DocSecurity>4</DocSecurity>
  <Lines>848</Lines>
  <Paragraphs>203</Paragraphs>
  <ScaleCrop>false</ScaleCrop>
  <HeadingPairs>
    <vt:vector size="2" baseType="variant">
      <vt:variant>
        <vt:lpstr>Название</vt:lpstr>
      </vt:variant>
      <vt:variant>
        <vt:i4>1</vt:i4>
      </vt:variant>
    </vt:vector>
  </HeadingPairs>
  <TitlesOfParts>
    <vt:vector size="1" baseType="lpstr">
      <vt:lpstr>0645260.doc</vt:lpstr>
    </vt:vector>
  </TitlesOfParts>
  <Company> </Company>
  <LinksUpToDate>false</LinksUpToDate>
  <CharactersWithSpaces>125056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0645260.doc</dc:title>
  <dc:subject>Tcherepakhine</dc:subject>
  <dc:creator>Tatiana Dmitrieva</dc:creator>
  <cp:keywords/>
  <dc:description/>
  <cp:lastModifiedBy>Tatiana Dmitrieva</cp:lastModifiedBy>
  <cp:revision>3</cp:revision>
  <cp:lastPrinted>2006-11-30T10:19:00Z</cp:lastPrinted>
  <dcterms:created xsi:type="dcterms:W3CDTF">2006-11-30T10:18:00Z</dcterms:created>
  <dcterms:modified xsi:type="dcterms:W3CDTF">2006-11-30T10:19:00Z</dcterms:modified>
</cp:coreProperties>
</file>