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commentRangeStart w:id="0"/>
      <w:r>
        <w:rPr>
          <w:sz w:val="6"/>
          <w:lang w:val="en-US"/>
        </w:rPr>
        <w:t>s</w:t>
      </w:r>
      <w:commentRangeEnd w:id="0"/>
      <w:r>
        <w:rPr>
          <w:rStyle w:val="CommentReference"/>
          <w:vanish/>
        </w:rPr>
        <w:commentReference w:id="0"/>
      </w:r>
    </w:p>
    <w:p w:rsidR="00000000" w:rsidRDefault="00000000">
      <w:pPr>
        <w:pStyle w:val="H1"/>
        <w:spacing w:after="0"/>
      </w:pPr>
      <w:bookmarkStart w:id="1" w:name="_Toc83977399"/>
      <w:bookmarkStart w:id="2" w:name="_Toc83977518"/>
      <w:bookmarkStart w:id="3" w:name="_Toc86323975"/>
      <w:bookmarkStart w:id="4" w:name="_Toc86324558"/>
      <w:bookmarkStart w:id="5" w:name="_Toc97786619"/>
      <w:r>
        <w:t>Комитет по ликвидации дискриминации</w:t>
      </w:r>
      <w:bookmarkStart w:id="6" w:name="_Toc83977400"/>
      <w:bookmarkStart w:id="7" w:name="_Toc83977519"/>
      <w:bookmarkStart w:id="8" w:name="_Toc86323976"/>
      <w:bookmarkStart w:id="9" w:name="_Toc86324559"/>
      <w:bookmarkEnd w:id="1"/>
      <w:bookmarkEnd w:id="2"/>
      <w:bookmarkEnd w:id="3"/>
      <w:bookmarkEnd w:id="4"/>
      <w:bookmarkEnd w:id="5"/>
    </w:p>
    <w:p w:rsidR="00000000" w:rsidRDefault="00000000">
      <w:pPr>
        <w:pStyle w:val="H1"/>
        <w:spacing w:after="0"/>
      </w:pPr>
      <w:bookmarkStart w:id="10" w:name="_Toc97786620"/>
      <w:r>
        <w:t>в отношении женщин</w:t>
      </w:r>
      <w:bookmarkEnd w:id="6"/>
      <w:bookmarkEnd w:id="7"/>
      <w:bookmarkEnd w:id="8"/>
      <w:bookmarkEnd w:id="9"/>
      <w:bookmarkEnd w:id="10"/>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 w:name="_Toc83977401"/>
      <w:bookmarkStart w:id="12" w:name="_Toc83977520"/>
      <w:bookmarkStart w:id="13" w:name="_Toc86323977"/>
      <w:bookmarkStart w:id="14" w:name="_Toc86324560"/>
      <w:bookmarkStart w:id="15" w:name="_Toc97786621"/>
      <w: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bookmarkEnd w:id="11"/>
      <w:bookmarkEnd w:id="12"/>
      <w:bookmarkEnd w:id="13"/>
      <w:bookmarkEnd w:id="14"/>
      <w:bookmarkEnd w:id="1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clear" w:pos="1264"/>
          <w:tab w:val="left" w:pos="1267"/>
        </w:tabs>
        <w:ind w:left="794" w:firstLine="0"/>
        <w:rPr>
          <w:spacing w:val="-3"/>
        </w:rPr>
      </w:pPr>
      <w:r>
        <w:tab/>
      </w:r>
      <w:bookmarkStart w:id="16" w:name="_Toc83977402"/>
      <w:bookmarkStart w:id="17" w:name="_Toc83977521"/>
      <w:bookmarkStart w:id="18" w:name="_Toc86323978"/>
      <w:bookmarkStart w:id="19" w:name="_Toc86324561"/>
      <w:bookmarkStart w:id="20" w:name="_Toc97786622"/>
      <w:r>
        <w:rPr>
          <w:spacing w:val="-3"/>
        </w:rPr>
        <w:t>Шестой периодический доклад государств-участников</w:t>
      </w:r>
      <w:bookmarkEnd w:id="20"/>
    </w:p>
    <w:bookmarkEnd w:id="16"/>
    <w:bookmarkEnd w:id="17"/>
    <w:bookmarkEnd w:id="18"/>
    <w:bookmarkEnd w:id="19"/>
    <w:p w:rsidR="00000000" w:rsidRDefault="00000000">
      <w:pPr>
        <w:pStyle w:val="H1"/>
        <w:tabs>
          <w:tab w:val="clear" w:pos="1264"/>
          <w:tab w:val="left" w:pos="1267"/>
        </w:tabs>
        <w:ind w:left="794" w:firstLine="0"/>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sz w:val="24"/>
        </w:rPr>
        <w:tab/>
      </w:r>
      <w:r>
        <w:rPr>
          <w:spacing w:val="4"/>
          <w:sz w:val="24"/>
        </w:rPr>
        <w:tab/>
      </w:r>
      <w:bookmarkStart w:id="21" w:name="_Toc83977403"/>
      <w:bookmarkStart w:id="22" w:name="_Toc83977522"/>
      <w:bookmarkStart w:id="23" w:name="_Toc86323979"/>
      <w:bookmarkStart w:id="24" w:name="_Toc86324562"/>
      <w:bookmarkStart w:id="25" w:name="_Toc97786623"/>
      <w:r>
        <w:rPr>
          <w:spacing w:val="-3"/>
        </w:rPr>
        <w:t>Австрия</w:t>
      </w:r>
      <w:r>
        <w:rPr>
          <w:rStyle w:val="FootnoteReference"/>
        </w:rPr>
        <w:footnoteReference w:customMarkFollows="1" w:id="1"/>
        <w:sym w:font="Symbol" w:char="F02A"/>
      </w:r>
      <w:bookmarkEnd w:id="21"/>
      <w:bookmarkEnd w:id="22"/>
      <w:bookmarkEnd w:id="23"/>
      <w:bookmarkEnd w:id="24"/>
      <w:bookmarkEnd w:id="2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tabs>
          <w:tab w:val="left" w:pos="-720"/>
        </w:tabs>
        <w:suppressAutoHyphens/>
        <w:ind w:left="1276"/>
        <w:jc w:val="both"/>
        <w:rPr>
          <w:sz w:val="10"/>
        </w:rPr>
      </w:pPr>
      <w: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bookmarkStart w:id="26" w:name="_Toc97786624"/>
      <w:r>
        <w:t>Содержание</w:t>
      </w:r>
      <w:bookmarkEnd w:id="26"/>
    </w:p>
    <w:p w:rsidR="00000000" w:rsidRDefault="00000000">
      <w:pPr>
        <w:pStyle w:val="50"/>
      </w:pPr>
    </w:p>
    <w:p w:rsidR="00000000" w:rsidRDefault="00000000">
      <w:pPr>
        <w:pStyle w:val="50"/>
        <w:suppressAutoHyphens/>
        <w:jc w:val="left"/>
        <w:rPr>
          <w:caps/>
          <w:noProof/>
          <w:sz w:val="24"/>
        </w:rPr>
      </w:pPr>
      <w:r>
        <w:fldChar w:fldCharType="begin"/>
      </w:r>
      <w:r>
        <w:instrText xml:space="preserve"> TOC \h \z \t "_ H_1;1;_ H _Ch;1;_ H_2/3;2" </w:instrText>
      </w:r>
      <w:r>
        <w:fldChar w:fldCharType="separate"/>
      </w:r>
    </w:p>
    <w:p w:rsidR="00000000" w:rsidRDefault="00000000">
      <w:pPr>
        <w:pStyle w:val="50"/>
        <w:suppressAutoHyphens/>
        <w:jc w:val="left"/>
        <w:rPr>
          <w:rStyle w:val="Hyperlink"/>
          <w:noProof/>
          <w:color w:val="auto"/>
        </w:rPr>
      </w:pPr>
    </w:p>
    <w:p w:rsidR="00000000" w:rsidRDefault="00000000">
      <w:pPr>
        <w:pStyle w:val="TOC1"/>
        <w:suppressAutoHyphens/>
        <w:spacing w:before="0" w:after="0"/>
        <w:ind w:left="1701" w:right="2835"/>
        <w:rPr>
          <w:caps w:val="0"/>
          <w:sz w:val="24"/>
        </w:rPr>
      </w:pPr>
      <w:hyperlink w:anchor="_Toc97786625" w:history="1">
        <w:r>
          <w:rPr>
            <w:rStyle w:val="Hyperlink"/>
            <w:caps w:val="0"/>
            <w:color w:val="auto"/>
          </w:rPr>
          <w:t>Введение</w:t>
        </w:r>
        <w:r>
          <w:rPr>
            <w:caps w:val="0"/>
          </w:rPr>
          <w:tab/>
        </w:r>
        <w:r>
          <w:fldChar w:fldCharType="begin"/>
        </w:r>
        <w:r>
          <w:instrText xml:space="preserve"> PAGEREF _Toc97786625 \h </w:instrText>
        </w:r>
        <w:r>
          <w:fldChar w:fldCharType="separate"/>
        </w:r>
        <w:r>
          <w:t>6</w:t>
        </w:r>
        <w:r>
          <w:fldChar w:fldCharType="end"/>
        </w:r>
      </w:hyperlink>
    </w:p>
    <w:p w:rsidR="00000000" w:rsidRDefault="00000000">
      <w:pPr>
        <w:pStyle w:val="TOC1"/>
        <w:tabs>
          <w:tab w:val="left" w:pos="1701"/>
        </w:tabs>
        <w:suppressAutoHyphens/>
        <w:spacing w:after="0"/>
        <w:ind w:left="1701" w:right="2835" w:hanging="437"/>
        <w:rPr>
          <w:b/>
          <w:caps w:val="0"/>
          <w:sz w:val="24"/>
        </w:rPr>
      </w:pPr>
      <w:hyperlink w:anchor="_Toc97786626" w:history="1">
        <w:r>
          <w:rPr>
            <w:rStyle w:val="Hyperlink"/>
            <w:b/>
            <w:caps w:val="0"/>
            <w:color w:val="auto"/>
          </w:rPr>
          <w:t>1.</w:t>
        </w:r>
        <w:r>
          <w:rPr>
            <w:b/>
            <w:caps w:val="0"/>
            <w:sz w:val="24"/>
          </w:rPr>
          <w:tab/>
        </w:r>
        <w:r>
          <w:rPr>
            <w:rStyle w:val="Hyperlink"/>
            <w:b/>
            <w:caps w:val="0"/>
            <w:color w:val="auto"/>
          </w:rPr>
          <w:t>Осуществление рекомендаций, высказанных в отношении третьего, четвертого и пятого докладов австрии, представленных КЛДЖ</w:t>
        </w:r>
        <w:r>
          <w:rPr>
            <w:b/>
            <w:caps w:val="0"/>
          </w:rPr>
          <w:tab/>
        </w:r>
        <w:r>
          <w:rPr>
            <w:b/>
          </w:rPr>
          <w:fldChar w:fldCharType="begin"/>
        </w:r>
        <w:r>
          <w:rPr>
            <w:b/>
          </w:rPr>
          <w:instrText xml:space="preserve"> PAGEREF _Toc97786626 \h </w:instrText>
        </w:r>
        <w:r>
          <w:rPr>
            <w:b/>
          </w:rPr>
        </w:r>
        <w:r>
          <w:rPr>
            <w:b/>
          </w:rPr>
          <w:fldChar w:fldCharType="separate"/>
        </w:r>
        <w:r>
          <w:rPr>
            <w:b/>
          </w:rPr>
          <w:t>7</w:t>
        </w:r>
        <w:r>
          <w:rPr>
            <w:b/>
          </w:rPr>
          <w:fldChar w:fldCharType="end"/>
        </w:r>
      </w:hyperlink>
    </w:p>
    <w:p w:rsidR="00000000" w:rsidRDefault="00000000">
      <w:pPr>
        <w:pStyle w:val="TOC1"/>
        <w:suppressAutoHyphens/>
        <w:spacing w:before="0" w:after="0"/>
        <w:ind w:left="1701" w:right="2835"/>
        <w:rPr>
          <w:caps w:val="0"/>
          <w:sz w:val="24"/>
        </w:rPr>
      </w:pPr>
      <w:hyperlink w:anchor="_Toc97786627" w:history="1">
        <w:r>
          <w:rPr>
            <w:rStyle w:val="Hyperlink"/>
            <w:caps w:val="0"/>
            <w:color w:val="auto"/>
          </w:rPr>
          <w:t>Рекомендация 219</w:t>
        </w:r>
        <w:r>
          <w:rPr>
            <w:caps w:val="0"/>
          </w:rPr>
          <w:tab/>
        </w:r>
        <w:r>
          <w:fldChar w:fldCharType="begin"/>
        </w:r>
        <w:r>
          <w:instrText xml:space="preserve"> PAGEREF _Toc97786627 \h </w:instrText>
        </w:r>
        <w:r>
          <w:fldChar w:fldCharType="separate"/>
        </w:r>
        <w:r>
          <w:t>7</w:t>
        </w:r>
        <w:r>
          <w:fldChar w:fldCharType="end"/>
        </w:r>
      </w:hyperlink>
    </w:p>
    <w:p w:rsidR="00000000" w:rsidRDefault="00000000">
      <w:pPr>
        <w:pStyle w:val="TOC1"/>
        <w:suppressAutoHyphens/>
        <w:spacing w:before="0" w:after="0"/>
        <w:ind w:left="1701" w:right="2835"/>
        <w:rPr>
          <w:caps w:val="0"/>
          <w:sz w:val="24"/>
        </w:rPr>
      </w:pPr>
      <w:hyperlink w:anchor="_Toc97786628" w:history="1">
        <w:r>
          <w:rPr>
            <w:rStyle w:val="Hyperlink"/>
            <w:caps w:val="0"/>
            <w:color w:val="auto"/>
          </w:rPr>
          <w:t>Рекомендация 224</w:t>
        </w:r>
        <w:r>
          <w:rPr>
            <w:caps w:val="0"/>
          </w:rPr>
          <w:tab/>
        </w:r>
        <w:r>
          <w:fldChar w:fldCharType="begin"/>
        </w:r>
        <w:r>
          <w:instrText xml:space="preserve"> PAGEREF _Toc97786628 \h </w:instrText>
        </w:r>
        <w:r>
          <w:fldChar w:fldCharType="separate"/>
        </w:r>
        <w:r>
          <w:t>7</w:t>
        </w:r>
        <w:r>
          <w:fldChar w:fldCharType="end"/>
        </w:r>
      </w:hyperlink>
    </w:p>
    <w:p w:rsidR="00000000" w:rsidRDefault="00000000">
      <w:pPr>
        <w:pStyle w:val="TOC1"/>
        <w:suppressAutoHyphens/>
        <w:spacing w:before="0" w:after="0"/>
        <w:ind w:left="1701" w:right="2835"/>
        <w:rPr>
          <w:caps w:val="0"/>
          <w:sz w:val="24"/>
        </w:rPr>
      </w:pPr>
      <w:hyperlink w:anchor="_Toc97786629" w:history="1">
        <w:r>
          <w:rPr>
            <w:rStyle w:val="Hyperlink"/>
            <w:caps w:val="0"/>
            <w:color w:val="auto"/>
          </w:rPr>
          <w:t>Рекомендация 225</w:t>
        </w:r>
        <w:r>
          <w:rPr>
            <w:caps w:val="0"/>
          </w:rPr>
          <w:tab/>
        </w:r>
        <w:r>
          <w:fldChar w:fldCharType="begin"/>
        </w:r>
        <w:r>
          <w:instrText xml:space="preserve"> PAGEREF _Toc97786629 \h </w:instrText>
        </w:r>
        <w:r>
          <w:fldChar w:fldCharType="separate"/>
        </w:r>
        <w:r>
          <w:t>7</w:t>
        </w:r>
        <w:r>
          <w:fldChar w:fldCharType="end"/>
        </w:r>
      </w:hyperlink>
    </w:p>
    <w:p w:rsidR="00000000" w:rsidRDefault="00000000">
      <w:pPr>
        <w:pStyle w:val="TOC1"/>
        <w:suppressAutoHyphens/>
        <w:spacing w:before="0" w:after="0"/>
        <w:ind w:left="1701" w:right="2835"/>
        <w:rPr>
          <w:caps w:val="0"/>
          <w:sz w:val="24"/>
        </w:rPr>
      </w:pPr>
      <w:hyperlink w:anchor="_Toc97786630" w:history="1">
        <w:r>
          <w:rPr>
            <w:rStyle w:val="Hyperlink"/>
            <w:caps w:val="0"/>
            <w:color w:val="auto"/>
          </w:rPr>
          <w:t>Рекомендация 226</w:t>
        </w:r>
        <w:r>
          <w:rPr>
            <w:caps w:val="0"/>
          </w:rPr>
          <w:tab/>
        </w:r>
        <w:r>
          <w:fldChar w:fldCharType="begin"/>
        </w:r>
        <w:r>
          <w:instrText xml:space="preserve"> PAGEREF _Toc97786630 \h </w:instrText>
        </w:r>
        <w:r>
          <w:fldChar w:fldCharType="separate"/>
        </w:r>
        <w:r>
          <w:t>7</w:t>
        </w:r>
        <w:r>
          <w:fldChar w:fldCharType="end"/>
        </w:r>
      </w:hyperlink>
    </w:p>
    <w:p w:rsidR="00000000" w:rsidRDefault="00000000">
      <w:pPr>
        <w:pStyle w:val="TOC1"/>
        <w:suppressAutoHyphens/>
        <w:spacing w:before="0" w:after="0"/>
        <w:ind w:left="1701" w:right="2835"/>
        <w:rPr>
          <w:caps w:val="0"/>
          <w:sz w:val="24"/>
        </w:rPr>
      </w:pPr>
      <w:hyperlink w:anchor="_Toc97786633" w:history="1">
        <w:r>
          <w:rPr>
            <w:rStyle w:val="Hyperlink"/>
            <w:caps w:val="0"/>
            <w:color w:val="auto"/>
          </w:rPr>
          <w:t>Рекомендация 227</w:t>
        </w:r>
        <w:r>
          <w:rPr>
            <w:caps w:val="0"/>
          </w:rPr>
          <w:tab/>
        </w:r>
        <w:r>
          <w:fldChar w:fldCharType="begin"/>
        </w:r>
        <w:r>
          <w:instrText xml:space="preserve"> PAGEREF _Toc97786633 \h </w:instrText>
        </w:r>
        <w:r>
          <w:fldChar w:fldCharType="separate"/>
        </w:r>
        <w:r>
          <w:t>9</w:t>
        </w:r>
        <w:r>
          <w:fldChar w:fldCharType="end"/>
        </w:r>
      </w:hyperlink>
    </w:p>
    <w:p w:rsidR="00000000" w:rsidRDefault="00000000">
      <w:pPr>
        <w:pStyle w:val="TOC1"/>
        <w:suppressAutoHyphens/>
        <w:spacing w:before="0" w:after="0"/>
        <w:ind w:left="1701" w:right="2835"/>
        <w:rPr>
          <w:caps w:val="0"/>
          <w:sz w:val="24"/>
        </w:rPr>
      </w:pPr>
      <w:hyperlink w:anchor="_Toc97786634" w:history="1">
        <w:r>
          <w:rPr>
            <w:rStyle w:val="Hyperlink"/>
            <w:caps w:val="0"/>
            <w:color w:val="auto"/>
          </w:rPr>
          <w:t>Рекомендация 228</w:t>
        </w:r>
        <w:r>
          <w:rPr>
            <w:caps w:val="0"/>
          </w:rPr>
          <w:tab/>
        </w:r>
        <w:r>
          <w:fldChar w:fldCharType="begin"/>
        </w:r>
        <w:r>
          <w:instrText xml:space="preserve"> PAGEREF _Toc97786634 \h </w:instrText>
        </w:r>
        <w:r>
          <w:fldChar w:fldCharType="separate"/>
        </w:r>
        <w:r>
          <w:t>10</w:t>
        </w:r>
        <w:r>
          <w:fldChar w:fldCharType="end"/>
        </w:r>
      </w:hyperlink>
    </w:p>
    <w:p w:rsidR="00000000" w:rsidRDefault="00000000">
      <w:pPr>
        <w:pStyle w:val="TOC1"/>
        <w:suppressAutoHyphens/>
        <w:spacing w:before="0" w:after="0"/>
        <w:ind w:left="1701" w:right="2835"/>
        <w:rPr>
          <w:caps w:val="0"/>
          <w:sz w:val="24"/>
        </w:rPr>
      </w:pPr>
      <w:hyperlink w:anchor="_Toc97786635" w:history="1">
        <w:r>
          <w:rPr>
            <w:rStyle w:val="Hyperlink"/>
            <w:caps w:val="0"/>
            <w:color w:val="auto"/>
          </w:rPr>
          <w:t>Рекомендация 229</w:t>
        </w:r>
        <w:r>
          <w:rPr>
            <w:caps w:val="0"/>
          </w:rPr>
          <w:tab/>
        </w:r>
        <w:r>
          <w:fldChar w:fldCharType="begin"/>
        </w:r>
        <w:r>
          <w:instrText xml:space="preserve"> PAGEREF _Toc97786635 \h </w:instrText>
        </w:r>
        <w:r>
          <w:fldChar w:fldCharType="separate"/>
        </w:r>
        <w:r>
          <w:t>11</w:t>
        </w:r>
        <w:r>
          <w:fldChar w:fldCharType="end"/>
        </w:r>
      </w:hyperlink>
    </w:p>
    <w:p w:rsidR="00000000" w:rsidRDefault="00000000">
      <w:pPr>
        <w:pStyle w:val="TOC1"/>
        <w:suppressAutoHyphens/>
        <w:spacing w:before="0" w:after="0"/>
        <w:ind w:left="1701" w:right="2835"/>
        <w:rPr>
          <w:caps w:val="0"/>
          <w:sz w:val="24"/>
        </w:rPr>
      </w:pPr>
      <w:hyperlink w:anchor="_Toc97786636" w:history="1">
        <w:r>
          <w:rPr>
            <w:rStyle w:val="Hyperlink"/>
            <w:caps w:val="0"/>
            <w:color w:val="auto"/>
          </w:rPr>
          <w:t>Рекомендация 230</w:t>
        </w:r>
        <w:r>
          <w:rPr>
            <w:caps w:val="0"/>
          </w:rPr>
          <w:tab/>
        </w:r>
        <w:r>
          <w:fldChar w:fldCharType="begin"/>
        </w:r>
        <w:r>
          <w:instrText xml:space="preserve"> PAGEREF _Toc97786636 \h </w:instrText>
        </w:r>
        <w:r>
          <w:fldChar w:fldCharType="separate"/>
        </w:r>
        <w:r>
          <w:t>13</w:t>
        </w:r>
        <w:r>
          <w:fldChar w:fldCharType="end"/>
        </w:r>
      </w:hyperlink>
    </w:p>
    <w:p w:rsidR="00000000" w:rsidRDefault="00000000">
      <w:pPr>
        <w:pStyle w:val="TOC1"/>
        <w:suppressAutoHyphens/>
        <w:spacing w:before="0" w:after="0"/>
        <w:ind w:left="1701" w:right="2835"/>
        <w:rPr>
          <w:caps w:val="0"/>
          <w:sz w:val="24"/>
        </w:rPr>
      </w:pPr>
      <w:hyperlink w:anchor="_Toc97786639" w:history="1">
        <w:r>
          <w:rPr>
            <w:rStyle w:val="Hyperlink"/>
            <w:caps w:val="0"/>
            <w:color w:val="auto"/>
          </w:rPr>
          <w:t>Рекомендация 231</w:t>
        </w:r>
        <w:r>
          <w:rPr>
            <w:caps w:val="0"/>
          </w:rPr>
          <w:tab/>
        </w:r>
        <w:r>
          <w:fldChar w:fldCharType="begin"/>
        </w:r>
        <w:r>
          <w:instrText xml:space="preserve"> PAGEREF _Toc97786639 \h </w:instrText>
        </w:r>
        <w:r>
          <w:fldChar w:fldCharType="separate"/>
        </w:r>
        <w:r>
          <w:t>14</w:t>
        </w:r>
        <w:r>
          <w:fldChar w:fldCharType="end"/>
        </w:r>
      </w:hyperlink>
    </w:p>
    <w:p w:rsidR="00000000" w:rsidRDefault="00000000">
      <w:pPr>
        <w:pStyle w:val="TOC1"/>
        <w:suppressAutoHyphens/>
        <w:spacing w:before="0" w:after="0"/>
        <w:ind w:left="1701" w:right="2835"/>
        <w:rPr>
          <w:caps w:val="0"/>
          <w:sz w:val="24"/>
        </w:rPr>
      </w:pPr>
      <w:hyperlink w:anchor="_Toc97786640" w:history="1">
        <w:r>
          <w:rPr>
            <w:rStyle w:val="Hyperlink"/>
            <w:caps w:val="0"/>
            <w:color w:val="auto"/>
          </w:rPr>
          <w:t>Рекомендация 232</w:t>
        </w:r>
        <w:r>
          <w:rPr>
            <w:caps w:val="0"/>
          </w:rPr>
          <w:tab/>
        </w:r>
        <w:r>
          <w:fldChar w:fldCharType="begin"/>
        </w:r>
        <w:r>
          <w:instrText xml:space="preserve"> PAGEREF _Toc97786640 \h </w:instrText>
        </w:r>
        <w:r>
          <w:fldChar w:fldCharType="separate"/>
        </w:r>
        <w:r>
          <w:t>14</w:t>
        </w:r>
        <w:r>
          <w:fldChar w:fldCharType="end"/>
        </w:r>
      </w:hyperlink>
    </w:p>
    <w:p w:rsidR="00000000" w:rsidRDefault="00000000">
      <w:pPr>
        <w:pStyle w:val="TOC1"/>
        <w:suppressAutoHyphens/>
        <w:spacing w:before="0" w:after="0"/>
        <w:ind w:left="1701" w:right="2835"/>
        <w:rPr>
          <w:caps w:val="0"/>
          <w:sz w:val="24"/>
        </w:rPr>
      </w:pPr>
      <w:hyperlink w:anchor="_Toc97786642" w:history="1">
        <w:r>
          <w:rPr>
            <w:rStyle w:val="Hyperlink"/>
            <w:caps w:val="0"/>
            <w:color w:val="auto"/>
          </w:rPr>
          <w:t>Рекомендации 233 и 234</w:t>
        </w:r>
        <w:r>
          <w:rPr>
            <w:caps w:val="0"/>
          </w:rPr>
          <w:tab/>
        </w:r>
        <w:r>
          <w:fldChar w:fldCharType="begin"/>
        </w:r>
        <w:r>
          <w:instrText xml:space="preserve"> PAGEREF _Toc97786642 \h </w:instrText>
        </w:r>
        <w:r>
          <w:fldChar w:fldCharType="separate"/>
        </w:r>
        <w:r>
          <w:t>15</w:t>
        </w:r>
        <w:r>
          <w:fldChar w:fldCharType="end"/>
        </w:r>
      </w:hyperlink>
    </w:p>
    <w:p w:rsidR="00000000" w:rsidRDefault="00000000">
      <w:pPr>
        <w:pStyle w:val="TOC1"/>
        <w:suppressAutoHyphens/>
        <w:spacing w:before="0" w:after="0"/>
        <w:ind w:left="1701" w:right="2835"/>
        <w:rPr>
          <w:caps w:val="0"/>
          <w:sz w:val="24"/>
        </w:rPr>
      </w:pPr>
      <w:hyperlink w:anchor="_Toc97786649" w:history="1">
        <w:r>
          <w:rPr>
            <w:rStyle w:val="Hyperlink"/>
            <w:caps w:val="0"/>
            <w:color w:val="auto"/>
          </w:rPr>
          <w:t>Рекомендация 235</w:t>
        </w:r>
        <w:r>
          <w:rPr>
            <w:caps w:val="0"/>
          </w:rPr>
          <w:tab/>
        </w:r>
        <w:r>
          <w:fldChar w:fldCharType="begin"/>
        </w:r>
        <w:r>
          <w:instrText xml:space="preserve"> PAGEREF _Toc97786649 \h </w:instrText>
        </w:r>
        <w:r>
          <w:fldChar w:fldCharType="separate"/>
        </w:r>
        <w:r>
          <w:t>20</w:t>
        </w:r>
        <w:r>
          <w:fldChar w:fldCharType="end"/>
        </w:r>
      </w:hyperlink>
    </w:p>
    <w:p w:rsidR="00000000" w:rsidRDefault="00000000">
      <w:pPr>
        <w:pStyle w:val="TOC1"/>
        <w:suppressAutoHyphens/>
        <w:spacing w:before="0" w:after="0"/>
        <w:ind w:left="1701" w:right="2835"/>
        <w:rPr>
          <w:caps w:val="0"/>
          <w:sz w:val="24"/>
        </w:rPr>
      </w:pPr>
      <w:hyperlink w:anchor="_Toc97786652" w:history="1">
        <w:r>
          <w:rPr>
            <w:rStyle w:val="Hyperlink"/>
            <w:caps w:val="0"/>
            <w:color w:val="auto"/>
          </w:rPr>
          <w:t>Рекомендация 236</w:t>
        </w:r>
        <w:r>
          <w:rPr>
            <w:caps w:val="0"/>
          </w:rPr>
          <w:tab/>
        </w:r>
        <w:r>
          <w:fldChar w:fldCharType="begin"/>
        </w:r>
        <w:r>
          <w:instrText xml:space="preserve"> PAGEREF _Toc97786652 \h </w:instrText>
        </w:r>
        <w:r>
          <w:fldChar w:fldCharType="separate"/>
        </w:r>
        <w:r>
          <w:t>22</w:t>
        </w:r>
        <w:r>
          <w:fldChar w:fldCharType="end"/>
        </w:r>
      </w:hyperlink>
    </w:p>
    <w:p w:rsidR="00000000" w:rsidRDefault="00000000">
      <w:pPr>
        <w:pStyle w:val="TOC1"/>
        <w:suppressAutoHyphens/>
        <w:spacing w:before="0" w:after="0"/>
        <w:ind w:left="1701" w:right="2835"/>
        <w:rPr>
          <w:caps w:val="0"/>
          <w:sz w:val="24"/>
        </w:rPr>
      </w:pPr>
      <w:hyperlink w:anchor="_Toc97786653" w:history="1">
        <w:r>
          <w:rPr>
            <w:rStyle w:val="Hyperlink"/>
            <w:caps w:val="0"/>
            <w:color w:val="auto"/>
          </w:rPr>
          <w:t>Рекомендация 237</w:t>
        </w:r>
        <w:r>
          <w:rPr>
            <w:caps w:val="0"/>
          </w:rPr>
          <w:tab/>
        </w:r>
        <w:r>
          <w:fldChar w:fldCharType="begin"/>
        </w:r>
        <w:r>
          <w:instrText xml:space="preserve"> PAGEREF _Toc97786653 \h </w:instrText>
        </w:r>
        <w:r>
          <w:fldChar w:fldCharType="separate"/>
        </w:r>
        <w:r>
          <w:t>23</w:t>
        </w:r>
        <w:r>
          <w:fldChar w:fldCharType="end"/>
        </w:r>
      </w:hyperlink>
    </w:p>
    <w:p w:rsidR="00000000" w:rsidRDefault="00000000">
      <w:pPr>
        <w:pStyle w:val="TOC1"/>
        <w:suppressAutoHyphens/>
        <w:spacing w:before="0" w:after="0"/>
        <w:ind w:left="1701" w:right="2835"/>
        <w:rPr>
          <w:caps w:val="0"/>
          <w:sz w:val="24"/>
        </w:rPr>
      </w:pPr>
      <w:hyperlink w:anchor="_Toc97786654" w:history="1">
        <w:r>
          <w:rPr>
            <w:rStyle w:val="Hyperlink"/>
            <w:caps w:val="0"/>
            <w:color w:val="auto"/>
          </w:rPr>
          <w:t>Рекомендация 238</w:t>
        </w:r>
        <w:r>
          <w:rPr>
            <w:caps w:val="0"/>
          </w:rPr>
          <w:tab/>
        </w:r>
        <w:r>
          <w:fldChar w:fldCharType="begin"/>
        </w:r>
        <w:r>
          <w:instrText xml:space="preserve"> PAGEREF _Toc97786654 \h </w:instrText>
        </w:r>
        <w:r>
          <w:fldChar w:fldCharType="separate"/>
        </w:r>
        <w:r>
          <w:t>24</w:t>
        </w:r>
        <w:r>
          <w:fldChar w:fldCharType="end"/>
        </w:r>
      </w:hyperlink>
    </w:p>
    <w:p w:rsidR="00000000" w:rsidRDefault="00000000">
      <w:pPr>
        <w:pStyle w:val="TOC1"/>
        <w:suppressAutoHyphens/>
        <w:spacing w:before="0" w:after="0"/>
        <w:ind w:left="1701" w:right="2835"/>
        <w:rPr>
          <w:caps w:val="0"/>
          <w:sz w:val="24"/>
        </w:rPr>
      </w:pPr>
      <w:hyperlink w:anchor="_Toc97786655" w:history="1">
        <w:r>
          <w:rPr>
            <w:rStyle w:val="Hyperlink"/>
            <w:caps w:val="0"/>
            <w:color w:val="auto"/>
          </w:rPr>
          <w:t>Рекомендация 239</w:t>
        </w:r>
        <w:r>
          <w:rPr>
            <w:caps w:val="0"/>
          </w:rPr>
          <w:tab/>
        </w:r>
        <w:r>
          <w:fldChar w:fldCharType="begin"/>
        </w:r>
        <w:r>
          <w:instrText xml:space="preserve"> PAGEREF _Toc97786655 \h </w:instrText>
        </w:r>
        <w:r>
          <w:fldChar w:fldCharType="separate"/>
        </w:r>
        <w:r>
          <w:t>24</w:t>
        </w:r>
        <w:r>
          <w:fldChar w:fldCharType="end"/>
        </w:r>
      </w:hyperlink>
    </w:p>
    <w:p w:rsidR="00000000" w:rsidRDefault="00000000">
      <w:pPr>
        <w:pStyle w:val="TOC1"/>
        <w:suppressAutoHyphens/>
        <w:spacing w:before="0" w:after="0"/>
        <w:ind w:left="1701" w:right="2835"/>
        <w:rPr>
          <w:caps w:val="0"/>
          <w:sz w:val="24"/>
        </w:rPr>
      </w:pPr>
      <w:hyperlink w:anchor="_Toc97786656" w:history="1">
        <w:r>
          <w:rPr>
            <w:rStyle w:val="Hyperlink"/>
            <w:caps w:val="0"/>
            <w:color w:val="auto"/>
          </w:rPr>
          <w:t>Рекомендация 240</w:t>
        </w:r>
        <w:r>
          <w:rPr>
            <w:caps w:val="0"/>
          </w:rPr>
          <w:tab/>
        </w:r>
        <w:r>
          <w:fldChar w:fldCharType="begin"/>
        </w:r>
        <w:r>
          <w:instrText xml:space="preserve"> PAGEREF _Toc97786656 \h </w:instrText>
        </w:r>
        <w:r>
          <w:fldChar w:fldCharType="separate"/>
        </w:r>
        <w:r>
          <w:t>25</w:t>
        </w:r>
        <w:r>
          <w:fldChar w:fldCharType="end"/>
        </w:r>
      </w:hyperlink>
    </w:p>
    <w:p w:rsidR="00000000" w:rsidRDefault="00000000">
      <w:pPr>
        <w:pStyle w:val="TOC1"/>
        <w:suppressAutoHyphens/>
        <w:spacing w:before="0" w:after="0"/>
        <w:ind w:left="1701" w:right="2835"/>
        <w:rPr>
          <w:caps w:val="0"/>
          <w:sz w:val="24"/>
        </w:rPr>
      </w:pPr>
      <w:hyperlink w:anchor="_Toc97786657" w:history="1">
        <w:r>
          <w:rPr>
            <w:rStyle w:val="Hyperlink"/>
            <w:caps w:val="0"/>
            <w:color w:val="auto"/>
          </w:rPr>
          <w:t>Рекомендация 241</w:t>
        </w:r>
        <w:r>
          <w:rPr>
            <w:caps w:val="0"/>
          </w:rPr>
          <w:tab/>
        </w:r>
        <w:r>
          <w:fldChar w:fldCharType="begin"/>
        </w:r>
        <w:r>
          <w:instrText xml:space="preserve"> PAGEREF _Toc97786657 \h </w:instrText>
        </w:r>
        <w:r>
          <w:fldChar w:fldCharType="separate"/>
        </w:r>
        <w:r>
          <w:t>25</w:t>
        </w:r>
        <w:r>
          <w:fldChar w:fldCharType="end"/>
        </w:r>
      </w:hyperlink>
    </w:p>
    <w:p w:rsidR="00000000" w:rsidRDefault="00000000">
      <w:pPr>
        <w:pStyle w:val="TOC1"/>
        <w:suppressAutoHyphens/>
        <w:spacing w:before="0" w:after="0"/>
        <w:ind w:left="1701" w:right="2835"/>
        <w:rPr>
          <w:caps w:val="0"/>
          <w:sz w:val="24"/>
        </w:rPr>
      </w:pPr>
      <w:hyperlink w:anchor="_Toc97786658" w:history="1">
        <w:r>
          <w:rPr>
            <w:rStyle w:val="Hyperlink"/>
            <w:caps w:val="0"/>
            <w:color w:val="auto"/>
          </w:rPr>
          <w:t>Рекомендация 243</w:t>
        </w:r>
        <w:r>
          <w:rPr>
            <w:caps w:val="0"/>
          </w:rPr>
          <w:tab/>
        </w:r>
        <w:r>
          <w:fldChar w:fldCharType="begin"/>
        </w:r>
        <w:r>
          <w:instrText xml:space="preserve"> PAGEREF _Toc97786658 \h </w:instrText>
        </w:r>
        <w:r>
          <w:fldChar w:fldCharType="separate"/>
        </w:r>
        <w:r>
          <w:t>26</w:t>
        </w:r>
        <w:r>
          <w:fldChar w:fldCharType="end"/>
        </w:r>
      </w:hyperlink>
    </w:p>
    <w:p w:rsidR="00000000" w:rsidRDefault="00000000">
      <w:pPr>
        <w:pStyle w:val="TOC1"/>
        <w:tabs>
          <w:tab w:val="left" w:pos="1701"/>
        </w:tabs>
        <w:suppressAutoHyphens/>
        <w:spacing w:after="0"/>
        <w:ind w:right="2835"/>
        <w:rPr>
          <w:b/>
          <w:caps w:val="0"/>
          <w:sz w:val="24"/>
        </w:rPr>
      </w:pPr>
      <w:hyperlink w:anchor="_Toc97786659" w:history="1">
        <w:r>
          <w:rPr>
            <w:rStyle w:val="Hyperlink"/>
            <w:b/>
            <w:caps w:val="0"/>
            <w:color w:val="auto"/>
          </w:rPr>
          <w:t>2.</w:t>
        </w:r>
        <w:r>
          <w:rPr>
            <w:b/>
            <w:caps w:val="0"/>
            <w:sz w:val="24"/>
          </w:rPr>
          <w:tab/>
        </w:r>
        <w:r>
          <w:rPr>
            <w:rStyle w:val="Hyperlink"/>
            <w:b/>
            <w:caps w:val="0"/>
            <w:color w:val="auto"/>
          </w:rPr>
          <w:t>Осуществление Конвенции</w:t>
        </w:r>
        <w:r>
          <w:rPr>
            <w:b/>
            <w:caps w:val="0"/>
          </w:rPr>
          <w:tab/>
        </w:r>
        <w:r>
          <w:rPr>
            <w:b/>
          </w:rPr>
          <w:fldChar w:fldCharType="begin"/>
        </w:r>
        <w:r>
          <w:rPr>
            <w:b/>
          </w:rPr>
          <w:instrText xml:space="preserve"> PAGEREF _Toc97786659 \h </w:instrText>
        </w:r>
        <w:r>
          <w:rPr>
            <w:b/>
          </w:rPr>
        </w:r>
        <w:r>
          <w:rPr>
            <w:b/>
          </w:rPr>
          <w:fldChar w:fldCharType="separate"/>
        </w:r>
        <w:r>
          <w:rPr>
            <w:b/>
          </w:rPr>
          <w:t>27</w:t>
        </w:r>
        <w:r>
          <w:rPr>
            <w:b/>
          </w:rPr>
          <w:fldChar w:fldCharType="end"/>
        </w:r>
      </w:hyperlink>
    </w:p>
    <w:p w:rsidR="00000000" w:rsidRDefault="00000000">
      <w:pPr>
        <w:pStyle w:val="TOC1"/>
        <w:suppressAutoHyphens/>
        <w:spacing w:after="0"/>
        <w:ind w:left="1701" w:right="2835"/>
        <w:rPr>
          <w:b/>
          <w:caps w:val="0"/>
          <w:sz w:val="24"/>
        </w:rPr>
      </w:pPr>
      <w:hyperlink w:anchor="_Toc97786660" w:history="1">
        <w:r>
          <w:rPr>
            <w:rStyle w:val="Hyperlink"/>
            <w:b/>
            <w:caps w:val="0"/>
            <w:color w:val="auto"/>
          </w:rPr>
          <w:t>Статья 2</w:t>
        </w:r>
        <w:r>
          <w:rPr>
            <w:b/>
            <w:caps w:val="0"/>
          </w:rPr>
          <w:tab/>
        </w:r>
        <w:r>
          <w:rPr>
            <w:b/>
          </w:rPr>
          <w:fldChar w:fldCharType="begin"/>
        </w:r>
        <w:r>
          <w:rPr>
            <w:b/>
          </w:rPr>
          <w:instrText xml:space="preserve"> PAGEREF _Toc97786660 \h </w:instrText>
        </w:r>
        <w:r>
          <w:rPr>
            <w:b/>
          </w:rPr>
        </w:r>
        <w:r>
          <w:rPr>
            <w:b/>
          </w:rPr>
          <w:fldChar w:fldCharType="separate"/>
        </w:r>
        <w:r>
          <w:rPr>
            <w:b/>
          </w:rPr>
          <w:t>27</w:t>
        </w:r>
        <w:r>
          <w:rPr>
            <w:b/>
          </w:rPr>
          <w:fldChar w:fldCharType="end"/>
        </w:r>
      </w:hyperlink>
    </w:p>
    <w:p w:rsidR="00000000" w:rsidRDefault="00000000">
      <w:pPr>
        <w:pStyle w:val="TOC2"/>
        <w:suppressAutoHyphens/>
        <w:spacing w:before="0"/>
        <w:ind w:left="1985" w:right="2835"/>
        <w:jc w:val="left"/>
        <w:rPr>
          <w:b/>
          <w:sz w:val="24"/>
        </w:rPr>
      </w:pPr>
      <w:hyperlink w:anchor="_Toc97786661" w:history="1">
        <w:r>
          <w:rPr>
            <w:rStyle w:val="Hyperlink"/>
            <w:b/>
            <w:color w:val="auto"/>
          </w:rPr>
          <w:t>Статья 2, пункт а)</w:t>
        </w:r>
        <w:r>
          <w:rPr>
            <w:b/>
          </w:rPr>
          <w:tab/>
        </w:r>
        <w:r>
          <w:rPr>
            <w:b/>
          </w:rPr>
          <w:fldChar w:fldCharType="begin"/>
        </w:r>
        <w:r>
          <w:rPr>
            <w:b/>
          </w:rPr>
          <w:instrText xml:space="preserve"> PAGEREF _Toc97786661 \h </w:instrText>
        </w:r>
        <w:r>
          <w:rPr>
            <w:b/>
          </w:rPr>
        </w:r>
        <w:r>
          <w:rPr>
            <w:b/>
          </w:rPr>
          <w:fldChar w:fldCharType="separate"/>
        </w:r>
        <w:r>
          <w:rPr>
            <w:b/>
          </w:rPr>
          <w:t>28</w:t>
        </w:r>
        <w:r>
          <w:rPr>
            <w:b/>
          </w:rPr>
          <w:fldChar w:fldCharType="end"/>
        </w:r>
      </w:hyperlink>
    </w:p>
    <w:p w:rsidR="00000000" w:rsidRDefault="00000000">
      <w:pPr>
        <w:pStyle w:val="TOC2"/>
        <w:suppressAutoHyphens/>
        <w:spacing w:before="0"/>
        <w:ind w:left="1985" w:right="2835"/>
        <w:jc w:val="left"/>
        <w:rPr>
          <w:sz w:val="24"/>
        </w:rPr>
      </w:pPr>
      <w:hyperlink w:anchor="_Toc97786662" w:history="1">
        <w:r>
          <w:rPr>
            <w:rStyle w:val="Hyperlink"/>
            <w:color w:val="auto"/>
          </w:rPr>
          <w:t>Поправки к законодательным актам провинций по вопросам равного обращения</w:t>
        </w:r>
        <w:r>
          <w:tab/>
        </w:r>
        <w:r>
          <w:fldChar w:fldCharType="begin"/>
        </w:r>
        <w:r>
          <w:instrText xml:space="preserve"> PAGEREF _Toc97786662 \h </w:instrText>
        </w:r>
        <w:r>
          <w:fldChar w:fldCharType="separate"/>
        </w:r>
        <w:r>
          <w:t>28</w:t>
        </w:r>
        <w:r>
          <w:fldChar w:fldCharType="end"/>
        </w:r>
      </w:hyperlink>
    </w:p>
    <w:p w:rsidR="00000000" w:rsidRDefault="00000000">
      <w:pPr>
        <w:pStyle w:val="TOC2"/>
        <w:suppressAutoHyphens/>
        <w:spacing w:before="0"/>
        <w:ind w:left="1985" w:right="2835"/>
        <w:jc w:val="left"/>
        <w:rPr>
          <w:b/>
          <w:sz w:val="24"/>
        </w:rPr>
      </w:pPr>
      <w:hyperlink w:anchor="_Toc97786663" w:history="1">
        <w:r>
          <w:rPr>
            <w:rStyle w:val="Hyperlink"/>
            <w:b/>
            <w:color w:val="auto"/>
          </w:rPr>
          <w:t>Статья 2, пункты b)–f)</w:t>
        </w:r>
        <w:r>
          <w:rPr>
            <w:b/>
          </w:rPr>
          <w:tab/>
        </w:r>
        <w:r>
          <w:rPr>
            <w:b/>
          </w:rPr>
          <w:fldChar w:fldCharType="begin"/>
        </w:r>
        <w:r>
          <w:rPr>
            <w:b/>
          </w:rPr>
          <w:instrText xml:space="preserve"> PAGEREF _Toc97786663 \h </w:instrText>
        </w:r>
        <w:r>
          <w:rPr>
            <w:b/>
          </w:rPr>
        </w:r>
        <w:r>
          <w:rPr>
            <w:b/>
          </w:rPr>
          <w:fldChar w:fldCharType="separate"/>
        </w:r>
        <w:r>
          <w:rPr>
            <w:b/>
          </w:rPr>
          <w:t>29</w:t>
        </w:r>
        <w:r>
          <w:rPr>
            <w:b/>
          </w:rPr>
          <w:fldChar w:fldCharType="end"/>
        </w:r>
      </w:hyperlink>
    </w:p>
    <w:p w:rsidR="00000000" w:rsidRDefault="00000000">
      <w:pPr>
        <w:pStyle w:val="TOC2"/>
        <w:suppressAutoHyphens/>
        <w:spacing w:before="0"/>
        <w:ind w:left="1985" w:right="2835"/>
        <w:jc w:val="left"/>
        <w:rPr>
          <w:sz w:val="24"/>
        </w:rPr>
      </w:pPr>
      <w:hyperlink w:anchor="_Toc97786664" w:history="1">
        <w:r>
          <w:rPr>
            <w:rStyle w:val="Hyperlink"/>
            <w:color w:val="auto"/>
          </w:rPr>
          <w:t>Осуществление европей</w:t>
        </w:r>
        <w:r>
          <w:rPr>
            <w:rStyle w:val="Hyperlink"/>
            <w:color w:val="auto"/>
          </w:rPr>
          <w:t>с</w:t>
        </w:r>
        <w:r>
          <w:rPr>
            <w:rStyle w:val="Hyperlink"/>
            <w:color w:val="auto"/>
          </w:rPr>
          <w:t>кого законодательства</w:t>
        </w:r>
        <w:r>
          <w:tab/>
        </w:r>
        <w:r>
          <w:fldChar w:fldCharType="begin"/>
        </w:r>
        <w:r>
          <w:instrText xml:space="preserve"> PAGEREF _Toc97786664 \h </w:instrText>
        </w:r>
        <w:r>
          <w:fldChar w:fldCharType="separate"/>
        </w:r>
        <w:r>
          <w:t>30</w:t>
        </w:r>
        <w:r>
          <w:fldChar w:fldCharType="end"/>
        </w:r>
      </w:hyperlink>
    </w:p>
    <w:p w:rsidR="00000000" w:rsidRDefault="00000000">
      <w:pPr>
        <w:pStyle w:val="TOC2"/>
        <w:suppressAutoHyphens/>
        <w:spacing w:before="0"/>
        <w:ind w:left="1985" w:right="2835"/>
        <w:jc w:val="left"/>
        <w:rPr>
          <w:b/>
          <w:sz w:val="24"/>
        </w:rPr>
      </w:pPr>
      <w:hyperlink w:anchor="_Toc97786665" w:history="1">
        <w:r>
          <w:rPr>
            <w:rStyle w:val="Hyperlink"/>
            <w:b/>
            <w:color w:val="auto"/>
          </w:rPr>
          <w:t>Статья 2, пункт е)</w:t>
        </w:r>
        <w:r>
          <w:rPr>
            <w:b/>
          </w:rPr>
          <w:tab/>
        </w:r>
        <w:r>
          <w:rPr>
            <w:b/>
          </w:rPr>
          <w:fldChar w:fldCharType="begin"/>
        </w:r>
        <w:r>
          <w:rPr>
            <w:b/>
          </w:rPr>
          <w:instrText xml:space="preserve"> PAGEREF _Toc97786665 \h </w:instrText>
        </w:r>
        <w:r>
          <w:rPr>
            <w:b/>
          </w:rPr>
        </w:r>
        <w:r>
          <w:rPr>
            <w:b/>
          </w:rPr>
          <w:fldChar w:fldCharType="separate"/>
        </w:r>
        <w:r>
          <w:rPr>
            <w:b/>
          </w:rPr>
          <w:t>30</w:t>
        </w:r>
        <w:r>
          <w:rPr>
            <w:b/>
          </w:rPr>
          <w:fldChar w:fldCharType="end"/>
        </w:r>
      </w:hyperlink>
    </w:p>
    <w:p w:rsidR="00000000" w:rsidRDefault="00000000">
      <w:pPr>
        <w:pStyle w:val="TOC2"/>
        <w:suppressAutoHyphens/>
        <w:spacing w:before="0"/>
        <w:ind w:left="1985" w:right="2835"/>
        <w:jc w:val="left"/>
        <w:rPr>
          <w:b/>
          <w:sz w:val="24"/>
        </w:rPr>
      </w:pPr>
      <w:hyperlink w:anchor="_Toc97786666" w:history="1">
        <w:r>
          <w:rPr>
            <w:rStyle w:val="Hyperlink"/>
            <w:b/>
            <w:color w:val="auto"/>
          </w:rPr>
          <w:t>Статья 2, пункт g)</w:t>
        </w:r>
        <w:r>
          <w:rPr>
            <w:b/>
          </w:rPr>
          <w:tab/>
        </w:r>
        <w:r>
          <w:rPr>
            <w:b/>
          </w:rPr>
          <w:fldChar w:fldCharType="begin"/>
        </w:r>
        <w:r>
          <w:rPr>
            <w:b/>
          </w:rPr>
          <w:instrText xml:space="preserve"> PAGEREF _Toc97786666 \h </w:instrText>
        </w:r>
        <w:r>
          <w:rPr>
            <w:b/>
          </w:rPr>
        </w:r>
        <w:r>
          <w:rPr>
            <w:b/>
          </w:rPr>
          <w:fldChar w:fldCharType="separate"/>
        </w:r>
        <w:r>
          <w:rPr>
            <w:b/>
          </w:rPr>
          <w:t>31</w:t>
        </w:r>
        <w:r>
          <w:rPr>
            <w:b/>
          </w:rPr>
          <w:fldChar w:fldCharType="end"/>
        </w:r>
      </w:hyperlink>
    </w:p>
    <w:p w:rsidR="00000000" w:rsidRDefault="00000000">
      <w:pPr>
        <w:pStyle w:val="TOC2"/>
        <w:suppressAutoHyphens/>
        <w:spacing w:before="0"/>
        <w:ind w:left="1985" w:right="2835"/>
        <w:jc w:val="left"/>
        <w:rPr>
          <w:sz w:val="24"/>
        </w:rPr>
      </w:pPr>
      <w:hyperlink w:anchor="_Toc97786667" w:history="1">
        <w:r>
          <w:rPr>
            <w:rStyle w:val="Hyperlink"/>
            <w:color w:val="auto"/>
          </w:rPr>
          <w:t>Уголовное законодательство и судопроизводство в отношении половых преступлений</w:t>
        </w:r>
        <w:r>
          <w:tab/>
        </w:r>
        <w:r>
          <w:fldChar w:fldCharType="begin"/>
        </w:r>
        <w:r>
          <w:instrText xml:space="preserve"> PAGEREF _Toc97786667 \h </w:instrText>
        </w:r>
        <w:r>
          <w:fldChar w:fldCharType="separate"/>
        </w:r>
        <w:r>
          <w:t>31</w:t>
        </w:r>
        <w:r>
          <w:fldChar w:fldCharType="end"/>
        </w:r>
      </w:hyperlink>
    </w:p>
    <w:p w:rsidR="00000000" w:rsidRDefault="00000000">
      <w:pPr>
        <w:pStyle w:val="TOC2"/>
        <w:suppressAutoHyphens/>
        <w:spacing w:before="0"/>
        <w:ind w:left="1985" w:right="2835"/>
        <w:jc w:val="left"/>
        <w:rPr>
          <w:sz w:val="24"/>
        </w:rPr>
      </w:pPr>
      <w:hyperlink w:anchor="_Toc97786668" w:history="1">
        <w:r>
          <w:rPr>
            <w:rStyle w:val="Hyperlink"/>
            <w:color w:val="auto"/>
          </w:rPr>
          <w:t>Помощь потерпевшим в процессе уголовного судопроизводства</w:t>
        </w:r>
        <w:r>
          <w:tab/>
        </w:r>
        <w:r>
          <w:fldChar w:fldCharType="begin"/>
        </w:r>
        <w:r>
          <w:instrText xml:space="preserve"> PAGEREF _Toc97786668 \h </w:instrText>
        </w:r>
        <w:r>
          <w:fldChar w:fldCharType="separate"/>
        </w:r>
        <w:r>
          <w:t>32</w:t>
        </w:r>
        <w:r>
          <w:fldChar w:fldCharType="end"/>
        </w:r>
      </w:hyperlink>
    </w:p>
    <w:p w:rsidR="00000000" w:rsidRDefault="00000000">
      <w:pPr>
        <w:pStyle w:val="TOC2"/>
        <w:suppressAutoHyphens/>
        <w:spacing w:before="0"/>
        <w:ind w:left="1985" w:right="2835"/>
        <w:jc w:val="left"/>
        <w:rPr>
          <w:sz w:val="24"/>
        </w:rPr>
      </w:pPr>
      <w:hyperlink w:anchor="_Toc97786669" w:history="1">
        <w:r>
          <w:rPr>
            <w:rStyle w:val="Hyperlink"/>
            <w:color w:val="auto"/>
          </w:rPr>
          <w:t>Федеральный закон о защите от насилия в семье</w:t>
        </w:r>
        <w:r>
          <w:tab/>
        </w:r>
        <w:r>
          <w:fldChar w:fldCharType="begin"/>
        </w:r>
        <w:r>
          <w:instrText xml:space="preserve"> PAGEREF _Toc97786669 \h </w:instrText>
        </w:r>
        <w:r>
          <w:fldChar w:fldCharType="separate"/>
        </w:r>
        <w:r>
          <w:t>32</w:t>
        </w:r>
        <w:r>
          <w:fldChar w:fldCharType="end"/>
        </w:r>
      </w:hyperlink>
    </w:p>
    <w:p w:rsidR="00000000" w:rsidRDefault="00000000">
      <w:pPr>
        <w:pStyle w:val="TOC2"/>
        <w:suppressAutoHyphens/>
        <w:spacing w:before="0"/>
        <w:ind w:left="1985" w:right="2835"/>
        <w:jc w:val="left"/>
        <w:rPr>
          <w:sz w:val="24"/>
        </w:rPr>
      </w:pPr>
      <w:hyperlink w:anchor="_Toc97786670" w:history="1">
        <w:r>
          <w:rPr>
            <w:rStyle w:val="Hyperlink"/>
            <w:color w:val="auto"/>
          </w:rPr>
          <w:t>Причинение увечий женским половым органам</w:t>
        </w:r>
        <w:r>
          <w:tab/>
        </w:r>
        <w:r>
          <w:fldChar w:fldCharType="begin"/>
        </w:r>
        <w:r>
          <w:instrText xml:space="preserve"> PAGEREF _Toc97786670 \h </w:instrText>
        </w:r>
        <w:r>
          <w:fldChar w:fldCharType="separate"/>
        </w:r>
        <w:r>
          <w:t>33</w:t>
        </w:r>
        <w:r>
          <w:fldChar w:fldCharType="end"/>
        </w:r>
      </w:hyperlink>
    </w:p>
    <w:p w:rsidR="00000000" w:rsidRDefault="00000000">
      <w:pPr>
        <w:pStyle w:val="TOC2"/>
        <w:suppressAutoHyphens/>
        <w:spacing w:before="0"/>
        <w:ind w:left="1985" w:right="2835"/>
        <w:jc w:val="left"/>
        <w:rPr>
          <w:sz w:val="24"/>
        </w:rPr>
      </w:pPr>
      <w:hyperlink w:anchor="_Toc97786671" w:history="1">
        <w:r>
          <w:rPr>
            <w:rStyle w:val="Hyperlink"/>
            <w:color w:val="auto"/>
          </w:rPr>
          <w:t>Ужесточение наказаний за половые преступления</w:t>
        </w:r>
        <w:r>
          <w:tab/>
        </w:r>
        <w:r>
          <w:fldChar w:fldCharType="begin"/>
        </w:r>
        <w:r>
          <w:instrText xml:space="preserve"> PAGEREF _Toc97786671 \h </w:instrText>
        </w:r>
        <w:r>
          <w:fldChar w:fldCharType="separate"/>
        </w:r>
        <w:r>
          <w:t>33</w:t>
        </w:r>
        <w:r>
          <w:fldChar w:fldCharType="end"/>
        </w:r>
      </w:hyperlink>
    </w:p>
    <w:p w:rsidR="00000000" w:rsidRDefault="00000000">
      <w:pPr>
        <w:pStyle w:val="TOC2"/>
        <w:suppressAutoHyphens/>
        <w:spacing w:before="0"/>
        <w:ind w:left="1985" w:right="2835"/>
        <w:jc w:val="left"/>
        <w:rPr>
          <w:sz w:val="24"/>
        </w:rPr>
      </w:pPr>
      <w:hyperlink w:anchor="_Toc97786672" w:history="1">
        <w:r>
          <w:rPr>
            <w:rStyle w:val="Hyperlink"/>
            <w:color w:val="auto"/>
          </w:rPr>
          <w:t>Закон 2004 года о внесении поправок в Уголовный кодекс</w:t>
        </w:r>
        <w:r>
          <w:tab/>
        </w:r>
        <w:r>
          <w:fldChar w:fldCharType="begin"/>
        </w:r>
        <w:r>
          <w:instrText xml:space="preserve"> PAGEREF _Toc97786672 \h </w:instrText>
        </w:r>
        <w:r>
          <w:fldChar w:fldCharType="separate"/>
        </w:r>
        <w:r>
          <w:t>33</w:t>
        </w:r>
        <w:r>
          <w:fldChar w:fldCharType="end"/>
        </w:r>
      </w:hyperlink>
    </w:p>
    <w:p w:rsidR="00000000" w:rsidRDefault="00000000">
      <w:pPr>
        <w:pStyle w:val="TOC1"/>
        <w:suppressAutoHyphens/>
        <w:spacing w:before="0" w:after="0"/>
        <w:ind w:left="1701" w:right="2835"/>
        <w:rPr>
          <w:b/>
          <w:caps w:val="0"/>
          <w:sz w:val="24"/>
        </w:rPr>
      </w:pPr>
      <w:hyperlink w:anchor="_Toc97786673" w:history="1">
        <w:r>
          <w:rPr>
            <w:rStyle w:val="Hyperlink"/>
            <w:b/>
            <w:caps w:val="0"/>
            <w:color w:val="auto"/>
          </w:rPr>
          <w:t>Статья 3</w:t>
        </w:r>
        <w:r>
          <w:rPr>
            <w:b/>
            <w:caps w:val="0"/>
          </w:rPr>
          <w:tab/>
        </w:r>
        <w:r>
          <w:rPr>
            <w:b/>
          </w:rPr>
          <w:fldChar w:fldCharType="begin"/>
        </w:r>
        <w:r>
          <w:rPr>
            <w:b/>
          </w:rPr>
          <w:instrText xml:space="preserve"> PAGEREF _Toc97786673 \h </w:instrText>
        </w:r>
        <w:r>
          <w:rPr>
            <w:b/>
          </w:rPr>
        </w:r>
        <w:r>
          <w:rPr>
            <w:b/>
          </w:rPr>
          <w:fldChar w:fldCharType="separate"/>
        </w:r>
        <w:r>
          <w:rPr>
            <w:b/>
          </w:rPr>
          <w:t>34</w:t>
        </w:r>
        <w:r>
          <w:rPr>
            <w:b/>
          </w:rPr>
          <w:fldChar w:fldCharType="end"/>
        </w:r>
      </w:hyperlink>
    </w:p>
    <w:p w:rsidR="00000000" w:rsidRDefault="00000000">
      <w:pPr>
        <w:pStyle w:val="TOC2"/>
        <w:suppressAutoHyphens/>
        <w:spacing w:before="0"/>
        <w:ind w:left="1985" w:right="2835"/>
        <w:jc w:val="left"/>
        <w:rPr>
          <w:sz w:val="24"/>
        </w:rPr>
      </w:pPr>
      <w:hyperlink w:anchor="_Toc97786674" w:history="1">
        <w:r>
          <w:rPr>
            <w:rStyle w:val="Hyperlink"/>
            <w:color w:val="auto"/>
          </w:rPr>
          <w:t>Законодательство</w:t>
        </w:r>
        <w:r>
          <w:tab/>
        </w:r>
        <w:r>
          <w:fldChar w:fldCharType="begin"/>
        </w:r>
        <w:r>
          <w:instrText xml:space="preserve"> PAGEREF _Toc97786674 \h </w:instrText>
        </w:r>
        <w:r>
          <w:fldChar w:fldCharType="separate"/>
        </w:r>
        <w:r>
          <w:t>34</w:t>
        </w:r>
        <w:r>
          <w:fldChar w:fldCharType="end"/>
        </w:r>
      </w:hyperlink>
    </w:p>
    <w:p w:rsidR="00000000" w:rsidRDefault="00000000">
      <w:pPr>
        <w:pStyle w:val="TOC2"/>
        <w:suppressAutoHyphens/>
        <w:spacing w:before="0"/>
        <w:ind w:left="1985" w:right="2835"/>
        <w:jc w:val="left"/>
        <w:rPr>
          <w:sz w:val="24"/>
        </w:rPr>
      </w:pPr>
      <w:hyperlink w:anchor="_Toc97786675" w:history="1">
        <w:r>
          <w:rPr>
            <w:rStyle w:val="Hyperlink"/>
            <w:color w:val="auto"/>
          </w:rPr>
          <w:t>Искусство</w:t>
        </w:r>
        <w:r>
          <w:tab/>
        </w:r>
        <w:r>
          <w:fldChar w:fldCharType="begin"/>
        </w:r>
        <w:r>
          <w:instrText xml:space="preserve"> PAGEREF _Toc97786675 \h </w:instrText>
        </w:r>
        <w:r>
          <w:fldChar w:fldCharType="separate"/>
        </w:r>
        <w:r>
          <w:t>34</w:t>
        </w:r>
        <w:r>
          <w:fldChar w:fldCharType="end"/>
        </w:r>
      </w:hyperlink>
    </w:p>
    <w:p w:rsidR="00000000" w:rsidRDefault="00000000">
      <w:pPr>
        <w:pStyle w:val="TOC2"/>
        <w:suppressAutoHyphens/>
        <w:spacing w:before="0"/>
        <w:ind w:left="1985" w:right="2835"/>
        <w:jc w:val="left"/>
        <w:rPr>
          <w:sz w:val="24"/>
        </w:rPr>
      </w:pPr>
      <w:hyperlink w:anchor="_Toc97786676" w:history="1">
        <w:r>
          <w:rPr>
            <w:rStyle w:val="Hyperlink"/>
            <w:color w:val="auto"/>
          </w:rPr>
          <w:t>Территориальное планирование и региональная политика</w:t>
        </w:r>
        <w:r>
          <w:tab/>
        </w:r>
        <w:r>
          <w:fldChar w:fldCharType="begin"/>
        </w:r>
        <w:r>
          <w:instrText xml:space="preserve"> PAGEREF _Toc97786676 \h </w:instrText>
        </w:r>
        <w:r>
          <w:fldChar w:fldCharType="separate"/>
        </w:r>
        <w:r>
          <w:t>36</w:t>
        </w:r>
        <w:r>
          <w:fldChar w:fldCharType="end"/>
        </w:r>
      </w:hyperlink>
    </w:p>
    <w:p w:rsidR="00000000" w:rsidRDefault="00000000">
      <w:pPr>
        <w:pStyle w:val="TOC2"/>
        <w:suppressAutoHyphens/>
        <w:spacing w:before="0"/>
        <w:ind w:left="1985" w:right="2835"/>
        <w:jc w:val="left"/>
        <w:rPr>
          <w:sz w:val="24"/>
        </w:rPr>
      </w:pPr>
      <w:hyperlink w:anchor="_Toc97786677" w:history="1">
        <w:r>
          <w:rPr>
            <w:rStyle w:val="Hyperlink"/>
            <w:color w:val="auto"/>
          </w:rPr>
          <w:t>Меры по улучшению положения женщин в контексте осуществляемого Австрией сотрудничества в целях развития</w:t>
        </w:r>
        <w:r>
          <w:tab/>
        </w:r>
        <w:r>
          <w:fldChar w:fldCharType="begin"/>
        </w:r>
        <w:r>
          <w:instrText xml:space="preserve"> PAGEREF _Toc97786677 \h </w:instrText>
        </w:r>
        <w:r>
          <w:fldChar w:fldCharType="separate"/>
        </w:r>
        <w:r>
          <w:t>36</w:t>
        </w:r>
        <w:r>
          <w:fldChar w:fldCharType="end"/>
        </w:r>
      </w:hyperlink>
    </w:p>
    <w:p w:rsidR="00000000" w:rsidRDefault="00000000">
      <w:pPr>
        <w:pStyle w:val="TOC1"/>
        <w:suppressAutoHyphens/>
        <w:spacing w:before="0" w:after="0"/>
        <w:ind w:left="1701" w:right="2835"/>
        <w:rPr>
          <w:b/>
          <w:caps w:val="0"/>
          <w:sz w:val="24"/>
        </w:rPr>
      </w:pPr>
      <w:hyperlink w:anchor="_Toc97786678" w:history="1">
        <w:r>
          <w:rPr>
            <w:rStyle w:val="Hyperlink"/>
            <w:b/>
            <w:caps w:val="0"/>
            <w:color w:val="auto"/>
          </w:rPr>
          <w:t>Статья 4</w:t>
        </w:r>
        <w:r>
          <w:rPr>
            <w:b/>
            <w:caps w:val="0"/>
          </w:rPr>
          <w:tab/>
        </w:r>
        <w:r>
          <w:rPr>
            <w:b/>
          </w:rPr>
          <w:fldChar w:fldCharType="begin"/>
        </w:r>
        <w:r>
          <w:rPr>
            <w:b/>
          </w:rPr>
          <w:instrText xml:space="preserve"> PAGEREF _Toc97786678 \h </w:instrText>
        </w:r>
        <w:r>
          <w:rPr>
            <w:b/>
          </w:rPr>
        </w:r>
        <w:r>
          <w:rPr>
            <w:b/>
          </w:rPr>
          <w:fldChar w:fldCharType="separate"/>
        </w:r>
        <w:r>
          <w:rPr>
            <w:b/>
          </w:rPr>
          <w:t>38</w:t>
        </w:r>
        <w:r>
          <w:rPr>
            <w:b/>
          </w:rPr>
          <w:fldChar w:fldCharType="end"/>
        </w:r>
      </w:hyperlink>
    </w:p>
    <w:p w:rsidR="00000000" w:rsidRDefault="00000000">
      <w:pPr>
        <w:pStyle w:val="TOC2"/>
        <w:suppressAutoHyphens/>
        <w:spacing w:before="0"/>
        <w:ind w:right="2835"/>
        <w:jc w:val="left"/>
        <w:rPr>
          <w:b/>
          <w:sz w:val="24"/>
        </w:rPr>
      </w:pPr>
      <w:hyperlink w:anchor="_Toc97786679" w:history="1">
        <w:r>
          <w:rPr>
            <w:rStyle w:val="Hyperlink"/>
            <w:b/>
            <w:color w:val="auto"/>
          </w:rPr>
          <w:t>Статья 4, пункт 1</w:t>
        </w:r>
        <w:r>
          <w:rPr>
            <w:b/>
          </w:rPr>
          <w:tab/>
        </w:r>
        <w:r>
          <w:rPr>
            <w:b/>
          </w:rPr>
          <w:fldChar w:fldCharType="begin"/>
        </w:r>
        <w:r>
          <w:rPr>
            <w:b/>
          </w:rPr>
          <w:instrText xml:space="preserve"> PAGEREF _Toc97786679 \h </w:instrText>
        </w:r>
        <w:r>
          <w:rPr>
            <w:b/>
          </w:rPr>
        </w:r>
        <w:r>
          <w:rPr>
            <w:b/>
          </w:rPr>
          <w:fldChar w:fldCharType="separate"/>
        </w:r>
        <w:r>
          <w:rPr>
            <w:b/>
          </w:rPr>
          <w:t>38</w:t>
        </w:r>
        <w:r>
          <w:rPr>
            <w:b/>
          </w:rPr>
          <w:fldChar w:fldCharType="end"/>
        </w:r>
      </w:hyperlink>
    </w:p>
    <w:p w:rsidR="00000000" w:rsidRDefault="00000000">
      <w:pPr>
        <w:pStyle w:val="TOC2"/>
        <w:suppressAutoHyphens/>
        <w:spacing w:before="0"/>
        <w:ind w:left="1985" w:right="2835"/>
        <w:jc w:val="left"/>
        <w:rPr>
          <w:sz w:val="24"/>
        </w:rPr>
      </w:pPr>
      <w:hyperlink w:anchor="_Toc97786680" w:history="1">
        <w:r>
          <w:rPr>
            <w:rStyle w:val="Hyperlink"/>
            <w:color w:val="auto"/>
          </w:rPr>
          <w:t>Планы по улучшению положения женщин</w:t>
        </w:r>
        <w:r>
          <w:tab/>
        </w:r>
        <w:r>
          <w:fldChar w:fldCharType="begin"/>
        </w:r>
        <w:r>
          <w:instrText xml:space="preserve"> PAGEREF _Toc97786680 \h </w:instrText>
        </w:r>
        <w:r>
          <w:fldChar w:fldCharType="separate"/>
        </w:r>
        <w:r>
          <w:t>38</w:t>
        </w:r>
        <w:r>
          <w:fldChar w:fldCharType="end"/>
        </w:r>
      </w:hyperlink>
    </w:p>
    <w:p w:rsidR="00000000" w:rsidRDefault="00000000">
      <w:pPr>
        <w:pStyle w:val="TOC2"/>
        <w:suppressAutoHyphens/>
        <w:spacing w:before="0"/>
        <w:ind w:left="1985" w:right="2835"/>
        <w:jc w:val="left"/>
        <w:rPr>
          <w:sz w:val="24"/>
        </w:rPr>
      </w:pPr>
      <w:hyperlink w:anchor="_Toc97786681" w:history="1">
        <w:r>
          <w:rPr>
            <w:rStyle w:val="Hyperlink"/>
            <w:color w:val="auto"/>
          </w:rPr>
          <w:t>Совмещение производственных и семейных обязанностей</w:t>
        </w:r>
        <w:r>
          <w:tab/>
        </w:r>
        <w:r>
          <w:fldChar w:fldCharType="begin"/>
        </w:r>
        <w:r>
          <w:instrText xml:space="preserve"> PAGEREF _Toc97786681 \h </w:instrText>
        </w:r>
        <w:r>
          <w:fldChar w:fldCharType="separate"/>
        </w:r>
        <w:r>
          <w:t>38</w:t>
        </w:r>
        <w:r>
          <w:fldChar w:fldCharType="end"/>
        </w:r>
      </w:hyperlink>
    </w:p>
    <w:p w:rsidR="00000000" w:rsidRDefault="00000000">
      <w:pPr>
        <w:pStyle w:val="TOC2"/>
        <w:suppressAutoHyphens/>
        <w:spacing w:before="0"/>
        <w:ind w:left="1985" w:right="2835"/>
        <w:jc w:val="left"/>
        <w:rPr>
          <w:sz w:val="24"/>
        </w:rPr>
      </w:pPr>
      <w:hyperlink w:anchor="_Toc97786682" w:history="1">
        <w:r>
          <w:rPr>
            <w:rStyle w:val="Hyperlink"/>
            <w:color w:val="auto"/>
          </w:rPr>
          <w:t>Стратегии обеспечения учета гендерного фактора</w:t>
        </w:r>
        <w:r>
          <w:tab/>
        </w:r>
        <w:r>
          <w:fldChar w:fldCharType="begin"/>
        </w:r>
        <w:r>
          <w:instrText xml:space="preserve"> PAGEREF _Toc97786682 \h </w:instrText>
        </w:r>
        <w:r>
          <w:fldChar w:fldCharType="separate"/>
        </w:r>
        <w:r>
          <w:t>39</w:t>
        </w:r>
        <w:r>
          <w:fldChar w:fldCharType="end"/>
        </w:r>
      </w:hyperlink>
    </w:p>
    <w:p w:rsidR="00000000" w:rsidRDefault="00000000">
      <w:pPr>
        <w:pStyle w:val="TOC1"/>
        <w:suppressAutoHyphens/>
        <w:spacing w:before="0" w:after="0"/>
        <w:ind w:left="1701" w:right="2835"/>
        <w:rPr>
          <w:b/>
          <w:caps w:val="0"/>
          <w:sz w:val="24"/>
        </w:rPr>
      </w:pPr>
      <w:hyperlink w:anchor="_Toc97786683" w:history="1">
        <w:r>
          <w:rPr>
            <w:rStyle w:val="Hyperlink"/>
            <w:b/>
            <w:caps w:val="0"/>
            <w:color w:val="auto"/>
          </w:rPr>
          <w:t>Статья 5</w:t>
        </w:r>
        <w:r>
          <w:rPr>
            <w:b/>
            <w:caps w:val="0"/>
          </w:rPr>
          <w:tab/>
        </w:r>
        <w:r>
          <w:rPr>
            <w:b/>
          </w:rPr>
          <w:fldChar w:fldCharType="begin"/>
        </w:r>
        <w:r>
          <w:rPr>
            <w:b/>
          </w:rPr>
          <w:instrText xml:space="preserve"> PAGEREF _Toc97786683 \h </w:instrText>
        </w:r>
        <w:r>
          <w:rPr>
            <w:b/>
          </w:rPr>
        </w:r>
        <w:r>
          <w:rPr>
            <w:b/>
          </w:rPr>
          <w:fldChar w:fldCharType="separate"/>
        </w:r>
        <w:r>
          <w:rPr>
            <w:b/>
          </w:rPr>
          <w:t>42</w:t>
        </w:r>
        <w:r>
          <w:rPr>
            <w:b/>
          </w:rPr>
          <w:fldChar w:fldCharType="end"/>
        </w:r>
      </w:hyperlink>
    </w:p>
    <w:p w:rsidR="00000000" w:rsidRDefault="00000000">
      <w:pPr>
        <w:pStyle w:val="TOC2"/>
        <w:suppressAutoHyphens/>
        <w:spacing w:before="0"/>
        <w:ind w:right="2835"/>
        <w:jc w:val="left"/>
        <w:rPr>
          <w:b/>
          <w:sz w:val="24"/>
        </w:rPr>
      </w:pPr>
      <w:hyperlink w:anchor="_Toc97786684" w:history="1">
        <w:r>
          <w:rPr>
            <w:rStyle w:val="Hyperlink"/>
            <w:b/>
            <w:color w:val="auto"/>
          </w:rPr>
          <w:t>Статья 5, пункт а)</w:t>
        </w:r>
        <w:r>
          <w:rPr>
            <w:b/>
          </w:rPr>
          <w:tab/>
        </w:r>
        <w:r>
          <w:rPr>
            <w:b/>
          </w:rPr>
          <w:fldChar w:fldCharType="begin"/>
        </w:r>
        <w:r>
          <w:rPr>
            <w:b/>
          </w:rPr>
          <w:instrText xml:space="preserve"> PAGEREF _Toc97786684 \h </w:instrText>
        </w:r>
        <w:r>
          <w:rPr>
            <w:b/>
          </w:rPr>
        </w:r>
        <w:r>
          <w:rPr>
            <w:b/>
          </w:rPr>
          <w:fldChar w:fldCharType="separate"/>
        </w:r>
        <w:r>
          <w:rPr>
            <w:b/>
          </w:rPr>
          <w:t>42</w:t>
        </w:r>
        <w:r>
          <w:rPr>
            <w:b/>
          </w:rPr>
          <w:fldChar w:fldCharType="end"/>
        </w:r>
      </w:hyperlink>
    </w:p>
    <w:p w:rsidR="00000000" w:rsidRDefault="00000000">
      <w:pPr>
        <w:pStyle w:val="TOC2"/>
        <w:suppressAutoHyphens/>
        <w:spacing w:before="0"/>
        <w:ind w:left="1985" w:right="2835"/>
        <w:jc w:val="left"/>
        <w:rPr>
          <w:sz w:val="24"/>
        </w:rPr>
      </w:pPr>
      <w:hyperlink w:anchor="_Toc97786685" w:history="1">
        <w:r>
          <w:rPr>
            <w:rStyle w:val="Hyperlink"/>
            <w:color w:val="auto"/>
          </w:rPr>
          <w:t>Борьба со стереотипным представлениями о роли женщин и мужчин</w:t>
        </w:r>
        <w:r>
          <w:tab/>
        </w:r>
        <w:r>
          <w:fldChar w:fldCharType="begin"/>
        </w:r>
        <w:r>
          <w:instrText xml:space="preserve"> PAGEREF _Toc97786685 \h </w:instrText>
        </w:r>
        <w:r>
          <w:fldChar w:fldCharType="separate"/>
        </w:r>
        <w:r>
          <w:t>42</w:t>
        </w:r>
        <w:r>
          <w:fldChar w:fldCharType="end"/>
        </w:r>
      </w:hyperlink>
    </w:p>
    <w:p w:rsidR="00000000" w:rsidRDefault="00000000">
      <w:pPr>
        <w:pStyle w:val="TOC2"/>
        <w:suppressAutoHyphens/>
        <w:spacing w:before="0"/>
        <w:ind w:left="1985" w:right="2835"/>
        <w:jc w:val="left"/>
        <w:rPr>
          <w:sz w:val="24"/>
        </w:rPr>
      </w:pPr>
      <w:hyperlink w:anchor="_Toc97786686" w:history="1">
        <w:r>
          <w:rPr>
            <w:rStyle w:val="Hyperlink"/>
            <w:color w:val="auto"/>
          </w:rPr>
          <w:t>Борьба с насилием в семьях</w:t>
        </w:r>
        <w:r>
          <w:tab/>
        </w:r>
        <w:r>
          <w:fldChar w:fldCharType="begin"/>
        </w:r>
        <w:r>
          <w:instrText xml:space="preserve"> PAGEREF _Toc97786686 \h </w:instrText>
        </w:r>
        <w:r>
          <w:fldChar w:fldCharType="separate"/>
        </w:r>
        <w:r>
          <w:t>42</w:t>
        </w:r>
        <w:r>
          <w:fldChar w:fldCharType="end"/>
        </w:r>
      </w:hyperlink>
    </w:p>
    <w:p w:rsidR="00000000" w:rsidRDefault="00000000">
      <w:pPr>
        <w:pStyle w:val="TOC2"/>
        <w:suppressAutoHyphens/>
        <w:spacing w:before="0"/>
        <w:ind w:right="2835"/>
        <w:jc w:val="left"/>
        <w:rPr>
          <w:b/>
          <w:sz w:val="24"/>
        </w:rPr>
      </w:pPr>
      <w:hyperlink w:anchor="_Toc97786687" w:history="1">
        <w:r>
          <w:rPr>
            <w:rStyle w:val="Hyperlink"/>
            <w:b/>
            <w:color w:val="auto"/>
          </w:rPr>
          <w:t>Статья 5, пункт b)</w:t>
        </w:r>
        <w:r>
          <w:rPr>
            <w:b/>
          </w:rPr>
          <w:tab/>
        </w:r>
        <w:r>
          <w:rPr>
            <w:b/>
          </w:rPr>
          <w:fldChar w:fldCharType="begin"/>
        </w:r>
        <w:r>
          <w:rPr>
            <w:b/>
          </w:rPr>
          <w:instrText xml:space="preserve"> PAGEREF _Toc97786687 \h </w:instrText>
        </w:r>
        <w:r>
          <w:rPr>
            <w:b/>
          </w:rPr>
        </w:r>
        <w:r>
          <w:rPr>
            <w:b/>
          </w:rPr>
          <w:fldChar w:fldCharType="separate"/>
        </w:r>
        <w:r>
          <w:rPr>
            <w:b/>
          </w:rPr>
          <w:t>44</w:t>
        </w:r>
        <w:r>
          <w:rPr>
            <w:b/>
          </w:rPr>
          <w:fldChar w:fldCharType="end"/>
        </w:r>
      </w:hyperlink>
    </w:p>
    <w:p w:rsidR="00000000" w:rsidRDefault="00000000">
      <w:pPr>
        <w:pStyle w:val="TOC2"/>
        <w:suppressAutoHyphens/>
        <w:spacing w:before="0"/>
        <w:ind w:left="1985" w:right="2835"/>
        <w:jc w:val="left"/>
        <w:rPr>
          <w:sz w:val="24"/>
        </w:rPr>
      </w:pPr>
      <w:hyperlink w:anchor="_Toc97786688" w:history="1">
        <w:r>
          <w:rPr>
            <w:rStyle w:val="Hyperlink"/>
            <w:color w:val="auto"/>
          </w:rPr>
          <w:t>Совместная опека</w:t>
        </w:r>
        <w:r>
          <w:tab/>
        </w:r>
        <w:r>
          <w:fldChar w:fldCharType="begin"/>
        </w:r>
        <w:r>
          <w:instrText xml:space="preserve"> PAGEREF _Toc97786688 \h </w:instrText>
        </w:r>
        <w:r>
          <w:fldChar w:fldCharType="separate"/>
        </w:r>
        <w:r>
          <w:t>44</w:t>
        </w:r>
        <w:r>
          <w:fldChar w:fldCharType="end"/>
        </w:r>
      </w:hyperlink>
    </w:p>
    <w:p w:rsidR="00000000" w:rsidRDefault="00000000">
      <w:pPr>
        <w:pStyle w:val="TOC1"/>
        <w:suppressAutoHyphens/>
        <w:spacing w:before="0" w:after="0"/>
        <w:ind w:left="1701" w:right="2835"/>
        <w:rPr>
          <w:b/>
          <w:caps w:val="0"/>
          <w:sz w:val="24"/>
        </w:rPr>
      </w:pPr>
      <w:hyperlink w:anchor="_Toc97786689" w:history="1">
        <w:r>
          <w:rPr>
            <w:rStyle w:val="Hyperlink"/>
            <w:b/>
            <w:caps w:val="0"/>
            <w:color w:val="auto"/>
          </w:rPr>
          <w:t>Статья 6</w:t>
        </w:r>
        <w:r>
          <w:rPr>
            <w:b/>
            <w:caps w:val="0"/>
          </w:rPr>
          <w:tab/>
        </w:r>
        <w:r>
          <w:rPr>
            <w:b/>
          </w:rPr>
          <w:fldChar w:fldCharType="begin"/>
        </w:r>
        <w:r>
          <w:rPr>
            <w:b/>
          </w:rPr>
          <w:instrText xml:space="preserve"> PAGEREF _Toc97786689 \h </w:instrText>
        </w:r>
        <w:r>
          <w:rPr>
            <w:b/>
          </w:rPr>
        </w:r>
        <w:r>
          <w:rPr>
            <w:b/>
          </w:rPr>
          <w:fldChar w:fldCharType="separate"/>
        </w:r>
        <w:r>
          <w:rPr>
            <w:b/>
          </w:rPr>
          <w:t>44</w:t>
        </w:r>
        <w:r>
          <w:rPr>
            <w:b/>
          </w:rPr>
          <w:fldChar w:fldCharType="end"/>
        </w:r>
      </w:hyperlink>
    </w:p>
    <w:p w:rsidR="00000000" w:rsidRDefault="00000000">
      <w:pPr>
        <w:pStyle w:val="TOC2"/>
        <w:suppressAutoHyphens/>
        <w:spacing w:before="0"/>
        <w:ind w:left="1985" w:right="2835"/>
        <w:jc w:val="left"/>
        <w:rPr>
          <w:sz w:val="24"/>
        </w:rPr>
      </w:pPr>
      <w:hyperlink w:anchor="_Toc97786690" w:history="1">
        <w:r>
          <w:rPr>
            <w:rStyle w:val="Hyperlink"/>
            <w:color w:val="auto"/>
          </w:rPr>
          <w:t xml:space="preserve">Проституция/торговля женщинами </w:t>
        </w:r>
        <w:r>
          <w:tab/>
        </w:r>
        <w:r>
          <w:fldChar w:fldCharType="begin"/>
        </w:r>
        <w:r>
          <w:instrText xml:space="preserve"> PAGEREF _Toc97786690 \h </w:instrText>
        </w:r>
        <w:r>
          <w:fldChar w:fldCharType="separate"/>
        </w:r>
        <w:r>
          <w:t>45</w:t>
        </w:r>
        <w:r>
          <w:fldChar w:fldCharType="end"/>
        </w:r>
      </w:hyperlink>
    </w:p>
    <w:p w:rsidR="00000000" w:rsidRDefault="00000000">
      <w:pPr>
        <w:pStyle w:val="TOC2"/>
        <w:suppressAutoHyphens/>
        <w:spacing w:before="0"/>
        <w:ind w:left="1985" w:right="2835"/>
        <w:jc w:val="left"/>
        <w:rPr>
          <w:sz w:val="24"/>
        </w:rPr>
      </w:pPr>
      <w:hyperlink w:anchor="_Toc97786691" w:history="1">
        <w:r>
          <w:rPr>
            <w:rStyle w:val="Hyperlink"/>
            <w:color w:val="auto"/>
          </w:rPr>
          <w:t>Меры по предотвращению сексуальной эксплуатации детей</w:t>
        </w:r>
        <w:r>
          <w:tab/>
        </w:r>
        <w:r>
          <w:fldChar w:fldCharType="begin"/>
        </w:r>
        <w:r>
          <w:instrText xml:space="preserve"> PAGEREF _Toc97786691 \h </w:instrText>
        </w:r>
        <w:r>
          <w:fldChar w:fldCharType="separate"/>
        </w:r>
        <w:r>
          <w:t>45</w:t>
        </w:r>
        <w:r>
          <w:fldChar w:fldCharType="end"/>
        </w:r>
      </w:hyperlink>
    </w:p>
    <w:p w:rsidR="00000000" w:rsidRDefault="00000000">
      <w:pPr>
        <w:pStyle w:val="TOC1"/>
        <w:suppressAutoHyphens/>
        <w:spacing w:before="0" w:after="0"/>
        <w:ind w:left="1701" w:right="2835"/>
        <w:rPr>
          <w:b/>
          <w:caps w:val="0"/>
          <w:sz w:val="24"/>
        </w:rPr>
      </w:pPr>
      <w:hyperlink w:anchor="_Toc97786692" w:history="1">
        <w:r>
          <w:rPr>
            <w:rStyle w:val="Hyperlink"/>
            <w:b/>
            <w:caps w:val="0"/>
            <w:color w:val="auto"/>
          </w:rPr>
          <w:t>Статья 7</w:t>
        </w:r>
        <w:r>
          <w:rPr>
            <w:b/>
            <w:caps w:val="0"/>
          </w:rPr>
          <w:tab/>
        </w:r>
        <w:r>
          <w:rPr>
            <w:b/>
          </w:rPr>
          <w:fldChar w:fldCharType="begin"/>
        </w:r>
        <w:r>
          <w:rPr>
            <w:b/>
          </w:rPr>
          <w:instrText xml:space="preserve"> PAGEREF _Toc97786692 \h </w:instrText>
        </w:r>
        <w:r>
          <w:rPr>
            <w:b/>
          </w:rPr>
        </w:r>
        <w:r>
          <w:rPr>
            <w:b/>
          </w:rPr>
          <w:fldChar w:fldCharType="separate"/>
        </w:r>
        <w:r>
          <w:rPr>
            <w:b/>
          </w:rPr>
          <w:t>45</w:t>
        </w:r>
        <w:r>
          <w:rPr>
            <w:b/>
          </w:rPr>
          <w:fldChar w:fldCharType="end"/>
        </w:r>
      </w:hyperlink>
    </w:p>
    <w:p w:rsidR="00000000" w:rsidRDefault="00000000">
      <w:pPr>
        <w:pStyle w:val="TOC2"/>
        <w:suppressAutoHyphens/>
        <w:spacing w:before="0"/>
        <w:ind w:right="2835"/>
        <w:jc w:val="left"/>
        <w:rPr>
          <w:sz w:val="24"/>
        </w:rPr>
      </w:pPr>
      <w:hyperlink w:anchor="_Toc97786693" w:history="1">
        <w:r>
          <w:rPr>
            <w:rStyle w:val="Hyperlink"/>
            <w:color w:val="auto"/>
          </w:rPr>
          <w:t>Женщины на политических и государственных постах</w:t>
        </w:r>
        <w:r>
          <w:tab/>
        </w:r>
        <w:r>
          <w:fldChar w:fldCharType="begin"/>
        </w:r>
        <w:r>
          <w:instrText xml:space="preserve"> PAGEREF _Toc97786693 \h </w:instrText>
        </w:r>
        <w:r>
          <w:fldChar w:fldCharType="separate"/>
        </w:r>
        <w:r>
          <w:t>45</w:t>
        </w:r>
        <w:r>
          <w:fldChar w:fldCharType="end"/>
        </w:r>
      </w:hyperlink>
    </w:p>
    <w:p w:rsidR="00000000" w:rsidRDefault="00000000">
      <w:pPr>
        <w:pStyle w:val="TOC2"/>
        <w:suppressAutoHyphens/>
        <w:spacing w:before="0"/>
        <w:ind w:right="2835"/>
        <w:jc w:val="left"/>
        <w:rPr>
          <w:b/>
          <w:sz w:val="24"/>
        </w:rPr>
      </w:pPr>
      <w:hyperlink w:anchor="_Toc97786694" w:history="1">
        <w:r>
          <w:rPr>
            <w:rStyle w:val="Hyperlink"/>
            <w:b/>
            <w:color w:val="auto"/>
          </w:rPr>
          <w:t>Статья 7, пункт b)</w:t>
        </w:r>
        <w:r>
          <w:rPr>
            <w:b/>
          </w:rPr>
          <w:tab/>
        </w:r>
        <w:r>
          <w:rPr>
            <w:b/>
          </w:rPr>
          <w:fldChar w:fldCharType="begin"/>
        </w:r>
        <w:r>
          <w:rPr>
            <w:b/>
          </w:rPr>
          <w:instrText xml:space="preserve"> PAGEREF _Toc97786694 \h </w:instrText>
        </w:r>
        <w:r>
          <w:rPr>
            <w:b/>
          </w:rPr>
        </w:r>
        <w:r>
          <w:rPr>
            <w:b/>
          </w:rPr>
          <w:fldChar w:fldCharType="separate"/>
        </w:r>
        <w:r>
          <w:rPr>
            <w:b/>
          </w:rPr>
          <w:t>46</w:t>
        </w:r>
        <w:r>
          <w:rPr>
            <w:b/>
          </w:rPr>
          <w:fldChar w:fldCharType="end"/>
        </w:r>
      </w:hyperlink>
    </w:p>
    <w:p w:rsidR="00000000" w:rsidRDefault="00000000">
      <w:pPr>
        <w:pStyle w:val="TOC2"/>
        <w:suppressAutoHyphens/>
        <w:spacing w:before="0"/>
        <w:ind w:left="1985" w:right="2835"/>
        <w:jc w:val="left"/>
        <w:rPr>
          <w:sz w:val="24"/>
        </w:rPr>
      </w:pPr>
      <w:hyperlink w:anchor="_Toc97786695" w:history="1">
        <w:r>
          <w:rPr>
            <w:rStyle w:val="Hyperlink"/>
            <w:color w:val="auto"/>
          </w:rPr>
          <w:t>Женщины в составе австрийских вооруженных сил</w:t>
        </w:r>
        <w:r>
          <w:tab/>
        </w:r>
        <w:r>
          <w:fldChar w:fldCharType="begin"/>
        </w:r>
        <w:r>
          <w:instrText xml:space="preserve"> PAGEREF _Toc97786695 \h </w:instrText>
        </w:r>
        <w:r>
          <w:fldChar w:fldCharType="separate"/>
        </w:r>
        <w:r>
          <w:t>46</w:t>
        </w:r>
        <w:r>
          <w:fldChar w:fldCharType="end"/>
        </w:r>
      </w:hyperlink>
    </w:p>
    <w:p w:rsidR="00000000" w:rsidRDefault="00000000">
      <w:pPr>
        <w:pStyle w:val="TOC2"/>
        <w:suppressAutoHyphens/>
        <w:spacing w:before="0"/>
        <w:ind w:left="1985" w:right="2835"/>
        <w:jc w:val="left"/>
        <w:rPr>
          <w:sz w:val="24"/>
        </w:rPr>
      </w:pPr>
      <w:hyperlink w:anchor="_Toc97786696" w:history="1">
        <w:r>
          <w:rPr>
            <w:rStyle w:val="Hyperlink"/>
            <w:color w:val="auto"/>
          </w:rPr>
          <w:t>Учет гендерного фактора и органы городского управления</w:t>
        </w:r>
        <w:r>
          <w:tab/>
        </w:r>
        <w:r>
          <w:fldChar w:fldCharType="begin"/>
        </w:r>
        <w:r>
          <w:instrText xml:space="preserve"> PAGEREF _Toc97786696 \h </w:instrText>
        </w:r>
        <w:r>
          <w:fldChar w:fldCharType="separate"/>
        </w:r>
        <w:r>
          <w:t>47</w:t>
        </w:r>
        <w:r>
          <w:fldChar w:fldCharType="end"/>
        </w:r>
      </w:hyperlink>
    </w:p>
    <w:p w:rsidR="00000000" w:rsidRDefault="00000000">
      <w:pPr>
        <w:pStyle w:val="TOC1"/>
        <w:suppressAutoHyphens/>
        <w:spacing w:before="0" w:after="0"/>
        <w:ind w:left="1701" w:right="2835"/>
        <w:rPr>
          <w:b/>
          <w:caps w:val="0"/>
          <w:sz w:val="24"/>
        </w:rPr>
      </w:pPr>
      <w:hyperlink w:anchor="_Toc97786697" w:history="1">
        <w:r>
          <w:rPr>
            <w:rStyle w:val="Hyperlink"/>
            <w:b/>
            <w:caps w:val="0"/>
            <w:color w:val="auto"/>
          </w:rPr>
          <w:t>Статья 8</w:t>
        </w:r>
        <w:r>
          <w:rPr>
            <w:b/>
            <w:caps w:val="0"/>
          </w:rPr>
          <w:tab/>
        </w:r>
        <w:r>
          <w:rPr>
            <w:b/>
          </w:rPr>
          <w:fldChar w:fldCharType="begin"/>
        </w:r>
        <w:r>
          <w:rPr>
            <w:b/>
          </w:rPr>
          <w:instrText xml:space="preserve"> PAGEREF _Toc97786697 \h </w:instrText>
        </w:r>
        <w:r>
          <w:rPr>
            <w:b/>
          </w:rPr>
        </w:r>
        <w:r>
          <w:rPr>
            <w:b/>
          </w:rPr>
          <w:fldChar w:fldCharType="separate"/>
        </w:r>
        <w:r>
          <w:rPr>
            <w:b/>
          </w:rPr>
          <w:t>48</w:t>
        </w:r>
        <w:r>
          <w:rPr>
            <w:b/>
          </w:rPr>
          <w:fldChar w:fldCharType="end"/>
        </w:r>
      </w:hyperlink>
    </w:p>
    <w:p w:rsidR="00000000" w:rsidRDefault="00000000">
      <w:pPr>
        <w:pStyle w:val="TOC2"/>
        <w:suppressAutoHyphens/>
        <w:spacing w:before="0"/>
        <w:ind w:left="1985" w:right="2835"/>
        <w:jc w:val="left"/>
        <w:rPr>
          <w:sz w:val="24"/>
        </w:rPr>
      </w:pPr>
      <w:hyperlink w:anchor="_Toc97786698" w:history="1">
        <w:r>
          <w:rPr>
            <w:rStyle w:val="Hyperlink"/>
            <w:color w:val="auto"/>
          </w:rPr>
          <w:t>Представительство женщин на международном уровне, включая международные организации</w:t>
        </w:r>
        <w:r>
          <w:tab/>
        </w:r>
        <w:r>
          <w:fldChar w:fldCharType="begin"/>
        </w:r>
        <w:r>
          <w:instrText xml:space="preserve"> PAGEREF _Toc97786698 \h </w:instrText>
        </w:r>
        <w:r>
          <w:fldChar w:fldCharType="separate"/>
        </w:r>
        <w:r>
          <w:t>48</w:t>
        </w:r>
        <w:r>
          <w:fldChar w:fldCharType="end"/>
        </w:r>
      </w:hyperlink>
    </w:p>
    <w:p w:rsidR="00000000" w:rsidRDefault="00000000">
      <w:pPr>
        <w:pStyle w:val="TOC2"/>
        <w:suppressAutoHyphens/>
        <w:spacing w:before="0"/>
        <w:ind w:left="1985" w:right="2835"/>
        <w:jc w:val="left"/>
        <w:rPr>
          <w:sz w:val="24"/>
        </w:rPr>
      </w:pPr>
      <w:hyperlink w:anchor="_Toc97786699" w:history="1">
        <w:r>
          <w:rPr>
            <w:rStyle w:val="Hyperlink"/>
            <w:color w:val="auto"/>
          </w:rPr>
          <w:t>Международные спортивные состязания</w:t>
        </w:r>
        <w:r>
          <w:tab/>
        </w:r>
        <w:r>
          <w:fldChar w:fldCharType="begin"/>
        </w:r>
        <w:r>
          <w:instrText xml:space="preserve"> PAGEREF _Toc97786699 \h </w:instrText>
        </w:r>
        <w:r>
          <w:fldChar w:fldCharType="separate"/>
        </w:r>
        <w:r>
          <w:t>49</w:t>
        </w:r>
        <w:r>
          <w:fldChar w:fldCharType="end"/>
        </w:r>
      </w:hyperlink>
    </w:p>
    <w:p w:rsidR="00000000" w:rsidRDefault="00000000">
      <w:pPr>
        <w:pStyle w:val="TOC1"/>
        <w:suppressAutoHyphens/>
        <w:spacing w:before="0" w:after="0"/>
        <w:ind w:left="1701" w:right="2835"/>
        <w:rPr>
          <w:b/>
          <w:caps w:val="0"/>
          <w:sz w:val="24"/>
        </w:rPr>
      </w:pPr>
      <w:hyperlink w:anchor="_Toc97786700" w:history="1">
        <w:r>
          <w:rPr>
            <w:rStyle w:val="Hyperlink"/>
            <w:b/>
            <w:caps w:val="0"/>
            <w:color w:val="auto"/>
          </w:rPr>
          <w:t>Статья 10</w:t>
        </w:r>
        <w:r>
          <w:rPr>
            <w:b/>
            <w:caps w:val="0"/>
          </w:rPr>
          <w:tab/>
        </w:r>
        <w:r>
          <w:rPr>
            <w:b/>
          </w:rPr>
          <w:fldChar w:fldCharType="begin"/>
        </w:r>
        <w:r>
          <w:rPr>
            <w:b/>
          </w:rPr>
          <w:instrText xml:space="preserve"> PAGEREF _Toc97786700 \h </w:instrText>
        </w:r>
        <w:r>
          <w:rPr>
            <w:b/>
          </w:rPr>
        </w:r>
        <w:r>
          <w:rPr>
            <w:b/>
          </w:rPr>
          <w:fldChar w:fldCharType="separate"/>
        </w:r>
        <w:r>
          <w:rPr>
            <w:b/>
          </w:rPr>
          <w:t>49</w:t>
        </w:r>
        <w:r>
          <w:rPr>
            <w:b/>
          </w:rPr>
          <w:fldChar w:fldCharType="end"/>
        </w:r>
      </w:hyperlink>
    </w:p>
    <w:p w:rsidR="00000000" w:rsidRDefault="00000000">
      <w:pPr>
        <w:pStyle w:val="TOC2"/>
        <w:suppressAutoHyphens/>
        <w:spacing w:before="0"/>
        <w:ind w:right="2835"/>
        <w:jc w:val="left"/>
        <w:rPr>
          <w:sz w:val="24"/>
        </w:rPr>
      </w:pPr>
      <w:hyperlink w:anchor="_Toc97786701" w:history="1">
        <w:r>
          <w:rPr>
            <w:rStyle w:val="Hyperlink"/>
            <w:color w:val="auto"/>
          </w:rPr>
          <w:t>Успехи женщин в области образования</w:t>
        </w:r>
        <w:r>
          <w:tab/>
        </w:r>
        <w:r>
          <w:fldChar w:fldCharType="begin"/>
        </w:r>
        <w:r>
          <w:instrText xml:space="preserve"> PAGEREF _Toc97786701 \h </w:instrText>
        </w:r>
        <w:r>
          <w:fldChar w:fldCharType="separate"/>
        </w:r>
        <w:r>
          <w:t>49</w:t>
        </w:r>
        <w:r>
          <w:fldChar w:fldCharType="end"/>
        </w:r>
      </w:hyperlink>
    </w:p>
    <w:p w:rsidR="00000000" w:rsidRDefault="00000000">
      <w:pPr>
        <w:pStyle w:val="TOC2"/>
        <w:suppressAutoHyphens/>
        <w:spacing w:before="0"/>
        <w:ind w:right="2835"/>
        <w:jc w:val="left"/>
        <w:rPr>
          <w:sz w:val="24"/>
        </w:rPr>
      </w:pPr>
      <w:r>
        <w:rPr>
          <w:rStyle w:val="Hyperlink"/>
          <w:b/>
          <w:color w:val="auto"/>
        </w:rPr>
        <w:fldChar w:fldCharType="begin"/>
      </w:r>
      <w:r>
        <w:rPr>
          <w:rStyle w:val="Hyperlink"/>
          <w:b/>
          <w:color w:val="auto"/>
        </w:rPr>
        <w:instrText xml:space="preserve"> </w:instrText>
      </w:r>
      <w:r>
        <w:rPr>
          <w:b/>
        </w:rPr>
        <w:instrText>HYPERLINK \l "_Toc97786702"</w:instrText>
      </w:r>
      <w:r>
        <w:rPr>
          <w:rStyle w:val="Hyperlink"/>
          <w:b/>
          <w:color w:val="auto"/>
        </w:rPr>
        <w:instrText xml:space="preserve"> </w:instrText>
      </w:r>
      <w:r>
        <w:rPr>
          <w:b/>
        </w:rPr>
      </w:r>
      <w:r>
        <w:rPr>
          <w:rStyle w:val="Hyperlink"/>
          <w:b/>
          <w:color w:val="auto"/>
        </w:rPr>
        <w:fldChar w:fldCharType="separate"/>
      </w:r>
      <w:r>
        <w:rPr>
          <w:rStyle w:val="Hyperlink"/>
          <w:b/>
          <w:color w:val="auto"/>
        </w:rPr>
        <w:t>Статья 10, пункты a), b) и d)</w:t>
      </w:r>
      <w:r>
        <w:rPr>
          <w:b/>
        </w:rPr>
        <w:tab/>
      </w:r>
      <w:r>
        <w:rPr>
          <w:b/>
        </w:rPr>
        <w:fldChar w:fldCharType="begin"/>
      </w:r>
      <w:r>
        <w:rPr>
          <w:b/>
        </w:rPr>
        <w:instrText xml:space="preserve"> PAGEREF _Toc97786702 \h </w:instrText>
      </w:r>
      <w:r>
        <w:rPr>
          <w:b/>
        </w:rPr>
      </w:r>
      <w:r>
        <w:rPr>
          <w:b/>
        </w:rPr>
        <w:fldChar w:fldCharType="separate"/>
      </w:r>
      <w:r>
        <w:rPr>
          <w:b/>
        </w:rPr>
        <w:t>50</w:t>
      </w:r>
      <w:r>
        <w:rPr>
          <w:b/>
        </w:rPr>
        <w:fldChar w:fldCharType="end"/>
      </w:r>
      <w:r>
        <w:rPr>
          <w:rStyle w:val="Hyperlink"/>
          <w:b/>
          <w:color w:val="auto"/>
        </w:rPr>
        <w:fldChar w:fldCharType="end"/>
      </w:r>
    </w:p>
    <w:p w:rsidR="00000000" w:rsidRDefault="00000000">
      <w:pPr>
        <w:pStyle w:val="TOC2"/>
        <w:suppressAutoHyphens/>
        <w:spacing w:before="0"/>
        <w:ind w:right="2835"/>
        <w:jc w:val="left"/>
        <w:rPr>
          <w:sz w:val="24"/>
        </w:rPr>
      </w:pPr>
      <w:hyperlink w:anchor="_Toc97786704" w:history="1">
        <w:r>
          <w:rPr>
            <w:rStyle w:val="Hyperlink"/>
            <w:b/>
            <w:color w:val="auto"/>
          </w:rPr>
          <w:t>Статья 10, пункт с)</w:t>
        </w:r>
        <w:r>
          <w:rPr>
            <w:b/>
          </w:rPr>
          <w:tab/>
        </w:r>
        <w:r>
          <w:rPr>
            <w:b/>
          </w:rPr>
          <w:fldChar w:fldCharType="begin"/>
        </w:r>
        <w:r>
          <w:rPr>
            <w:b/>
          </w:rPr>
          <w:instrText xml:space="preserve"> PAGEREF _Toc97786704 \h </w:instrText>
        </w:r>
        <w:r>
          <w:rPr>
            <w:b/>
          </w:rPr>
        </w:r>
        <w:r>
          <w:rPr>
            <w:b/>
          </w:rPr>
          <w:fldChar w:fldCharType="separate"/>
        </w:r>
        <w:r>
          <w:rPr>
            <w:b/>
          </w:rPr>
          <w:t>51</w:t>
        </w:r>
        <w:r>
          <w:rPr>
            <w:b/>
          </w:rPr>
          <w:fldChar w:fldCharType="end"/>
        </w:r>
      </w:hyperlink>
    </w:p>
    <w:p w:rsidR="00000000" w:rsidRDefault="00000000">
      <w:pPr>
        <w:pStyle w:val="TOC2"/>
        <w:suppressAutoHyphens/>
        <w:spacing w:before="0"/>
        <w:ind w:left="1985" w:right="2835"/>
        <w:jc w:val="left"/>
        <w:rPr>
          <w:sz w:val="24"/>
        </w:rPr>
      </w:pPr>
      <w:hyperlink w:anchor="_Toc97786707" w:history="1">
        <w:r>
          <w:rPr>
            <w:rStyle w:val="Hyperlink"/>
            <w:color w:val="auto"/>
          </w:rPr>
          <w:t>Принцип "целевого совместного обучения"</w:t>
        </w:r>
        <w:r>
          <w:tab/>
        </w:r>
        <w:r>
          <w:fldChar w:fldCharType="begin"/>
        </w:r>
        <w:r>
          <w:instrText xml:space="preserve"> PAGEREF _Toc97786707 \h </w:instrText>
        </w:r>
        <w:r>
          <w:fldChar w:fldCharType="separate"/>
        </w:r>
        <w:r>
          <w:t>53</w:t>
        </w:r>
        <w:r>
          <w:fldChar w:fldCharType="end"/>
        </w:r>
      </w:hyperlink>
    </w:p>
    <w:p w:rsidR="00000000" w:rsidRDefault="00000000">
      <w:pPr>
        <w:pStyle w:val="TOC2"/>
        <w:suppressAutoHyphens/>
        <w:spacing w:before="0"/>
        <w:ind w:left="1985" w:right="2835"/>
        <w:jc w:val="left"/>
        <w:rPr>
          <w:sz w:val="24"/>
        </w:rPr>
      </w:pPr>
      <w:hyperlink w:anchor="_Toc97786708" w:history="1">
        <w:r>
          <w:rPr>
            <w:rStyle w:val="Hyperlink"/>
            <w:color w:val="auto"/>
          </w:rPr>
          <w:t>Fforte – женщины в области исследований и технологии</w:t>
        </w:r>
        <w:r>
          <w:tab/>
        </w:r>
        <w:r>
          <w:fldChar w:fldCharType="begin"/>
        </w:r>
        <w:r>
          <w:instrText xml:space="preserve"> PAGEREF _Toc97786708 \h </w:instrText>
        </w:r>
        <w:r>
          <w:fldChar w:fldCharType="separate"/>
        </w:r>
        <w:r>
          <w:t>53</w:t>
        </w:r>
        <w:r>
          <w:fldChar w:fldCharType="end"/>
        </w:r>
      </w:hyperlink>
    </w:p>
    <w:p w:rsidR="00000000" w:rsidRDefault="00000000">
      <w:pPr>
        <w:pStyle w:val="TOC2"/>
        <w:suppressAutoHyphens/>
        <w:spacing w:before="0"/>
        <w:ind w:left="1985" w:right="2835"/>
        <w:jc w:val="left"/>
        <w:rPr>
          <w:sz w:val="24"/>
        </w:rPr>
      </w:pPr>
      <w:hyperlink w:anchor="_Toc97786709" w:history="1">
        <w:r>
          <w:rPr>
            <w:rStyle w:val="Hyperlink"/>
            <w:color w:val="auto"/>
          </w:rPr>
          <w:t>Исследования гендерной проблематики</w:t>
        </w:r>
        <w:r>
          <w:tab/>
        </w:r>
        <w:r>
          <w:fldChar w:fldCharType="begin"/>
        </w:r>
        <w:r>
          <w:instrText xml:space="preserve"> PAGEREF _Toc97786709 \h </w:instrText>
        </w:r>
        <w:r>
          <w:fldChar w:fldCharType="separate"/>
        </w:r>
        <w:r>
          <w:t>55</w:t>
        </w:r>
        <w:r>
          <w:fldChar w:fldCharType="end"/>
        </w:r>
      </w:hyperlink>
    </w:p>
    <w:p w:rsidR="00000000" w:rsidRDefault="00000000">
      <w:pPr>
        <w:pStyle w:val="TOC2"/>
        <w:suppressAutoHyphens/>
        <w:spacing w:before="0"/>
        <w:ind w:left="1985" w:right="2835"/>
        <w:jc w:val="left"/>
        <w:rPr>
          <w:sz w:val="24"/>
        </w:rPr>
      </w:pPr>
      <w:hyperlink w:anchor="_Toc97786710" w:history="1">
        <w:r>
          <w:rPr>
            <w:rStyle w:val="Hyperlink"/>
            <w:color w:val="auto"/>
          </w:rPr>
          <w:t>Улучшение положения женщин в сфере научно-исследовательской деятельности</w:t>
        </w:r>
        <w:r>
          <w:tab/>
        </w:r>
        <w:r>
          <w:fldChar w:fldCharType="begin"/>
        </w:r>
        <w:r>
          <w:instrText xml:space="preserve"> PAGEREF _Toc97786710 \h </w:instrText>
        </w:r>
        <w:r>
          <w:fldChar w:fldCharType="separate"/>
        </w:r>
        <w:r>
          <w:t>55</w:t>
        </w:r>
        <w:r>
          <w:fldChar w:fldCharType="end"/>
        </w:r>
      </w:hyperlink>
    </w:p>
    <w:p w:rsidR="00000000" w:rsidRDefault="00000000">
      <w:pPr>
        <w:pStyle w:val="TOC2"/>
        <w:suppressAutoHyphens/>
        <w:spacing w:before="0"/>
        <w:ind w:left="1985" w:right="2835"/>
        <w:jc w:val="left"/>
        <w:rPr>
          <w:sz w:val="24"/>
        </w:rPr>
      </w:pPr>
      <w:hyperlink w:anchor="_Toc97786711" w:history="1">
        <w:r>
          <w:rPr>
            <w:rStyle w:val="Hyperlink"/>
            <w:color w:val="auto"/>
          </w:rPr>
          <w:t>Юридические меры, направленные на обеспечение фактического равенства между женщинами и мужчинами в университетах</w:t>
        </w:r>
        <w:r>
          <w:tab/>
        </w:r>
        <w:r>
          <w:fldChar w:fldCharType="begin"/>
        </w:r>
        <w:r>
          <w:instrText xml:space="preserve"> PAGEREF _Toc97786711 \h </w:instrText>
        </w:r>
        <w:r>
          <w:fldChar w:fldCharType="separate"/>
        </w:r>
        <w:r>
          <w:t>57</w:t>
        </w:r>
        <w:r>
          <w:fldChar w:fldCharType="end"/>
        </w:r>
      </w:hyperlink>
    </w:p>
    <w:p w:rsidR="00000000" w:rsidRDefault="00000000">
      <w:pPr>
        <w:pStyle w:val="TOC2"/>
        <w:suppressAutoHyphens/>
        <w:spacing w:before="0"/>
        <w:ind w:left="1985" w:right="2835"/>
        <w:jc w:val="left"/>
        <w:rPr>
          <w:sz w:val="24"/>
        </w:rPr>
      </w:pPr>
      <w:hyperlink w:anchor="_Toc97786712" w:history="1">
        <w:r>
          <w:rPr>
            <w:rStyle w:val="Hyperlink"/>
            <w:color w:val="auto"/>
          </w:rPr>
          <w:t>Система взрослого образования</w:t>
        </w:r>
        <w:r>
          <w:tab/>
        </w:r>
        <w:r>
          <w:fldChar w:fldCharType="begin"/>
        </w:r>
        <w:r>
          <w:instrText xml:space="preserve"> PAGEREF _Toc97786712 \h </w:instrText>
        </w:r>
        <w:r>
          <w:fldChar w:fldCharType="separate"/>
        </w:r>
        <w:r>
          <w:t>59</w:t>
        </w:r>
        <w:r>
          <w:fldChar w:fldCharType="end"/>
        </w:r>
      </w:hyperlink>
    </w:p>
    <w:p w:rsidR="00000000" w:rsidRDefault="00000000">
      <w:pPr>
        <w:pStyle w:val="TOC2"/>
        <w:suppressAutoHyphens/>
        <w:spacing w:before="0"/>
        <w:ind w:right="2835"/>
        <w:jc w:val="left"/>
        <w:rPr>
          <w:b/>
          <w:sz w:val="24"/>
        </w:rPr>
      </w:pPr>
      <w:hyperlink w:anchor="_Toc97786713" w:history="1">
        <w:r>
          <w:rPr>
            <w:rStyle w:val="Hyperlink"/>
            <w:b/>
            <w:color w:val="auto"/>
          </w:rPr>
          <w:t>Статья 10, пункт е)</w:t>
        </w:r>
        <w:r>
          <w:rPr>
            <w:b/>
          </w:rPr>
          <w:tab/>
        </w:r>
        <w:r>
          <w:rPr>
            <w:b/>
          </w:rPr>
          <w:fldChar w:fldCharType="begin"/>
        </w:r>
        <w:r>
          <w:rPr>
            <w:b/>
          </w:rPr>
          <w:instrText xml:space="preserve"> PAGEREF _Toc97786713 \h </w:instrText>
        </w:r>
        <w:r>
          <w:rPr>
            <w:b/>
          </w:rPr>
        </w:r>
        <w:r>
          <w:rPr>
            <w:b/>
          </w:rPr>
          <w:fldChar w:fldCharType="separate"/>
        </w:r>
        <w:r>
          <w:rPr>
            <w:b/>
          </w:rPr>
          <w:t>59</w:t>
        </w:r>
        <w:r>
          <w:rPr>
            <w:b/>
          </w:rPr>
          <w:fldChar w:fldCharType="end"/>
        </w:r>
      </w:hyperlink>
    </w:p>
    <w:p w:rsidR="00000000" w:rsidRDefault="00000000">
      <w:pPr>
        <w:pStyle w:val="TOC2"/>
        <w:suppressAutoHyphens/>
        <w:spacing w:before="0"/>
        <w:ind w:left="1985" w:right="2835"/>
        <w:jc w:val="left"/>
        <w:rPr>
          <w:sz w:val="24"/>
        </w:rPr>
      </w:pPr>
      <w:hyperlink w:anchor="_Toc97786714" w:history="1">
        <w:r>
          <w:rPr>
            <w:rStyle w:val="Hyperlink"/>
            <w:color w:val="auto"/>
          </w:rPr>
          <w:t>Обеспечение образования для женщин-мигрантов</w:t>
        </w:r>
        <w:r>
          <w:tab/>
        </w:r>
        <w:r>
          <w:fldChar w:fldCharType="begin"/>
        </w:r>
        <w:r>
          <w:instrText xml:space="preserve"> PAGEREF _Toc97786714 \h </w:instrText>
        </w:r>
        <w:r>
          <w:fldChar w:fldCharType="separate"/>
        </w:r>
        <w:r>
          <w:t>59</w:t>
        </w:r>
        <w:r>
          <w:fldChar w:fldCharType="end"/>
        </w:r>
      </w:hyperlink>
    </w:p>
    <w:p w:rsidR="00000000" w:rsidRDefault="00000000">
      <w:pPr>
        <w:pStyle w:val="TOC2"/>
        <w:suppressAutoHyphens/>
        <w:spacing w:before="0"/>
        <w:ind w:right="2835"/>
        <w:jc w:val="left"/>
        <w:rPr>
          <w:sz w:val="24"/>
        </w:rPr>
      </w:pPr>
      <w:hyperlink w:anchor="_Toc97786715" w:history="1">
        <w:r>
          <w:rPr>
            <w:rStyle w:val="Hyperlink"/>
            <w:b/>
            <w:color w:val="auto"/>
          </w:rPr>
          <w:t>Статья 10, пункт f)</w:t>
        </w:r>
        <w:r>
          <w:rPr>
            <w:b/>
          </w:rPr>
          <w:tab/>
        </w:r>
        <w:r>
          <w:rPr>
            <w:b/>
          </w:rPr>
          <w:fldChar w:fldCharType="begin"/>
        </w:r>
        <w:r>
          <w:rPr>
            <w:b/>
          </w:rPr>
          <w:instrText xml:space="preserve"> PAGEREF _Toc97786715 \h </w:instrText>
        </w:r>
        <w:r>
          <w:rPr>
            <w:b/>
          </w:rPr>
        </w:r>
        <w:r>
          <w:rPr>
            <w:b/>
          </w:rPr>
          <w:fldChar w:fldCharType="separate"/>
        </w:r>
        <w:r>
          <w:rPr>
            <w:b/>
          </w:rPr>
          <w:t>60</w:t>
        </w:r>
        <w:r>
          <w:rPr>
            <w:b/>
          </w:rPr>
          <w:fldChar w:fldCharType="end"/>
        </w:r>
      </w:hyperlink>
    </w:p>
    <w:p w:rsidR="00000000" w:rsidRDefault="00000000">
      <w:pPr>
        <w:pStyle w:val="TOC2"/>
        <w:suppressAutoHyphens/>
        <w:spacing w:before="0"/>
        <w:ind w:right="2835"/>
        <w:jc w:val="left"/>
        <w:rPr>
          <w:b/>
          <w:sz w:val="24"/>
        </w:rPr>
      </w:pPr>
      <w:hyperlink w:anchor="_Toc97786717" w:history="1">
        <w:r>
          <w:rPr>
            <w:rStyle w:val="Hyperlink"/>
            <w:b/>
            <w:color w:val="auto"/>
          </w:rPr>
          <w:t>Статья 10, пункт g)</w:t>
        </w:r>
        <w:r>
          <w:rPr>
            <w:b/>
          </w:rPr>
          <w:tab/>
        </w:r>
        <w:r>
          <w:rPr>
            <w:b/>
          </w:rPr>
          <w:fldChar w:fldCharType="begin"/>
        </w:r>
        <w:r>
          <w:rPr>
            <w:b/>
          </w:rPr>
          <w:instrText xml:space="preserve"> PAGEREF _Toc97786717 \h </w:instrText>
        </w:r>
        <w:r>
          <w:rPr>
            <w:b/>
          </w:rPr>
        </w:r>
        <w:r>
          <w:rPr>
            <w:b/>
          </w:rPr>
          <w:fldChar w:fldCharType="separate"/>
        </w:r>
        <w:r>
          <w:rPr>
            <w:b/>
          </w:rPr>
          <w:t>60</w:t>
        </w:r>
        <w:r>
          <w:rPr>
            <w:b/>
          </w:rPr>
          <w:fldChar w:fldCharType="end"/>
        </w:r>
      </w:hyperlink>
    </w:p>
    <w:p w:rsidR="00000000" w:rsidRDefault="00000000">
      <w:pPr>
        <w:pStyle w:val="TOC2"/>
        <w:suppressAutoHyphens/>
        <w:spacing w:before="0"/>
        <w:ind w:right="2835"/>
        <w:jc w:val="left"/>
        <w:rPr>
          <w:b/>
          <w:sz w:val="24"/>
        </w:rPr>
      </w:pPr>
      <w:hyperlink w:anchor="_Toc97786719" w:history="1">
        <w:r>
          <w:rPr>
            <w:rStyle w:val="Hyperlink"/>
            <w:b/>
            <w:color w:val="auto"/>
          </w:rPr>
          <w:t>Статья 10, пункт h)</w:t>
        </w:r>
        <w:r>
          <w:rPr>
            <w:b/>
          </w:rPr>
          <w:tab/>
        </w:r>
        <w:r>
          <w:rPr>
            <w:b/>
          </w:rPr>
          <w:fldChar w:fldCharType="begin"/>
        </w:r>
        <w:r>
          <w:rPr>
            <w:b/>
          </w:rPr>
          <w:instrText xml:space="preserve"> PAGEREF _Toc97786719 \h </w:instrText>
        </w:r>
        <w:r>
          <w:rPr>
            <w:b/>
          </w:rPr>
        </w:r>
        <w:r>
          <w:rPr>
            <w:b/>
          </w:rPr>
          <w:fldChar w:fldCharType="separate"/>
        </w:r>
        <w:r>
          <w:rPr>
            <w:b/>
          </w:rPr>
          <w:t>61</w:t>
        </w:r>
        <w:r>
          <w:rPr>
            <w:b/>
          </w:rPr>
          <w:fldChar w:fldCharType="end"/>
        </w:r>
      </w:hyperlink>
    </w:p>
    <w:p w:rsidR="00000000" w:rsidRDefault="00000000">
      <w:pPr>
        <w:pStyle w:val="TOC1"/>
        <w:suppressAutoHyphens/>
        <w:spacing w:before="0" w:after="0"/>
        <w:ind w:left="1701" w:right="2835"/>
        <w:rPr>
          <w:b/>
          <w:caps w:val="0"/>
          <w:sz w:val="24"/>
        </w:rPr>
      </w:pPr>
      <w:hyperlink w:anchor="_Toc97786721" w:history="1">
        <w:r>
          <w:rPr>
            <w:rStyle w:val="Hyperlink"/>
            <w:b/>
            <w:caps w:val="0"/>
            <w:color w:val="auto"/>
          </w:rPr>
          <w:t>Статья 11</w:t>
        </w:r>
        <w:r>
          <w:rPr>
            <w:b/>
            <w:caps w:val="0"/>
          </w:rPr>
          <w:tab/>
        </w:r>
        <w:r>
          <w:rPr>
            <w:b/>
          </w:rPr>
          <w:fldChar w:fldCharType="begin"/>
        </w:r>
        <w:r>
          <w:rPr>
            <w:b/>
          </w:rPr>
          <w:instrText xml:space="preserve"> PAGEREF _Toc97786721 \h </w:instrText>
        </w:r>
        <w:r>
          <w:rPr>
            <w:b/>
          </w:rPr>
        </w:r>
        <w:r>
          <w:rPr>
            <w:b/>
          </w:rPr>
          <w:fldChar w:fldCharType="separate"/>
        </w:r>
        <w:r>
          <w:rPr>
            <w:b/>
          </w:rPr>
          <w:t>61</w:t>
        </w:r>
        <w:r>
          <w:rPr>
            <w:b/>
          </w:rPr>
          <w:fldChar w:fldCharType="end"/>
        </w:r>
      </w:hyperlink>
    </w:p>
    <w:p w:rsidR="00000000" w:rsidRDefault="00000000">
      <w:pPr>
        <w:pStyle w:val="TOC2"/>
        <w:suppressAutoHyphens/>
        <w:spacing w:before="0"/>
        <w:ind w:right="2835"/>
        <w:jc w:val="left"/>
        <w:rPr>
          <w:b/>
          <w:sz w:val="24"/>
        </w:rPr>
      </w:pPr>
      <w:hyperlink w:anchor="_Toc97786722" w:history="1">
        <w:r>
          <w:rPr>
            <w:rStyle w:val="Hyperlink"/>
            <w:b/>
            <w:color w:val="auto"/>
          </w:rPr>
          <w:t>Статья 11, пункт 1, подпункт а)</w:t>
        </w:r>
        <w:r>
          <w:rPr>
            <w:b/>
          </w:rPr>
          <w:tab/>
        </w:r>
        <w:r>
          <w:rPr>
            <w:b/>
          </w:rPr>
          <w:fldChar w:fldCharType="begin"/>
        </w:r>
        <w:r>
          <w:rPr>
            <w:b/>
          </w:rPr>
          <w:instrText xml:space="preserve"> PAGEREF _Toc97786722 \h </w:instrText>
        </w:r>
        <w:r>
          <w:rPr>
            <w:b/>
          </w:rPr>
        </w:r>
        <w:r>
          <w:rPr>
            <w:b/>
          </w:rPr>
          <w:fldChar w:fldCharType="separate"/>
        </w:r>
        <w:r>
          <w:rPr>
            <w:b/>
          </w:rPr>
          <w:t>62</w:t>
        </w:r>
        <w:r>
          <w:rPr>
            <w:b/>
          </w:rPr>
          <w:fldChar w:fldCharType="end"/>
        </w:r>
      </w:hyperlink>
    </w:p>
    <w:p w:rsidR="00000000" w:rsidRDefault="00000000">
      <w:pPr>
        <w:pStyle w:val="TOC2"/>
        <w:suppressAutoHyphens/>
        <w:spacing w:before="0"/>
        <w:ind w:left="1985" w:right="2835"/>
        <w:jc w:val="left"/>
        <w:rPr>
          <w:sz w:val="24"/>
        </w:rPr>
      </w:pPr>
      <w:hyperlink w:anchor="_Toc97786723" w:history="1">
        <w:r>
          <w:rPr>
            <w:rStyle w:val="Hyperlink"/>
            <w:color w:val="auto"/>
          </w:rPr>
          <w:t>Обеспечение права женщин на труд</w:t>
        </w:r>
        <w:r>
          <w:tab/>
        </w:r>
        <w:r>
          <w:fldChar w:fldCharType="begin"/>
        </w:r>
        <w:r>
          <w:instrText xml:space="preserve"> PAGEREF _Toc97786723 \h </w:instrText>
        </w:r>
        <w:r>
          <w:fldChar w:fldCharType="separate"/>
        </w:r>
        <w:r>
          <w:t>62</w:t>
        </w:r>
        <w:r>
          <w:fldChar w:fldCharType="end"/>
        </w:r>
      </w:hyperlink>
    </w:p>
    <w:p w:rsidR="00000000" w:rsidRDefault="00000000">
      <w:pPr>
        <w:pStyle w:val="TOC2"/>
        <w:suppressAutoHyphens/>
        <w:spacing w:before="0"/>
        <w:ind w:left="1985" w:right="2835"/>
        <w:jc w:val="left"/>
        <w:rPr>
          <w:sz w:val="24"/>
        </w:rPr>
      </w:pPr>
      <w:hyperlink w:anchor="_Toc97786726" w:history="1">
        <w:r>
          <w:rPr>
            <w:rStyle w:val="Hyperlink"/>
            <w:color w:val="auto"/>
          </w:rPr>
          <w:t>Проект коллективных помощников</w:t>
        </w:r>
        <w:r>
          <w:tab/>
        </w:r>
        <w:r>
          <w:fldChar w:fldCharType="begin"/>
        </w:r>
        <w:r>
          <w:instrText xml:space="preserve"> PAGEREF _Toc97786726 \h </w:instrText>
        </w:r>
        <w:r>
          <w:fldChar w:fldCharType="separate"/>
        </w:r>
        <w:r>
          <w:t>63</w:t>
        </w:r>
        <w:r>
          <w:fldChar w:fldCharType="end"/>
        </w:r>
      </w:hyperlink>
    </w:p>
    <w:p w:rsidR="00000000" w:rsidRDefault="00000000">
      <w:pPr>
        <w:pStyle w:val="TOC2"/>
        <w:suppressAutoHyphens/>
        <w:spacing w:before="0"/>
        <w:ind w:left="1985" w:right="2835"/>
        <w:jc w:val="left"/>
        <w:rPr>
          <w:sz w:val="24"/>
        </w:rPr>
      </w:pPr>
      <w:hyperlink w:anchor="_Toc97786727" w:history="1">
        <w:r>
          <w:rPr>
            <w:rStyle w:val="Hyperlink"/>
            <w:color w:val="auto"/>
          </w:rPr>
          <w:t>Положение женщин-инвалидов на рынке труда</w:t>
        </w:r>
        <w:r>
          <w:tab/>
        </w:r>
        <w:r>
          <w:fldChar w:fldCharType="begin"/>
        </w:r>
        <w:r>
          <w:instrText xml:space="preserve"> PAGEREF _Toc97786727 \h </w:instrText>
        </w:r>
        <w:r>
          <w:fldChar w:fldCharType="separate"/>
        </w:r>
        <w:r>
          <w:t>63</w:t>
        </w:r>
        <w:r>
          <w:fldChar w:fldCharType="end"/>
        </w:r>
      </w:hyperlink>
    </w:p>
    <w:p w:rsidR="00000000" w:rsidRDefault="00000000">
      <w:pPr>
        <w:pStyle w:val="TOC2"/>
        <w:suppressAutoHyphens/>
        <w:spacing w:before="0"/>
        <w:ind w:left="1985" w:right="2835"/>
        <w:jc w:val="left"/>
        <w:rPr>
          <w:sz w:val="24"/>
        </w:rPr>
      </w:pPr>
      <w:hyperlink w:anchor="_Toc97786728" w:history="1">
        <w:r>
          <w:rPr>
            <w:rStyle w:val="Hyperlink"/>
            <w:color w:val="auto"/>
          </w:rPr>
          <w:t>Участие в проектах ЕС</w:t>
        </w:r>
        <w:r>
          <w:tab/>
        </w:r>
        <w:r>
          <w:fldChar w:fldCharType="begin"/>
        </w:r>
        <w:r>
          <w:instrText xml:space="preserve"> PAGEREF _Toc97786728 \h </w:instrText>
        </w:r>
        <w:r>
          <w:fldChar w:fldCharType="separate"/>
        </w:r>
        <w:r>
          <w:t>64</w:t>
        </w:r>
        <w:r>
          <w:fldChar w:fldCharType="end"/>
        </w:r>
      </w:hyperlink>
    </w:p>
    <w:p w:rsidR="00000000" w:rsidRDefault="00000000">
      <w:pPr>
        <w:pStyle w:val="TOC2"/>
        <w:suppressAutoHyphens/>
        <w:spacing w:before="0"/>
        <w:ind w:right="2835"/>
        <w:jc w:val="left"/>
        <w:rPr>
          <w:b/>
          <w:sz w:val="24"/>
        </w:rPr>
      </w:pPr>
      <w:hyperlink w:anchor="_Toc97786729" w:history="1">
        <w:r>
          <w:rPr>
            <w:rStyle w:val="Hyperlink"/>
            <w:b/>
            <w:color w:val="auto"/>
          </w:rPr>
          <w:t>Статья 11, пункт 1, подпункт b)</w:t>
        </w:r>
        <w:r>
          <w:rPr>
            <w:b/>
          </w:rPr>
          <w:tab/>
        </w:r>
        <w:r>
          <w:rPr>
            <w:b/>
          </w:rPr>
          <w:fldChar w:fldCharType="begin"/>
        </w:r>
        <w:r>
          <w:rPr>
            <w:b/>
          </w:rPr>
          <w:instrText xml:space="preserve"> PAGEREF _Toc97786729 \h </w:instrText>
        </w:r>
        <w:r>
          <w:rPr>
            <w:b/>
          </w:rPr>
        </w:r>
        <w:r>
          <w:rPr>
            <w:b/>
          </w:rPr>
          <w:fldChar w:fldCharType="separate"/>
        </w:r>
        <w:r>
          <w:rPr>
            <w:b/>
          </w:rPr>
          <w:t>64</w:t>
        </w:r>
        <w:r>
          <w:rPr>
            <w:b/>
          </w:rPr>
          <w:fldChar w:fldCharType="end"/>
        </w:r>
      </w:hyperlink>
    </w:p>
    <w:p w:rsidR="00000000" w:rsidRDefault="00000000">
      <w:pPr>
        <w:pStyle w:val="TOC2"/>
        <w:suppressAutoHyphens/>
        <w:spacing w:before="0"/>
        <w:ind w:left="1985" w:right="2835"/>
        <w:jc w:val="left"/>
        <w:rPr>
          <w:sz w:val="24"/>
        </w:rPr>
      </w:pPr>
      <w:hyperlink w:anchor="_Toc97786730" w:history="1">
        <w:r>
          <w:rPr>
            <w:rStyle w:val="Hyperlink"/>
            <w:color w:val="auto"/>
          </w:rPr>
          <w:t>Поправка к закону о равном обращении 2001 года</w:t>
        </w:r>
        <w:r>
          <w:tab/>
        </w:r>
        <w:r>
          <w:fldChar w:fldCharType="begin"/>
        </w:r>
        <w:r>
          <w:instrText xml:space="preserve"> PAGEREF _Toc97786730 \h </w:instrText>
        </w:r>
        <w:r>
          <w:fldChar w:fldCharType="separate"/>
        </w:r>
        <w:r>
          <w:t>64</w:t>
        </w:r>
        <w:r>
          <w:fldChar w:fldCharType="end"/>
        </w:r>
      </w:hyperlink>
    </w:p>
    <w:p w:rsidR="00000000" w:rsidRDefault="00000000">
      <w:pPr>
        <w:pStyle w:val="TOC2"/>
        <w:suppressAutoHyphens/>
        <w:spacing w:before="0"/>
        <w:ind w:right="2835"/>
        <w:jc w:val="left"/>
        <w:rPr>
          <w:b/>
          <w:sz w:val="24"/>
        </w:rPr>
      </w:pPr>
      <w:hyperlink w:anchor="_Toc97786731" w:history="1">
        <w:r>
          <w:rPr>
            <w:rStyle w:val="Hyperlink"/>
            <w:b/>
            <w:color w:val="auto"/>
          </w:rPr>
          <w:t>Статья 11, пункт 1, подпункт с)</w:t>
        </w:r>
        <w:r>
          <w:rPr>
            <w:b/>
          </w:rPr>
          <w:tab/>
        </w:r>
        <w:r>
          <w:rPr>
            <w:b/>
          </w:rPr>
          <w:fldChar w:fldCharType="begin"/>
        </w:r>
        <w:r>
          <w:rPr>
            <w:b/>
          </w:rPr>
          <w:instrText xml:space="preserve"> PAGEREF _Toc97786731 \h </w:instrText>
        </w:r>
        <w:r>
          <w:rPr>
            <w:b/>
          </w:rPr>
        </w:r>
        <w:r>
          <w:rPr>
            <w:b/>
          </w:rPr>
          <w:fldChar w:fldCharType="separate"/>
        </w:r>
        <w:r>
          <w:rPr>
            <w:b/>
          </w:rPr>
          <w:t>65</w:t>
        </w:r>
        <w:r>
          <w:rPr>
            <w:b/>
          </w:rPr>
          <w:fldChar w:fldCharType="end"/>
        </w:r>
      </w:hyperlink>
    </w:p>
    <w:p w:rsidR="00000000" w:rsidRDefault="00000000">
      <w:pPr>
        <w:pStyle w:val="TOC2"/>
        <w:suppressAutoHyphens/>
        <w:spacing w:before="0"/>
        <w:ind w:left="1985" w:right="2835"/>
        <w:jc w:val="left"/>
        <w:rPr>
          <w:sz w:val="24"/>
        </w:rPr>
      </w:pPr>
      <w:hyperlink w:anchor="_Toc97786732" w:history="1">
        <w:r>
          <w:rPr>
            <w:rStyle w:val="Hyperlink"/>
            <w:color w:val="auto"/>
          </w:rPr>
          <w:t>Учебный отпуск</w:t>
        </w:r>
        <w:r>
          <w:tab/>
        </w:r>
        <w:r>
          <w:fldChar w:fldCharType="begin"/>
        </w:r>
        <w:r>
          <w:instrText xml:space="preserve"> PAGEREF _Toc97786732 \h </w:instrText>
        </w:r>
        <w:r>
          <w:fldChar w:fldCharType="separate"/>
        </w:r>
        <w:r>
          <w:t>65</w:t>
        </w:r>
        <w:r>
          <w:fldChar w:fldCharType="end"/>
        </w:r>
      </w:hyperlink>
    </w:p>
    <w:p w:rsidR="00000000" w:rsidRDefault="00000000">
      <w:pPr>
        <w:pStyle w:val="TOC2"/>
        <w:suppressAutoHyphens/>
        <w:spacing w:before="0"/>
        <w:ind w:right="2835"/>
        <w:jc w:val="left"/>
        <w:rPr>
          <w:b/>
          <w:sz w:val="24"/>
        </w:rPr>
      </w:pPr>
      <w:hyperlink w:anchor="_Toc97786733" w:history="1">
        <w:r>
          <w:rPr>
            <w:rStyle w:val="Hyperlink"/>
            <w:b/>
            <w:color w:val="auto"/>
          </w:rPr>
          <w:t>Статья 11, пункт 1, подпункт d)</w:t>
        </w:r>
        <w:r>
          <w:rPr>
            <w:b/>
          </w:rPr>
          <w:tab/>
        </w:r>
        <w:r>
          <w:rPr>
            <w:b/>
          </w:rPr>
          <w:fldChar w:fldCharType="begin"/>
        </w:r>
        <w:r>
          <w:rPr>
            <w:b/>
          </w:rPr>
          <w:instrText xml:space="preserve"> PAGEREF _Toc97786733 \h </w:instrText>
        </w:r>
        <w:r>
          <w:rPr>
            <w:b/>
          </w:rPr>
        </w:r>
        <w:r>
          <w:rPr>
            <w:b/>
          </w:rPr>
          <w:fldChar w:fldCharType="separate"/>
        </w:r>
        <w:r>
          <w:rPr>
            <w:b/>
          </w:rPr>
          <w:t>65</w:t>
        </w:r>
        <w:r>
          <w:rPr>
            <w:b/>
          </w:rPr>
          <w:fldChar w:fldCharType="end"/>
        </w:r>
      </w:hyperlink>
    </w:p>
    <w:p w:rsidR="00000000" w:rsidRDefault="00000000">
      <w:pPr>
        <w:pStyle w:val="TOC2"/>
        <w:suppressAutoHyphens/>
        <w:spacing w:before="0"/>
        <w:ind w:right="2835"/>
        <w:jc w:val="left"/>
        <w:rPr>
          <w:b/>
          <w:sz w:val="24"/>
        </w:rPr>
      </w:pPr>
      <w:hyperlink w:anchor="_Toc97786734" w:history="1">
        <w:r>
          <w:rPr>
            <w:rStyle w:val="Hyperlink"/>
            <w:b/>
            <w:color w:val="auto"/>
          </w:rPr>
          <w:t>Статья 11, пункт 1, подпункт е)</w:t>
        </w:r>
        <w:r>
          <w:rPr>
            <w:b/>
          </w:rPr>
          <w:tab/>
        </w:r>
        <w:r>
          <w:rPr>
            <w:b/>
          </w:rPr>
          <w:fldChar w:fldCharType="begin"/>
        </w:r>
        <w:r>
          <w:rPr>
            <w:b/>
          </w:rPr>
          <w:instrText xml:space="preserve"> PAGEREF _Toc97786734 \h </w:instrText>
        </w:r>
        <w:r>
          <w:rPr>
            <w:b/>
          </w:rPr>
        </w:r>
        <w:r>
          <w:rPr>
            <w:b/>
          </w:rPr>
          <w:fldChar w:fldCharType="separate"/>
        </w:r>
        <w:r>
          <w:rPr>
            <w:b/>
          </w:rPr>
          <w:t>65</w:t>
        </w:r>
        <w:r>
          <w:rPr>
            <w:b/>
          </w:rPr>
          <w:fldChar w:fldCharType="end"/>
        </w:r>
      </w:hyperlink>
    </w:p>
    <w:p w:rsidR="00000000" w:rsidRDefault="00000000">
      <w:pPr>
        <w:pStyle w:val="TOC2"/>
        <w:suppressAutoHyphens/>
        <w:spacing w:before="0"/>
        <w:ind w:left="1985" w:right="2835"/>
        <w:jc w:val="left"/>
        <w:rPr>
          <w:sz w:val="24"/>
        </w:rPr>
      </w:pPr>
      <w:hyperlink w:anchor="_Toc97786735" w:history="1">
        <w:r>
          <w:rPr>
            <w:rStyle w:val="Hyperlink"/>
            <w:color w:val="auto"/>
          </w:rPr>
          <w:t>Пенсии</w:t>
        </w:r>
        <w:r>
          <w:tab/>
        </w:r>
        <w:r>
          <w:fldChar w:fldCharType="begin"/>
        </w:r>
        <w:r>
          <w:instrText xml:space="preserve"> PAGEREF _Toc97786735 \h </w:instrText>
        </w:r>
        <w:r>
          <w:fldChar w:fldCharType="separate"/>
        </w:r>
        <w:r>
          <w:t>65</w:t>
        </w:r>
        <w:r>
          <w:fldChar w:fldCharType="end"/>
        </w:r>
      </w:hyperlink>
    </w:p>
    <w:p w:rsidR="00000000" w:rsidRDefault="00000000">
      <w:pPr>
        <w:pStyle w:val="TOC2"/>
        <w:suppressAutoHyphens/>
        <w:spacing w:before="0"/>
        <w:ind w:right="2835"/>
        <w:jc w:val="left"/>
        <w:rPr>
          <w:b/>
          <w:sz w:val="24"/>
        </w:rPr>
      </w:pPr>
      <w:hyperlink w:anchor="_Toc97786736" w:history="1">
        <w:r>
          <w:rPr>
            <w:rStyle w:val="Hyperlink"/>
            <w:b/>
            <w:color w:val="auto"/>
          </w:rPr>
          <w:t>Статья 11, пункт 1, подпункт f)</w:t>
        </w:r>
        <w:r>
          <w:rPr>
            <w:b/>
          </w:rPr>
          <w:tab/>
        </w:r>
        <w:r>
          <w:rPr>
            <w:b/>
          </w:rPr>
          <w:fldChar w:fldCharType="begin"/>
        </w:r>
        <w:r>
          <w:rPr>
            <w:b/>
          </w:rPr>
          <w:instrText xml:space="preserve"> PAGEREF _Toc97786736 \h </w:instrText>
        </w:r>
        <w:r>
          <w:rPr>
            <w:b/>
          </w:rPr>
        </w:r>
        <w:r>
          <w:rPr>
            <w:b/>
          </w:rPr>
          <w:fldChar w:fldCharType="separate"/>
        </w:r>
        <w:r>
          <w:rPr>
            <w:b/>
          </w:rPr>
          <w:t>66</w:t>
        </w:r>
        <w:r>
          <w:rPr>
            <w:b/>
          </w:rPr>
          <w:fldChar w:fldCharType="end"/>
        </w:r>
      </w:hyperlink>
    </w:p>
    <w:p w:rsidR="00000000" w:rsidRDefault="00000000">
      <w:pPr>
        <w:pStyle w:val="TOC2"/>
        <w:suppressAutoHyphens/>
        <w:spacing w:before="0"/>
        <w:ind w:right="2835"/>
        <w:jc w:val="left"/>
        <w:rPr>
          <w:b/>
          <w:sz w:val="24"/>
        </w:rPr>
      </w:pPr>
      <w:hyperlink w:anchor="_Toc97786738" w:history="1">
        <w:r>
          <w:rPr>
            <w:rStyle w:val="Hyperlink"/>
            <w:b/>
            <w:color w:val="auto"/>
          </w:rPr>
          <w:t>Статья 11, пункт 2</w:t>
        </w:r>
        <w:r>
          <w:rPr>
            <w:b/>
          </w:rPr>
          <w:tab/>
        </w:r>
        <w:r>
          <w:rPr>
            <w:b/>
          </w:rPr>
          <w:fldChar w:fldCharType="begin"/>
        </w:r>
        <w:r>
          <w:rPr>
            <w:b/>
          </w:rPr>
          <w:instrText xml:space="preserve"> PAGEREF _Toc97786738 \h </w:instrText>
        </w:r>
        <w:r>
          <w:rPr>
            <w:b/>
          </w:rPr>
        </w:r>
        <w:r>
          <w:rPr>
            <w:b/>
          </w:rPr>
          <w:fldChar w:fldCharType="separate"/>
        </w:r>
        <w:r>
          <w:rPr>
            <w:b/>
          </w:rPr>
          <w:t>66</w:t>
        </w:r>
        <w:r>
          <w:rPr>
            <w:b/>
          </w:rPr>
          <w:fldChar w:fldCharType="end"/>
        </w:r>
      </w:hyperlink>
    </w:p>
    <w:p w:rsidR="00000000" w:rsidRDefault="00000000">
      <w:pPr>
        <w:pStyle w:val="TOC2"/>
        <w:suppressAutoHyphens/>
        <w:spacing w:before="0"/>
        <w:ind w:left="1985" w:right="2835"/>
        <w:jc w:val="left"/>
        <w:rPr>
          <w:sz w:val="24"/>
        </w:rPr>
      </w:pPr>
      <w:hyperlink w:anchor="_Toc97786739" w:history="1">
        <w:r>
          <w:rPr>
            <w:rStyle w:val="Hyperlink"/>
            <w:color w:val="auto"/>
          </w:rPr>
          <w:t>Закон об охране материнства и закон об отпуске по уходу за детьми (бывший Закон о родительском отпуске)</w:t>
        </w:r>
        <w:r>
          <w:tab/>
        </w:r>
        <w:r>
          <w:fldChar w:fldCharType="begin"/>
        </w:r>
        <w:r>
          <w:instrText xml:space="preserve"> PAGEREF _Toc97786739 \h </w:instrText>
        </w:r>
        <w:r>
          <w:fldChar w:fldCharType="separate"/>
        </w:r>
        <w:r>
          <w:t>66</w:t>
        </w:r>
        <w:r>
          <w:fldChar w:fldCharType="end"/>
        </w:r>
      </w:hyperlink>
    </w:p>
    <w:p w:rsidR="00000000" w:rsidRDefault="00000000">
      <w:pPr>
        <w:pStyle w:val="TOC2"/>
        <w:suppressAutoHyphens/>
        <w:spacing w:before="0"/>
        <w:ind w:left="1985" w:right="2835"/>
        <w:jc w:val="left"/>
        <w:rPr>
          <w:sz w:val="24"/>
        </w:rPr>
      </w:pPr>
      <w:hyperlink w:anchor="_Toc97786741" w:history="1">
        <w:r>
          <w:rPr>
            <w:rStyle w:val="Hyperlink"/>
            <w:color w:val="auto"/>
          </w:rPr>
          <w:t>Право родителей на работу на условиях неполного рабочего дня</w:t>
        </w:r>
        <w:r>
          <w:tab/>
        </w:r>
        <w:r>
          <w:fldChar w:fldCharType="begin"/>
        </w:r>
        <w:r>
          <w:instrText xml:space="preserve"> PAGEREF _Toc97786741 \h </w:instrText>
        </w:r>
        <w:r>
          <w:fldChar w:fldCharType="separate"/>
        </w:r>
        <w:r>
          <w:t>68</w:t>
        </w:r>
        <w:r>
          <w:fldChar w:fldCharType="end"/>
        </w:r>
      </w:hyperlink>
    </w:p>
    <w:p w:rsidR="00000000" w:rsidRDefault="00000000">
      <w:pPr>
        <w:pStyle w:val="TOC2"/>
        <w:suppressAutoHyphens/>
        <w:spacing w:before="0"/>
        <w:ind w:left="1985" w:right="2835"/>
        <w:jc w:val="left"/>
        <w:rPr>
          <w:sz w:val="24"/>
        </w:rPr>
      </w:pPr>
      <w:hyperlink w:anchor="_Toc97786742" w:history="1">
        <w:r>
          <w:rPr>
            <w:rStyle w:val="Hyperlink"/>
            <w:color w:val="auto"/>
          </w:rPr>
          <w:t>Отпуск по уходу за больными членами семьи</w:t>
        </w:r>
        <w:r>
          <w:tab/>
        </w:r>
        <w:r>
          <w:fldChar w:fldCharType="begin"/>
        </w:r>
        <w:r>
          <w:instrText xml:space="preserve"> PAGEREF _Toc97786742 \h </w:instrText>
        </w:r>
        <w:r>
          <w:fldChar w:fldCharType="separate"/>
        </w:r>
        <w:r>
          <w:t>68</w:t>
        </w:r>
        <w:r>
          <w:fldChar w:fldCharType="end"/>
        </w:r>
      </w:hyperlink>
    </w:p>
    <w:p w:rsidR="00000000" w:rsidRDefault="00000000">
      <w:pPr>
        <w:pStyle w:val="TOC2"/>
        <w:suppressAutoHyphens/>
        <w:spacing w:before="0"/>
        <w:ind w:left="1985" w:right="2835"/>
        <w:jc w:val="left"/>
        <w:rPr>
          <w:sz w:val="24"/>
        </w:rPr>
      </w:pPr>
      <w:hyperlink w:anchor="_Toc97786743" w:history="1">
        <w:r>
          <w:rPr>
            <w:rStyle w:val="Hyperlink"/>
            <w:color w:val="auto"/>
          </w:rPr>
          <w:t>Новый порядок выплаты выходного пособия</w:t>
        </w:r>
        <w:r>
          <w:tab/>
        </w:r>
        <w:r>
          <w:fldChar w:fldCharType="begin"/>
        </w:r>
        <w:r>
          <w:instrText xml:space="preserve"> PAGEREF _Toc97786743 \h </w:instrText>
        </w:r>
        <w:r>
          <w:fldChar w:fldCharType="separate"/>
        </w:r>
        <w:r>
          <w:t>69</w:t>
        </w:r>
        <w:r>
          <w:fldChar w:fldCharType="end"/>
        </w:r>
      </w:hyperlink>
    </w:p>
    <w:p w:rsidR="00000000" w:rsidRDefault="00000000">
      <w:pPr>
        <w:pStyle w:val="TOC2"/>
        <w:suppressAutoHyphens/>
        <w:spacing w:before="0"/>
        <w:ind w:right="2835"/>
        <w:jc w:val="left"/>
        <w:rPr>
          <w:b/>
          <w:sz w:val="24"/>
        </w:rPr>
      </w:pPr>
      <w:hyperlink w:anchor="_Toc97786744" w:history="1">
        <w:r>
          <w:rPr>
            <w:rStyle w:val="Hyperlink"/>
            <w:b/>
            <w:color w:val="auto"/>
          </w:rPr>
          <w:t>Статья 11, пункт 2, подпункт с)</w:t>
        </w:r>
        <w:r>
          <w:rPr>
            <w:b/>
          </w:rPr>
          <w:tab/>
        </w:r>
        <w:r>
          <w:rPr>
            <w:b/>
          </w:rPr>
          <w:fldChar w:fldCharType="begin"/>
        </w:r>
        <w:r>
          <w:rPr>
            <w:b/>
          </w:rPr>
          <w:instrText xml:space="preserve"> PAGEREF _Toc97786744 \h </w:instrText>
        </w:r>
        <w:r>
          <w:rPr>
            <w:b/>
          </w:rPr>
        </w:r>
        <w:r>
          <w:rPr>
            <w:b/>
          </w:rPr>
          <w:fldChar w:fldCharType="separate"/>
        </w:r>
        <w:r>
          <w:rPr>
            <w:b/>
          </w:rPr>
          <w:t>69</w:t>
        </w:r>
        <w:r>
          <w:rPr>
            <w:b/>
          </w:rPr>
          <w:fldChar w:fldCharType="end"/>
        </w:r>
      </w:hyperlink>
    </w:p>
    <w:p w:rsidR="00000000" w:rsidRDefault="00000000">
      <w:pPr>
        <w:pStyle w:val="TOC2"/>
        <w:suppressAutoHyphens/>
        <w:spacing w:before="0"/>
        <w:ind w:left="1985" w:right="2835"/>
        <w:jc w:val="left"/>
        <w:rPr>
          <w:sz w:val="24"/>
        </w:rPr>
      </w:pPr>
      <w:hyperlink w:anchor="_Toc97786745" w:history="1">
        <w:r>
          <w:rPr>
            <w:rStyle w:val="Hyperlink"/>
            <w:color w:val="auto"/>
          </w:rPr>
          <w:t>Система социальных услуг и учреждения по уходу за детьми</w:t>
        </w:r>
        <w:r>
          <w:tab/>
        </w:r>
        <w:r>
          <w:fldChar w:fldCharType="begin"/>
        </w:r>
        <w:r>
          <w:instrText xml:space="preserve"> PAGEREF _Toc97786745 \h </w:instrText>
        </w:r>
        <w:r>
          <w:fldChar w:fldCharType="separate"/>
        </w:r>
        <w:r>
          <w:t>69</w:t>
        </w:r>
        <w:r>
          <w:fldChar w:fldCharType="end"/>
        </w:r>
      </w:hyperlink>
    </w:p>
    <w:p w:rsidR="00000000" w:rsidRDefault="00000000">
      <w:pPr>
        <w:pStyle w:val="TOC1"/>
        <w:suppressAutoHyphens/>
        <w:spacing w:before="0" w:after="0"/>
        <w:ind w:left="1701" w:right="2835"/>
        <w:rPr>
          <w:b/>
          <w:caps w:val="0"/>
          <w:sz w:val="24"/>
        </w:rPr>
      </w:pPr>
      <w:hyperlink w:anchor="_Toc97786746" w:history="1">
        <w:r>
          <w:rPr>
            <w:rStyle w:val="Hyperlink"/>
            <w:b/>
            <w:caps w:val="0"/>
            <w:color w:val="auto"/>
          </w:rPr>
          <w:t>Статья 12</w:t>
        </w:r>
        <w:r>
          <w:rPr>
            <w:b/>
            <w:caps w:val="0"/>
          </w:rPr>
          <w:tab/>
        </w:r>
        <w:r>
          <w:rPr>
            <w:b/>
          </w:rPr>
          <w:fldChar w:fldCharType="begin"/>
        </w:r>
        <w:r>
          <w:rPr>
            <w:b/>
          </w:rPr>
          <w:instrText xml:space="preserve"> PAGEREF _Toc97786746 \h </w:instrText>
        </w:r>
        <w:r>
          <w:rPr>
            <w:b/>
          </w:rPr>
        </w:r>
        <w:r>
          <w:rPr>
            <w:b/>
          </w:rPr>
          <w:fldChar w:fldCharType="separate"/>
        </w:r>
        <w:r>
          <w:rPr>
            <w:b/>
          </w:rPr>
          <w:t>70</w:t>
        </w:r>
        <w:r>
          <w:rPr>
            <w:b/>
          </w:rPr>
          <w:fldChar w:fldCharType="end"/>
        </w:r>
      </w:hyperlink>
    </w:p>
    <w:p w:rsidR="00000000" w:rsidRDefault="00000000">
      <w:pPr>
        <w:pStyle w:val="TOC2"/>
        <w:suppressAutoHyphens/>
        <w:spacing w:before="0"/>
        <w:ind w:left="1985" w:right="2835"/>
        <w:jc w:val="left"/>
        <w:rPr>
          <w:sz w:val="24"/>
        </w:rPr>
      </w:pPr>
      <w:hyperlink w:anchor="_Toc97786747" w:history="1">
        <w:r>
          <w:rPr>
            <w:rStyle w:val="Hyperlink"/>
            <w:color w:val="auto"/>
          </w:rPr>
          <w:t>Медицинские специальности – совмещение производственных и семейных обязанностей</w:t>
        </w:r>
        <w:r>
          <w:tab/>
        </w:r>
        <w:r>
          <w:fldChar w:fldCharType="begin"/>
        </w:r>
        <w:r>
          <w:instrText xml:space="preserve"> PAGEREF _Toc97786747 \h </w:instrText>
        </w:r>
        <w:r>
          <w:fldChar w:fldCharType="separate"/>
        </w:r>
        <w:r>
          <w:t>71</w:t>
        </w:r>
        <w:r>
          <w:fldChar w:fldCharType="end"/>
        </w:r>
      </w:hyperlink>
    </w:p>
    <w:p w:rsidR="00000000" w:rsidRDefault="00000000">
      <w:pPr>
        <w:pStyle w:val="TOC2"/>
        <w:suppressAutoHyphens/>
        <w:spacing w:before="0"/>
        <w:ind w:left="1985" w:right="2835"/>
        <w:jc w:val="left"/>
        <w:rPr>
          <w:sz w:val="24"/>
        </w:rPr>
      </w:pPr>
      <w:hyperlink w:anchor="_Toc97786749" w:history="1">
        <w:r>
          <w:rPr>
            <w:rStyle w:val="Hyperlink"/>
            <w:color w:val="auto"/>
          </w:rPr>
          <w:t>Услуги в области охраны здоровья матери и ребенка</w:t>
        </w:r>
        <w:r>
          <w:tab/>
        </w:r>
        <w:r>
          <w:fldChar w:fldCharType="begin"/>
        </w:r>
        <w:r>
          <w:instrText xml:space="preserve"> PAGEREF _Toc97786749 \h </w:instrText>
        </w:r>
        <w:r>
          <w:fldChar w:fldCharType="separate"/>
        </w:r>
        <w:r>
          <w:t>72</w:t>
        </w:r>
        <w:r>
          <w:fldChar w:fldCharType="end"/>
        </w:r>
      </w:hyperlink>
    </w:p>
    <w:p w:rsidR="00000000" w:rsidRDefault="00000000">
      <w:pPr>
        <w:pStyle w:val="TOC2"/>
        <w:suppressAutoHyphens/>
        <w:spacing w:before="0"/>
        <w:ind w:left="1985" w:right="2835"/>
        <w:jc w:val="left"/>
        <w:rPr>
          <w:sz w:val="24"/>
        </w:rPr>
      </w:pPr>
      <w:hyperlink w:anchor="_Toc97786750" w:history="1">
        <w:r>
          <w:rPr>
            <w:rStyle w:val="Hyperlink"/>
            <w:color w:val="auto"/>
          </w:rPr>
          <w:t>Искусственное оплодотворение in vitro</w:t>
        </w:r>
        <w:r>
          <w:tab/>
        </w:r>
        <w:r>
          <w:fldChar w:fldCharType="begin"/>
        </w:r>
        <w:r>
          <w:instrText xml:space="preserve"> PAGEREF _Toc97786750 \h </w:instrText>
        </w:r>
        <w:r>
          <w:fldChar w:fldCharType="separate"/>
        </w:r>
        <w:r>
          <w:t>72</w:t>
        </w:r>
        <w:r>
          <w:fldChar w:fldCharType="end"/>
        </w:r>
      </w:hyperlink>
    </w:p>
    <w:p w:rsidR="00000000" w:rsidRDefault="00000000">
      <w:pPr>
        <w:pStyle w:val="TOC1"/>
        <w:suppressAutoHyphens/>
        <w:spacing w:before="0" w:after="0"/>
        <w:ind w:left="1701" w:right="2835"/>
        <w:rPr>
          <w:b/>
          <w:caps w:val="0"/>
          <w:sz w:val="24"/>
        </w:rPr>
      </w:pPr>
      <w:hyperlink w:anchor="_Toc97786751" w:history="1">
        <w:r>
          <w:rPr>
            <w:rStyle w:val="Hyperlink"/>
            <w:b/>
            <w:caps w:val="0"/>
            <w:color w:val="auto"/>
          </w:rPr>
          <w:t>Статья 13</w:t>
        </w:r>
        <w:r>
          <w:rPr>
            <w:b/>
            <w:caps w:val="0"/>
          </w:rPr>
          <w:tab/>
        </w:r>
        <w:r>
          <w:rPr>
            <w:b/>
          </w:rPr>
          <w:fldChar w:fldCharType="begin"/>
        </w:r>
        <w:r>
          <w:rPr>
            <w:b/>
          </w:rPr>
          <w:instrText xml:space="preserve"> PAGEREF _Toc97786751 \h </w:instrText>
        </w:r>
        <w:r>
          <w:rPr>
            <w:b/>
          </w:rPr>
        </w:r>
        <w:r>
          <w:rPr>
            <w:b/>
          </w:rPr>
          <w:fldChar w:fldCharType="separate"/>
        </w:r>
        <w:r>
          <w:rPr>
            <w:b/>
          </w:rPr>
          <w:t>73</w:t>
        </w:r>
        <w:r>
          <w:rPr>
            <w:b/>
          </w:rPr>
          <w:fldChar w:fldCharType="end"/>
        </w:r>
      </w:hyperlink>
    </w:p>
    <w:p w:rsidR="00000000" w:rsidRDefault="00000000">
      <w:pPr>
        <w:pStyle w:val="TOC2"/>
        <w:suppressAutoHyphens/>
        <w:spacing w:before="0"/>
        <w:ind w:right="2835"/>
        <w:jc w:val="left"/>
        <w:rPr>
          <w:b/>
          <w:sz w:val="24"/>
        </w:rPr>
      </w:pPr>
      <w:hyperlink w:anchor="_Toc97786752" w:history="1">
        <w:r>
          <w:rPr>
            <w:rStyle w:val="Hyperlink"/>
            <w:b/>
            <w:color w:val="auto"/>
          </w:rPr>
          <w:t>Стат</w:t>
        </w:r>
        <w:r>
          <w:rPr>
            <w:rStyle w:val="Hyperlink"/>
            <w:b/>
            <w:color w:val="auto"/>
          </w:rPr>
          <w:t>ь</w:t>
        </w:r>
        <w:r>
          <w:rPr>
            <w:rStyle w:val="Hyperlink"/>
            <w:b/>
            <w:color w:val="auto"/>
          </w:rPr>
          <w:t>я 13, пункт а)</w:t>
        </w:r>
        <w:r>
          <w:rPr>
            <w:b/>
          </w:rPr>
          <w:tab/>
        </w:r>
        <w:r>
          <w:rPr>
            <w:b/>
          </w:rPr>
          <w:fldChar w:fldCharType="begin"/>
        </w:r>
        <w:r>
          <w:rPr>
            <w:b/>
          </w:rPr>
          <w:instrText xml:space="preserve"> PAGEREF _Toc97786752 \h </w:instrText>
        </w:r>
        <w:r>
          <w:rPr>
            <w:b/>
          </w:rPr>
        </w:r>
        <w:r>
          <w:rPr>
            <w:b/>
          </w:rPr>
          <w:fldChar w:fldCharType="separate"/>
        </w:r>
        <w:r>
          <w:rPr>
            <w:b/>
          </w:rPr>
          <w:t>73</w:t>
        </w:r>
        <w:r>
          <w:rPr>
            <w:b/>
          </w:rPr>
          <w:fldChar w:fldCharType="end"/>
        </w:r>
      </w:hyperlink>
    </w:p>
    <w:p w:rsidR="00000000" w:rsidRDefault="00000000">
      <w:pPr>
        <w:pStyle w:val="TOC2"/>
        <w:suppressAutoHyphens/>
        <w:spacing w:before="0"/>
        <w:ind w:left="1985" w:right="2835"/>
        <w:jc w:val="left"/>
        <w:rPr>
          <w:sz w:val="24"/>
        </w:rPr>
      </w:pPr>
      <w:hyperlink w:anchor="_Toc97786753" w:history="1">
        <w:r>
          <w:rPr>
            <w:rStyle w:val="Hyperlink"/>
            <w:color w:val="auto"/>
          </w:rPr>
          <w:t>Семейные пособия</w:t>
        </w:r>
        <w:r>
          <w:tab/>
        </w:r>
        <w:r>
          <w:fldChar w:fldCharType="begin"/>
        </w:r>
        <w:r>
          <w:instrText xml:space="preserve"> PAGEREF _Toc97786753 \h </w:instrText>
        </w:r>
        <w:r>
          <w:fldChar w:fldCharType="separate"/>
        </w:r>
        <w:r>
          <w:t>73</w:t>
        </w:r>
        <w:r>
          <w:fldChar w:fldCharType="end"/>
        </w:r>
      </w:hyperlink>
    </w:p>
    <w:p w:rsidR="00000000" w:rsidRDefault="00000000">
      <w:pPr>
        <w:pStyle w:val="TOC2"/>
        <w:suppressAutoHyphens/>
        <w:spacing w:before="0"/>
        <w:ind w:left="1985" w:right="2835"/>
        <w:jc w:val="left"/>
        <w:rPr>
          <w:sz w:val="24"/>
        </w:rPr>
      </w:pPr>
      <w:hyperlink w:anchor="_Toc97786754" w:history="1">
        <w:r>
          <w:rPr>
            <w:rStyle w:val="Hyperlink"/>
            <w:color w:val="auto"/>
          </w:rPr>
          <w:t>Пособие по уходу за ребенком</w:t>
        </w:r>
        <w:r>
          <w:tab/>
        </w:r>
        <w:r>
          <w:fldChar w:fldCharType="begin"/>
        </w:r>
        <w:r>
          <w:instrText xml:space="preserve"> PAGEREF _Toc97786754 \h </w:instrText>
        </w:r>
        <w:r>
          <w:fldChar w:fldCharType="separate"/>
        </w:r>
        <w:r>
          <w:t>74</w:t>
        </w:r>
        <w:r>
          <w:fldChar w:fldCharType="end"/>
        </w:r>
      </w:hyperlink>
    </w:p>
    <w:p w:rsidR="00000000" w:rsidRDefault="00000000">
      <w:pPr>
        <w:pStyle w:val="TOC2"/>
        <w:suppressAutoHyphens/>
        <w:spacing w:before="0"/>
        <w:ind w:right="2835"/>
        <w:jc w:val="left"/>
        <w:rPr>
          <w:b/>
          <w:sz w:val="24"/>
        </w:rPr>
      </w:pPr>
      <w:hyperlink w:anchor="_Toc97786755" w:history="1">
        <w:r>
          <w:rPr>
            <w:rStyle w:val="Hyperlink"/>
            <w:b/>
            <w:color w:val="auto"/>
          </w:rPr>
          <w:t>Статья 13, пункт с)</w:t>
        </w:r>
        <w:r>
          <w:rPr>
            <w:b/>
          </w:rPr>
          <w:tab/>
        </w:r>
        <w:r>
          <w:rPr>
            <w:b/>
          </w:rPr>
          <w:fldChar w:fldCharType="begin"/>
        </w:r>
        <w:r>
          <w:rPr>
            <w:b/>
          </w:rPr>
          <w:instrText xml:space="preserve"> PAGEREF _Toc97786755 \h </w:instrText>
        </w:r>
        <w:r>
          <w:rPr>
            <w:b/>
          </w:rPr>
        </w:r>
        <w:r>
          <w:rPr>
            <w:b/>
          </w:rPr>
          <w:fldChar w:fldCharType="separate"/>
        </w:r>
        <w:r>
          <w:rPr>
            <w:b/>
          </w:rPr>
          <w:t>76</w:t>
        </w:r>
        <w:r>
          <w:rPr>
            <w:b/>
          </w:rPr>
          <w:fldChar w:fldCharType="end"/>
        </w:r>
      </w:hyperlink>
    </w:p>
    <w:p w:rsidR="00000000" w:rsidRDefault="00000000">
      <w:pPr>
        <w:pStyle w:val="TOC2"/>
        <w:suppressAutoHyphens/>
        <w:spacing w:before="0"/>
        <w:ind w:left="1985" w:right="2835"/>
        <w:jc w:val="left"/>
        <w:rPr>
          <w:sz w:val="24"/>
        </w:rPr>
      </w:pPr>
      <w:hyperlink w:anchor="_Toc97786756" w:history="1">
        <w:r>
          <w:rPr>
            <w:rStyle w:val="Hyperlink"/>
            <w:color w:val="auto"/>
          </w:rPr>
          <w:t>Занятия спортом</w:t>
        </w:r>
        <w:r>
          <w:tab/>
        </w:r>
        <w:r>
          <w:fldChar w:fldCharType="begin"/>
        </w:r>
        <w:r>
          <w:instrText xml:space="preserve"> PAGEREF _Toc97786756 \h </w:instrText>
        </w:r>
        <w:r>
          <w:fldChar w:fldCharType="separate"/>
        </w:r>
        <w:r>
          <w:t>76</w:t>
        </w:r>
        <w:r>
          <w:fldChar w:fldCharType="end"/>
        </w:r>
      </w:hyperlink>
    </w:p>
    <w:p w:rsidR="00000000" w:rsidRDefault="00000000">
      <w:pPr>
        <w:pStyle w:val="TOC1"/>
        <w:suppressAutoHyphens/>
        <w:spacing w:before="0" w:after="0"/>
        <w:ind w:left="1701" w:right="2835"/>
        <w:rPr>
          <w:b/>
          <w:caps w:val="0"/>
          <w:sz w:val="24"/>
        </w:rPr>
      </w:pPr>
      <w:hyperlink w:anchor="_Toc97786757" w:history="1">
        <w:r>
          <w:rPr>
            <w:rStyle w:val="Hyperlink"/>
            <w:b/>
            <w:caps w:val="0"/>
            <w:color w:val="auto"/>
          </w:rPr>
          <w:t>Статья 14</w:t>
        </w:r>
        <w:r>
          <w:rPr>
            <w:b/>
            <w:caps w:val="0"/>
          </w:rPr>
          <w:tab/>
        </w:r>
        <w:r>
          <w:rPr>
            <w:b/>
          </w:rPr>
          <w:fldChar w:fldCharType="begin"/>
        </w:r>
        <w:r>
          <w:rPr>
            <w:b/>
          </w:rPr>
          <w:instrText xml:space="preserve"> PAGEREF _Toc97786757 \h </w:instrText>
        </w:r>
        <w:r>
          <w:rPr>
            <w:b/>
          </w:rPr>
        </w:r>
        <w:r>
          <w:rPr>
            <w:b/>
          </w:rPr>
          <w:fldChar w:fldCharType="separate"/>
        </w:r>
        <w:r>
          <w:rPr>
            <w:b/>
          </w:rPr>
          <w:t>77</w:t>
        </w:r>
        <w:r>
          <w:rPr>
            <w:b/>
          </w:rPr>
          <w:fldChar w:fldCharType="end"/>
        </w:r>
      </w:hyperlink>
    </w:p>
    <w:p w:rsidR="00000000" w:rsidRDefault="00000000">
      <w:pPr>
        <w:pStyle w:val="TOC2"/>
        <w:suppressAutoHyphens/>
        <w:spacing w:before="0"/>
        <w:ind w:right="2835"/>
        <w:jc w:val="left"/>
        <w:rPr>
          <w:b/>
          <w:sz w:val="24"/>
        </w:rPr>
      </w:pPr>
      <w:hyperlink w:anchor="_Toc97786758" w:history="1">
        <w:r>
          <w:rPr>
            <w:rStyle w:val="Hyperlink"/>
            <w:b/>
            <w:color w:val="auto"/>
          </w:rPr>
          <w:t>Статья 14, пункт 2, подпункт а)</w:t>
        </w:r>
        <w:r>
          <w:rPr>
            <w:b/>
          </w:rPr>
          <w:tab/>
        </w:r>
        <w:r>
          <w:rPr>
            <w:b/>
          </w:rPr>
          <w:fldChar w:fldCharType="begin"/>
        </w:r>
        <w:r>
          <w:rPr>
            <w:b/>
          </w:rPr>
          <w:instrText xml:space="preserve"> PAGEREF _Toc97786758 \h </w:instrText>
        </w:r>
        <w:r>
          <w:rPr>
            <w:b/>
          </w:rPr>
        </w:r>
        <w:r>
          <w:rPr>
            <w:b/>
          </w:rPr>
          <w:fldChar w:fldCharType="separate"/>
        </w:r>
        <w:r>
          <w:rPr>
            <w:b/>
          </w:rPr>
          <w:t>77</w:t>
        </w:r>
        <w:r>
          <w:rPr>
            <w:b/>
          </w:rPr>
          <w:fldChar w:fldCharType="end"/>
        </w:r>
      </w:hyperlink>
    </w:p>
    <w:p w:rsidR="00000000" w:rsidRDefault="00000000">
      <w:pPr>
        <w:pStyle w:val="TOC2"/>
        <w:suppressAutoHyphens/>
        <w:spacing w:before="0"/>
        <w:ind w:left="1985" w:right="2835"/>
        <w:jc w:val="left"/>
        <w:rPr>
          <w:sz w:val="24"/>
        </w:rPr>
      </w:pPr>
      <w:hyperlink w:anchor="_Toc97786759" w:history="1">
        <w:r>
          <w:rPr>
            <w:rStyle w:val="Hyperlink"/>
            <w:color w:val="auto"/>
          </w:rPr>
          <w:t>Специальные мероприятия, осуществляемые в провинциях</w:t>
        </w:r>
        <w:r>
          <w:tab/>
        </w:r>
        <w:r>
          <w:fldChar w:fldCharType="begin"/>
        </w:r>
        <w:r>
          <w:instrText xml:space="preserve"> PAGEREF _Toc97786759 \h </w:instrText>
        </w:r>
        <w:r>
          <w:fldChar w:fldCharType="separate"/>
        </w:r>
        <w:r>
          <w:t>77</w:t>
        </w:r>
        <w:r>
          <w:fldChar w:fldCharType="end"/>
        </w:r>
      </w:hyperlink>
    </w:p>
    <w:p w:rsidR="00000000" w:rsidRDefault="00000000">
      <w:pPr>
        <w:pStyle w:val="TOC2"/>
        <w:suppressAutoHyphens/>
        <w:spacing w:before="0"/>
        <w:ind w:right="2835"/>
        <w:jc w:val="left"/>
        <w:rPr>
          <w:b/>
          <w:sz w:val="24"/>
        </w:rPr>
      </w:pPr>
      <w:hyperlink w:anchor="_Toc97786760" w:history="1">
        <w:r>
          <w:rPr>
            <w:rStyle w:val="Hyperlink"/>
            <w:b/>
            <w:color w:val="auto"/>
          </w:rPr>
          <w:t>Статья 14, пункт 2, подпункт с)</w:t>
        </w:r>
        <w:r>
          <w:rPr>
            <w:b/>
          </w:rPr>
          <w:tab/>
        </w:r>
        <w:r>
          <w:rPr>
            <w:b/>
          </w:rPr>
          <w:fldChar w:fldCharType="begin"/>
        </w:r>
        <w:r>
          <w:rPr>
            <w:b/>
          </w:rPr>
          <w:instrText xml:space="preserve"> PAGEREF _Toc97786760 \h </w:instrText>
        </w:r>
        <w:r>
          <w:rPr>
            <w:b/>
          </w:rPr>
        </w:r>
        <w:r>
          <w:rPr>
            <w:b/>
          </w:rPr>
          <w:fldChar w:fldCharType="separate"/>
        </w:r>
        <w:r>
          <w:rPr>
            <w:b/>
          </w:rPr>
          <w:t>78</w:t>
        </w:r>
        <w:r>
          <w:rPr>
            <w:b/>
          </w:rPr>
          <w:fldChar w:fldCharType="end"/>
        </w:r>
      </w:hyperlink>
    </w:p>
    <w:p w:rsidR="00000000" w:rsidRDefault="00000000">
      <w:pPr>
        <w:pStyle w:val="TOC2"/>
        <w:suppressAutoHyphens/>
        <w:spacing w:before="0"/>
        <w:ind w:right="2835"/>
        <w:jc w:val="left"/>
        <w:rPr>
          <w:sz w:val="24"/>
        </w:rPr>
      </w:pPr>
      <w:hyperlink w:anchor="_Toc97786761" w:history="1">
        <w:r>
          <w:rPr>
            <w:rStyle w:val="Hyperlink"/>
            <w:b/>
            <w:color w:val="auto"/>
          </w:rPr>
          <w:t>Статья 14, пункт 2, подпункт d)</w:t>
        </w:r>
        <w:r>
          <w:rPr>
            <w:b/>
          </w:rPr>
          <w:tab/>
        </w:r>
        <w:r>
          <w:rPr>
            <w:b/>
          </w:rPr>
          <w:fldChar w:fldCharType="begin"/>
        </w:r>
        <w:r>
          <w:rPr>
            <w:b/>
          </w:rPr>
          <w:instrText xml:space="preserve"> PAGEREF _Toc97786761 \h </w:instrText>
        </w:r>
        <w:r>
          <w:rPr>
            <w:b/>
          </w:rPr>
        </w:r>
        <w:r>
          <w:rPr>
            <w:b/>
          </w:rPr>
          <w:fldChar w:fldCharType="separate"/>
        </w:r>
        <w:r>
          <w:rPr>
            <w:b/>
          </w:rPr>
          <w:t>78</w:t>
        </w:r>
        <w:r>
          <w:rPr>
            <w:b/>
          </w:rPr>
          <w:fldChar w:fldCharType="end"/>
        </w:r>
      </w:hyperlink>
    </w:p>
    <w:p w:rsidR="00000000" w:rsidRDefault="00000000">
      <w:pPr>
        <w:pStyle w:val="TOC2"/>
        <w:suppressAutoHyphens/>
        <w:spacing w:before="0"/>
        <w:ind w:right="2835"/>
        <w:jc w:val="left"/>
        <w:rPr>
          <w:b/>
          <w:sz w:val="24"/>
        </w:rPr>
      </w:pPr>
      <w:hyperlink w:anchor="_Toc97786763" w:history="1">
        <w:r>
          <w:rPr>
            <w:rStyle w:val="Hyperlink"/>
            <w:b/>
            <w:color w:val="auto"/>
          </w:rPr>
          <w:t>Статья 14, пункт 2, подпункт е)</w:t>
        </w:r>
        <w:r>
          <w:rPr>
            <w:b/>
          </w:rPr>
          <w:tab/>
        </w:r>
        <w:r>
          <w:rPr>
            <w:b/>
          </w:rPr>
          <w:fldChar w:fldCharType="begin"/>
        </w:r>
        <w:r>
          <w:rPr>
            <w:b/>
          </w:rPr>
          <w:instrText xml:space="preserve"> PAGEREF _Toc97786763 \h </w:instrText>
        </w:r>
        <w:r>
          <w:rPr>
            <w:b/>
          </w:rPr>
        </w:r>
        <w:r>
          <w:rPr>
            <w:b/>
          </w:rPr>
          <w:fldChar w:fldCharType="separate"/>
        </w:r>
        <w:r>
          <w:rPr>
            <w:b/>
          </w:rPr>
          <w:t>79</w:t>
        </w:r>
        <w:r>
          <w:rPr>
            <w:b/>
          </w:rPr>
          <w:fldChar w:fldCharType="end"/>
        </w:r>
      </w:hyperlink>
    </w:p>
    <w:p w:rsidR="00000000" w:rsidRDefault="00000000">
      <w:pPr>
        <w:pStyle w:val="TOC2"/>
        <w:suppressAutoHyphens/>
        <w:spacing w:before="0"/>
        <w:ind w:right="2835"/>
        <w:jc w:val="left"/>
        <w:rPr>
          <w:b/>
          <w:sz w:val="24"/>
        </w:rPr>
      </w:pPr>
      <w:hyperlink w:anchor="_Toc97786764" w:history="1">
        <w:r>
          <w:rPr>
            <w:rStyle w:val="Hyperlink"/>
            <w:b/>
            <w:color w:val="auto"/>
          </w:rPr>
          <w:t>Статья 14, пункт 2, подпункт g)</w:t>
        </w:r>
        <w:r>
          <w:rPr>
            <w:b/>
          </w:rPr>
          <w:tab/>
        </w:r>
        <w:r>
          <w:rPr>
            <w:b/>
          </w:rPr>
          <w:fldChar w:fldCharType="begin"/>
        </w:r>
        <w:r>
          <w:rPr>
            <w:b/>
          </w:rPr>
          <w:instrText xml:space="preserve"> PAGEREF _Toc97786764 \h </w:instrText>
        </w:r>
        <w:r>
          <w:rPr>
            <w:b/>
          </w:rPr>
        </w:r>
        <w:r>
          <w:rPr>
            <w:b/>
          </w:rPr>
          <w:fldChar w:fldCharType="separate"/>
        </w:r>
        <w:r>
          <w:rPr>
            <w:b/>
          </w:rPr>
          <w:t>79</w:t>
        </w:r>
        <w:r>
          <w:rPr>
            <w:b/>
          </w:rPr>
          <w:fldChar w:fldCharType="end"/>
        </w:r>
      </w:hyperlink>
    </w:p>
    <w:p w:rsidR="00000000" w:rsidRDefault="00000000">
      <w:pPr>
        <w:pStyle w:val="TOC2"/>
        <w:suppressAutoHyphens/>
        <w:spacing w:before="0"/>
        <w:ind w:right="2835"/>
        <w:jc w:val="left"/>
        <w:rPr>
          <w:b/>
          <w:sz w:val="24"/>
        </w:rPr>
      </w:pPr>
      <w:hyperlink w:anchor="_Toc97786765" w:history="1">
        <w:r>
          <w:rPr>
            <w:rStyle w:val="Hyperlink"/>
            <w:b/>
            <w:color w:val="auto"/>
          </w:rPr>
          <w:t>Статья 14, пункт 2, подпункт h)</w:t>
        </w:r>
        <w:r>
          <w:rPr>
            <w:b/>
          </w:rPr>
          <w:tab/>
        </w:r>
        <w:r>
          <w:rPr>
            <w:b/>
          </w:rPr>
          <w:fldChar w:fldCharType="begin"/>
        </w:r>
        <w:r>
          <w:rPr>
            <w:b/>
          </w:rPr>
          <w:instrText xml:space="preserve"> PAGEREF _Toc97786765 \h </w:instrText>
        </w:r>
        <w:r>
          <w:rPr>
            <w:b/>
          </w:rPr>
        </w:r>
        <w:r>
          <w:rPr>
            <w:b/>
          </w:rPr>
          <w:fldChar w:fldCharType="separate"/>
        </w:r>
        <w:r>
          <w:rPr>
            <w:b/>
          </w:rPr>
          <w:t>80</w:t>
        </w:r>
        <w:r>
          <w:rPr>
            <w:b/>
          </w:rPr>
          <w:fldChar w:fldCharType="end"/>
        </w:r>
      </w:hyperlink>
    </w:p>
    <w:p w:rsidR="00000000" w:rsidRDefault="00000000">
      <w:pPr>
        <w:pStyle w:val="TOC2"/>
        <w:suppressAutoHyphens/>
        <w:spacing w:before="0"/>
        <w:ind w:left="1985" w:right="2835"/>
        <w:jc w:val="left"/>
        <w:rPr>
          <w:sz w:val="24"/>
        </w:rPr>
      </w:pPr>
      <w:hyperlink w:anchor="_Toc97786766" w:history="1">
        <w:r>
          <w:rPr>
            <w:rStyle w:val="Hyperlink"/>
            <w:color w:val="auto"/>
          </w:rPr>
          <w:t>Общинный проект автобусного сообщения "pötshing"</w:t>
        </w:r>
        <w:r>
          <w:tab/>
        </w:r>
        <w:r>
          <w:fldChar w:fldCharType="begin"/>
        </w:r>
        <w:r>
          <w:instrText xml:space="preserve"> PAGEREF _Toc97786766 \h </w:instrText>
        </w:r>
        <w:r>
          <w:fldChar w:fldCharType="separate"/>
        </w:r>
        <w:r>
          <w:t>80</w:t>
        </w:r>
        <w:r>
          <w:fldChar w:fldCharType="end"/>
        </w:r>
      </w:hyperlink>
    </w:p>
    <w:p w:rsidR="00000000" w:rsidRDefault="00000000">
      <w:pPr>
        <w:pStyle w:val="TOC2"/>
        <w:suppressAutoHyphens/>
        <w:spacing w:before="0"/>
        <w:ind w:left="1985" w:right="2835"/>
        <w:jc w:val="left"/>
        <w:rPr>
          <w:sz w:val="24"/>
        </w:rPr>
      </w:pPr>
      <w:hyperlink w:anchor="_Toc97786767" w:history="1">
        <w:r>
          <w:rPr>
            <w:rStyle w:val="Hyperlink"/>
            <w:color w:val="auto"/>
          </w:rPr>
          <w:t>Создание женского консультативного совета экспертов по вопросам транспортной политики:</w:t>
        </w:r>
        <w:r>
          <w:tab/>
        </w:r>
        <w:r>
          <w:fldChar w:fldCharType="begin"/>
        </w:r>
        <w:r>
          <w:instrText xml:space="preserve"> PAGEREF _Toc97786767 \h </w:instrText>
        </w:r>
        <w:r>
          <w:fldChar w:fldCharType="separate"/>
        </w:r>
        <w:r>
          <w:t>80</w:t>
        </w:r>
        <w:r>
          <w:fldChar w:fldCharType="end"/>
        </w:r>
      </w:hyperlink>
    </w:p>
    <w:p w:rsidR="00000000" w:rsidRDefault="00000000">
      <w:pPr>
        <w:pStyle w:val="TOC1"/>
        <w:suppressAutoHyphens/>
        <w:spacing w:before="0" w:after="0"/>
        <w:ind w:left="1701" w:right="2835"/>
        <w:rPr>
          <w:b/>
          <w:caps w:val="0"/>
          <w:sz w:val="24"/>
        </w:rPr>
      </w:pPr>
      <w:hyperlink w:anchor="_Toc97786768" w:history="1">
        <w:r>
          <w:rPr>
            <w:rStyle w:val="Hyperlink"/>
            <w:b/>
            <w:caps w:val="0"/>
            <w:color w:val="auto"/>
          </w:rPr>
          <w:t>Статья 15</w:t>
        </w:r>
        <w:r>
          <w:rPr>
            <w:b/>
            <w:caps w:val="0"/>
          </w:rPr>
          <w:tab/>
        </w:r>
        <w:r>
          <w:rPr>
            <w:b/>
          </w:rPr>
          <w:fldChar w:fldCharType="begin"/>
        </w:r>
        <w:r>
          <w:rPr>
            <w:b/>
          </w:rPr>
          <w:instrText xml:space="preserve"> PAGEREF _Toc97786768 \h </w:instrText>
        </w:r>
        <w:r>
          <w:rPr>
            <w:b/>
          </w:rPr>
        </w:r>
        <w:r>
          <w:rPr>
            <w:b/>
          </w:rPr>
          <w:fldChar w:fldCharType="separate"/>
        </w:r>
        <w:r>
          <w:rPr>
            <w:b/>
          </w:rPr>
          <w:t>80</w:t>
        </w:r>
        <w:r>
          <w:rPr>
            <w:b/>
          </w:rPr>
          <w:fldChar w:fldCharType="end"/>
        </w:r>
      </w:hyperlink>
    </w:p>
    <w:p w:rsidR="00000000" w:rsidRDefault="00000000">
      <w:pPr>
        <w:pStyle w:val="TOC1"/>
        <w:suppressAutoHyphens/>
        <w:spacing w:before="0" w:after="0"/>
        <w:ind w:left="1701" w:right="2835"/>
        <w:rPr>
          <w:b/>
          <w:caps w:val="0"/>
          <w:sz w:val="24"/>
        </w:rPr>
      </w:pPr>
      <w:hyperlink w:anchor="_Toc97786769" w:history="1">
        <w:r>
          <w:rPr>
            <w:rStyle w:val="Hyperlink"/>
            <w:b/>
            <w:caps w:val="0"/>
            <w:color w:val="auto"/>
          </w:rPr>
          <w:t>Статья 16</w:t>
        </w:r>
        <w:r>
          <w:rPr>
            <w:b/>
            <w:caps w:val="0"/>
          </w:rPr>
          <w:tab/>
        </w:r>
        <w:r>
          <w:rPr>
            <w:b/>
          </w:rPr>
          <w:fldChar w:fldCharType="begin"/>
        </w:r>
        <w:r>
          <w:rPr>
            <w:b/>
          </w:rPr>
          <w:instrText xml:space="preserve"> PAGEREF _Toc97786769 \h </w:instrText>
        </w:r>
        <w:r>
          <w:rPr>
            <w:b/>
          </w:rPr>
        </w:r>
        <w:r>
          <w:rPr>
            <w:b/>
          </w:rPr>
          <w:fldChar w:fldCharType="separate"/>
        </w:r>
        <w:r>
          <w:rPr>
            <w:b/>
          </w:rPr>
          <w:t>80</w:t>
        </w:r>
        <w:r>
          <w:rPr>
            <w:b/>
          </w:rPr>
          <w:fldChar w:fldCharType="end"/>
        </w:r>
      </w:hyperlink>
    </w:p>
    <w:p w:rsidR="00000000" w:rsidRDefault="00000000">
      <w:pPr>
        <w:pStyle w:val="TOC1"/>
        <w:suppressAutoHyphens/>
        <w:spacing w:after="0"/>
        <w:ind w:right="2835"/>
        <w:rPr>
          <w:rStyle w:val="Hyperlink"/>
          <w:b/>
          <w:color w:val="auto"/>
        </w:rPr>
      </w:pPr>
      <w:hyperlink w:anchor="_Toc97786770" w:history="1">
        <w:r>
          <w:rPr>
            <w:rStyle w:val="Hyperlink"/>
            <w:b/>
            <w:caps w:val="0"/>
            <w:color w:val="auto"/>
          </w:rPr>
          <w:t>Приложение 1</w:t>
        </w:r>
        <w:r>
          <w:rPr>
            <w:rStyle w:val="Hyperlink"/>
            <w:b/>
            <w:caps w:val="0"/>
            <w:color w:val="auto"/>
          </w:rPr>
          <w:br/>
        </w:r>
        <w:r>
          <w:rPr>
            <w:b/>
            <w:caps w:val="0"/>
          </w:rPr>
          <w:t>Проекты/Программы/Научные исследования/Публикации</w:t>
        </w:r>
        <w:r>
          <w:rPr>
            <w:b/>
            <w:caps w:val="0"/>
          </w:rPr>
          <w:tab/>
        </w:r>
        <w:r>
          <w:rPr>
            <w:b/>
          </w:rPr>
          <w:fldChar w:fldCharType="begin"/>
        </w:r>
        <w:r>
          <w:rPr>
            <w:b/>
          </w:rPr>
          <w:instrText xml:space="preserve"> PAGEREF _Toc97786770 \h </w:instrText>
        </w:r>
        <w:r>
          <w:rPr>
            <w:b/>
          </w:rPr>
        </w:r>
        <w:r>
          <w:rPr>
            <w:b/>
          </w:rPr>
          <w:fldChar w:fldCharType="separate"/>
        </w:r>
        <w:r>
          <w:rPr>
            <w:b/>
          </w:rPr>
          <w:t>82</w:t>
        </w:r>
        <w:r>
          <w:rPr>
            <w:b/>
          </w:rPr>
          <w:fldChar w:fldCharType="end"/>
        </w:r>
      </w:hyperlink>
    </w:p>
    <w:p w:rsidR="00000000" w:rsidRDefault="00000000">
      <w:pPr>
        <w:pStyle w:val="SingleTxt"/>
        <w:tabs>
          <w:tab w:val="clear" w:pos="1267"/>
        </w:tabs>
        <w:suppressAutoHyphens/>
        <w:ind w:left="1701" w:right="2835"/>
        <w:jc w:val="left"/>
        <w:rPr>
          <w:noProof/>
        </w:rPr>
      </w:pPr>
      <w:r>
        <w:rPr>
          <w:noProof/>
        </w:rPr>
        <w:t>Примечание:Приложение I будет представлено членам Комитета на том языке, на котором оно было подготовлено.</w:t>
      </w:r>
    </w:p>
    <w:p w:rsidR="00000000" w:rsidRDefault="00000000">
      <w:pPr>
        <w:pStyle w:val="TOC1"/>
        <w:suppressAutoHyphens/>
        <w:spacing w:before="0" w:after="0"/>
        <w:ind w:right="2835"/>
        <w:rPr>
          <w:b/>
          <w:caps w:val="0"/>
          <w:sz w:val="24"/>
        </w:rPr>
      </w:pPr>
      <w:hyperlink w:anchor="_Toc97786771" w:history="1">
        <w:r>
          <w:rPr>
            <w:rStyle w:val="Hyperlink"/>
            <w:b/>
            <w:caps w:val="0"/>
            <w:color w:val="auto"/>
          </w:rPr>
          <w:t>Приложение 2 </w:t>
        </w:r>
        <w:r>
          <w:rPr>
            <w:rStyle w:val="Hyperlink"/>
            <w:b/>
            <w:caps w:val="0"/>
            <w:color w:val="auto"/>
          </w:rPr>
          <w:br/>
          <w:t>Cтатистические данные</w:t>
        </w:r>
        <w:r>
          <w:rPr>
            <w:b/>
            <w:caps w:val="0"/>
          </w:rPr>
          <w:tab/>
        </w:r>
        <w:r>
          <w:rPr>
            <w:b/>
          </w:rPr>
          <w:fldChar w:fldCharType="begin"/>
        </w:r>
        <w:r>
          <w:rPr>
            <w:b/>
          </w:rPr>
          <w:instrText xml:space="preserve"> PAGEREF _Toc97786771 \h </w:instrText>
        </w:r>
        <w:r>
          <w:rPr>
            <w:b/>
          </w:rPr>
        </w:r>
        <w:r>
          <w:rPr>
            <w:b/>
          </w:rPr>
          <w:fldChar w:fldCharType="separate"/>
        </w:r>
        <w:r>
          <w:rPr>
            <w:b/>
          </w:rPr>
          <w:t>83</w:t>
        </w:r>
        <w:r>
          <w:rPr>
            <w:b/>
          </w:rPr>
          <w:fldChar w:fldCharType="end"/>
        </w:r>
      </w:hyperlink>
    </w:p>
    <w:p w:rsidR="00000000" w:rsidRDefault="00000000">
      <w:pPr>
        <w:tabs>
          <w:tab w:val="left" w:pos="-720"/>
          <w:tab w:val="left" w:pos="2268"/>
          <w:tab w:val="right" w:leader="dot" w:pos="8505"/>
        </w:tabs>
        <w:suppressAutoHyphens/>
        <w:spacing w:line="240" w:lineRule="auto"/>
        <w:ind w:left="1264" w:right="2835"/>
        <w:rPr>
          <w:spacing w:val="-3"/>
        </w:rPr>
      </w:pPr>
      <w:r>
        <w:rPr>
          <w:spacing w:val="-3"/>
        </w:rPr>
        <w:fldChar w:fldCharType="end"/>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1" w:right="1196" w:bottom="1899" w:left="1196" w:header="578" w:footer="1032" w:gutter="0"/>
          <w:cols w:space="720"/>
          <w:noEndnote/>
        </w:sectPr>
      </w:pPr>
    </w:p>
    <w:p w:rsidR="00000000" w:rsidRDefault="00000000">
      <w:pPr>
        <w:pStyle w:val="50"/>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bookmarkStart w:id="27" w:name="_Toc97786625"/>
      <w:r>
        <w:t>Введение</w:t>
      </w:r>
      <w:bookmarkEnd w:id="27"/>
    </w:p>
    <w:p w:rsidR="00000000" w:rsidRDefault="00000000">
      <w:pPr>
        <w:pStyle w:val="50"/>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3"/>
        </w:rPr>
      </w:pPr>
      <w:r>
        <w:tab/>
      </w:r>
      <w:r>
        <w:tab/>
        <w:t>Австрия ратифицировала Конвенцию о ликвидации всех форм дискрим</w:t>
      </w:r>
      <w:r>
        <w:t>и</w:t>
      </w:r>
      <w:r>
        <w:t>нации в отношении женщин (КЛДЖ) в 1982 году и на основании статьи 18 данной Конвенции обязалась не реже, чем раз в четыре года, представлять регулярные доклады о выявленных препятствиях, принятых мерах и прогрессе, достигнутом в деле осуществления КЛДЖ. В соответствии с этим обязательс</w:t>
      </w:r>
      <w:r>
        <w:t>т</w:t>
      </w:r>
      <w:r>
        <w:t xml:space="preserve">вом Австрия подготовила свой </w:t>
      </w:r>
      <w:r>
        <w:rPr>
          <w:b/>
        </w:rPr>
        <w:t>первый доклад</w:t>
      </w:r>
      <w:r>
        <w:t xml:space="preserve"> в 1983 году (</w:t>
      </w:r>
      <w:r>
        <w:rPr>
          <w:spacing w:val="-3"/>
        </w:rPr>
        <w:t>CEDAW/C/5/Add.17 от 1 ноября 1983 года). Этот доклад вместе со всеми прилож</w:t>
      </w:r>
      <w:r>
        <w:rPr>
          <w:spacing w:val="-3"/>
        </w:rPr>
        <w:t>е</w:t>
      </w:r>
      <w:r>
        <w:rPr>
          <w:spacing w:val="-3"/>
        </w:rPr>
        <w:t>ниями был рассмотрен на четвертом заседании КЛДЖ, которое состоялось в Вене 21 января – 2 февраля 1985 года (</w:t>
      </w:r>
      <w:r>
        <w:rPr>
          <w:spacing w:val="-3"/>
          <w:lang w:val="en-US"/>
        </w:rPr>
        <w:t>CEDAW</w:t>
      </w:r>
      <w:r>
        <w:rPr>
          <w:spacing w:val="-3"/>
        </w:rPr>
        <w:t>/</w:t>
      </w:r>
      <w:r>
        <w:rPr>
          <w:spacing w:val="-3"/>
          <w:lang w:val="en-US"/>
        </w:rPr>
        <w:t>C</w:t>
      </w:r>
      <w:r>
        <w:rPr>
          <w:spacing w:val="-3"/>
        </w:rPr>
        <w:t>/</w:t>
      </w:r>
      <w:r>
        <w:rPr>
          <w:spacing w:val="-3"/>
          <w:lang w:val="en-US"/>
        </w:rPr>
        <w:t>SR</w:t>
      </w:r>
      <w:r>
        <w:rPr>
          <w:spacing w:val="-3"/>
        </w:rPr>
        <w:t>.51, 55, 56, 62).</w:t>
      </w:r>
    </w:p>
    <w:p w:rsidR="00000000" w:rsidRDefault="00000000">
      <w:pPr>
        <w:pStyle w:val="SingleTxt"/>
      </w:pPr>
      <w:r>
        <w:rPr>
          <w:b/>
        </w:rPr>
        <w:tab/>
      </w:r>
      <w:r>
        <w:rPr>
          <w:b/>
        </w:rPr>
        <w:tab/>
        <w:t>Второй доклад</w:t>
      </w:r>
      <w:r>
        <w:t xml:space="preserve"> охватывал период с 1983 по 1988 год (и был дополнен с</w:t>
      </w:r>
      <w:r>
        <w:t>а</w:t>
      </w:r>
      <w:r>
        <w:t xml:space="preserve">мыми последними данными в ходе его доработки в феврале 1989 года) и был рассмотрен и одобрен на заседании КЛДЖ, состоявшемся в феврале 1991 года (CEDAW/C/5/Add.17; </w:t>
      </w:r>
      <w:r>
        <w:rPr>
          <w:lang w:val="en-US"/>
        </w:rPr>
        <w:t>CEDAW</w:t>
      </w:r>
      <w:r>
        <w:t>/</w:t>
      </w:r>
      <w:r>
        <w:rPr>
          <w:lang w:val="en-US"/>
        </w:rPr>
        <w:t>C</w:t>
      </w:r>
      <w:r>
        <w:t>/</w:t>
      </w:r>
      <w:r>
        <w:rPr>
          <w:lang w:val="en-US"/>
        </w:rPr>
        <w:t>SR</w:t>
      </w:r>
      <w:r>
        <w:t>.184).</w:t>
      </w:r>
    </w:p>
    <w:p w:rsidR="00000000" w:rsidRDefault="00000000">
      <w:pPr>
        <w:pStyle w:val="SingleTxt"/>
      </w:pPr>
      <w:r>
        <w:rPr>
          <w:b/>
        </w:rPr>
        <w:tab/>
      </w:r>
      <w:r>
        <w:rPr>
          <w:b/>
        </w:rPr>
        <w:tab/>
        <w:t>Третий и четвертый доклады</w:t>
      </w:r>
      <w:r>
        <w:t>, которые были представлены в виде сво</w:t>
      </w:r>
      <w:r>
        <w:t>д</w:t>
      </w:r>
      <w:r>
        <w:t>ного доклада, содержали всеобъемлющий обзор за период с января 1989 по д</w:t>
      </w:r>
      <w:r>
        <w:t>е</w:t>
      </w:r>
      <w:r>
        <w:t>кабрь 1995 года и были представлены в 1996 году (CEDAW/C/</w:t>
      </w:r>
      <w:r>
        <w:rPr>
          <w:lang w:val="en-US"/>
        </w:rPr>
        <w:t>AUT</w:t>
      </w:r>
      <w:r>
        <w:t>/3-4).</w:t>
      </w:r>
    </w:p>
    <w:p w:rsidR="00000000" w:rsidRDefault="00000000">
      <w:pPr>
        <w:pStyle w:val="SingleTxt"/>
      </w:pPr>
      <w:r>
        <w:rPr>
          <w:b/>
        </w:rPr>
        <w:tab/>
      </w:r>
      <w:r>
        <w:rPr>
          <w:b/>
        </w:rPr>
        <w:tab/>
        <w:t>Пятый доклад</w:t>
      </w:r>
      <w:r>
        <w:t>, в котором описывалась ситуация за период с 1996 года по середину 1999 года, был представлен КЛДЖ в 2000 году (CEDAW/C/</w:t>
      </w:r>
      <w:r>
        <w:rPr>
          <w:lang w:val="en-US"/>
        </w:rPr>
        <w:t>AUT</w:t>
      </w:r>
      <w:r>
        <w:t xml:space="preserve">/5; </w:t>
      </w:r>
      <w:r>
        <w:rPr>
          <w:lang w:val="en-US"/>
        </w:rPr>
        <w:t>CEDAW</w:t>
      </w:r>
      <w:r>
        <w:t>/</w:t>
      </w:r>
      <w:r>
        <w:rPr>
          <w:lang w:val="en-US"/>
        </w:rPr>
        <w:t>C</w:t>
      </w:r>
      <w:r>
        <w:t>/</w:t>
      </w:r>
      <w:r>
        <w:rPr>
          <w:lang w:val="en-US"/>
        </w:rPr>
        <w:t>SR</w:t>
      </w:r>
      <w:r>
        <w:t>.471).</w:t>
      </w:r>
    </w:p>
    <w:p w:rsidR="00000000" w:rsidRDefault="00000000">
      <w:pPr>
        <w:pStyle w:val="SingleTxt"/>
      </w:pPr>
      <w:r>
        <w:tab/>
      </w:r>
      <w:r>
        <w:tab/>
        <w:t xml:space="preserve">В </w:t>
      </w:r>
      <w:r>
        <w:rPr>
          <w:b/>
        </w:rPr>
        <w:t>шестом докладе</w:t>
      </w:r>
      <w:r>
        <w:t xml:space="preserve"> содержится обзор мероприятий, проведенных Австр</w:t>
      </w:r>
      <w:r>
        <w:t>и</w:t>
      </w:r>
      <w:r>
        <w:t>ей в целях борьбы с дискриминацией в отношении женщин, и описывается с</w:t>
      </w:r>
      <w:r>
        <w:t>и</w:t>
      </w:r>
      <w:r>
        <w:t>туация за период с середины 1999 года по конец 2003 года. С учетом новых р</w:t>
      </w:r>
      <w:r>
        <w:t>у</w:t>
      </w:r>
      <w:r>
        <w:t xml:space="preserve">ководящих принципов, которые касаются представления докладов (А/57/38 (Часть </w:t>
      </w:r>
      <w:r>
        <w:rPr>
          <w:lang w:val="en-US"/>
        </w:rPr>
        <w:t>II</w:t>
      </w:r>
      <w:r>
        <w:t>)) в соответствии со статьей 18 Конвенции и применяются ко всем докладам, представленным после 31 декабря 2002 года, настоящий доклад был сокращен до 70 страниц. В первой части доклада содержатся замечания в отношении рекомендаций, данных Комитетом, а во второй части описываются меры, принятые в целях ликвидации дискриминации в отношении женщин в соответствии с отдельными статьями Конвенции. В приложениях 1 и 2 содержится дополнительная информация о соответствующих проектах, пр</w:t>
      </w:r>
      <w:r>
        <w:t>о</w:t>
      </w:r>
      <w:r>
        <w:t>граммах, исследованиях, публикациях и статистических данных.</w:t>
      </w:r>
    </w:p>
    <w:p w:rsidR="00000000" w:rsidRDefault="00000000">
      <w:pPr>
        <w:pStyle w:val="50"/>
      </w:pPr>
    </w:p>
    <w:p w:rsidR="00000000" w:rsidRDefault="00000000">
      <w:pPr>
        <w:pStyle w:val="50"/>
      </w:pPr>
    </w:p>
    <w:p w:rsidR="00000000" w:rsidRDefault="00000000">
      <w:pPr>
        <w:pStyle w:val="HCh"/>
        <w:pageBreakBefore/>
        <w:ind w:left="1276" w:hanging="482"/>
      </w:pPr>
      <w:bookmarkStart w:id="28" w:name="_Toc97786626"/>
      <w:r>
        <w:t>1.</w:t>
      </w:r>
      <w:r>
        <w:tab/>
        <w:t xml:space="preserve">Осуществление рекомендаций, высказанных в отношении </w:t>
      </w:r>
      <w:r>
        <w:tab/>
        <w:t>третьего, четвертого и пятого докладов Австрии, представленных КЛДЖ</w:t>
      </w:r>
      <w:bookmarkEnd w:id="28"/>
    </w:p>
    <w:p w:rsidR="00000000" w:rsidRDefault="00000000">
      <w:pPr>
        <w:pStyle w:val="50"/>
      </w:pPr>
    </w:p>
    <w:p w:rsidR="00000000" w:rsidRDefault="00000000">
      <w:pPr>
        <w:pStyle w:val="50"/>
      </w:pPr>
    </w:p>
    <w:p w:rsidR="00000000" w:rsidRDefault="00000000">
      <w:pPr>
        <w:pStyle w:val="H1"/>
      </w:pPr>
      <w:r>
        <w:tab/>
      </w:r>
      <w:bookmarkStart w:id="29" w:name="_Toc97786627"/>
      <w:r>
        <w:t>Рекомендация 219</w:t>
      </w:r>
      <w:bookmarkEnd w:id="29"/>
    </w:p>
    <w:p w:rsidR="00000000" w:rsidRDefault="00000000">
      <w:pPr>
        <w:pStyle w:val="SingleTxt"/>
      </w:pPr>
      <w:r>
        <w:tab/>
      </w:r>
      <w:r>
        <w:tab/>
        <w:t>В рамках процесса приведения норм внутреннего законодательства в с</w:t>
      </w:r>
      <w:r>
        <w:t>о</w:t>
      </w:r>
      <w:r>
        <w:t xml:space="preserve">ответствие с нормами ЕС с 1 августа 2002 года в силу вступил Закон о труде в ночное время (Бюллетень федеральных законов, часть </w:t>
      </w:r>
      <w:r>
        <w:rPr>
          <w:lang w:val="en-US"/>
        </w:rPr>
        <w:t>I</w:t>
      </w:r>
      <w:r>
        <w:t>, № 122/2002), зам</w:t>
      </w:r>
      <w:r>
        <w:t>е</w:t>
      </w:r>
      <w:r>
        <w:t>нивший прежний закон, регулировавший труд женщин в ночное время. Согла</w:t>
      </w:r>
      <w:r>
        <w:t>с</w:t>
      </w:r>
      <w:r>
        <w:t>но новому закону, в австрийское законодательство, касающееся продолжител</w:t>
      </w:r>
      <w:r>
        <w:t>ь</w:t>
      </w:r>
      <w:r>
        <w:t>ности рабочего дня, были включены нейтральные с гендерной точки зрения полож</w:t>
      </w:r>
      <w:r>
        <w:t>е</w:t>
      </w:r>
      <w:r>
        <w:t>ния, в равной мере применяющиеся как к женщинам, так и к мужчинам.</w:t>
      </w:r>
    </w:p>
    <w:p w:rsidR="00000000" w:rsidRDefault="00000000">
      <w:pPr>
        <w:pStyle w:val="SingleTxt"/>
      </w:pPr>
      <w:r>
        <w:tab/>
      </w:r>
      <w:r>
        <w:tab/>
      </w:r>
      <w:r>
        <w:rPr>
          <w:b/>
        </w:rPr>
        <w:t>Основные положения нового закона описываются ниже</w:t>
      </w:r>
      <w:r>
        <w:t>:</w:t>
      </w:r>
    </w:p>
    <w:p w:rsidR="00000000" w:rsidRDefault="00000000">
      <w:pPr>
        <w:pStyle w:val="dot"/>
      </w:pPr>
      <w:r>
        <w:sym w:font="Symbol" w:char="F0B7"/>
      </w:r>
      <w:r>
        <w:tab/>
        <w:t>Юридическое определение труда в ночное время: работа, выполня</w:t>
      </w:r>
      <w:r>
        <w:t>е</w:t>
      </w:r>
      <w:r>
        <w:t>мая с 22.00 до 5.00.</w:t>
      </w:r>
    </w:p>
    <w:p w:rsidR="00000000" w:rsidRDefault="00000000">
      <w:pPr>
        <w:pStyle w:val="dot"/>
      </w:pPr>
      <w:r>
        <w:sym w:font="Symbol" w:char="F0B7"/>
      </w:r>
      <w:r>
        <w:tab/>
        <w:t>Определение статуса работников, которые трудятся в ночное время (для мужчин и женщин).</w:t>
      </w:r>
    </w:p>
    <w:p w:rsidR="00000000" w:rsidRDefault="00000000">
      <w:pPr>
        <w:pStyle w:val="dot"/>
      </w:pPr>
      <w:r>
        <w:sym w:font="Symbol" w:char="F0B7"/>
      </w:r>
      <w:r>
        <w:tab/>
        <w:t>Лица, которые работают в ночное время, имеют право на то, чтобы перевестись на дневную работу в том случае, если у них возникают проблемы со здоровьем или обязательства по уходу за детьми.</w:t>
      </w:r>
    </w:p>
    <w:p w:rsidR="00000000" w:rsidRDefault="00000000">
      <w:pPr>
        <w:pStyle w:val="dot"/>
      </w:pPr>
      <w:r>
        <w:sym w:font="Symbol" w:char="F0B7"/>
      </w:r>
      <w:r>
        <w:tab/>
        <w:t>Предусмотренное законом право на прохождение бесплатных мед</w:t>
      </w:r>
      <w:r>
        <w:t>и</w:t>
      </w:r>
      <w:r>
        <w:t>цинских осмотров раз в два года для определения состояния здор</w:t>
      </w:r>
      <w:r>
        <w:t>о</w:t>
      </w:r>
      <w:r>
        <w:t>вья лиц, работающих в ночное время; для лиц пожилого возраста т</w:t>
      </w:r>
      <w:r>
        <w:t>а</w:t>
      </w:r>
      <w:r>
        <w:t>кой осмотр должен пр</w:t>
      </w:r>
      <w:r>
        <w:t>о</w:t>
      </w:r>
      <w:r>
        <w:t>водиться ежегодно.</w:t>
      </w:r>
    </w:p>
    <w:p w:rsidR="00000000" w:rsidRDefault="00000000">
      <w:pPr>
        <w:pStyle w:val="dot"/>
      </w:pPr>
      <w:r>
        <w:sym w:font="Symbol" w:char="F0B7"/>
      </w:r>
      <w:r>
        <w:tab/>
        <w:t>Право на получение информации.</w:t>
      </w:r>
    </w:p>
    <w:p w:rsidR="00000000" w:rsidRDefault="00000000">
      <w:pPr>
        <w:pStyle w:val="50"/>
      </w:pPr>
    </w:p>
    <w:p w:rsidR="00000000" w:rsidRDefault="00000000">
      <w:pPr>
        <w:pStyle w:val="50"/>
      </w:pPr>
    </w:p>
    <w:p w:rsidR="00000000" w:rsidRDefault="00000000">
      <w:pPr>
        <w:pStyle w:val="H1"/>
      </w:pPr>
      <w:r>
        <w:tab/>
      </w:r>
      <w:bookmarkStart w:id="30" w:name="_Toc97786628"/>
      <w:r>
        <w:t>Рекомендация 224</w:t>
      </w:r>
      <w:bookmarkEnd w:id="30"/>
    </w:p>
    <w:p w:rsidR="00000000" w:rsidRDefault="00000000">
      <w:pPr>
        <w:pStyle w:val="SingleTxt"/>
      </w:pPr>
      <w:r>
        <w:tab/>
      </w:r>
      <w:r>
        <w:tab/>
        <w:t>См. данные, касающиеся статьи 5 и других статей и приведенные во вт</w:t>
      </w:r>
      <w:r>
        <w:t>о</w:t>
      </w:r>
      <w:r>
        <w:t>рой части.</w:t>
      </w:r>
    </w:p>
    <w:p w:rsidR="00000000" w:rsidRDefault="00000000">
      <w:pPr>
        <w:pStyle w:val="50"/>
      </w:pPr>
    </w:p>
    <w:p w:rsidR="00000000" w:rsidRDefault="00000000">
      <w:pPr>
        <w:pStyle w:val="50"/>
      </w:pPr>
    </w:p>
    <w:p w:rsidR="00000000" w:rsidRDefault="00000000">
      <w:pPr>
        <w:pStyle w:val="H1"/>
        <w:spacing w:after="240"/>
      </w:pPr>
      <w:r>
        <w:tab/>
      </w:r>
      <w:bookmarkStart w:id="31" w:name="_Toc97786629"/>
      <w:r>
        <w:t>Рекомендация 225</w:t>
      </w:r>
      <w:bookmarkEnd w:id="31"/>
    </w:p>
    <w:p w:rsidR="00000000" w:rsidRDefault="00000000">
      <w:pPr>
        <w:pStyle w:val="SingleTxt"/>
      </w:pPr>
      <w:r>
        <w:tab/>
      </w:r>
      <w:r>
        <w:tab/>
        <w:t>В соответствии с поправкой, внесенной в Закон о федеральных министе</w:t>
      </w:r>
      <w:r>
        <w:t>р</w:t>
      </w:r>
      <w:r>
        <w:t xml:space="preserve">ствах (Бюллетень федеральных законов, часть </w:t>
      </w:r>
      <w:r>
        <w:rPr>
          <w:lang w:val="en-US"/>
        </w:rPr>
        <w:t>I</w:t>
      </w:r>
      <w:r>
        <w:t>, № 17/2003), было образовано Федеральное министерство здравоохранения и по делам женщин, которое, ср</w:t>
      </w:r>
      <w:r>
        <w:t>е</w:t>
      </w:r>
      <w:r>
        <w:t>ди прочего, занимается координацией вопросов, касающихся политики в отн</w:t>
      </w:r>
      <w:r>
        <w:t>о</w:t>
      </w:r>
      <w:r>
        <w:t>шении женщин и обеспечения равенства между мужчинами и женщинами на рынке труда. Более подробная информация о Межведомственном координац</w:t>
      </w:r>
      <w:r>
        <w:t>и</w:t>
      </w:r>
      <w:r>
        <w:t>онном комитете по вопросам обеспечения учета гендерного фактора содержи</w:t>
      </w:r>
      <w:r>
        <w:t>т</w:t>
      </w:r>
      <w:r>
        <w:t>ся в разделе настоящего доклада, посвященном пункту 1 статьи 4.</w:t>
      </w:r>
    </w:p>
    <w:p w:rsidR="00000000" w:rsidRDefault="00000000">
      <w:pPr>
        <w:pStyle w:val="50"/>
      </w:pPr>
    </w:p>
    <w:p w:rsidR="00000000" w:rsidRDefault="00000000">
      <w:pPr>
        <w:pStyle w:val="50"/>
      </w:pPr>
    </w:p>
    <w:p w:rsidR="00000000" w:rsidRDefault="00000000">
      <w:pPr>
        <w:pStyle w:val="H1"/>
      </w:pPr>
      <w:r>
        <w:tab/>
      </w:r>
      <w:bookmarkStart w:id="32" w:name="_Toc97786630"/>
      <w:r>
        <w:t>Рекомендация 226</w:t>
      </w:r>
      <w:bookmarkEnd w:id="32"/>
    </w:p>
    <w:p w:rsidR="00000000" w:rsidRDefault="00000000">
      <w:pPr>
        <w:pStyle w:val="H23"/>
      </w:pPr>
      <w:r>
        <w:tab/>
      </w:r>
      <w:bookmarkStart w:id="33" w:name="_Toc97786631"/>
      <w:r>
        <w:t>Учет гендерного фактора в рамках Федерального министерства финансов</w:t>
      </w:r>
      <w:bookmarkEnd w:id="33"/>
    </w:p>
    <w:p w:rsidR="00000000" w:rsidRDefault="00000000">
      <w:pPr>
        <w:pStyle w:val="SingleTxt"/>
      </w:pPr>
      <w:r>
        <w:tab/>
      </w:r>
      <w:r>
        <w:tab/>
        <w:t>В 2001 году в рамках Федерального министерства финансов была создана внутренняя рабочая группа по обеспечению учета гендерного фактора, в состав которой вошли высокопоставленные эксперты министерства мужского и же</w:t>
      </w:r>
      <w:r>
        <w:t>н</w:t>
      </w:r>
      <w:r>
        <w:t>ского пола. С согласия министра финансов данная Рабочая группа, занима</w:t>
      </w:r>
      <w:r>
        <w:t>ю</w:t>
      </w:r>
      <w:r>
        <w:t>щаяся изучением вариантов реализации стратегии по обеспечению учета ге</w:t>
      </w:r>
      <w:r>
        <w:t>н</w:t>
      </w:r>
      <w:r>
        <w:t>дерного фактора в рамках Министерства финансов, включила в свою програ</w:t>
      </w:r>
      <w:r>
        <w:t>м</w:t>
      </w:r>
      <w:r>
        <w:t>му работы изучение проекта налоговой реформы.</w:t>
      </w:r>
    </w:p>
    <w:p w:rsidR="00000000" w:rsidRDefault="00000000">
      <w:pPr>
        <w:pStyle w:val="SingleTxt"/>
      </w:pPr>
      <w:r>
        <w:tab/>
      </w:r>
      <w:r>
        <w:tab/>
        <w:t>Оценка воздействия законодательных мер на обеспечение учета гендерн</w:t>
      </w:r>
      <w:r>
        <w:t>о</w:t>
      </w:r>
      <w:r>
        <w:t>го фактора будет проводиться с помощью специальной анкеты. Процедура м</w:t>
      </w:r>
      <w:r>
        <w:t>о</w:t>
      </w:r>
      <w:r>
        <w:t xml:space="preserve">ниторинга была разработана в рамках </w:t>
      </w:r>
      <w:r>
        <w:rPr>
          <w:b/>
        </w:rPr>
        <w:t>исследования</w:t>
      </w:r>
      <w:r>
        <w:t xml:space="preserve"> под названием "</w:t>
      </w:r>
      <w:r>
        <w:rPr>
          <w:b/>
        </w:rPr>
        <w:t>Является ли в действительности австрийская налоговая система нейтральной с ге</w:t>
      </w:r>
      <w:r>
        <w:rPr>
          <w:b/>
        </w:rPr>
        <w:t>н</w:t>
      </w:r>
      <w:r>
        <w:rPr>
          <w:b/>
        </w:rPr>
        <w:t>дерной точки зр</w:t>
      </w:r>
      <w:r>
        <w:rPr>
          <w:b/>
        </w:rPr>
        <w:t>е</w:t>
      </w:r>
      <w:r>
        <w:rPr>
          <w:b/>
        </w:rPr>
        <w:t>ния</w:t>
      </w:r>
      <w:r>
        <w:t>?".</w:t>
      </w:r>
    </w:p>
    <w:p w:rsidR="00000000" w:rsidRDefault="00000000">
      <w:pPr>
        <w:pStyle w:val="SingleTxt"/>
      </w:pPr>
      <w:r>
        <w:tab/>
      </w:r>
      <w:r>
        <w:tab/>
        <w:t>В ходе этого исследования был проанализирован перераспределительный эффект системы взимания налога с заработной платы и подоходного налога. Закон о подоходном налоге, который служит основой налоговой системы, включает нейтральные с гендерной точки зрения формулировки; вместе с тем, в конечном итоге, налоги на заработную плату и подоходные налоги по-разному влияют на женщин и мужчин. Доходы наемных работников-женщин в среднем соста</w:t>
      </w:r>
      <w:r>
        <w:t>в</w:t>
      </w:r>
      <w:r>
        <w:t>ляют лишь около 60 процентов от доходов наемных работников-мужчин.</w:t>
      </w:r>
    </w:p>
    <w:p w:rsidR="00000000" w:rsidRDefault="00000000">
      <w:pPr>
        <w:pStyle w:val="SingleTxt"/>
      </w:pPr>
      <w:r>
        <w:tab/>
      </w:r>
      <w:r>
        <w:tab/>
        <w:t>По существу, в результате данного исследования были сделаны следу</w:t>
      </w:r>
      <w:r>
        <w:t>ю</w:t>
      </w:r>
      <w:r>
        <w:t>щие выводы: В целом австрийская налоговая система оказывает компенс</w:t>
      </w:r>
      <w:r>
        <w:t>и</w:t>
      </w:r>
      <w:r>
        <w:t>рующее воздействие на чистые доходы. Средние общие доходы мужчин с</w:t>
      </w:r>
      <w:r>
        <w:t>о</w:t>
      </w:r>
      <w:r>
        <w:t>ставляют 160 процентов от средних общих доходов женщин. Благодаря дейс</w:t>
      </w:r>
      <w:r>
        <w:t>т</w:t>
      </w:r>
      <w:r>
        <w:t>вующей налоговой системе более высокие уровни чистого дохода мужчин с</w:t>
      </w:r>
      <w:r>
        <w:t>о</w:t>
      </w:r>
      <w:r>
        <w:t>кращаются до 152 процентов от общих чистых доходов женщин. Этот резул</w:t>
      </w:r>
      <w:r>
        <w:t>ь</w:t>
      </w:r>
      <w:r>
        <w:t>тат обеспечивается исключительно за счет прогрессивного характера системы взимания подоходного налога. С другой стороны, взносы в систему социальн</w:t>
      </w:r>
      <w:r>
        <w:t>о</w:t>
      </w:r>
      <w:r>
        <w:t>го страхования оказывают регрессивное воздействие, т.е. способствуют увел</w:t>
      </w:r>
      <w:r>
        <w:t>и</w:t>
      </w:r>
      <w:r>
        <w:t>чению разрыва в доходах мужчин и женщин.</w:t>
      </w:r>
    </w:p>
    <w:p w:rsidR="00000000" w:rsidRDefault="00000000">
      <w:pPr>
        <w:pStyle w:val="SingleTxt"/>
      </w:pPr>
      <w:r>
        <w:tab/>
      </w:r>
      <w:r>
        <w:tab/>
        <w:t>Предусмотренные в Законе о подоходном налоге изъятия, которые обе</w:t>
      </w:r>
      <w:r>
        <w:t>с</w:t>
      </w:r>
      <w:r>
        <w:t>печивают налоговые льготы (такие как налоговые скидки для единственного кормильца, привилегированный налоговый режим в отношении выходного п</w:t>
      </w:r>
      <w:r>
        <w:t>о</w:t>
      </w:r>
      <w:r>
        <w:t>собия, единовременная надбавка для лиц, добирающихся на работу из приг</w:t>
      </w:r>
      <w:r>
        <w:t>о</w:t>
      </w:r>
      <w:r>
        <w:t>родов общественным транспортом), за небольшим исключением приносят пользу налогопл</w:t>
      </w:r>
      <w:r>
        <w:t>а</w:t>
      </w:r>
      <w:r>
        <w:t>тельщикам-мужчинам</w:t>
      </w:r>
    </w:p>
    <w:p w:rsidR="00000000" w:rsidRDefault="00000000">
      <w:pPr>
        <w:pStyle w:val="SingleTxt"/>
      </w:pPr>
      <w:r>
        <w:tab/>
      </w:r>
      <w:r>
        <w:tab/>
        <w:t>Сокращение ставок налогов не увеличит разрыв в доходах женщин и мужчин, если оно будет ограничиваться нижним диапазоном налоговых ставок и будет сопровождаться увеличением налоговых льгот. Налоговая система не может полностью компенсировать существующее различие в доходах. Вместе с тем обеспечение учета гендерного фактора привлекает внимание к вопросу о том воздействии, которое будет оказывать подоходный налог: будет ли он сп</w:t>
      </w:r>
      <w:r>
        <w:t>о</w:t>
      </w:r>
      <w:r>
        <w:t>собствовать увеличению разрыва в доходах женщин и мужчин или оказывает ли он компенсирующее воздействие? Этот же вопрос необходимо задавать, к</w:t>
      </w:r>
      <w:r>
        <w:t>о</w:t>
      </w:r>
      <w:r>
        <w:t>гда речь идет о внесении изменений в налоговую систему. Будут ли те или иные меры способствовать увеличению или уменьшению разрыва в чистых д</w:t>
      </w:r>
      <w:r>
        <w:t>о</w:t>
      </w:r>
      <w:r>
        <w:t>ходах женщин и мужчин?</w:t>
      </w:r>
    </w:p>
    <w:p w:rsidR="00000000" w:rsidRDefault="00000000">
      <w:pPr>
        <w:pStyle w:val="SingleTxt"/>
      </w:pPr>
      <w:r>
        <w:tab/>
      </w:r>
      <w:r>
        <w:tab/>
        <w:t>В процессе планирования будущих налоговых реформ эти вопросы дол</w:t>
      </w:r>
      <w:r>
        <w:t>ж</w:t>
      </w:r>
      <w:r>
        <w:t>ны анализироваться с помощью указа</w:t>
      </w:r>
      <w:r>
        <w:t>н</w:t>
      </w:r>
      <w:r>
        <w:t>ной выше анкеты.</w:t>
      </w:r>
    </w:p>
    <w:p w:rsidR="00000000" w:rsidRDefault="00000000">
      <w:pPr>
        <w:pStyle w:val="SingleTxt"/>
      </w:pPr>
      <w:r>
        <w:tab/>
      </w:r>
      <w:r>
        <w:tab/>
        <w:t>В примечаниях к "Общему разделу" Закона об исполнении бюджета 2003 года, т.е. разделу, касающемуся финансовой деятельности правительства в связи с налоговыми вопросами, содержатся следующие положения, касающи</w:t>
      </w:r>
      <w:r>
        <w:t>е</w:t>
      </w:r>
      <w:r>
        <w:t xml:space="preserve">ся осуществления проекта по обеспечению учета гендерного фактора: </w:t>
      </w:r>
      <w:bookmarkStart w:id="34" w:name="_Toc97786632"/>
      <w:r>
        <w:t>"</w:t>
      </w:r>
      <w:r>
        <w:rPr>
          <w:b/>
        </w:rPr>
        <w:t>Учет гендерного фактора – последствия для женщин и мужчин</w:t>
      </w:r>
      <w:bookmarkEnd w:id="34"/>
      <w:r>
        <w:t>".</w:t>
      </w:r>
    </w:p>
    <w:p w:rsidR="00000000" w:rsidRDefault="00000000">
      <w:pPr>
        <w:pStyle w:val="SingleTxt"/>
        <w:rPr>
          <w:spacing w:val="-3"/>
        </w:rPr>
      </w:pPr>
      <w:r>
        <w:rPr>
          <w:spacing w:val="-3"/>
        </w:rPr>
        <w:tab/>
      </w:r>
      <w:r>
        <w:rPr>
          <w:spacing w:val="-3"/>
        </w:rPr>
        <w:tab/>
        <w:t>В процессе налоговой реформы необходимо осуществлять непрерывный мон</w:t>
      </w:r>
      <w:r>
        <w:rPr>
          <w:spacing w:val="-3"/>
        </w:rPr>
        <w:t>и</w:t>
      </w:r>
      <w:r>
        <w:rPr>
          <w:spacing w:val="-3"/>
        </w:rPr>
        <w:t xml:space="preserve">торинг воздействия предпринимаемых в рамках </w:t>
      </w:r>
      <w:r>
        <w:t>реформы мер на доходы женщин и мужчин. Результаты этого мониторинга свидетельствуют о том, что при сниж</w:t>
      </w:r>
      <w:r>
        <w:t>е</w:t>
      </w:r>
      <w:r>
        <w:t>нии ставки подоходного дохода это воздействие будет весьма ощутимым. В ч</w:t>
      </w:r>
      <w:r>
        <w:t>а</w:t>
      </w:r>
      <w:r>
        <w:t>стности, на положении лиц с низким уровнем доходов благотворно скажется сокращение в виде более высоких налоговых скидок вместе с видоизмененн</w:t>
      </w:r>
      <w:r>
        <w:t>ы</w:t>
      </w:r>
      <w:r>
        <w:t>ми переходными положениями, а также введение более высоких пределов о</w:t>
      </w:r>
      <w:r>
        <w:t>с</w:t>
      </w:r>
      <w:r>
        <w:t>вобождения от налогов для окладов 13-й и 14-й групп. В результате женщины гораздо больше выиграют от такой системы, чем мужчины. Из общей суммы потерь доходов от налогов на сумму порядка 380 млн. евро на долю работа</w:t>
      </w:r>
      <w:r>
        <w:t>ю</w:t>
      </w:r>
      <w:r>
        <w:t>щих женщин, получающих оклады и заработную</w:t>
      </w:r>
      <w:r>
        <w:rPr>
          <w:spacing w:val="-3"/>
        </w:rPr>
        <w:t xml:space="preserve"> плату, придется около 175-180 млн. евро. Это подразумевает предоставление ежегодных налоговых скидок на сумму порядка 55-60 евро для мужчин и приблизительно 70 евро для же</w:t>
      </w:r>
      <w:r>
        <w:rPr>
          <w:spacing w:val="-3"/>
        </w:rPr>
        <w:t>н</w:t>
      </w:r>
      <w:r>
        <w:rPr>
          <w:spacing w:val="-3"/>
        </w:rPr>
        <w:t>щин.</w:t>
      </w:r>
    </w:p>
    <w:p w:rsidR="00000000" w:rsidRDefault="00000000">
      <w:pPr>
        <w:pStyle w:val="SingleTxt"/>
      </w:pPr>
      <w:r>
        <w:tab/>
      </w:r>
      <w:r>
        <w:tab/>
        <w:t>Федеральные министерства, консультативные советы и другие органы к</w:t>
      </w:r>
      <w:r>
        <w:t>о</w:t>
      </w:r>
      <w:r>
        <w:t>ординируют свою работу с усилиями различных неправительственных орган</w:t>
      </w:r>
      <w:r>
        <w:t>и</w:t>
      </w:r>
      <w:r>
        <w:t>заций, особенно в процессе оказания финансовой поддержки учреждениям и проектам (например, центрам помощи, приютам для женщин, подвергшихся побоям, консультационным центрам, различным мероприятиям). Федеральное правительство сотрудничает с рабочей группой "Женская федеральная спо</w:t>
      </w:r>
      <w:r>
        <w:t>р</w:t>
      </w:r>
      <w:r>
        <w:t>тивная организация" (</w:t>
      </w:r>
      <w:r>
        <w:rPr>
          <w:lang w:val="en-US"/>
        </w:rPr>
        <w:t>BSO</w:t>
      </w:r>
      <w:r>
        <w:t>)</w:t>
      </w:r>
      <w:r>
        <w:rPr>
          <w:rStyle w:val="FootnoteReference"/>
          <w:spacing w:val="-3"/>
        </w:rPr>
        <w:footnoteReference w:id="2"/>
      </w:r>
      <w:r>
        <w:t xml:space="preserve"> в целях увеличения представительства женщин во всех органах общих и технических ассоциаций Спортивной организ</w:t>
      </w:r>
      <w:r>
        <w:t>а</w:t>
      </w:r>
      <w:r>
        <w:t>ции.</w:t>
      </w:r>
    </w:p>
    <w:p w:rsidR="00000000" w:rsidRDefault="00000000">
      <w:pPr>
        <w:pStyle w:val="50"/>
      </w:pPr>
    </w:p>
    <w:p w:rsidR="00000000" w:rsidRDefault="00000000">
      <w:pPr>
        <w:pStyle w:val="50"/>
      </w:pPr>
    </w:p>
    <w:p w:rsidR="00000000" w:rsidRDefault="00000000">
      <w:pPr>
        <w:pStyle w:val="H1"/>
      </w:pPr>
      <w:r>
        <w:tab/>
      </w:r>
      <w:bookmarkStart w:id="35" w:name="_Toc97786633"/>
      <w:r>
        <w:t>Рекомендация 227</w:t>
      </w:r>
      <w:bookmarkEnd w:id="35"/>
    </w:p>
    <w:p w:rsidR="00000000" w:rsidRDefault="00000000">
      <w:pPr>
        <w:pStyle w:val="SingleTxt"/>
      </w:pPr>
      <w:r>
        <w:tab/>
      </w:r>
      <w:r>
        <w:tab/>
        <w:t>В действующих правилах въезда в страну не содержится никаких полож</w:t>
      </w:r>
      <w:r>
        <w:t>е</w:t>
      </w:r>
      <w:r>
        <w:t>ний, которые можно было бы трактовать как проявление дискриминации в о</w:t>
      </w:r>
      <w:r>
        <w:t>т</w:t>
      </w:r>
      <w:r>
        <w:t xml:space="preserve">ношении </w:t>
      </w:r>
      <w:r>
        <w:rPr>
          <w:b/>
        </w:rPr>
        <w:t>женщин, ищущих убежище, или женщин-беженцев</w:t>
      </w:r>
      <w:r>
        <w:t xml:space="preserve">. В соответствии с действующим законодательством и согласно Закону о занятости иностранных подданных все женщины, ищущие убежище, в основном имеют </w:t>
      </w:r>
      <w:r>
        <w:rPr>
          <w:b/>
        </w:rPr>
        <w:t>доступ к ры</w:t>
      </w:r>
      <w:r>
        <w:rPr>
          <w:b/>
        </w:rPr>
        <w:t>н</w:t>
      </w:r>
      <w:r>
        <w:rPr>
          <w:b/>
        </w:rPr>
        <w:t>ку труда</w:t>
      </w:r>
      <w:r>
        <w:t>. Вместе с тем, разрешение на работу предоставляется после рассмо</w:t>
      </w:r>
      <w:r>
        <w:t>т</w:t>
      </w:r>
      <w:r>
        <w:t>рения заявления с учетом потребностей рынка труда, в процессе которого предпочтение отдается другим иностранным подданным и гражданам ЕС/ЕЭЗ, которые на законных основаниях проживают в стране (независимо от их пола).</w:t>
      </w:r>
    </w:p>
    <w:p w:rsidR="00000000" w:rsidRDefault="00000000">
      <w:pPr>
        <w:pStyle w:val="SingleTxt"/>
      </w:pPr>
      <w:r>
        <w:tab/>
      </w:r>
      <w:r>
        <w:tab/>
        <w:t>Согласно Закону о занятости иностранных подданных и Закону об ин</w:t>
      </w:r>
      <w:r>
        <w:t>о</w:t>
      </w:r>
      <w:r>
        <w:t>странцах женщины и мужчины-мигранты в принципе пользуются равным ст</w:t>
      </w:r>
      <w:r>
        <w:t>а</w:t>
      </w:r>
      <w:r>
        <w:t>тусом с точки зрения въезда в страну, пребывания в стране и доступа к рынку труда. Благодаря непрерывным усилиям по обеспечению интеграции, а также законодательных и административных изменений (самым последним из кот</w:t>
      </w:r>
      <w:r>
        <w:t>о</w:t>
      </w:r>
      <w:r>
        <w:t xml:space="preserve">рых является поправка к Закону об иностранцах от 2002 года) возможности проживающих в стране женщин-мигрантов, связанные с получением доступа к рынку труда, постоянно улучшаются, что облегчает их доступ на рынок труда. С июня 2000 года, когда Федеральное министерство по вопросам экономики и труда издало </w:t>
      </w:r>
      <w:r>
        <w:rPr>
          <w:b/>
        </w:rPr>
        <w:t>приказ об интеграции,</w:t>
      </w:r>
      <w:r>
        <w:t xml:space="preserve"> мужчинам и женщинам-мигрантам, кот</w:t>
      </w:r>
      <w:r>
        <w:t>о</w:t>
      </w:r>
      <w:r>
        <w:t>рые прибыли в Австрию для воссоединения со своими супругами/семьями, о</w:t>
      </w:r>
      <w:r>
        <w:t>т</w:t>
      </w:r>
      <w:r>
        <w:t>дается пре</w:t>
      </w:r>
      <w:r>
        <w:t>д</w:t>
      </w:r>
      <w:r>
        <w:t>почтение при выдаче разрешений на работу.</w:t>
      </w:r>
    </w:p>
    <w:p w:rsidR="00000000" w:rsidRDefault="00000000">
      <w:pPr>
        <w:pStyle w:val="SingleTxt"/>
      </w:pPr>
      <w:r>
        <w:tab/>
      </w:r>
      <w:r>
        <w:tab/>
        <w:t>С начала 2003 года мигранты и их супруги имеют возможность получать вид на жительство после 5 лет законного проживания на территории Австрии. Этот документ предоставляет мигрантам право неограниченного доступа к рынку труда и облегчает возможность получения работы для мигрантов, пре</w:t>
      </w:r>
      <w:r>
        <w:t>ж</w:t>
      </w:r>
      <w:r>
        <w:t>де всего тех, кто прожил в Австрии в течение относительно длительного п</w:t>
      </w:r>
      <w:r>
        <w:t>е</w:t>
      </w:r>
      <w:r>
        <w:t>риода времени и не имел работы. Кроме того, предоставление вида на жител</w:t>
      </w:r>
      <w:r>
        <w:t>ь</w:t>
      </w:r>
      <w:r>
        <w:t>ство является еще одним важным шагом на пути согласования положений и</w:t>
      </w:r>
      <w:r>
        <w:t>м</w:t>
      </w:r>
      <w:r>
        <w:t>миграц</w:t>
      </w:r>
      <w:r>
        <w:t>и</w:t>
      </w:r>
      <w:r>
        <w:t>онного и трудового законодательства.</w:t>
      </w:r>
    </w:p>
    <w:p w:rsidR="00000000" w:rsidRDefault="00000000">
      <w:pPr>
        <w:pStyle w:val="SingleTxt"/>
      </w:pPr>
      <w:r>
        <w:tab/>
      </w:r>
      <w:r>
        <w:tab/>
        <w:t>В соответствии с Постановлением о максимальном количестве сверхл</w:t>
      </w:r>
      <w:r>
        <w:t>и</w:t>
      </w:r>
      <w:r>
        <w:t>митных разрешений максимальное число разрешений на работу, выдаваемых иностранным подданным, обращающимся с просьбой о выдаче таких разреш</w:t>
      </w:r>
      <w:r>
        <w:t>е</w:t>
      </w:r>
      <w:r>
        <w:t>ний на территории Австрии, в некоторых случаях может быть превышено. О</w:t>
      </w:r>
      <w:r>
        <w:t>д</w:t>
      </w:r>
      <w:r>
        <w:t xml:space="preserve">ним из таких случаев является насилие в семье. Это положение было включено в Постановление о предельном количестве разрешений в 1997 году (Бюллетень федеральных законов, часть </w:t>
      </w:r>
      <w:r>
        <w:rPr>
          <w:lang w:val="en-US"/>
        </w:rPr>
        <w:t>II</w:t>
      </w:r>
      <w:r>
        <w:t>, № 256). Действовавшие ранее положения, н</w:t>
      </w:r>
      <w:r>
        <w:t>а</w:t>
      </w:r>
      <w:r>
        <w:t>правленные на обеспечение приносящей доход занятости для женщин и му</w:t>
      </w:r>
      <w:r>
        <w:t>ж</w:t>
      </w:r>
      <w:r>
        <w:t>чин-мигрантов, оказались чересчур жесткими. В связи с этим в 2003 году в данное положение были внесены дополнения (Бюллетень федеральных зак</w:t>
      </w:r>
      <w:r>
        <w:t>о</w:t>
      </w:r>
      <w:r>
        <w:t xml:space="preserve">нов, часть </w:t>
      </w:r>
      <w:r>
        <w:rPr>
          <w:lang w:val="en-US"/>
        </w:rPr>
        <w:t>II</w:t>
      </w:r>
      <w:r>
        <w:t>, № 249), и теперь достаточным основанием для получения разр</w:t>
      </w:r>
      <w:r>
        <w:t>е</w:t>
      </w:r>
      <w:r>
        <w:t>шения на работу считается обращение в правоохранительные органы с жал</w:t>
      </w:r>
      <w:r>
        <w:t>о</w:t>
      </w:r>
      <w:r>
        <w:t>бой на факты насилия в семье (раньше истцу для этого было необходимо пол</w:t>
      </w:r>
      <w:r>
        <w:t>у</w:t>
      </w:r>
      <w:r>
        <w:t>чить не подлежащее обжалованию решение уголовного суда), или расторжение брака по Закону об иностранцах (раньше для этого было необходимо получить вынесенное в судебном порядке решение о расторжении брака и определении виновной стороны), или же сообщение или подтверждение подозрений о нас</w:t>
      </w:r>
      <w:r>
        <w:t>и</w:t>
      </w:r>
      <w:r>
        <w:t>лии в семье со стороны компетентных лиц или учреждений, таких как врачи, больницы, центры помощи, приюты для женщин, подвергшихся побоям, или учрежд</w:t>
      </w:r>
      <w:r>
        <w:t>е</w:t>
      </w:r>
      <w:r>
        <w:t>ния социальной защиты молодежи и т.п.</w:t>
      </w:r>
    </w:p>
    <w:p w:rsidR="00000000" w:rsidRDefault="00000000">
      <w:pPr>
        <w:pStyle w:val="SingleTxt"/>
      </w:pPr>
      <w:r>
        <w:tab/>
      </w:r>
      <w:r>
        <w:tab/>
        <w:t>Федеральное министерство здравоохранения и по делам женщин создало отдельный департамент под названием "Услуги, предоставляемые женщинам, и интеграция женщин-мигрантов". Этот департамент проводит фундаментальные исследования и осуществляет проекты, призванные помочь женщинам в пр</w:t>
      </w:r>
      <w:r>
        <w:t>и</w:t>
      </w:r>
      <w:r>
        <w:t>нимающей стране, т.е. в Австрии. Особое внимание уделяется социально-экономической и культурной интеграции женщин-мигрантов. В процессе этой работы были выделены приоритетные направления работы. К их числу отн</w:t>
      </w:r>
      <w:r>
        <w:t>о</w:t>
      </w:r>
      <w:r>
        <w:t>сятся: равное отношение с точки зрения доступа к рынку труда и системе обр</w:t>
      </w:r>
      <w:r>
        <w:t>а</w:t>
      </w:r>
      <w:r>
        <w:t>зования (особенно языковому обучению и признанию дипломов об образов</w:t>
      </w:r>
      <w:r>
        <w:t>а</w:t>
      </w:r>
      <w:r>
        <w:t>нии, полученных в странах происхождения) и здравоохран</w:t>
      </w:r>
      <w:r>
        <w:t>е</w:t>
      </w:r>
      <w:r>
        <w:t>ние.</w:t>
      </w:r>
    </w:p>
    <w:p w:rsidR="00000000" w:rsidRDefault="00000000">
      <w:pPr>
        <w:pStyle w:val="SingleTxt"/>
      </w:pPr>
      <w:r>
        <w:tab/>
      </w:r>
      <w:r>
        <w:tab/>
        <w:t xml:space="preserve">Отдельные </w:t>
      </w:r>
      <w:r>
        <w:rPr>
          <w:b/>
        </w:rPr>
        <w:t>провинции</w:t>
      </w:r>
      <w:r>
        <w:t xml:space="preserve"> также выступают с самостоятельными инициат</w:t>
      </w:r>
      <w:r>
        <w:t>и</w:t>
      </w:r>
      <w:r>
        <w:t>вами, в частности касающимися создания учреждений по вопросам интегр</w:t>
      </w:r>
      <w:r>
        <w:t>а</w:t>
      </w:r>
      <w:r>
        <w:t>ции, организации программ языкового обучения, подготовки и консультиров</w:t>
      </w:r>
      <w:r>
        <w:t>а</w:t>
      </w:r>
      <w:r>
        <w:t>ния персонала неправительственных организаций и сотрудников специальных медицинских учреждений, доступных для женщин-мигрантов, по вопросам, касающи</w:t>
      </w:r>
      <w:r>
        <w:t>м</w:t>
      </w:r>
      <w:r>
        <w:t>ся различных положений Закона об иностранцах.</w:t>
      </w:r>
    </w:p>
    <w:p w:rsidR="00000000" w:rsidRDefault="00000000">
      <w:pPr>
        <w:pStyle w:val="50"/>
      </w:pPr>
    </w:p>
    <w:p w:rsidR="00000000" w:rsidRDefault="00000000">
      <w:pPr>
        <w:pStyle w:val="50"/>
      </w:pPr>
    </w:p>
    <w:p w:rsidR="00000000" w:rsidRDefault="00000000">
      <w:pPr>
        <w:pStyle w:val="H1"/>
      </w:pPr>
      <w:r>
        <w:tab/>
      </w:r>
      <w:bookmarkStart w:id="36" w:name="_Toc97786634"/>
      <w:r>
        <w:t>Рекомендация 228</w:t>
      </w:r>
      <w:bookmarkEnd w:id="36"/>
    </w:p>
    <w:p w:rsidR="00000000" w:rsidRDefault="00000000">
      <w:pPr>
        <w:pStyle w:val="SingleTxt"/>
      </w:pPr>
      <w:r>
        <w:tab/>
      </w:r>
      <w:r>
        <w:tab/>
        <w:t xml:space="preserve">В целях содействия уголовному преследованию виновных в </w:t>
      </w:r>
      <w:r>
        <w:rPr>
          <w:b/>
        </w:rPr>
        <w:t>торговле людьми/торговле женщинами</w:t>
      </w:r>
      <w:r>
        <w:t xml:space="preserve"> в австрийский Уголовный кодекс и Закон об иностранцах за отчетный период были внесены поправки и добавлены новые п</w:t>
      </w:r>
      <w:r>
        <w:t>о</w:t>
      </w:r>
      <w:r>
        <w:t>ложения.</w:t>
      </w:r>
    </w:p>
    <w:p w:rsidR="00000000" w:rsidRDefault="00000000">
      <w:pPr>
        <w:pStyle w:val="SingleTxt"/>
      </w:pPr>
      <w:r>
        <w:tab/>
      </w:r>
      <w:r>
        <w:tab/>
        <w:t>Раздел 104 Закона об иностранцах определяет "контрабанду людей" как содействие незаконному въезду иностранцев в государство, являющееся чл</w:t>
      </w:r>
      <w:r>
        <w:t>е</w:t>
      </w:r>
      <w:r>
        <w:t>ном ЕС, или одно из соседствующих с Австрией государств и квалифицирует ее как уголовно-наказуемое деяние, если такая контрабанда людей осущест</w:t>
      </w:r>
      <w:r>
        <w:t>в</w:t>
      </w:r>
      <w:r>
        <w:t>ляется в целях извлечения материальных выгод в личных интересах или в и</w:t>
      </w:r>
      <w:r>
        <w:t>н</w:t>
      </w:r>
      <w:r>
        <w:t>тересах других лиц. Это правонарушение влечет за собой наказание в виде л</w:t>
      </w:r>
      <w:r>
        <w:t>и</w:t>
      </w:r>
      <w:r>
        <w:t>шения свободы сроком до 10 лет. Иностранцы, которые попали в страну в р</w:t>
      </w:r>
      <w:r>
        <w:t>е</w:t>
      </w:r>
      <w:r>
        <w:t>зультате контрабанды людей, не подлежат наказанию как пособники данного правон</w:t>
      </w:r>
      <w:r>
        <w:t>а</w:t>
      </w:r>
      <w:r>
        <w:t>рушения.</w:t>
      </w:r>
    </w:p>
    <w:p w:rsidR="00000000" w:rsidRDefault="00000000">
      <w:pPr>
        <w:pStyle w:val="SingleTxt"/>
      </w:pPr>
      <w:r>
        <w:tab/>
      </w:r>
      <w:r>
        <w:tab/>
        <w:t>Раздел 105 Закона об иностранцах квалифицирует эксплуатацию ин</w:t>
      </w:r>
      <w:r>
        <w:t>о</w:t>
      </w:r>
      <w:r>
        <w:t>странцев, которые незаконно проживают на территории Австрии и оказываю</w:t>
      </w:r>
      <w:r>
        <w:t>т</w:t>
      </w:r>
      <w:r>
        <w:t>ся в положении полной зависимости, как уголовно-наказуемое деяние. В этом контексте эксплуатация определяется как извлечение непрерывного дохода от деятельности иностранца. Виновные в этом правонарушении подвергаются н</w:t>
      </w:r>
      <w:r>
        <w:t>а</w:t>
      </w:r>
      <w:r>
        <w:t>казанию в виде лишения свободы сроком до 10 лет. В соответствии с данным положением можно принимать судебные меры в отношении эксплуатации, д</w:t>
      </w:r>
      <w:r>
        <w:t>а</w:t>
      </w:r>
      <w:r>
        <w:t>же если доказать факт контрабанды людей согласно австрийскому Уголовному кодексу не представляется возмо</w:t>
      </w:r>
      <w:r>
        <w:t>ж</w:t>
      </w:r>
      <w:r>
        <w:t>ным.</w:t>
      </w:r>
    </w:p>
    <w:p w:rsidR="00000000" w:rsidRDefault="00000000">
      <w:pPr>
        <w:pStyle w:val="SingleTxt"/>
      </w:pPr>
      <w:r>
        <w:tab/>
      </w:r>
      <w:r>
        <w:tab/>
        <w:t>В течение отчетного периода Центр по оказанию помощи жертвам то</w:t>
      </w:r>
      <w:r>
        <w:t>р</w:t>
      </w:r>
      <w:r>
        <w:t>говли женщинами, о котором шла речь в пятом докладе для КЛДЖ, продолжал свою работу. Кроме того, Федеральное министерство здравоохранения и по д</w:t>
      </w:r>
      <w:r>
        <w:t>е</w:t>
      </w:r>
      <w:r>
        <w:t>лам женщин оказывает финансовую поддержку ассоциации ЛЕФО ("Прож</w:t>
      </w:r>
      <w:r>
        <w:t>и</w:t>
      </w:r>
      <w:r>
        <w:t>вающие в Австрии женщины-эмигранты из Латинской Америки"), которая с</w:t>
      </w:r>
      <w:r>
        <w:t>о</w:t>
      </w:r>
      <w:r>
        <w:t xml:space="preserve">трудничает с сетью </w:t>
      </w:r>
      <w:r>
        <w:rPr>
          <w:lang w:val="en-US"/>
        </w:rPr>
        <w:t>TAMPEP</w:t>
      </w:r>
      <w:r>
        <w:t xml:space="preserve"> (Предупреждение ВИЧ/СПИДа среди прожива</w:t>
      </w:r>
      <w:r>
        <w:t>ю</w:t>
      </w:r>
      <w:r>
        <w:t>щих в Европе проституток-мигрантов в переходный период). Эта сеть, которая дейс</w:t>
      </w:r>
      <w:r>
        <w:t>т</w:t>
      </w:r>
      <w:r>
        <w:t>вует на уровне ЕС, занимается вопросами защиты прав женщин-мигрантов, подвергающихся коммерческой сексуальной эк</w:t>
      </w:r>
      <w:r>
        <w:t>с</w:t>
      </w:r>
      <w:r>
        <w:t>плуатации.</w:t>
      </w:r>
    </w:p>
    <w:p w:rsidR="00000000" w:rsidRDefault="00000000">
      <w:pPr>
        <w:pStyle w:val="SingleTxt"/>
      </w:pPr>
      <w:r>
        <w:tab/>
      </w:r>
      <w:r>
        <w:tab/>
        <w:t>В декабре 2000 года Австрия подписала Конвенцию Организации Объ</w:t>
      </w:r>
      <w:r>
        <w:t>е</w:t>
      </w:r>
      <w:r>
        <w:t>диненных Наций против транснациональной организованной преступности вместе с дополняющим Конвенцию Протоколом о предупреждении и пресеч</w:t>
      </w:r>
      <w:r>
        <w:t>е</w:t>
      </w:r>
      <w:r>
        <w:t>нии то</w:t>
      </w:r>
      <w:r>
        <w:t>р</w:t>
      </w:r>
      <w:r>
        <w:t>говли людьми, особенно женщинами и детьми, и наказании за нее.</w:t>
      </w:r>
    </w:p>
    <w:p w:rsidR="00000000" w:rsidRDefault="00000000">
      <w:pPr>
        <w:pStyle w:val="SingleTxt"/>
      </w:pPr>
      <w:r>
        <w:tab/>
      </w:r>
      <w:r>
        <w:tab/>
        <w:t xml:space="preserve">Австрийский Уголовный кодекс с поправками, внесенными в него в 2004 году (Бюллетень федеральных законов, часть </w:t>
      </w:r>
      <w:r>
        <w:rPr>
          <w:lang w:val="en-US"/>
        </w:rPr>
        <w:t>I</w:t>
      </w:r>
      <w:r>
        <w:t>, № 15/2004, действуют с 1 мая 2004 года), содержит в разделе 104 пункт а, представляющий собой новое положение о борьбе с торговлей людьми, которое не ограничивается трансгр</w:t>
      </w:r>
      <w:r>
        <w:t>а</w:t>
      </w:r>
      <w:r>
        <w:t>ничной торговлей людьми для целей занятия проституцией. Новое юридич</w:t>
      </w:r>
      <w:r>
        <w:t>е</w:t>
      </w:r>
      <w:r>
        <w:t>ское определение этого правонарушения включает в себя торговлю людьми для целей сексуальной эксплуатации, эксплуатации путем незаконного изъятия о</w:t>
      </w:r>
      <w:r>
        <w:t>р</w:t>
      </w:r>
      <w:r>
        <w:t>ганов, а также принудительного труда. Данное положение способствует осущ</w:t>
      </w:r>
      <w:r>
        <w:t>е</w:t>
      </w:r>
      <w:r>
        <w:t>ствлению Протокола Организации Объединенных Наций о предупреждении и пресечении торговли людьми и наказании за нее, Факультативного протокола к Конвенции Организации Объединенных Наций о правах ребенка, касающегося торговли детьми, детской проституции и детской порнографии, а также Рамо</w:t>
      </w:r>
      <w:r>
        <w:t>ч</w:t>
      </w:r>
      <w:r>
        <w:t>ного решения по борьбе с торговлей людьми. Раздел 217 австрийского Уголо</w:t>
      </w:r>
      <w:r>
        <w:t>в</w:t>
      </w:r>
      <w:r>
        <w:t>ного кодекса, который ранее квалифицировал торговлю женщинами и детьми как уголовно-наказуемое деяние под заголовком "Торговля людьми", остался без изменений по своей сути, однако его название было изменено на "Тран</w:t>
      </w:r>
      <w:r>
        <w:t>с</w:t>
      </w:r>
      <w:r>
        <w:t>граничная торговля людьми для целей занятия проституцией". Австрия актив</w:t>
      </w:r>
      <w:r>
        <w:t>и</w:t>
      </w:r>
      <w:r>
        <w:t>зировала сотрудничество своих правоохранительных органов с их коллегами из соседних стран Восточной и Юго-Восточной Европы, многие из которых я</w:t>
      </w:r>
      <w:r>
        <w:t>в</w:t>
      </w:r>
      <w:r>
        <w:t>ляются странами происхождения жертв торговли людьми. В Австрии и других странах были организованы учебные курсы, направленные на повышение и</w:t>
      </w:r>
      <w:r>
        <w:t>н</w:t>
      </w:r>
      <w:r>
        <w:t>формированности сотрудников правоохранител</w:t>
      </w:r>
      <w:r>
        <w:t>ь</w:t>
      </w:r>
      <w:r>
        <w:t>ных органов из стран-участников о данной проблеме. Особое внимание в рамках этих учебных ку</w:t>
      </w:r>
      <w:r>
        <w:t>р</w:t>
      </w:r>
      <w:r>
        <w:t>сов уделялось включению информации по вопросам торговли людьми в пр</w:t>
      </w:r>
      <w:r>
        <w:t>о</w:t>
      </w:r>
      <w:r>
        <w:t>граммы подготовки сотрудников полиции и судебных органов всего региона. Кроме того, австрийское Министерство иностранных дел оказывает активную поддержку центрам, занимающимся защитой жертв, таким как приют для женщин, подвергшихся побоям, в Белграде (Сербия и Черногория)(см. раздел н</w:t>
      </w:r>
      <w:r>
        <w:t>а</w:t>
      </w:r>
      <w:r>
        <w:t>стоящего доклада, посвященный статье 6).</w:t>
      </w:r>
    </w:p>
    <w:p w:rsidR="00000000" w:rsidRDefault="00000000">
      <w:pPr>
        <w:pStyle w:val="50"/>
      </w:pPr>
    </w:p>
    <w:p w:rsidR="00000000" w:rsidRDefault="00000000">
      <w:pPr>
        <w:pStyle w:val="50"/>
      </w:pPr>
    </w:p>
    <w:p w:rsidR="00000000" w:rsidRDefault="00000000">
      <w:pPr>
        <w:pStyle w:val="H1"/>
      </w:pPr>
      <w:r>
        <w:tab/>
      </w:r>
      <w:bookmarkStart w:id="37" w:name="_Toc97786635"/>
      <w:r>
        <w:t>Рекомендация 229</w:t>
      </w:r>
      <w:bookmarkEnd w:id="37"/>
    </w:p>
    <w:p w:rsidR="00000000" w:rsidRDefault="00000000">
      <w:pPr>
        <w:pStyle w:val="SingleTxt"/>
      </w:pPr>
      <w:r>
        <w:tab/>
      </w:r>
      <w:r>
        <w:tab/>
        <w:t>Мы хотели особо отметить, что в нашей стране нет никаких юридических барьеров или фактических препятствий, которые мешали бы женщинам пол</w:t>
      </w:r>
      <w:r>
        <w:t>у</w:t>
      </w:r>
      <w:r>
        <w:t>чать убежище в Австрии из-за их половой принадлежности. С юридической точки зрения и в соответствии с общими тенденциями в области права (вкл</w:t>
      </w:r>
      <w:r>
        <w:t>ю</w:t>
      </w:r>
      <w:r>
        <w:t xml:space="preserve">чая мнение УВКБ ООН), преследование женщин (или мужчин) подпадает под категорию преследования из-за принадлежности к определенной социальной группе. </w:t>
      </w:r>
    </w:p>
    <w:p w:rsidR="00000000" w:rsidRDefault="00000000">
      <w:pPr>
        <w:pStyle w:val="SingleTxt"/>
      </w:pPr>
      <w:r>
        <w:tab/>
      </w:r>
      <w:r>
        <w:tab/>
        <w:t xml:space="preserve">С 1 мая 2004 года вступила в силу поправка к </w:t>
      </w:r>
      <w:r>
        <w:rPr>
          <w:b/>
        </w:rPr>
        <w:t>Закону о предоставлении убежища</w:t>
      </w:r>
      <w:r>
        <w:t>, которая упрощает порядок предоставления убежища, в частности применительно к женщинам.</w:t>
      </w:r>
    </w:p>
    <w:p w:rsidR="00000000" w:rsidRDefault="00000000">
      <w:pPr>
        <w:pStyle w:val="SingleTxt"/>
      </w:pPr>
      <w:r>
        <w:tab/>
      </w:r>
      <w:r>
        <w:tab/>
        <w:t>Была введена "процедура предоставления убежища семье", которая ра</w:t>
      </w:r>
      <w:r>
        <w:t>с</w:t>
      </w:r>
      <w:r>
        <w:t>пространяет режим защиты, которым по Закону о предоставлении убежища пользуется один из членов семьи в Австрии, на членов семьи, уже прожива</w:t>
      </w:r>
      <w:r>
        <w:t>ю</w:t>
      </w:r>
      <w:r>
        <w:t>щих в Австрии, без каких бы то ни было дополнительных расследований. Тем самым, максимальная степень защиты, предоставляемая одному члену семьи, автоматически распространяется и на остальных членов семьи. Это правило касается (начиная с максимальной степени защиты) предоставления убежища, вспомогательной защиты и предусмотренных законом прав лиц, ищущих уб</w:t>
      </w:r>
      <w:r>
        <w:t>е</w:t>
      </w:r>
      <w:r>
        <w:t>жище. Данное положение обеспечивает семьям возможность сохранять свое единство, что создает особые преимущества для женщин.</w:t>
      </w:r>
    </w:p>
    <w:p w:rsidR="00000000" w:rsidRDefault="00000000">
      <w:pPr>
        <w:pStyle w:val="SingleTxt"/>
      </w:pPr>
      <w:r>
        <w:tab/>
      </w:r>
      <w:r>
        <w:tab/>
        <w:t>Кроме того, заявления с просьбой о предоставлении убежища, подава</w:t>
      </w:r>
      <w:r>
        <w:t>е</w:t>
      </w:r>
      <w:r>
        <w:t>мые членами семьи, объединяются в одно дело, и при этом каждое индивид</w:t>
      </w:r>
      <w:r>
        <w:t>у</w:t>
      </w:r>
      <w:r>
        <w:t>альное заявление рассматривается отдельно. Такая процедура имеет важные последствия, особенно для женщин, и предусматривает, что все лица, пода</w:t>
      </w:r>
      <w:r>
        <w:t>в</w:t>
      </w:r>
      <w:r>
        <w:t>шие такие заявления, должны допрашиваться по отдельности. Поскольку в н</w:t>
      </w:r>
      <w:r>
        <w:t>е</w:t>
      </w:r>
      <w:r>
        <w:t>которых культурах изнасилование или насилие в отношении женщины считае</w:t>
      </w:r>
      <w:r>
        <w:t>т</w:t>
      </w:r>
      <w:r>
        <w:t>ся посягательством на честь семьи и в большинстве случаев именно женщины, а отнюдь не виновные в этом правонарушении несут ответственность за о</w:t>
      </w:r>
      <w:r>
        <w:t>с</w:t>
      </w:r>
      <w:r>
        <w:t>корбление чести семьи, допрос таких женщин в отсутствие других членов с</w:t>
      </w:r>
      <w:r>
        <w:t>е</w:t>
      </w:r>
      <w:r>
        <w:t>мьи дает им возможность поделиться своим печальным опытом.</w:t>
      </w:r>
    </w:p>
    <w:p w:rsidR="00000000" w:rsidRDefault="00000000">
      <w:pPr>
        <w:pStyle w:val="SingleTxt"/>
      </w:pPr>
      <w:r>
        <w:tab/>
      </w:r>
      <w:r>
        <w:tab/>
        <w:t>Помимо этого планируется, что в будущем члены семьи, в составе кот</w:t>
      </w:r>
      <w:r>
        <w:t>о</w:t>
      </w:r>
      <w:r>
        <w:t>рой уже имеются лица, получившие убежище в Австрии, смогут подавать зая</w:t>
      </w:r>
      <w:r>
        <w:t>в</w:t>
      </w:r>
      <w:r>
        <w:t>ления с просьбой о предоставлении убежища в австрийское посольство на о</w:t>
      </w:r>
      <w:r>
        <w:t>с</w:t>
      </w:r>
      <w:r>
        <w:t>новании процедуры предоставлении убежища семье. После краткого изучения представленных сведений Федеральным управлением по предоставлению уб</w:t>
      </w:r>
      <w:r>
        <w:t>е</w:t>
      </w:r>
      <w:r>
        <w:t>жища лицу, обратившемуся с просьбой о предоставлении убежища, будет в</w:t>
      </w:r>
      <w:r>
        <w:t>ы</w:t>
      </w:r>
      <w:r>
        <w:t>дана въездная виза, а в Австрии будет начата процедура предоставления уб</w:t>
      </w:r>
      <w:r>
        <w:t>е</w:t>
      </w:r>
      <w:r>
        <w:t>жища семье.</w:t>
      </w:r>
    </w:p>
    <w:p w:rsidR="00000000" w:rsidRDefault="00000000">
      <w:pPr>
        <w:pStyle w:val="SingleTxt"/>
      </w:pPr>
      <w:r>
        <w:tab/>
      </w:r>
      <w:r>
        <w:tab/>
        <w:t>Члены семей тех лиц, которые пользуются вспомогательной защитой по Закону о предоставлении убежища, могут также обращаться в австрийские п</w:t>
      </w:r>
      <w:r>
        <w:t>о</w:t>
      </w:r>
      <w:r>
        <w:t>сольства в своих странах с просьбой о предоставлении убежища. Однако такие заявления можно подавать не ранее, чем через три года после введения режима вспомогател</w:t>
      </w:r>
      <w:r>
        <w:t>ь</w:t>
      </w:r>
      <w:r>
        <w:t>ной защиты.</w:t>
      </w:r>
    </w:p>
    <w:p w:rsidR="00000000" w:rsidRDefault="00000000">
      <w:pPr>
        <w:pStyle w:val="SingleTxt"/>
      </w:pPr>
      <w:r>
        <w:tab/>
      </w:r>
      <w:r>
        <w:tab/>
        <w:t>Кроме того, была расширена нынешняя сфера применения правила, суть которого состоит в том, что лица, которые желают получить убежище и права которых на сексуальное самоопределение, по их мнению, нарушаются, должны допрашиваться сотрудником одного с ними пола. По их просьбе, такие лица, ищущие убежище, могут быть допрошены другими лицами и должны быть в устной форме проинформированы о такой возможности (в процессе рассмо</w:t>
      </w:r>
      <w:r>
        <w:t>т</w:t>
      </w:r>
      <w:r>
        <w:t>рения апелляции такое пожелание должно быть выражено не позднее момента подачи апелляции).</w:t>
      </w:r>
    </w:p>
    <w:p w:rsidR="00000000" w:rsidRDefault="00000000">
      <w:pPr>
        <w:pStyle w:val="SingleTxt"/>
      </w:pPr>
      <w:r>
        <w:tab/>
      </w:r>
      <w:r>
        <w:tab/>
        <w:t>Далее лица, ищущие убежище, получат право требовать, чтобы такие процедуры дознания проводились в кабин</w:t>
      </w:r>
      <w:r>
        <w:t>е</w:t>
      </w:r>
      <w:r>
        <w:t>те судьи.</w:t>
      </w:r>
    </w:p>
    <w:p w:rsidR="00000000" w:rsidRDefault="00000000">
      <w:pPr>
        <w:pStyle w:val="SingleTxt"/>
      </w:pPr>
      <w:r>
        <w:tab/>
      </w:r>
      <w:r>
        <w:tab/>
        <w:t xml:space="preserve">Что касается </w:t>
      </w:r>
      <w:r>
        <w:rPr>
          <w:b/>
        </w:rPr>
        <w:t>причинения увечий женским половым органам</w:t>
      </w:r>
      <w:r>
        <w:t xml:space="preserve"> (которое по австрийскому Уголовному кодексу с поправками, внесенными в него на о</w:t>
      </w:r>
      <w:r>
        <w:t>с</w:t>
      </w:r>
      <w:r>
        <w:t>новании Закона о поправках к Уголовному кодексу от 2001 года (действующему с 1 января 2002 года) всегда квалифицировалось как причинение физического увечья), то в Кодексе четко указано, что согласие на причинение физического увечья не может считаться законным ни при каких обстоятельствах и что пр</w:t>
      </w:r>
      <w:r>
        <w:t>и</w:t>
      </w:r>
      <w:r>
        <w:t>чинение увечий женским половым органам во всех случаях квалифицируется как уголовным преступлением (см. также замечания к ст</w:t>
      </w:r>
      <w:r>
        <w:t>а</w:t>
      </w:r>
      <w:r>
        <w:t>тье 2).</w:t>
      </w:r>
    </w:p>
    <w:p w:rsidR="00000000" w:rsidRDefault="00000000">
      <w:pPr>
        <w:pStyle w:val="SingleTxt"/>
      </w:pPr>
      <w:r>
        <w:tab/>
      </w:r>
      <w:r>
        <w:tab/>
        <w:t xml:space="preserve">В случае появления подозрений </w:t>
      </w:r>
      <w:r>
        <w:rPr>
          <w:b/>
        </w:rPr>
        <w:t>в совершении должностными лицами каких-либо противоправных действий в отношении лиц, ищущих убеж</w:t>
      </w:r>
      <w:r>
        <w:rPr>
          <w:b/>
        </w:rPr>
        <w:t>и</w:t>
      </w:r>
      <w:r>
        <w:rPr>
          <w:b/>
        </w:rPr>
        <w:t>ще</w:t>
      </w:r>
      <w:r>
        <w:t>, уголовные дела по фактам таких правонарушений будут возбуждаться н</w:t>
      </w:r>
      <w:r>
        <w:t>е</w:t>
      </w:r>
      <w:r>
        <w:t>зависимо от любых дисциплинарных мер, которые могут быть приняты согла</w:t>
      </w:r>
      <w:r>
        <w:t>с</w:t>
      </w:r>
      <w:r>
        <w:t>но Положению о гражданской службе, определяющему порядок работы в гос</w:t>
      </w:r>
      <w:r>
        <w:t>у</w:t>
      </w:r>
      <w:r>
        <w:t>дарственном секторе. Любые подозрения такого рода будут тщательно изучены компетентными органами департаментов по уголовным расследованиям и о</w:t>
      </w:r>
      <w:r>
        <w:t>р</w:t>
      </w:r>
      <w:r>
        <w:t>ганами по отправлению уголовного правосудия (государственными прокурор</w:t>
      </w:r>
      <w:r>
        <w:t>а</w:t>
      </w:r>
      <w:r>
        <w:t>ми и независимыми судами). Федеральное министерство внутренних дел ник</w:t>
      </w:r>
      <w:r>
        <w:t>о</w:t>
      </w:r>
      <w:r>
        <w:t>им образом не влияет на выводы, сделанные в процессе рассмотрения таких дел, которые относятся к сфере компетенции судебных органов.</w:t>
      </w:r>
    </w:p>
    <w:p w:rsidR="00000000" w:rsidRDefault="00000000">
      <w:pPr>
        <w:pStyle w:val="50"/>
      </w:pPr>
    </w:p>
    <w:p w:rsidR="00000000" w:rsidRDefault="00000000">
      <w:pPr>
        <w:pStyle w:val="50"/>
      </w:pPr>
    </w:p>
    <w:p w:rsidR="00000000" w:rsidRDefault="00000000">
      <w:pPr>
        <w:pStyle w:val="H1"/>
      </w:pPr>
      <w:r>
        <w:tab/>
      </w:r>
      <w:bookmarkStart w:id="38" w:name="_Toc97786636"/>
      <w:r>
        <w:t>Рекомендация 230</w:t>
      </w:r>
      <w:bookmarkEnd w:id="38"/>
    </w:p>
    <w:p w:rsidR="00000000" w:rsidRDefault="00000000">
      <w:pPr>
        <w:pStyle w:val="SingleTxt"/>
      </w:pPr>
      <w:r>
        <w:tab/>
      </w:r>
      <w:r>
        <w:tab/>
        <w:t>Работа с правонарушителями:</w:t>
      </w:r>
    </w:p>
    <w:p w:rsidR="00000000" w:rsidRDefault="00000000">
      <w:pPr>
        <w:pStyle w:val="SingleTxt"/>
        <w:ind w:left="1735" w:hanging="471"/>
      </w:pPr>
      <w:r>
        <w:sym w:font="Symbol" w:char="F0B7"/>
      </w:r>
      <w:r>
        <w:tab/>
        <w:t>2002 год: завершение работы с правонарушителями-мужчинами и публ</w:t>
      </w:r>
      <w:r>
        <w:t>и</w:t>
      </w:r>
      <w:r>
        <w:t>кация сделанных выводов в бр</w:t>
      </w:r>
      <w:r>
        <w:t>о</w:t>
      </w:r>
      <w:r>
        <w:t>шюре под названием "Венская социально-терапевтическая программа для сексуальных насильников-мужчин". Ни один из 48 мужчин, участвовавших в этом экспериментальном проекте, не совершил подо</w:t>
      </w:r>
      <w:r>
        <w:t>б</w:t>
      </w:r>
      <w:r>
        <w:t>ное правонарушение повторно.</w:t>
      </w:r>
    </w:p>
    <w:p w:rsidR="00000000" w:rsidRDefault="00000000">
      <w:pPr>
        <w:pStyle w:val="SingleTxt"/>
        <w:ind w:left="1735" w:hanging="471"/>
      </w:pPr>
      <w:r>
        <w:sym w:font="Symbol" w:char="F0B7"/>
      </w:r>
      <w:r>
        <w:tab/>
        <w:t>2002-2004 годы: Факультету психологии Венского университета было п</w:t>
      </w:r>
      <w:r>
        <w:t>о</w:t>
      </w:r>
      <w:r>
        <w:t>ручено провести исследование для разработки диагностической схемы рецидивизма (включая подготовку диагностических критериев и норм для заключений эк</w:t>
      </w:r>
      <w:r>
        <w:t>с</w:t>
      </w:r>
      <w:r>
        <w:t>пертов).</w:t>
      </w:r>
    </w:p>
    <w:p w:rsidR="00000000" w:rsidRDefault="00000000">
      <w:pPr>
        <w:pStyle w:val="SingleTxt"/>
        <w:ind w:left="1735" w:hanging="471"/>
      </w:pPr>
      <w:r>
        <w:sym w:font="Symbol" w:char="F0B7"/>
      </w:r>
      <w:r>
        <w:tab/>
        <w:t>2003 год: Венской консультационной службе для мужчин было поручено подготовить руководство по работе с сексуальными насильниками в амб</w:t>
      </w:r>
      <w:r>
        <w:t>у</w:t>
      </w:r>
      <w:r>
        <w:t>латорных и стационарных условиях с упором на жертв насилия в Австрии (в н</w:t>
      </w:r>
      <w:r>
        <w:t>а</w:t>
      </w:r>
      <w:r>
        <w:t>стоящее время находится в стадии подготовки).</w:t>
      </w:r>
    </w:p>
    <w:p w:rsidR="00000000" w:rsidRDefault="00000000">
      <w:pPr>
        <w:pStyle w:val="dot"/>
        <w:tabs>
          <w:tab w:val="clear" w:pos="2218"/>
          <w:tab w:val="left" w:pos="1701"/>
        </w:tabs>
        <w:ind w:left="1701"/>
      </w:pPr>
      <w:r>
        <w:sym w:font="Symbol" w:char="F0B7"/>
      </w:r>
      <w:r>
        <w:tab/>
        <w:t>октябрь 2004 года: планируется провести международное обследование по теме "Работа с юными и взрослыми сексуальными насильниками мужск</w:t>
      </w:r>
      <w:r>
        <w:t>о</w:t>
      </w:r>
      <w:r>
        <w:t>го и женского пола".</w:t>
      </w:r>
    </w:p>
    <w:p w:rsidR="00000000" w:rsidRDefault="00000000">
      <w:pPr>
        <w:pStyle w:val="SingleTxt"/>
        <w:rPr>
          <w:b/>
        </w:rPr>
      </w:pPr>
      <w:r>
        <w:tab/>
      </w:r>
      <w:r>
        <w:tab/>
      </w:r>
      <w:r>
        <w:rPr>
          <w:b/>
        </w:rPr>
        <w:t>Меры по обучению сотрудников исправительных учреждений по в</w:t>
      </w:r>
      <w:r>
        <w:rPr>
          <w:b/>
        </w:rPr>
        <w:t>о</w:t>
      </w:r>
      <w:r>
        <w:rPr>
          <w:b/>
        </w:rPr>
        <w:t>просам борьбы с насилием в о</w:t>
      </w:r>
      <w:r>
        <w:rPr>
          <w:b/>
        </w:rPr>
        <w:t>т</w:t>
      </w:r>
      <w:r>
        <w:rPr>
          <w:b/>
        </w:rPr>
        <w:t>ношении женщин</w:t>
      </w:r>
    </w:p>
    <w:p w:rsidR="00000000" w:rsidRDefault="00000000">
      <w:pPr>
        <w:pStyle w:val="SingleTxt"/>
      </w:pPr>
      <w:r>
        <w:tab/>
      </w:r>
      <w:r>
        <w:tab/>
        <w:t>Программы дополнительного обучения включают в себя инструктиров</w:t>
      </w:r>
      <w:r>
        <w:t>а</w:t>
      </w:r>
      <w:r>
        <w:t>ние и поддержку сотрудников исправительных учреждений, в которых соде</w:t>
      </w:r>
      <w:r>
        <w:t>р</w:t>
      </w:r>
      <w:r>
        <w:t>жатся заключенные-женщины, в целях предотвращения совершения такими с</w:t>
      </w:r>
      <w:r>
        <w:t>о</w:t>
      </w:r>
      <w:r>
        <w:t>трудниками мужского или женского пола актов насилия в отношении закл</w:t>
      </w:r>
      <w:r>
        <w:t>ю</w:t>
      </w:r>
      <w:r>
        <w:t>ченных.</w:t>
      </w:r>
    </w:p>
    <w:p w:rsidR="00000000" w:rsidRDefault="00000000">
      <w:pPr>
        <w:pStyle w:val="50"/>
      </w:pPr>
    </w:p>
    <w:p w:rsidR="00000000" w:rsidRDefault="00000000">
      <w:pPr>
        <w:pStyle w:val="50"/>
      </w:pPr>
    </w:p>
    <w:p w:rsidR="00000000" w:rsidRDefault="00000000">
      <w:pPr>
        <w:pStyle w:val="H23"/>
      </w:pPr>
      <w:r>
        <w:tab/>
      </w:r>
      <w:bookmarkStart w:id="39" w:name="_Toc97786637"/>
      <w:r>
        <w:t>Терапевтические меры</w:t>
      </w:r>
      <w:bookmarkEnd w:id="39"/>
    </w:p>
    <w:p w:rsidR="00000000" w:rsidRDefault="00000000">
      <w:pPr>
        <w:pStyle w:val="50"/>
      </w:pPr>
    </w:p>
    <w:p w:rsidR="00000000" w:rsidRDefault="00000000">
      <w:pPr>
        <w:pStyle w:val="SingleTxt"/>
      </w:pPr>
      <w:r>
        <w:tab/>
      </w:r>
      <w:r>
        <w:tab/>
        <w:t>Так называемый "Центр обследования сексуальных правонарушителей" предоставляет возможность применять подходящие терапевтические меры в отношении лиц, осужденных за совершение половых преступлений. Для этих целей могут также привлекаться специальные терапевты, которые лечат проя</w:t>
      </w:r>
      <w:r>
        <w:t>в</w:t>
      </w:r>
      <w:r>
        <w:t>л</w:t>
      </w:r>
      <w:r>
        <w:t>е</w:t>
      </w:r>
      <w:r>
        <w:t>ния "неадекатное поведения" в отношении женщин.</w:t>
      </w:r>
    </w:p>
    <w:p w:rsidR="00000000" w:rsidRDefault="00000000">
      <w:pPr>
        <w:pStyle w:val="SingleTxt"/>
      </w:pPr>
      <w:r>
        <w:tab/>
      </w:r>
      <w:r>
        <w:tab/>
        <w:t>В рамках проекта под названием "Дополнительное обучение сотрудников учреждений, предоставляющих защиту женщинам, пострадавшим от насилия", который был разработан Федеральным министерством здравоохранения и по делам женщин и охватывал период с июля 2002 года по ноябрь 2003 года, было подготовлено 18 инструкторов по обучению сотрудников психологических, с</w:t>
      </w:r>
      <w:r>
        <w:t>о</w:t>
      </w:r>
      <w:r>
        <w:t>циальных и медицинских учреждений работе с клиентами и пациентами, п</w:t>
      </w:r>
      <w:r>
        <w:t>о</w:t>
      </w:r>
      <w:r>
        <w:t xml:space="preserve">страдавшими от насилия. </w:t>
      </w:r>
      <w:r>
        <w:tab/>
        <w:t>Сотрудники нескольких центров по консультиров</w:t>
      </w:r>
      <w:r>
        <w:t>а</w:t>
      </w:r>
      <w:r>
        <w:t>нию женщин, которые действуют при поддержке Федерального министерства здравоохранения и по делам женщин, являются представителями различных культур, что позволяет им более качественно оказывать помощь и услуги же</w:t>
      </w:r>
      <w:r>
        <w:t>н</w:t>
      </w:r>
      <w:r>
        <w:t>щинам-мигрантам. Кроме того, некоторые субсидируемые государством учр</w:t>
      </w:r>
      <w:r>
        <w:t>е</w:t>
      </w:r>
      <w:r>
        <w:t>ждения специализирую</w:t>
      </w:r>
      <w:r>
        <w:t>т</w:t>
      </w:r>
      <w:r>
        <w:t>ся на решении вопросов, касающихся женщин-мигрантов, и большинство из них предоставляют консультационные услуги жертвам насилия. Кроме того, в феврале 2002 года был проведен двухдневный симпозиум по теме "Миграция женщин и структурное насилие", который ча</w:t>
      </w:r>
      <w:r>
        <w:t>с</w:t>
      </w:r>
      <w:r>
        <w:t>тично финансировался Федеральным министерством социального обеспечения и по делам поколений.</w:t>
      </w:r>
    </w:p>
    <w:p w:rsidR="00000000" w:rsidRDefault="00000000">
      <w:pPr>
        <w:pStyle w:val="SingleTxt"/>
      </w:pPr>
      <w:r>
        <w:tab/>
      </w:r>
      <w:r>
        <w:tab/>
        <w:t>Что касается вопросов насилия в отношении пожилых женщин, то мы можем сообщить, что ряд организаций, специализирующихся на проблемах н</w:t>
      </w:r>
      <w:r>
        <w:t>а</w:t>
      </w:r>
      <w:r>
        <w:t>силия в отношении пожилых людей, сейчас объединяются в сети на базе Пла</w:t>
      </w:r>
      <w:r>
        <w:t>т</w:t>
      </w:r>
      <w:r>
        <w:t>формы по борьбе с семейным насилием. В 2002 году Платформа по борьбе с семейным насилием организовала конференцию по теме "Насилие в семейном контексте и сосуществование представителей разных поколений".</w:t>
      </w:r>
    </w:p>
    <w:p w:rsidR="00000000" w:rsidRDefault="00000000">
      <w:pPr>
        <w:pStyle w:val="SingleTxt"/>
      </w:pPr>
      <w:r>
        <w:tab/>
      </w:r>
      <w:r>
        <w:tab/>
        <w:t>В провинциях Вена и Нижняя Австрия проекты по предупреждению н</w:t>
      </w:r>
      <w:r>
        <w:t>а</w:t>
      </w:r>
      <w:r>
        <w:t>силия были организованы в больницах. Подробное описание содержания таких пр</w:t>
      </w:r>
      <w:r>
        <w:t>о</w:t>
      </w:r>
      <w:r>
        <w:t>ектов можно найти в приложении 1.</w:t>
      </w:r>
    </w:p>
    <w:p w:rsidR="00000000" w:rsidRDefault="00000000">
      <w:pPr>
        <w:pStyle w:val="50"/>
      </w:pPr>
    </w:p>
    <w:p w:rsidR="00000000" w:rsidRDefault="00000000">
      <w:pPr>
        <w:pStyle w:val="50"/>
      </w:pPr>
    </w:p>
    <w:p w:rsidR="00000000" w:rsidRDefault="00000000">
      <w:pPr>
        <w:pStyle w:val="H23"/>
      </w:pPr>
      <w:r>
        <w:tab/>
      </w:r>
      <w:bookmarkStart w:id="40" w:name="_Toc97786638"/>
      <w:r>
        <w:t>Специальные психологические и юридические консультации в ходе судебных заседаний</w:t>
      </w:r>
      <w:bookmarkEnd w:id="40"/>
    </w:p>
    <w:p w:rsidR="00000000" w:rsidRDefault="00000000">
      <w:pPr>
        <w:pStyle w:val="SingleTxt"/>
      </w:pPr>
      <w:r>
        <w:tab/>
      </w:r>
      <w:r>
        <w:tab/>
        <w:t>В целях улучшения положения жертв семейного насилия с 2002 года в х</w:t>
      </w:r>
      <w:r>
        <w:t>о</w:t>
      </w:r>
      <w:r>
        <w:t>де судебных заседаний проводятся специальные психологические и юридич</w:t>
      </w:r>
      <w:r>
        <w:t>е</w:t>
      </w:r>
      <w:r>
        <w:t>ские консультации. Эти услуги предоставляются силами специализированных консультационных органов, таких как Центр защиты детей. Более подробная информация приведена в замечаниях, касающихся статьи 2.</w:t>
      </w:r>
    </w:p>
    <w:p w:rsidR="00000000" w:rsidRDefault="00000000">
      <w:pPr>
        <w:pStyle w:val="SingleTxt"/>
      </w:pPr>
      <w:r>
        <w:tab/>
      </w:r>
      <w:r>
        <w:tab/>
        <w:t>Число официально зарегистрированных случаев сексуального насилия (раздел 206 австрийского Уголовного кодекса, касающийся тяжких половых преступлений в отношении несовершеннолетних, и раздел 207 австрийского Уголовного кодекса, касающийся половых преступлений в отношении нес</w:t>
      </w:r>
      <w:r>
        <w:t>о</w:t>
      </w:r>
      <w:r>
        <w:t>вершеннолетних) в последнее время несколько снизилось (с 722 официально зарегистрированных случаев в 2000 году до 576 случаев в 2001 году и 558 случаев в 2002 году). Из 558 случаев, официально зарегистрированных в 2002 году, в 540 случаях жертвами были лица в возрасте до 14 лет и в 422 случаях жертвами были девочки (Источник: статистические данные Фед</w:t>
      </w:r>
      <w:r>
        <w:t>е</w:t>
      </w:r>
      <w:r>
        <w:t>рального министе</w:t>
      </w:r>
      <w:r>
        <w:t>р</w:t>
      </w:r>
      <w:r>
        <w:t>ства внутренних дел).</w:t>
      </w:r>
    </w:p>
    <w:p w:rsidR="00000000" w:rsidRDefault="00000000">
      <w:pPr>
        <w:pStyle w:val="50"/>
      </w:pPr>
    </w:p>
    <w:p w:rsidR="00000000" w:rsidRDefault="00000000">
      <w:pPr>
        <w:pStyle w:val="50"/>
      </w:pPr>
    </w:p>
    <w:p w:rsidR="00000000" w:rsidRDefault="00000000">
      <w:pPr>
        <w:pStyle w:val="H1"/>
      </w:pPr>
      <w:r>
        <w:tab/>
      </w:r>
      <w:bookmarkStart w:id="41" w:name="_Toc97786639"/>
      <w:r>
        <w:t>Рекомендация 231</w:t>
      </w:r>
      <w:bookmarkEnd w:id="41"/>
    </w:p>
    <w:p w:rsidR="00000000" w:rsidRDefault="00000000">
      <w:pPr>
        <w:pStyle w:val="SingleTxt"/>
      </w:pPr>
      <w:r>
        <w:tab/>
      </w:r>
      <w:r>
        <w:tab/>
        <w:t>См. подробные сведения и статистические данные, которые приводятся в разделах настоящего доклада, посвященных статьям 10 и 5.</w:t>
      </w:r>
    </w:p>
    <w:p w:rsidR="00000000" w:rsidRDefault="00000000">
      <w:pPr>
        <w:pStyle w:val="50"/>
      </w:pPr>
    </w:p>
    <w:p w:rsidR="00000000" w:rsidRDefault="00000000">
      <w:pPr>
        <w:pStyle w:val="50"/>
      </w:pPr>
    </w:p>
    <w:p w:rsidR="00000000" w:rsidRDefault="00000000">
      <w:pPr>
        <w:pStyle w:val="H1"/>
      </w:pPr>
      <w:r>
        <w:tab/>
      </w:r>
      <w:bookmarkStart w:id="42" w:name="_Toc97786640"/>
      <w:r>
        <w:t>Рекомендация 232</w:t>
      </w:r>
      <w:bookmarkEnd w:id="42"/>
    </w:p>
    <w:p w:rsidR="00000000" w:rsidRDefault="00000000">
      <w:pPr>
        <w:pStyle w:val="SingleTxt"/>
      </w:pPr>
      <w:r>
        <w:tab/>
      </w:r>
      <w:r>
        <w:tab/>
        <w:t>См. замечания, касающиеся статьи 10.</w:t>
      </w:r>
    </w:p>
    <w:p w:rsidR="00000000" w:rsidRDefault="00000000">
      <w:pPr>
        <w:pStyle w:val="SingleTxt"/>
      </w:pPr>
      <w:r>
        <w:tab/>
      </w:r>
      <w:r>
        <w:tab/>
        <w:t>Кроме того, следует отметить, что Управление Омбудсмена по вопросам равного обращения является постоянным членом жюри, выбирающего лауреата ежегодной премии "Амазон", которую консультационный центр для девушек "Спрингборд" присуждает компаниям, добившимся выдающих результатов в области обучения девушек ремесленным навыкам или техническим професс</w:t>
      </w:r>
      <w:r>
        <w:t>и</w:t>
      </w:r>
      <w:r>
        <w:t>ям. Региональное отделение Управления Омбудсмена в провинции Каринтия также участвовало в кампании под названием "Хороший пример – девушки пользуются предоставленными возможностями", организованной правительс</w:t>
      </w:r>
      <w:r>
        <w:t>т</w:t>
      </w:r>
      <w:r>
        <w:t>вом провинции Каринтия. В ходе этой кампании премии присуждались же</w:t>
      </w:r>
      <w:r>
        <w:t>н</w:t>
      </w:r>
      <w:r>
        <w:t>щинам, овладевающим новыми профессиями и выбирающими специальности, ранее традиц</w:t>
      </w:r>
      <w:r>
        <w:t>и</w:t>
      </w:r>
      <w:r>
        <w:t>онно считавшиеся "мужскими".</w:t>
      </w:r>
    </w:p>
    <w:p w:rsidR="00000000" w:rsidRDefault="00000000">
      <w:pPr>
        <w:pStyle w:val="SingleTxt"/>
      </w:pPr>
      <w:r>
        <w:tab/>
      </w:r>
      <w:r>
        <w:tab/>
        <w:t>Эксперты из штаб-квартиры и региональных отделений Управления О</w:t>
      </w:r>
      <w:r>
        <w:t>м</w:t>
      </w:r>
      <w:r>
        <w:t>будсмена регулярно распространяют в профессионально-технических учил</w:t>
      </w:r>
      <w:r>
        <w:t>и</w:t>
      </w:r>
      <w:r>
        <w:t>щах, общеобразовательных школах и консультационных центрах для девушек, таких как "Мафальда" в Граце, информацию о равных возможностях на рынке труда, Законе о равном обращении и его возможном применении, а также о возможностях, открывающихся перед девушками, которые выбирают спец</w:t>
      </w:r>
      <w:r>
        <w:t>и</w:t>
      </w:r>
      <w:r>
        <w:t>альность или профессию в нетрадиционной сфере.</w:t>
      </w:r>
    </w:p>
    <w:p w:rsidR="00000000" w:rsidRDefault="00000000">
      <w:pPr>
        <w:pStyle w:val="50"/>
      </w:pPr>
    </w:p>
    <w:p w:rsidR="00000000" w:rsidRDefault="00000000">
      <w:pPr>
        <w:pStyle w:val="50"/>
      </w:pPr>
    </w:p>
    <w:p w:rsidR="00000000" w:rsidRDefault="00000000">
      <w:pPr>
        <w:pStyle w:val="H23"/>
      </w:pPr>
      <w:r>
        <w:tab/>
      </w:r>
      <w:bookmarkStart w:id="43" w:name="_Toc97786641"/>
      <w:r>
        <w:t>Конструктивные меры в целях увеличения представительства женщин на преподавательских должностях на всех уровнях</w:t>
      </w:r>
      <w:bookmarkEnd w:id="43"/>
    </w:p>
    <w:p w:rsidR="00000000" w:rsidRDefault="00000000">
      <w:pPr>
        <w:pStyle w:val="SingleTxt"/>
      </w:pPr>
      <w:r>
        <w:tab/>
      </w:r>
      <w:r>
        <w:tab/>
        <w:t>В Законе 1993 года о равном обращении на федеральной службе пред</w:t>
      </w:r>
      <w:r>
        <w:t>у</w:t>
      </w:r>
      <w:r>
        <w:t>сматривается, что женщинам, которые выдвигают свои кандидатуры на зам</w:t>
      </w:r>
      <w:r>
        <w:t>е</w:t>
      </w:r>
      <w:r>
        <w:t>щение высокопоставленных должностей или постов и обладают такой же кв</w:t>
      </w:r>
      <w:r>
        <w:t>а</w:t>
      </w:r>
      <w:r>
        <w:t>лификацией, что и наиболее квалифицированные кандидаты-мужчины, будет отдаваться предпочтение при назначении на эти должности на основании п</w:t>
      </w:r>
      <w:r>
        <w:t>о</w:t>
      </w:r>
      <w:r>
        <w:t>ложений одного из планов по улучшению положения женщин, которые издаю</w:t>
      </w:r>
      <w:r>
        <w:t>т</w:t>
      </w:r>
      <w:r>
        <w:t>ся каждым аппаратом федеральных министерств и ведомств до тех пор, пока доля женщин на высокопоставленных должностях или постах на достигнет по меньшей мере 40 процентов от общего числа лиц, занимающих такие должн</w:t>
      </w:r>
      <w:r>
        <w:t>о</w:t>
      </w:r>
      <w:r>
        <w:t>сти или п</w:t>
      </w:r>
      <w:r>
        <w:t>о</w:t>
      </w:r>
      <w:r>
        <w:t>сты.</w:t>
      </w:r>
    </w:p>
    <w:p w:rsidR="00000000" w:rsidRDefault="00000000">
      <w:pPr>
        <w:pStyle w:val="SingleTxt"/>
      </w:pPr>
      <w:r>
        <w:tab/>
      </w:r>
      <w:r>
        <w:tab/>
        <w:t>Кроме того, в Законе о равном обращении на федеральной службе пред</w:t>
      </w:r>
      <w:r>
        <w:t>у</w:t>
      </w:r>
      <w:r>
        <w:t>сматривается, что женщинам должно отдаваться предпочтение при наборе слушателей в программы базового обучения и повышения квалификации, кот</w:t>
      </w:r>
      <w:r>
        <w:t>о</w:t>
      </w:r>
      <w:r>
        <w:t>рые позволят им приобрести необходимые навыки для работы на высокоп</w:t>
      </w:r>
      <w:r>
        <w:t>о</w:t>
      </w:r>
      <w:r>
        <w:t>ставленных должностях или постах, в соответствии с положениями Плана по улучшению положения же</w:t>
      </w:r>
      <w:r>
        <w:t>н</w:t>
      </w:r>
      <w:r>
        <w:t>щин.</w:t>
      </w:r>
    </w:p>
    <w:p w:rsidR="00000000" w:rsidRDefault="00000000">
      <w:pPr>
        <w:pStyle w:val="SingleTxt"/>
      </w:pPr>
      <w:r>
        <w:tab/>
      </w:r>
      <w:r>
        <w:tab/>
        <w:t>Более подробную информацию см. в замечаниях, касающихся статьи 4.</w:t>
      </w:r>
    </w:p>
    <w:p w:rsidR="00000000" w:rsidRDefault="00000000">
      <w:pPr>
        <w:pStyle w:val="50"/>
      </w:pPr>
    </w:p>
    <w:p w:rsidR="00000000" w:rsidRDefault="00000000">
      <w:pPr>
        <w:pStyle w:val="50"/>
      </w:pPr>
    </w:p>
    <w:p w:rsidR="00000000" w:rsidRDefault="00000000">
      <w:pPr>
        <w:pStyle w:val="H1"/>
      </w:pPr>
      <w:r>
        <w:tab/>
      </w:r>
      <w:bookmarkStart w:id="44" w:name="_Toc97786642"/>
      <w:r>
        <w:t>Рекомендации 233 и 234</w:t>
      </w:r>
      <w:bookmarkEnd w:id="44"/>
    </w:p>
    <w:p w:rsidR="00000000" w:rsidRDefault="00000000">
      <w:pPr>
        <w:pStyle w:val="SingleTxt"/>
      </w:pPr>
      <w:r>
        <w:tab/>
      </w:r>
      <w:r>
        <w:tab/>
        <w:t>Основой для текущих мероприятий служит исследование под названием "Заработок женщин и мужчин, работающих по найму" (Федеральное мин</w:t>
      </w:r>
      <w:r>
        <w:t>и</w:t>
      </w:r>
      <w:r>
        <w:t>стерство по вопросам экономики и труда, 2000 год).</w:t>
      </w:r>
    </w:p>
    <w:p w:rsidR="00000000" w:rsidRDefault="00000000">
      <w:pPr>
        <w:pStyle w:val="SingleTxt"/>
      </w:pPr>
      <w:r>
        <w:tab/>
      </w:r>
      <w:r>
        <w:tab/>
        <w:t>Кроме того, был организован исследовательский проект под названием "Занятость и заработок женщин и мужчин", который был связан с анализом различных возможностей доходных занятий под воздействием структурных изменений и оценкой Национального плана действий в области занятости. В</w:t>
      </w:r>
      <w:r>
        <w:t>ы</w:t>
      </w:r>
      <w:r>
        <w:t>воды по итогам осуществления данного проекта были опубликованы в 2002 году.</w:t>
      </w:r>
    </w:p>
    <w:p w:rsidR="00000000" w:rsidRDefault="00000000">
      <w:pPr>
        <w:pStyle w:val="SingleTxt"/>
      </w:pPr>
      <w:r>
        <w:tab/>
      </w:r>
      <w:r>
        <w:tab/>
        <w:t>Причины различий в уровне оплаты труда по признаку пола многоплан</w:t>
      </w:r>
      <w:r>
        <w:t>о</w:t>
      </w:r>
      <w:r>
        <w:t>вы и в значительной степени обусловлены рабочим графиком, зависящим от характера выполняемой работы. Женщины, даже когда они работают полный рабочий день, относятся к четырем низшим категориям из десяти категорий населения по уровню доходов и поэтому чаще занимают менее оплачиваемые должности, чем мужчины. В то время как в среднем доходы мужчин постоянно увеличиваются, кривая доходов женщин в ключевые периоды активной труд</w:t>
      </w:r>
      <w:r>
        <w:t>о</w:t>
      </w:r>
      <w:r>
        <w:t>вой жизни идет вниз, что главным образом объясняется периодами ухода за детьми. Помимо этого кривая свидетельствует о том, что и в целом доходы женщин с возрастом увеличиваются в меньшей степени по сравнению с дох</w:t>
      </w:r>
      <w:r>
        <w:t>о</w:t>
      </w:r>
      <w:r>
        <w:t>дами му</w:t>
      </w:r>
      <w:r>
        <w:t>ж</w:t>
      </w:r>
      <w:r>
        <w:t>чин.</w:t>
      </w:r>
    </w:p>
    <w:p w:rsidR="00000000" w:rsidRDefault="00000000">
      <w:pPr>
        <w:pStyle w:val="SingleTxt"/>
      </w:pPr>
      <w:r>
        <w:tab/>
      </w:r>
      <w:r>
        <w:tab/>
        <w:t>Раз в два года в стране публикуется "Общий отчет о доходах", который служит ценным источником данных, полученных в результате оценок стат</w:t>
      </w:r>
      <w:r>
        <w:t>и</w:t>
      </w:r>
      <w:r>
        <w:t>стических данных о налоге на заработную плату (данных о заработной плате за почас</w:t>
      </w:r>
      <w:r>
        <w:t>о</w:t>
      </w:r>
      <w:r>
        <w:t>вую работу пока не имеется).</w:t>
      </w:r>
    </w:p>
    <w:p w:rsidR="00000000" w:rsidRDefault="00000000">
      <w:pPr>
        <w:pStyle w:val="SingleTxt"/>
        <w:keepNext/>
        <w:rPr>
          <w:b/>
        </w:rPr>
      </w:pPr>
      <w:r>
        <w:rPr>
          <w:b/>
        </w:rPr>
        <w:t>Общий годовой заработок лиц, работавших в течение года на условиях полного рабочего дня без перерывов</w:t>
      </w:r>
    </w:p>
    <w:tbl>
      <w:tblPr>
        <w:tblW w:w="0" w:type="auto"/>
        <w:tblInd w:w="1278" w:type="dxa"/>
        <w:tblLayout w:type="fixed"/>
        <w:tblLook w:val="0000" w:firstRow="0" w:lastRow="0" w:firstColumn="0" w:lastColumn="0" w:noHBand="0" w:noVBand="0"/>
      </w:tblPr>
      <w:tblGrid>
        <w:gridCol w:w="1474"/>
        <w:gridCol w:w="1474"/>
        <w:gridCol w:w="1474"/>
        <w:gridCol w:w="1474"/>
        <w:gridCol w:w="1475"/>
      </w:tblGrid>
      <w:tr w:rsidR="00000000">
        <w:tblPrEx>
          <w:tblCellMar>
            <w:top w:w="0" w:type="dxa"/>
            <w:bottom w:w="0" w:type="dxa"/>
          </w:tblCellMar>
        </w:tblPrEx>
        <w:trPr>
          <w:tblHeader/>
        </w:trPr>
        <w:tc>
          <w:tcPr>
            <w:tcW w:w="1474" w:type="dxa"/>
            <w:tcBorders>
              <w:top w:val="single" w:sz="4" w:space="0" w:color="auto"/>
              <w:bottom w:val="single" w:sz="12" w:space="0" w:color="auto"/>
            </w:tcBorders>
          </w:tcPr>
          <w:p w:rsidR="00000000" w:rsidRDefault="00000000">
            <w:pPr>
              <w:keepNext/>
              <w:jc w:val="center"/>
              <w:rPr>
                <w:i/>
                <w:spacing w:val="-3"/>
                <w:sz w:val="17"/>
              </w:rPr>
            </w:pPr>
            <w:r>
              <w:rPr>
                <w:i/>
                <w:spacing w:val="-3"/>
                <w:sz w:val="17"/>
              </w:rPr>
              <w:t>Год</w:t>
            </w:r>
          </w:p>
        </w:tc>
        <w:tc>
          <w:tcPr>
            <w:tcW w:w="1474" w:type="dxa"/>
            <w:tcBorders>
              <w:top w:val="single" w:sz="4" w:space="0" w:color="auto"/>
              <w:bottom w:val="single" w:sz="12" w:space="0" w:color="auto"/>
            </w:tcBorders>
          </w:tcPr>
          <w:p w:rsidR="00000000" w:rsidRDefault="00000000">
            <w:pPr>
              <w:keepNext/>
              <w:jc w:val="center"/>
              <w:rPr>
                <w:i/>
                <w:spacing w:val="-3"/>
                <w:sz w:val="17"/>
              </w:rPr>
            </w:pPr>
          </w:p>
        </w:tc>
        <w:tc>
          <w:tcPr>
            <w:tcW w:w="1474" w:type="dxa"/>
            <w:tcBorders>
              <w:top w:val="single" w:sz="4" w:space="0" w:color="auto"/>
              <w:bottom w:val="single" w:sz="12" w:space="0" w:color="auto"/>
            </w:tcBorders>
          </w:tcPr>
          <w:p w:rsidR="00000000" w:rsidRDefault="00000000">
            <w:pPr>
              <w:keepNext/>
              <w:jc w:val="center"/>
              <w:rPr>
                <w:i/>
                <w:spacing w:val="-3"/>
                <w:sz w:val="17"/>
              </w:rPr>
            </w:pPr>
            <w:r>
              <w:rPr>
                <w:i/>
                <w:spacing w:val="-3"/>
                <w:sz w:val="17"/>
              </w:rPr>
              <w:t>Женщины</w:t>
            </w:r>
          </w:p>
        </w:tc>
        <w:tc>
          <w:tcPr>
            <w:tcW w:w="1474" w:type="dxa"/>
            <w:tcBorders>
              <w:top w:val="single" w:sz="4" w:space="0" w:color="auto"/>
              <w:bottom w:val="single" w:sz="12" w:space="0" w:color="auto"/>
            </w:tcBorders>
          </w:tcPr>
          <w:p w:rsidR="00000000" w:rsidRDefault="00000000">
            <w:pPr>
              <w:keepNext/>
              <w:jc w:val="center"/>
              <w:rPr>
                <w:i/>
                <w:spacing w:val="-3"/>
                <w:sz w:val="17"/>
              </w:rPr>
            </w:pPr>
            <w:r>
              <w:rPr>
                <w:i/>
                <w:spacing w:val="-3"/>
                <w:sz w:val="17"/>
              </w:rPr>
              <w:t>Мужчины</w:t>
            </w:r>
          </w:p>
        </w:tc>
        <w:tc>
          <w:tcPr>
            <w:tcW w:w="1475" w:type="dxa"/>
            <w:tcBorders>
              <w:top w:val="single" w:sz="4" w:space="0" w:color="auto"/>
              <w:bottom w:val="single" w:sz="12" w:space="0" w:color="auto"/>
            </w:tcBorders>
          </w:tcPr>
          <w:p w:rsidR="00000000" w:rsidRDefault="00000000">
            <w:pPr>
              <w:keepNext/>
              <w:jc w:val="center"/>
              <w:rPr>
                <w:i/>
                <w:spacing w:val="-3"/>
                <w:sz w:val="17"/>
              </w:rPr>
            </w:pPr>
            <w:r>
              <w:rPr>
                <w:i/>
                <w:spacing w:val="-3"/>
                <w:sz w:val="17"/>
              </w:rPr>
              <w:t>Разница</w:t>
            </w:r>
          </w:p>
        </w:tc>
      </w:tr>
      <w:tr w:rsidR="00000000">
        <w:tblPrEx>
          <w:tblCellMar>
            <w:top w:w="0" w:type="dxa"/>
            <w:bottom w:w="0" w:type="dxa"/>
          </w:tblCellMar>
        </w:tblPrEx>
        <w:tc>
          <w:tcPr>
            <w:tcW w:w="1474" w:type="dxa"/>
            <w:tcBorders>
              <w:top w:val="single" w:sz="12" w:space="0" w:color="auto"/>
            </w:tcBorders>
          </w:tcPr>
          <w:p w:rsidR="00000000" w:rsidRDefault="00000000">
            <w:pPr>
              <w:keepNext/>
              <w:jc w:val="center"/>
              <w:rPr>
                <w:spacing w:val="-3"/>
                <w:sz w:val="17"/>
              </w:rPr>
            </w:pPr>
            <w:r>
              <w:rPr>
                <w:spacing w:val="-3"/>
                <w:sz w:val="17"/>
              </w:rPr>
              <w:t>2000</w:t>
            </w:r>
          </w:p>
        </w:tc>
        <w:tc>
          <w:tcPr>
            <w:tcW w:w="1474" w:type="dxa"/>
            <w:tcBorders>
              <w:top w:val="single" w:sz="12" w:space="0" w:color="auto"/>
            </w:tcBorders>
          </w:tcPr>
          <w:p w:rsidR="00000000" w:rsidRDefault="00000000">
            <w:pPr>
              <w:keepNext/>
              <w:jc w:val="center"/>
              <w:rPr>
                <w:spacing w:val="-3"/>
                <w:sz w:val="17"/>
              </w:rPr>
            </w:pPr>
            <w:r>
              <w:rPr>
                <w:spacing w:val="-3"/>
                <w:sz w:val="17"/>
              </w:rPr>
              <w:t>В среднем</w:t>
            </w:r>
          </w:p>
        </w:tc>
        <w:tc>
          <w:tcPr>
            <w:tcW w:w="1474" w:type="dxa"/>
            <w:tcBorders>
              <w:top w:val="single" w:sz="12" w:space="0" w:color="auto"/>
            </w:tcBorders>
          </w:tcPr>
          <w:p w:rsidR="00000000" w:rsidRDefault="00000000">
            <w:pPr>
              <w:keepNext/>
              <w:jc w:val="center"/>
              <w:rPr>
                <w:spacing w:val="-3"/>
                <w:sz w:val="17"/>
              </w:rPr>
            </w:pPr>
            <w:r>
              <w:rPr>
                <w:spacing w:val="-3"/>
                <w:sz w:val="17"/>
              </w:rPr>
              <w:t>25 480 евро</w:t>
            </w:r>
          </w:p>
        </w:tc>
        <w:tc>
          <w:tcPr>
            <w:tcW w:w="1474" w:type="dxa"/>
            <w:tcBorders>
              <w:top w:val="single" w:sz="12" w:space="0" w:color="auto"/>
            </w:tcBorders>
          </w:tcPr>
          <w:p w:rsidR="00000000" w:rsidRDefault="00000000">
            <w:pPr>
              <w:keepNext/>
              <w:jc w:val="center"/>
              <w:rPr>
                <w:spacing w:val="-3"/>
                <w:sz w:val="17"/>
              </w:rPr>
            </w:pPr>
            <w:r>
              <w:rPr>
                <w:spacing w:val="-3"/>
                <w:sz w:val="17"/>
              </w:rPr>
              <w:t>35 530 евро</w:t>
            </w:r>
          </w:p>
        </w:tc>
        <w:tc>
          <w:tcPr>
            <w:tcW w:w="1475" w:type="dxa"/>
            <w:tcBorders>
              <w:top w:val="single" w:sz="12" w:space="0" w:color="auto"/>
            </w:tcBorders>
          </w:tcPr>
          <w:p w:rsidR="00000000" w:rsidRDefault="00000000">
            <w:pPr>
              <w:keepNext/>
              <w:jc w:val="center"/>
              <w:rPr>
                <w:spacing w:val="-3"/>
                <w:sz w:val="17"/>
              </w:rPr>
            </w:pPr>
            <w:r>
              <w:rPr>
                <w:spacing w:val="-3"/>
                <w:sz w:val="17"/>
              </w:rPr>
              <w:t>28,3 пр</w:t>
            </w:r>
            <w:r>
              <w:rPr>
                <w:spacing w:val="-3"/>
                <w:sz w:val="17"/>
              </w:rPr>
              <w:t>о</w:t>
            </w:r>
            <w:r>
              <w:rPr>
                <w:spacing w:val="-3"/>
                <w:sz w:val="17"/>
              </w:rPr>
              <w:t>цента</w:t>
            </w:r>
          </w:p>
        </w:tc>
      </w:tr>
      <w:tr w:rsidR="00000000">
        <w:tblPrEx>
          <w:tblCellMar>
            <w:top w:w="0" w:type="dxa"/>
            <w:bottom w:w="0" w:type="dxa"/>
          </w:tblCellMar>
        </w:tblPrEx>
        <w:tc>
          <w:tcPr>
            <w:tcW w:w="1474" w:type="dxa"/>
            <w:tcBorders>
              <w:bottom w:val="single" w:sz="12" w:space="0" w:color="auto"/>
            </w:tcBorders>
          </w:tcPr>
          <w:p w:rsidR="00000000" w:rsidRDefault="00000000">
            <w:pPr>
              <w:keepNext/>
              <w:jc w:val="center"/>
              <w:rPr>
                <w:spacing w:val="-3"/>
                <w:sz w:val="17"/>
              </w:rPr>
            </w:pPr>
            <w:r>
              <w:rPr>
                <w:spacing w:val="-3"/>
                <w:sz w:val="17"/>
              </w:rPr>
              <w:t>2001</w:t>
            </w:r>
          </w:p>
        </w:tc>
        <w:tc>
          <w:tcPr>
            <w:tcW w:w="1474" w:type="dxa"/>
            <w:tcBorders>
              <w:bottom w:val="single" w:sz="12" w:space="0" w:color="auto"/>
            </w:tcBorders>
          </w:tcPr>
          <w:p w:rsidR="00000000" w:rsidRDefault="00000000">
            <w:pPr>
              <w:keepNext/>
              <w:jc w:val="center"/>
              <w:rPr>
                <w:spacing w:val="-3"/>
                <w:sz w:val="17"/>
              </w:rPr>
            </w:pPr>
            <w:r>
              <w:rPr>
                <w:spacing w:val="-3"/>
                <w:sz w:val="17"/>
              </w:rPr>
              <w:t>В среднем</w:t>
            </w:r>
          </w:p>
        </w:tc>
        <w:tc>
          <w:tcPr>
            <w:tcW w:w="1474" w:type="dxa"/>
            <w:tcBorders>
              <w:bottom w:val="single" w:sz="12" w:space="0" w:color="auto"/>
            </w:tcBorders>
          </w:tcPr>
          <w:p w:rsidR="00000000" w:rsidRDefault="00000000">
            <w:pPr>
              <w:keepNext/>
              <w:jc w:val="center"/>
              <w:rPr>
                <w:spacing w:val="-3"/>
                <w:sz w:val="17"/>
              </w:rPr>
            </w:pPr>
            <w:r>
              <w:rPr>
                <w:spacing w:val="-3"/>
                <w:sz w:val="17"/>
              </w:rPr>
              <w:t>26 250 евро</w:t>
            </w:r>
          </w:p>
        </w:tc>
        <w:tc>
          <w:tcPr>
            <w:tcW w:w="1474" w:type="dxa"/>
            <w:tcBorders>
              <w:bottom w:val="single" w:sz="12" w:space="0" w:color="auto"/>
            </w:tcBorders>
          </w:tcPr>
          <w:p w:rsidR="00000000" w:rsidRDefault="00000000">
            <w:pPr>
              <w:keepNext/>
              <w:jc w:val="center"/>
              <w:rPr>
                <w:spacing w:val="-3"/>
                <w:sz w:val="17"/>
              </w:rPr>
            </w:pPr>
            <w:r>
              <w:rPr>
                <w:spacing w:val="-3"/>
                <w:sz w:val="17"/>
              </w:rPr>
              <w:t>36 480 евро</w:t>
            </w:r>
          </w:p>
        </w:tc>
        <w:tc>
          <w:tcPr>
            <w:tcW w:w="1475" w:type="dxa"/>
            <w:tcBorders>
              <w:bottom w:val="single" w:sz="12" w:space="0" w:color="auto"/>
            </w:tcBorders>
          </w:tcPr>
          <w:p w:rsidR="00000000" w:rsidRDefault="00000000">
            <w:pPr>
              <w:keepNext/>
              <w:jc w:val="center"/>
              <w:rPr>
                <w:spacing w:val="-3"/>
                <w:sz w:val="17"/>
              </w:rPr>
            </w:pPr>
            <w:r>
              <w:rPr>
                <w:spacing w:val="-3"/>
                <w:sz w:val="17"/>
              </w:rPr>
              <w:t>28,0 пр</w:t>
            </w:r>
            <w:r>
              <w:rPr>
                <w:spacing w:val="-3"/>
                <w:sz w:val="17"/>
              </w:rPr>
              <w:t>о</w:t>
            </w:r>
            <w:r>
              <w:rPr>
                <w:spacing w:val="-3"/>
                <w:sz w:val="17"/>
              </w:rPr>
              <w:t>цента</w:t>
            </w:r>
          </w:p>
        </w:tc>
      </w:tr>
    </w:tbl>
    <w:p w:rsidR="00000000" w:rsidRDefault="00000000">
      <w:pPr>
        <w:pStyle w:val="a1"/>
      </w:pPr>
      <w:r>
        <w:rPr>
          <w:i/>
        </w:rPr>
        <w:t>Источник</w:t>
      </w:r>
      <w:r>
        <w:t>: Общий отчет о доходах за 2002 год, Суд по аудиторским делам, В</w:t>
      </w:r>
      <w:r>
        <w:t>е</w:t>
      </w:r>
      <w:r>
        <w:t>на</w:t>
      </w:r>
    </w:p>
    <w:p w:rsidR="00000000" w:rsidRDefault="00000000">
      <w:pPr>
        <w:pStyle w:val="50"/>
      </w:pPr>
    </w:p>
    <w:p w:rsidR="00000000" w:rsidRDefault="00000000">
      <w:pPr>
        <w:pStyle w:val="SingleTxt"/>
      </w:pPr>
      <w:r>
        <w:tab/>
      </w:r>
      <w:r>
        <w:tab/>
        <w:t>В рамках исследовательского проекта под названием "</w:t>
      </w:r>
      <w:r>
        <w:rPr>
          <w:b/>
        </w:rPr>
        <w:t>Недискриминац</w:t>
      </w:r>
      <w:r>
        <w:rPr>
          <w:b/>
        </w:rPr>
        <w:t>и</w:t>
      </w:r>
      <w:r>
        <w:rPr>
          <w:b/>
        </w:rPr>
        <w:t>онная оценка должностных функций и организация работы</w:t>
      </w:r>
      <w:r>
        <w:t>" были разраб</w:t>
      </w:r>
      <w:r>
        <w:t>о</w:t>
      </w:r>
      <w:r>
        <w:t>таны руководящие принципы "равной оплаты за равный труд и труд равной ценности". В этих руководящих принципах провозглашается принцип равной оплаты за труд равной ценности и рассматривается связанный с этим вопрос о том, как определять труд равной ценности. Представлялось важным повысить информированность и осведомленность об этом всех лиц, занимающихся да</w:t>
      </w:r>
      <w:r>
        <w:t>н</w:t>
      </w:r>
      <w:r>
        <w:t>ным вопросом, и именно поэтому руководящие принципы были включены в Наци</w:t>
      </w:r>
      <w:r>
        <w:t>о</w:t>
      </w:r>
      <w:r>
        <w:t>нальный план действий в области занятости 2003 года.</w:t>
      </w:r>
    </w:p>
    <w:p w:rsidR="00000000" w:rsidRDefault="00000000">
      <w:pPr>
        <w:pStyle w:val="SingleTxt"/>
      </w:pPr>
      <w:r>
        <w:tab/>
      </w:r>
      <w:r>
        <w:tab/>
        <w:t>В соответствии с директивой 2002/73/ЕС о внесении поправок в Директ</w:t>
      </w:r>
      <w:r>
        <w:t>и</w:t>
      </w:r>
      <w:r>
        <w:t>ву по осуществлению принципа равного обращения с мужчинами и женщин</w:t>
      </w:r>
      <w:r>
        <w:t>а</w:t>
      </w:r>
      <w:r>
        <w:t>ми государства-члены Европейского союза обязаны активно преследовать цель обеспечения равенства между мужчинами и женщинами.</w:t>
      </w:r>
    </w:p>
    <w:p w:rsidR="00000000" w:rsidRDefault="00000000">
      <w:pPr>
        <w:pStyle w:val="SingleTxt"/>
      </w:pPr>
      <w:r>
        <w:tab/>
      </w:r>
      <w:r>
        <w:tab/>
        <w:t>Австрийский Закон о промышленных отношениях предусматривает во</w:t>
      </w:r>
      <w:r>
        <w:t>з</w:t>
      </w:r>
      <w:r>
        <w:t>можность заключения факультативных соглашений на предприятиях по реал</w:t>
      </w:r>
      <w:r>
        <w:t>и</w:t>
      </w:r>
      <w:r>
        <w:t>зации программ по улучшению положения женщин (подпункт 25 пункта 1 раздела 97 Закона о промышленных отношениях). Благодаря этому социал</w:t>
      </w:r>
      <w:r>
        <w:t>ь</w:t>
      </w:r>
      <w:r>
        <w:t>ные партнеры могут вносить активный вклад в дело обеспечения равенства между мужчин</w:t>
      </w:r>
      <w:r>
        <w:t>а</w:t>
      </w:r>
      <w:r>
        <w:t>ми и женщинами.</w:t>
      </w:r>
    </w:p>
    <w:p w:rsidR="00000000" w:rsidRDefault="00000000">
      <w:pPr>
        <w:pStyle w:val="SingleTxt"/>
      </w:pPr>
      <w:r>
        <w:tab/>
      </w:r>
      <w:r>
        <w:tab/>
        <w:t>Проект по обеспечению равной оплаты труда (ПРОТ), который осущест</w:t>
      </w:r>
      <w:r>
        <w:t>в</w:t>
      </w:r>
      <w:r>
        <w:t>лялся с января 2002 года по март 2003 года, был посвящен вопросу о том, какие реальные возможности имеются на отдельных предприятиях и в отрасли в ц</w:t>
      </w:r>
      <w:r>
        <w:t>е</w:t>
      </w:r>
      <w:r>
        <w:t>лом для уменьшения разрыва в оплате труда женщин и мужчин. В рамках да</w:t>
      </w:r>
      <w:r>
        <w:t>н</w:t>
      </w:r>
      <w:r>
        <w:t>ного проекта Управление Омбудсмена по вопросам равного обращения учас</w:t>
      </w:r>
      <w:r>
        <w:t>т</w:t>
      </w:r>
      <w:r>
        <w:t>вовало в качестве одного из партнеров шведской партнерской организации "</w:t>
      </w:r>
      <w:r>
        <w:rPr>
          <w:lang w:val="en-US"/>
        </w:rPr>
        <w:t>J</w:t>
      </w:r>
      <w:r>
        <w:t>ä</w:t>
      </w:r>
      <w:r>
        <w:rPr>
          <w:lang w:val="en-US"/>
        </w:rPr>
        <w:t>mst</w:t>
      </w:r>
      <w:r>
        <w:t>ä</w:t>
      </w:r>
      <w:r>
        <w:rPr>
          <w:lang w:val="en-US"/>
        </w:rPr>
        <w:t>lldhetsombudsmannen</w:t>
      </w:r>
      <w:r>
        <w:t>". Данный проект осуществлялся в контексте Пр</w:t>
      </w:r>
      <w:r>
        <w:t>о</w:t>
      </w:r>
      <w:r>
        <w:t>граммы ЕС, касающейся общинной рамочной стратегии по обеспечению р</w:t>
      </w:r>
      <w:r>
        <w:t>а</w:t>
      </w:r>
      <w:r>
        <w:t>венства между мужчинами и женщинами (2001-2005 годы).</w:t>
      </w:r>
    </w:p>
    <w:p w:rsidR="00000000" w:rsidRDefault="00000000">
      <w:pPr>
        <w:pStyle w:val="SingleTxt"/>
      </w:pPr>
      <w:r>
        <w:tab/>
      </w:r>
      <w:r>
        <w:tab/>
        <w:t>В рамках данного проекта профсоюз работников металлургической и те</w:t>
      </w:r>
      <w:r>
        <w:t>к</w:t>
      </w:r>
      <w:r>
        <w:t>стильной промышленности предложил проект всеобъемлющей реформы, в х</w:t>
      </w:r>
      <w:r>
        <w:t>о</w:t>
      </w:r>
      <w:r>
        <w:t>де которой в общей сложности 39 коллективных соглашений, заключенных за период с начала 2001 года по конец 2002 года, были проанализированы на предмет того, являлись ли они нейтральными с гендерной точки зрения. В до</w:t>
      </w:r>
      <w:r>
        <w:t>к</w:t>
      </w:r>
      <w:r>
        <w:t>ладе о проекте содержался ряд предложений о способах достижения цели ра</w:t>
      </w:r>
      <w:r>
        <w:t>в</w:t>
      </w:r>
      <w:r>
        <w:t>ной оплаты труда женщин и мужчин. Выводы, сделанные на основе этих и</w:t>
      </w:r>
      <w:r>
        <w:t>с</w:t>
      </w:r>
      <w:r>
        <w:t xml:space="preserve">следований, обобщены в </w:t>
      </w:r>
      <w:r>
        <w:rPr>
          <w:b/>
        </w:rPr>
        <w:t>справочнике</w:t>
      </w:r>
      <w:r>
        <w:t xml:space="preserve"> под названием "Подаем пример – учет гендерного фактора в коллективных соглашениях" и будут использованы в процессе пер</w:t>
      </w:r>
      <w:r>
        <w:t>е</w:t>
      </w:r>
      <w:r>
        <w:t>говоров о нормировании заработной платы.</w:t>
      </w:r>
    </w:p>
    <w:p w:rsidR="00000000" w:rsidRDefault="00000000">
      <w:pPr>
        <w:pStyle w:val="50"/>
      </w:pPr>
    </w:p>
    <w:p w:rsidR="00000000" w:rsidRDefault="00000000">
      <w:pPr>
        <w:pStyle w:val="50"/>
      </w:pPr>
    </w:p>
    <w:p w:rsidR="00000000" w:rsidRDefault="00000000">
      <w:pPr>
        <w:pStyle w:val="H23"/>
      </w:pPr>
      <w:r>
        <w:tab/>
      </w:r>
      <w:bookmarkStart w:id="45" w:name="_Toc97786643"/>
      <w:r>
        <w:t>Занятость в течение неполного рабочего дня</w:t>
      </w:r>
      <w:bookmarkEnd w:id="45"/>
    </w:p>
    <w:p w:rsidR="00000000" w:rsidRDefault="00000000">
      <w:pPr>
        <w:pStyle w:val="SingleTxt"/>
      </w:pPr>
      <w:r>
        <w:tab/>
      </w:r>
      <w:r>
        <w:tab/>
        <w:t>В результате того, что занятость в течение неполного рабочего дня в п</w:t>
      </w:r>
      <w:r>
        <w:t>о</w:t>
      </w:r>
      <w:r>
        <w:t>следние двадцать лет неуклонно возрастала, сегодня количество людей в Авс</w:t>
      </w:r>
      <w:r>
        <w:t>т</w:t>
      </w:r>
      <w:r>
        <w:t>рии, работающих неполный рабочий день, составляет свыше полумиллиона человек. Подавляющее большинство лиц, работающих в течение неполного р</w:t>
      </w:r>
      <w:r>
        <w:t>а</w:t>
      </w:r>
      <w:r>
        <w:t>б</w:t>
      </w:r>
      <w:r>
        <w:t>о</w:t>
      </w:r>
      <w:r>
        <w:t>чего дня, или 85 процентов составляют женщины.</w:t>
      </w:r>
    </w:p>
    <w:p w:rsidR="00000000" w:rsidRDefault="00000000">
      <w:pPr>
        <w:pStyle w:val="SingleTxt"/>
      </w:pPr>
      <w:r>
        <w:tab/>
      </w:r>
      <w:r>
        <w:tab/>
        <w:t>Результаты исследования под названием "Занятость в течение неполного рабочего дня и качество труда в Австрии. Нынешнее положение и потенциал" (2003 год), в частности, показали следующее: 70 процентов опрошенных же</w:t>
      </w:r>
      <w:r>
        <w:t>н</w:t>
      </w:r>
      <w:r>
        <w:t>щин, которые в настоящее время работают в течение неполного рабочего дня, заявили, что их вынуждают к этому семейные обстоятельства. С другой стор</w:t>
      </w:r>
      <w:r>
        <w:t>о</w:t>
      </w:r>
      <w:r>
        <w:t>ны, на эту причину как на основание для работы в течение неполного рабочего дня сослались менее 10 процентов мужчин. У мужчин, работающих неполный рабочий день, среди причин преобладали желание получить базовое или более высокое образование или профессиональную подготовку, а также стремление иметь свободное время или желание участвовать в других видах других видах деятельности (в общей сложности 53 процента опрошенных сослались на эти причины в качестве оснований для работы в течение неполного рабочего дня). Результаты этого исследования показали наличие неосвоенного потенциала высококачественной занятости в течение неполного рабочего дня. Представл</w:t>
      </w:r>
      <w:r>
        <w:t>я</w:t>
      </w:r>
      <w:r>
        <w:t>ется важным уменьшить недостатки, часто приписываемые работе в течение неполного рабочего дня, и улучшить качество работы, особенно тех видов р</w:t>
      </w:r>
      <w:r>
        <w:t>а</w:t>
      </w:r>
      <w:r>
        <w:t>бот, которые предлагаются женщинам, имеющим детей. В июне 2004 года па</w:t>
      </w:r>
      <w:r>
        <w:t>р</w:t>
      </w:r>
      <w:r>
        <w:t xml:space="preserve">ламент одобрил предложенный правительством законопроект о </w:t>
      </w:r>
      <w:r>
        <w:rPr>
          <w:b/>
        </w:rPr>
        <w:t>праве родит</w:t>
      </w:r>
      <w:r>
        <w:rPr>
          <w:b/>
        </w:rPr>
        <w:t>е</w:t>
      </w:r>
      <w:r>
        <w:rPr>
          <w:b/>
        </w:rPr>
        <w:t>лей на работу в течение неполного рабочего дня</w:t>
      </w:r>
      <w:r>
        <w:t>. Мы надеемся, что этот н</w:t>
      </w:r>
      <w:r>
        <w:t>о</w:t>
      </w:r>
      <w:r>
        <w:t>вый закон, который вступил в силу с 1 июля 2004 года, внесет существенный вклад в улучшение качества и структуры должностей, позволяющих работать неполный рабочий день, и будет способствовать возвращению женщин на р</w:t>
      </w:r>
      <w:r>
        <w:t>ы</w:t>
      </w:r>
      <w:r>
        <w:t>нок труда, расширению возможностей для совмещения женщинами и мужч</w:t>
      </w:r>
      <w:r>
        <w:t>и</w:t>
      </w:r>
      <w:r>
        <w:t>нами своих производственных и семейных обязанностей и улучшению шансов матерей на продвижение по службе.</w:t>
      </w:r>
    </w:p>
    <w:p w:rsidR="00000000" w:rsidRDefault="00000000">
      <w:pPr>
        <w:pStyle w:val="SingleTxt"/>
      </w:pPr>
      <w:r>
        <w:tab/>
      </w:r>
      <w:r>
        <w:tab/>
        <w:t>Мы хотели бы также сослаться на замечания, касающиеся пункта 2 статьи 11 и статьи 12.</w:t>
      </w:r>
    </w:p>
    <w:p w:rsidR="00000000" w:rsidRDefault="00000000">
      <w:pPr>
        <w:pStyle w:val="50"/>
      </w:pPr>
    </w:p>
    <w:p w:rsidR="00000000" w:rsidRDefault="00000000">
      <w:pPr>
        <w:pStyle w:val="50"/>
      </w:pPr>
    </w:p>
    <w:p w:rsidR="00000000" w:rsidRDefault="00000000">
      <w:pPr>
        <w:pStyle w:val="H23"/>
      </w:pPr>
      <w:r>
        <w:tab/>
      </w:r>
      <w:bookmarkStart w:id="46" w:name="_Toc97786644"/>
      <w:r>
        <w:t>Австрийская государственная служба занятости</w:t>
      </w:r>
      <w:bookmarkEnd w:id="46"/>
    </w:p>
    <w:p w:rsidR="00000000" w:rsidRDefault="00000000">
      <w:pPr>
        <w:pStyle w:val="SingleTxt"/>
      </w:pPr>
      <w:r>
        <w:tab/>
      </w:r>
      <w:r>
        <w:tab/>
        <w:t>Австрийская государственная служба занятости (АСЗ) определила ко</w:t>
      </w:r>
      <w:r>
        <w:t>н</w:t>
      </w:r>
      <w:r>
        <w:t>кретные и количественные целевые показатели в деле обеспечения равенства мужчин и женщин: Эти конкретные показатели включены в Долгосрочный план и составляют часть целевых показателей, предусматриваемых политикой в области рынка труда. Они включают:</w:t>
      </w:r>
    </w:p>
    <w:p w:rsidR="00000000" w:rsidRDefault="00000000">
      <w:pPr>
        <w:pStyle w:val="50"/>
      </w:pPr>
    </w:p>
    <w:p w:rsidR="00000000" w:rsidRDefault="00000000">
      <w:pPr>
        <w:pStyle w:val="H23"/>
        <w:rPr>
          <w:b w:val="0"/>
        </w:rPr>
      </w:pPr>
      <w:r>
        <w:tab/>
      </w:r>
      <w:bookmarkStart w:id="47" w:name="_Toc97786645"/>
      <w:r>
        <w:rPr>
          <w:b w:val="0"/>
        </w:rPr>
        <w:t>Сбалансированное участие в рынке труда женщин и мужчин</w:t>
      </w:r>
      <w:bookmarkEnd w:id="47"/>
    </w:p>
    <w:p w:rsidR="00000000" w:rsidRDefault="00000000">
      <w:pPr>
        <w:pStyle w:val="SingleTxt"/>
      </w:pPr>
      <w:r>
        <w:tab/>
      </w:r>
      <w:r>
        <w:tab/>
        <w:t>Меры:</w:t>
      </w:r>
    </w:p>
    <w:p w:rsidR="00000000" w:rsidRDefault="00000000">
      <w:pPr>
        <w:pStyle w:val="dot"/>
      </w:pPr>
      <w:r>
        <w:sym w:font="Symbol" w:char="F0B7"/>
      </w:r>
      <w:r>
        <w:tab/>
        <w:t>содействие созданию услуг по уходу за детьми в помощь женщинам, име</w:t>
      </w:r>
      <w:r>
        <w:t>ю</w:t>
      </w:r>
      <w:r>
        <w:t>щим детей;</w:t>
      </w:r>
    </w:p>
    <w:p w:rsidR="00000000" w:rsidRDefault="00000000">
      <w:pPr>
        <w:pStyle w:val="dot"/>
      </w:pPr>
      <w:r>
        <w:sym w:font="Symbol" w:char="F0B7"/>
      </w:r>
      <w:r>
        <w:tab/>
        <w:t>оказание помощи женщинам, желающим вернуться на рынок труда после п</w:t>
      </w:r>
      <w:r>
        <w:t>е</w:t>
      </w:r>
      <w:r>
        <w:t>рерыва в их стаже по причине ухода детьми;</w:t>
      </w:r>
    </w:p>
    <w:p w:rsidR="00000000" w:rsidRDefault="00000000">
      <w:pPr>
        <w:pStyle w:val="dot"/>
      </w:pPr>
      <w:r>
        <w:sym w:font="Symbol" w:char="F0B7"/>
      </w:r>
      <w:r>
        <w:tab/>
        <w:t>поощрение участия женщин и девушек в программах обучения и профессиональной подготовки и повышение уровня профессионал</w:t>
      </w:r>
      <w:r>
        <w:t>ь</w:t>
      </w:r>
      <w:r>
        <w:t>но-технической по</w:t>
      </w:r>
      <w:r>
        <w:t>д</w:t>
      </w:r>
      <w:r>
        <w:t>готовки</w:t>
      </w:r>
    </w:p>
    <w:p w:rsidR="00000000" w:rsidRDefault="00000000">
      <w:pPr>
        <w:pStyle w:val="50"/>
      </w:pPr>
    </w:p>
    <w:p w:rsidR="00000000" w:rsidRDefault="00000000">
      <w:pPr>
        <w:pStyle w:val="50"/>
      </w:pPr>
    </w:p>
    <w:p w:rsidR="00000000" w:rsidRDefault="00000000">
      <w:pPr>
        <w:pStyle w:val="H23"/>
        <w:rPr>
          <w:b w:val="0"/>
        </w:rPr>
      </w:pPr>
      <w:r>
        <w:tab/>
      </w:r>
      <w:bookmarkStart w:id="48" w:name="_Toc97786646"/>
      <w:r>
        <w:rPr>
          <w:b w:val="0"/>
        </w:rPr>
        <w:t>Повышение уровня женской занятости и борьба с безработицей среди женщин/обеспечение равных возможностей для женщин и мужчин на рынке труда</w:t>
      </w:r>
      <w:bookmarkEnd w:id="48"/>
    </w:p>
    <w:p w:rsidR="00000000" w:rsidRDefault="00000000">
      <w:pPr>
        <w:pStyle w:val="SingleTxt"/>
      </w:pPr>
      <w:r>
        <w:tab/>
      </w:r>
      <w:r>
        <w:tab/>
        <w:t>Меры:</w:t>
      </w:r>
    </w:p>
    <w:p w:rsidR="00000000" w:rsidRDefault="00000000">
      <w:pPr>
        <w:pStyle w:val="dot"/>
      </w:pPr>
      <w:r>
        <w:sym w:font="Symbol" w:char="F0B7"/>
      </w:r>
      <w:r>
        <w:tab/>
        <w:t>оказание содействия женщинам в их усилиях по совмещению прои</w:t>
      </w:r>
      <w:r>
        <w:t>з</w:t>
      </w:r>
      <w:r>
        <w:t>водственных и с</w:t>
      </w:r>
      <w:r>
        <w:t>е</w:t>
      </w:r>
      <w:r>
        <w:t>мейных обязанностей;</w:t>
      </w:r>
    </w:p>
    <w:p w:rsidR="00000000" w:rsidRDefault="00000000">
      <w:pPr>
        <w:pStyle w:val="dot"/>
      </w:pPr>
      <w:r>
        <w:sym w:font="Symbol" w:char="F0B7"/>
      </w:r>
      <w:r>
        <w:tab/>
        <w:t>повышения уровня профессионально-технической подгото</w:t>
      </w:r>
      <w:r>
        <w:t>в</w:t>
      </w:r>
      <w:r>
        <w:t>ки/переподготовки же</w:t>
      </w:r>
      <w:r>
        <w:t>н</w:t>
      </w:r>
      <w:r>
        <w:t>щин;</w:t>
      </w:r>
    </w:p>
    <w:p w:rsidR="00000000" w:rsidRDefault="00000000">
      <w:pPr>
        <w:pStyle w:val="dot"/>
      </w:pPr>
      <w:r>
        <w:sym w:font="Symbol" w:char="F0B7"/>
      </w:r>
      <w:r>
        <w:tab/>
        <w:t>содействие расширению производственных навыков женщин и со</w:t>
      </w:r>
      <w:r>
        <w:t>з</w:t>
      </w:r>
      <w:r>
        <w:t>дание рабочих мест в ориентированных на будущее областях занят</w:t>
      </w:r>
      <w:r>
        <w:t>о</w:t>
      </w:r>
      <w:r>
        <w:t>сти;</w:t>
      </w:r>
    </w:p>
    <w:p w:rsidR="00000000" w:rsidRDefault="00000000">
      <w:pPr>
        <w:pStyle w:val="dot"/>
      </w:pPr>
      <w:r>
        <w:sym w:font="Symbol" w:char="F0B7"/>
      </w:r>
      <w:r>
        <w:tab/>
        <w:t>поиск рабочих мест с гибким графиком работы, которые позволят женщинам обесп</w:t>
      </w:r>
      <w:r>
        <w:t>е</w:t>
      </w:r>
      <w:r>
        <w:t>чить себя средствами к существованию;</w:t>
      </w:r>
    </w:p>
    <w:p w:rsidR="00000000" w:rsidRDefault="00000000">
      <w:pPr>
        <w:pStyle w:val="50"/>
      </w:pPr>
    </w:p>
    <w:p w:rsidR="00000000" w:rsidRDefault="00000000">
      <w:pPr>
        <w:pStyle w:val="50"/>
      </w:pPr>
    </w:p>
    <w:p w:rsidR="00000000" w:rsidRDefault="00000000">
      <w:pPr>
        <w:pStyle w:val="H23"/>
        <w:rPr>
          <w:b w:val="0"/>
        </w:rPr>
      </w:pPr>
      <w:r>
        <w:tab/>
      </w:r>
      <w:bookmarkStart w:id="49" w:name="_Toc97786647"/>
      <w:r>
        <w:rPr>
          <w:b w:val="0"/>
        </w:rPr>
        <w:t>Обеспечение равного доступа ко всем профессиям и специальностям и равное распределение всех должностей между женщинами и мужчинами в целях уменьшения разрыва в оплате труда же</w:t>
      </w:r>
      <w:r>
        <w:rPr>
          <w:b w:val="0"/>
        </w:rPr>
        <w:t>н</w:t>
      </w:r>
      <w:r>
        <w:rPr>
          <w:b w:val="0"/>
        </w:rPr>
        <w:t>щин и мужчин</w:t>
      </w:r>
      <w:bookmarkEnd w:id="49"/>
    </w:p>
    <w:p w:rsidR="00000000" w:rsidRDefault="00000000">
      <w:pPr>
        <w:pStyle w:val="SingleTxt"/>
      </w:pPr>
      <w:r>
        <w:tab/>
      </w:r>
      <w:r>
        <w:tab/>
        <w:t xml:space="preserve">Меры: </w:t>
      </w:r>
    </w:p>
    <w:p w:rsidR="00000000" w:rsidRDefault="00000000">
      <w:pPr>
        <w:pStyle w:val="dot"/>
      </w:pPr>
      <w:r>
        <w:sym w:font="Symbol" w:char="F0B7"/>
      </w:r>
      <w:r>
        <w:tab/>
        <w:t>повышение профессионально-технических навыков и квалификации женщин;</w:t>
      </w:r>
    </w:p>
    <w:p w:rsidR="00000000" w:rsidRDefault="00000000">
      <w:pPr>
        <w:pStyle w:val="dot"/>
      </w:pPr>
      <w:r>
        <w:sym w:font="Symbol" w:char="F0B7"/>
      </w:r>
      <w:r>
        <w:tab/>
        <w:t>оказание содействия женщинам и девушкам в выборе профессии, рода занятий или профессиональной подготовки и расширение ди</w:t>
      </w:r>
      <w:r>
        <w:t>а</w:t>
      </w:r>
      <w:r>
        <w:t>пазона профессий в различных выб</w:t>
      </w:r>
      <w:r>
        <w:t>и</w:t>
      </w:r>
      <w:r>
        <w:t>раемых ими областях занятости;</w:t>
      </w:r>
    </w:p>
    <w:p w:rsidR="00000000" w:rsidRDefault="00000000">
      <w:pPr>
        <w:pStyle w:val="dot"/>
      </w:pPr>
      <w:r>
        <w:sym w:font="Symbol" w:char="F0B7"/>
      </w:r>
      <w:r>
        <w:tab/>
        <w:t>расширение доступа женщин к рабочим местам, обеспечивающим их средс</w:t>
      </w:r>
      <w:r>
        <w:t>т</w:t>
      </w:r>
      <w:r>
        <w:t>вами к существованию;</w:t>
      </w:r>
    </w:p>
    <w:p w:rsidR="00000000" w:rsidRDefault="00000000">
      <w:pPr>
        <w:pStyle w:val="dot"/>
      </w:pPr>
      <w:r>
        <w:sym w:font="Symbol" w:char="F0B7"/>
      </w:r>
      <w:r>
        <w:tab/>
        <w:t>поощрение доступа женщин к внутрипроизводственным программам профе</w:t>
      </w:r>
      <w:r>
        <w:t>с</w:t>
      </w:r>
      <w:r>
        <w:t>сиональной подготовки и повышения профессионально-технической кв</w:t>
      </w:r>
      <w:r>
        <w:t>а</w:t>
      </w:r>
      <w:r>
        <w:t>лификации.</w:t>
      </w:r>
    </w:p>
    <w:p w:rsidR="00000000" w:rsidRDefault="00000000">
      <w:pPr>
        <w:pStyle w:val="SingleTxt"/>
      </w:pPr>
      <w:r>
        <w:tab/>
      </w:r>
      <w:r>
        <w:tab/>
        <w:t>Согласно общему целевому заданию, женщины должны составлять 50 процентов от общего числа участников программ производственного обуч</w:t>
      </w:r>
      <w:r>
        <w:t>е</w:t>
      </w:r>
      <w:r>
        <w:t>ния, и на участников женского пола должно тратиться 50 процентов общего бюджета этих программ.</w:t>
      </w:r>
    </w:p>
    <w:p w:rsidR="00000000" w:rsidRDefault="00000000">
      <w:pPr>
        <w:pStyle w:val="SingleTxt"/>
      </w:pPr>
      <w:r>
        <w:tab/>
      </w:r>
      <w:r>
        <w:tab/>
        <w:t>Благодаря последовательному осуществлению мер по обеспечению учета гендерного фактора в рамках своих стратегий в области управления и планир</w:t>
      </w:r>
      <w:r>
        <w:t>о</w:t>
      </w:r>
      <w:r>
        <w:t>вания Австрийская государственная служба занятости стала примером для др</w:t>
      </w:r>
      <w:r>
        <w:t>у</w:t>
      </w:r>
      <w:r>
        <w:t>гих подо</w:t>
      </w:r>
      <w:r>
        <w:t>б</w:t>
      </w:r>
      <w:r>
        <w:t>ных учреждений в Австрии.</w:t>
      </w:r>
    </w:p>
    <w:p w:rsidR="00000000" w:rsidRDefault="00000000">
      <w:pPr>
        <w:pStyle w:val="SingleTxt"/>
      </w:pPr>
      <w:r>
        <w:tab/>
      </w:r>
      <w:r>
        <w:tab/>
        <w:t>Кроме того, Австрийская государственная служба занятости расширила спектр своих консультационных услуг, организуя инструктаж для женщин, ж</w:t>
      </w:r>
      <w:r>
        <w:t>е</w:t>
      </w:r>
      <w:r>
        <w:t>лающих вернуться на рынок труда, и улучшило качество своих программ ра</w:t>
      </w:r>
      <w:r>
        <w:t>с</w:t>
      </w:r>
      <w:r>
        <w:t>пространения информации по вопросам профессионального роста и профе</w:t>
      </w:r>
      <w:r>
        <w:t>с</w:t>
      </w:r>
      <w:r>
        <w:t>сиональной ориент</w:t>
      </w:r>
      <w:r>
        <w:t>а</w:t>
      </w:r>
      <w:r>
        <w:t>ции для девушек.</w:t>
      </w:r>
    </w:p>
    <w:p w:rsidR="00000000" w:rsidRDefault="00000000">
      <w:pPr>
        <w:pStyle w:val="50"/>
      </w:pPr>
    </w:p>
    <w:p w:rsidR="00000000" w:rsidRDefault="00000000">
      <w:pPr>
        <w:pStyle w:val="50"/>
      </w:pPr>
    </w:p>
    <w:p w:rsidR="00000000" w:rsidRDefault="00000000">
      <w:pPr>
        <w:pStyle w:val="H23"/>
      </w:pPr>
      <w:r>
        <w:tab/>
      </w:r>
      <w:bookmarkStart w:id="50" w:name="_Toc97786648"/>
      <w:r>
        <w:t>Услуги в области ухода за детьми</w:t>
      </w:r>
      <w:bookmarkEnd w:id="50"/>
    </w:p>
    <w:p w:rsidR="00000000" w:rsidRDefault="00000000">
      <w:pPr>
        <w:pStyle w:val="SingleTxt"/>
      </w:pPr>
      <w:r>
        <w:tab/>
      </w:r>
      <w:r>
        <w:tab/>
        <w:t>За отчетный период 2002/03 годов 12 073 ребенка в Австрии посещали ясли, 209 584 ребенка – детские сады, 38 580 детей – центры дневного ухода и 7 328 детей – учреждения дневного ухода для детей разных возрастных групп.</w:t>
      </w:r>
    </w:p>
    <w:p w:rsidR="00000000" w:rsidRDefault="00000000">
      <w:pPr>
        <w:pStyle w:val="SingleTxt"/>
      </w:pPr>
      <w:r>
        <w:tab/>
      </w:r>
      <w:r>
        <w:tab/>
        <w:t>Тем самым, в 2002 году был установлен новый рекорд посещаемости де</w:t>
      </w:r>
      <w:r>
        <w:t>т</w:t>
      </w:r>
      <w:r>
        <w:t>ских дошкольных учреждений, т.е. количества детей, посещавших центры дневного ухода, в процентах от общего числа детей той же возрастной группы. Соответственно, детские дошкольные учреждения в 2002 году посещали 81,6 процента детей в возрасте от трех до пяти лет, в то время как пять лет н</w:t>
      </w:r>
      <w:r>
        <w:t>а</w:t>
      </w:r>
      <w:r>
        <w:t>зад эта величина была на восемь процентов ниже. В трехлетней возрастной группе посещаемость увеличилась наиболее существенно. В то время как пять лет назад детские учреждения посещали 48,8 процента детей, т.е. около пол</w:t>
      </w:r>
      <w:r>
        <w:t>о</w:t>
      </w:r>
      <w:r>
        <w:t>вины всех д</w:t>
      </w:r>
      <w:r>
        <w:t>е</w:t>
      </w:r>
      <w:r>
        <w:t>тей, в 2002 году эта величина выросла до 61,6 процента.</w:t>
      </w:r>
    </w:p>
    <w:p w:rsidR="00000000" w:rsidRDefault="00000000">
      <w:pPr>
        <w:pStyle w:val="SingleTxt"/>
      </w:pPr>
      <w:r>
        <w:tab/>
      </w:r>
      <w:r>
        <w:tab/>
        <w:t>В возрастной группе до двух лет посещаемость детских учреждений та</w:t>
      </w:r>
      <w:r>
        <w:t>к</w:t>
      </w:r>
      <w:r>
        <w:t>же значительно увеличилась. Пять лет назад в детский сад ходил лишь каждый 18-й ребенок, а в 2002 году – каждый 11-й. В возрастной группе от шести до десяти лет услугами центра по дневному уходу за детьми в 1997 году польз</w:t>
      </w:r>
      <w:r>
        <w:t>о</w:t>
      </w:r>
      <w:r>
        <w:t>вался каждый 15-й ребенок, а в 2002 году – каждый 12-й ребенок. Кроме того, за последние несколько лет в стране существенно сократилась нехватка учре</w:t>
      </w:r>
      <w:r>
        <w:t>ж</w:t>
      </w:r>
      <w:r>
        <w:t>дений по дневному уходу за детьми, ранее ощущавшаяся в некоторых австри</w:t>
      </w:r>
      <w:r>
        <w:t>й</w:t>
      </w:r>
      <w:r>
        <w:t>ских регионах. В 2002 году, по мнению родителей, в детских учреждениях не хватало 47 800 мест для детей в возрасте до 15 лет. Потребность в дополн</w:t>
      </w:r>
      <w:r>
        <w:t>и</w:t>
      </w:r>
      <w:r>
        <w:t>тельных местах ощущалась особенно остро среди детей школьного возраста, для которых не хватало 27 100 мест. В возрастной группе до трех лет необх</w:t>
      </w:r>
      <w:r>
        <w:t>о</w:t>
      </w:r>
      <w:r>
        <w:t>димы 17 700 дополнительных мест, а в возрастном диапазоне от трех до шести лет – 6 000 мест. Родители 42 000 детей, которые посещают учреждения по уходу за детьми, хотели бы, чтобы эти учреждения обеспечивали дополнител</w:t>
      </w:r>
      <w:r>
        <w:t>ь</w:t>
      </w:r>
      <w:r>
        <w:t>ные и более гибкие возможности. Компетентность семей: в сентябре 2000 года Федеральное министерство социального обеспечения, по делам поколений и защите потребителей организовало проект под названием "Компетентность с</w:t>
      </w:r>
      <w:r>
        <w:t>е</w:t>
      </w:r>
      <w:r>
        <w:t>мей – залог большего успеха на рабочем месте", в рамках которого было о</w:t>
      </w:r>
      <w:r>
        <w:t>т</w:t>
      </w:r>
      <w:r>
        <w:t>крыто 15 служб по оказанию консультационных услуг семьям. Эта программа предоставляет матерям и отцам возможность улучшить свои навыки до во</w:t>
      </w:r>
      <w:r>
        <w:t>з</w:t>
      </w:r>
      <w:r>
        <w:t>вращения на рынок труда. Ключевым элементом данной программы является анализ потенциала каждого из кандидатов, который позволяет определить ва</w:t>
      </w:r>
      <w:r>
        <w:t>ж</w:t>
      </w:r>
      <w:r>
        <w:t>нейшие навыки, приобретенные с помощью работы в семье. Цель этого анал</w:t>
      </w:r>
      <w:r>
        <w:t>и</w:t>
      </w:r>
      <w:r>
        <w:t>за потенциала каждого кандидата состоит в укреплении уверенности в собс</w:t>
      </w:r>
      <w:r>
        <w:t>т</w:t>
      </w:r>
      <w:r>
        <w:t>венных силах лиц, намеревающихся вернуться на рынок труда, и в предоста</w:t>
      </w:r>
      <w:r>
        <w:t>в</w:t>
      </w:r>
      <w:r>
        <w:t>лении им важных конкурентных преимуществ, которые помогут им в поисках работы или в том, чтобы освоить новую работу.</w:t>
      </w:r>
    </w:p>
    <w:p w:rsidR="00000000" w:rsidRDefault="00000000">
      <w:pPr>
        <w:pStyle w:val="SingleTxt"/>
      </w:pPr>
      <w:r>
        <w:tab/>
      </w:r>
      <w:r>
        <w:tab/>
        <w:t>Планы по улучшению положения женщин, утвержденные министерств</w:t>
      </w:r>
      <w:r>
        <w:t>а</w:t>
      </w:r>
      <w:r>
        <w:t>ми, ведомствами и учреждениями, а также провинциями, направлены на ра</w:t>
      </w:r>
      <w:r>
        <w:t>с</w:t>
      </w:r>
      <w:r>
        <w:t>ширение возможностей карьерного роста для женщин, работающих в соотве</w:t>
      </w:r>
      <w:r>
        <w:t>т</w:t>
      </w:r>
      <w:r>
        <w:t>ствующих органах (см. раздел настоящего доклада, касающийся статьи 4).</w:t>
      </w:r>
    </w:p>
    <w:p w:rsidR="00000000" w:rsidRDefault="00000000">
      <w:pPr>
        <w:pStyle w:val="SingleTxt"/>
        <w:rPr>
          <w:spacing w:val="-3"/>
        </w:rPr>
      </w:pPr>
      <w:r>
        <w:rPr>
          <w:b/>
          <w:spacing w:val="-3"/>
        </w:rPr>
        <w:tab/>
      </w:r>
      <w:r>
        <w:rPr>
          <w:b/>
          <w:spacing w:val="-3"/>
        </w:rPr>
        <w:tab/>
        <w:t>Провинции также выступали с различными инициативами, направле</w:t>
      </w:r>
      <w:r>
        <w:rPr>
          <w:b/>
          <w:spacing w:val="-3"/>
        </w:rPr>
        <w:t>н</w:t>
      </w:r>
      <w:r>
        <w:rPr>
          <w:b/>
          <w:spacing w:val="-3"/>
        </w:rPr>
        <w:t>ными на расширение возможностей карьерного роста для женщин.</w:t>
      </w:r>
      <w:r>
        <w:rPr>
          <w:spacing w:val="-3"/>
        </w:rPr>
        <w:t xml:space="preserve"> Некоторые примеры этих инициатив прив</w:t>
      </w:r>
      <w:r>
        <w:rPr>
          <w:spacing w:val="-3"/>
        </w:rPr>
        <w:t>о</w:t>
      </w:r>
      <w:r>
        <w:rPr>
          <w:spacing w:val="-3"/>
        </w:rPr>
        <w:t>дятся ниже:</w:t>
      </w:r>
    </w:p>
    <w:p w:rsidR="00000000" w:rsidRDefault="00000000">
      <w:pPr>
        <w:pStyle w:val="SingleTxt"/>
        <w:rPr>
          <w:spacing w:val="-3"/>
        </w:rPr>
      </w:pPr>
      <w:r>
        <w:rPr>
          <w:b/>
          <w:spacing w:val="-3"/>
        </w:rPr>
        <w:tab/>
      </w:r>
      <w:r>
        <w:rPr>
          <w:b/>
          <w:spacing w:val="-3"/>
        </w:rPr>
        <w:tab/>
        <w:t>Муниципалитет Вены</w:t>
      </w:r>
      <w:r>
        <w:rPr>
          <w:spacing w:val="-3"/>
        </w:rPr>
        <w:t xml:space="preserve"> в рамках своих усилий по оказанию дополнительной поддержки девушкам и женщинам в выборе профессии выплачивает субсидии же</w:t>
      </w:r>
      <w:r>
        <w:rPr>
          <w:spacing w:val="-3"/>
        </w:rPr>
        <w:t>н</w:t>
      </w:r>
      <w:r>
        <w:rPr>
          <w:spacing w:val="-3"/>
        </w:rPr>
        <w:t>ским ассоциациям, которые проводят мероприятия в области профессиональной ор</w:t>
      </w:r>
      <w:r>
        <w:rPr>
          <w:spacing w:val="-3"/>
        </w:rPr>
        <w:t>и</w:t>
      </w:r>
      <w:r>
        <w:rPr>
          <w:spacing w:val="-3"/>
        </w:rPr>
        <w:t>ентации для девушек и женщин или которые оказывают женщинам содействие в во</w:t>
      </w:r>
      <w:r>
        <w:rPr>
          <w:spacing w:val="-3"/>
        </w:rPr>
        <w:t>з</w:t>
      </w:r>
      <w:r>
        <w:rPr>
          <w:spacing w:val="-3"/>
        </w:rPr>
        <w:t>вращении на рынок труда (например, организация "Спрингборд" в Вене). В 1999 году в Вене был проведен специальный женский симпозиум по теме "Сфера трудовой деятельности", а в 2000 году – еще один женский симпозиум по теме "Здоровье на производстве". Был создан специальный веб-сайт (</w:t>
      </w:r>
      <w:hyperlink r:id="rId18" w:history="1">
        <w:r>
          <w:rPr>
            <w:rStyle w:val="Hyperlink"/>
            <w:spacing w:val="-3"/>
            <w:lang w:val="en-US"/>
          </w:rPr>
          <w:t>www</w:t>
        </w:r>
        <w:r>
          <w:rPr>
            <w:rStyle w:val="Hyperlink"/>
            <w:spacing w:val="-3"/>
          </w:rPr>
          <w:t>.</w:t>
        </w:r>
        <w:r>
          <w:rPr>
            <w:rStyle w:val="Hyperlink"/>
            <w:spacing w:val="-3"/>
            <w:lang w:val="en-US"/>
          </w:rPr>
          <w:t>teilzeit</w:t>
        </w:r>
        <w:r>
          <w:rPr>
            <w:rStyle w:val="Hyperlink"/>
            <w:spacing w:val="-3"/>
          </w:rPr>
          <w:t>.</w:t>
        </w:r>
        <w:r>
          <w:rPr>
            <w:rStyle w:val="Hyperlink"/>
            <w:spacing w:val="-3"/>
            <w:lang w:val="en-US"/>
          </w:rPr>
          <w:t>cc</w:t>
        </w:r>
      </w:hyperlink>
      <w:r>
        <w:rPr>
          <w:spacing w:val="-3"/>
        </w:rPr>
        <w:t>), на котором ра</w:t>
      </w:r>
      <w:r>
        <w:rPr>
          <w:spacing w:val="-3"/>
        </w:rPr>
        <w:t>з</w:t>
      </w:r>
      <w:r>
        <w:rPr>
          <w:spacing w:val="-3"/>
        </w:rPr>
        <w:t>мещается информация о малых и средних предприятиях и консалтинговых фирмах и который призван стимулировать частные компании к созданию дополнительных р</w:t>
      </w:r>
      <w:r>
        <w:rPr>
          <w:spacing w:val="-3"/>
        </w:rPr>
        <w:t>а</w:t>
      </w:r>
      <w:r>
        <w:rPr>
          <w:spacing w:val="-3"/>
        </w:rPr>
        <w:t>бочих мест на условиях неполного рабочего дня в высококвалифицированных пр</w:t>
      </w:r>
      <w:r>
        <w:rPr>
          <w:spacing w:val="-3"/>
        </w:rPr>
        <w:t>о</w:t>
      </w:r>
      <w:r>
        <w:rPr>
          <w:spacing w:val="-3"/>
        </w:rPr>
        <w:t xml:space="preserve">фессионально-технических областях и сфере управления. В Вене был также открыт веб-сайт </w:t>
      </w:r>
      <w:hyperlink r:id="rId19" w:history="1">
        <w:r>
          <w:rPr>
            <w:rStyle w:val="Hyperlink"/>
            <w:spacing w:val="-3"/>
            <w:lang w:val="en-US"/>
          </w:rPr>
          <w:t>www</w:t>
        </w:r>
        <w:r>
          <w:rPr>
            <w:rStyle w:val="Hyperlink"/>
            <w:spacing w:val="-3"/>
          </w:rPr>
          <w:t>.</w:t>
        </w:r>
        <w:r>
          <w:rPr>
            <w:rStyle w:val="Hyperlink"/>
            <w:spacing w:val="-3"/>
            <w:lang w:val="en-US"/>
          </w:rPr>
          <w:t>alleinerziehen</w:t>
        </w:r>
        <w:r>
          <w:rPr>
            <w:rStyle w:val="Hyperlink"/>
            <w:spacing w:val="-3"/>
          </w:rPr>
          <w:t>.</w:t>
        </w:r>
        <w:r>
          <w:rPr>
            <w:rStyle w:val="Hyperlink"/>
            <w:spacing w:val="-3"/>
            <w:lang w:val="en-US"/>
          </w:rPr>
          <w:t>at</w:t>
        </w:r>
      </w:hyperlink>
      <w:r>
        <w:rPr>
          <w:spacing w:val="-3"/>
        </w:rPr>
        <w:t>, который предназначается для одиноких родителей и содержит конкретную информацию о разнообразных жизненных ситуациях, в час</w:t>
      </w:r>
      <w:r>
        <w:rPr>
          <w:spacing w:val="-3"/>
        </w:rPr>
        <w:t>т</w:t>
      </w:r>
      <w:r>
        <w:rPr>
          <w:spacing w:val="-3"/>
        </w:rPr>
        <w:t>ности связанных с раздельным проживанием со своим супругом, совместной опекой, порядком получения надбавок и пособий по уходу за детьми, отпуска по уходу за детьми, пои</w:t>
      </w:r>
      <w:r>
        <w:rPr>
          <w:spacing w:val="-3"/>
        </w:rPr>
        <w:t>с</w:t>
      </w:r>
      <w:r>
        <w:rPr>
          <w:spacing w:val="-3"/>
        </w:rPr>
        <w:t>ком работы и т.п.</w:t>
      </w:r>
    </w:p>
    <w:p w:rsidR="00000000" w:rsidRDefault="00000000">
      <w:pPr>
        <w:pStyle w:val="SingleTxt"/>
      </w:pPr>
      <w:r>
        <w:tab/>
      </w:r>
      <w:r>
        <w:tab/>
        <w:t>Венский фонд содействия занятости "ВАФФ" финансирует многочисле</w:t>
      </w:r>
      <w:r>
        <w:t>н</w:t>
      </w:r>
      <w:r>
        <w:t>ные программы базовой и продвинутой подготовки и занятости и осуществляет проекты, направленные на улучшение положения женщин и девушек на рынке труда, программы для лиц, желающих вернуться к производственной деятел</w:t>
      </w:r>
      <w:r>
        <w:t>ь</w:t>
      </w:r>
      <w:r>
        <w:t>ности, программы повышения компьютерной грамотности и занимается подг</w:t>
      </w:r>
      <w:r>
        <w:t>о</w:t>
      </w:r>
      <w:r>
        <w:t>товкой программ обучения, конкретно отвечающих интересам мужчин и же</w:t>
      </w:r>
      <w:r>
        <w:t>н</w:t>
      </w:r>
      <w:r>
        <w:t>щин. В апреле 1999 года Венское агентство по вопросам предпринимательства (ВВФФ) создало службу ВВФФ по оказанию помощи женщинам, которая пр</w:t>
      </w:r>
      <w:r>
        <w:t>е</w:t>
      </w:r>
      <w:r>
        <w:t>доставляет консультационные услуги женщинам, желающим открыть собс</w:t>
      </w:r>
      <w:r>
        <w:t>т</w:t>
      </w:r>
      <w:r>
        <w:t>венное дело. В 2002 году женщины составляли 35 процентов от общего числа лиц, жела</w:t>
      </w:r>
      <w:r>
        <w:t>ю</w:t>
      </w:r>
      <w:r>
        <w:t>щих создать собственные предприятия (источник: WKÖ).</w:t>
      </w:r>
    </w:p>
    <w:p w:rsidR="00000000" w:rsidRDefault="00000000">
      <w:pPr>
        <w:pStyle w:val="SingleTxt"/>
      </w:pPr>
      <w:r>
        <w:tab/>
      </w:r>
      <w:r>
        <w:tab/>
        <w:t xml:space="preserve">Инициатива под лозунгом </w:t>
      </w:r>
      <w:r>
        <w:rPr>
          <w:b/>
        </w:rPr>
        <w:t>"Дела, а не слова"</w:t>
      </w:r>
      <w:r>
        <w:t xml:space="preserve"> представляет собой авс</w:t>
      </w:r>
      <w:r>
        <w:t>т</w:t>
      </w:r>
      <w:r>
        <w:t>рийскую инициативу, направленную на улучшение положения женщин в сфере трудовой деятельности с помощью принятия конкретных мер по обеспечению равенства. Одним из мероприятий, проводимых в рамках данной инициативы, является ежегодный конкурс по выбору предприятий, в максимальной мере учитывающих интересы женщин и семей. Первоначально эту идею планиров</w:t>
      </w:r>
      <w:r>
        <w:t>а</w:t>
      </w:r>
      <w:r>
        <w:t>лось реализовать только в провинции Штирия, однако очень скоро инициатива "Дела, а не слова" привлекла к себе повышенный интерес по всей территории Австрии, в результате чего региональные комитеты были созданы также в пр</w:t>
      </w:r>
      <w:r>
        <w:t>о</w:t>
      </w:r>
      <w:r>
        <w:t>винциях Вена, Нижняя Австрия, Бургенланд, Кари</w:t>
      </w:r>
      <w:r>
        <w:t>н</w:t>
      </w:r>
      <w:r>
        <w:t>тия и Форарльберг.</w:t>
      </w:r>
    </w:p>
    <w:p w:rsidR="00000000" w:rsidRDefault="00000000">
      <w:pPr>
        <w:pStyle w:val="SingleTxt"/>
      </w:pPr>
      <w:r>
        <w:tab/>
      </w:r>
      <w:r>
        <w:tab/>
        <w:t>Центр по оказанию женщинам содействия в создании собственных пре</w:t>
      </w:r>
      <w:r>
        <w:t>д</w:t>
      </w:r>
      <w:r>
        <w:t>приятий (</w:t>
      </w:r>
      <w:r>
        <w:rPr>
          <w:b/>
        </w:rPr>
        <w:t>Штирия</w:t>
      </w:r>
      <w:r>
        <w:t>): цель данной инициативы состояла в том, чтобы внести вклад в развитие новой культуры самозанятости и формирование предприн</w:t>
      </w:r>
      <w:r>
        <w:t>и</w:t>
      </w:r>
      <w:r>
        <w:t>мательских навыков, особенно среди женщин, с уделением особого внимания молодым женщинам-предпринимателям. В рамках этой инициативы коммерч</w:t>
      </w:r>
      <w:r>
        <w:t>е</w:t>
      </w:r>
      <w:r>
        <w:t>ским предприятиям и предприятиям бытового обслуживания населения оказ</w:t>
      </w:r>
      <w:r>
        <w:t>ы</w:t>
      </w:r>
      <w:r>
        <w:t>вается содействие в развитии потенциала, что позволит им более эффективно спра</w:t>
      </w:r>
      <w:r>
        <w:t>в</w:t>
      </w:r>
      <w:r>
        <w:t>ляться с конкуренцией на рынке.</w:t>
      </w:r>
    </w:p>
    <w:p w:rsidR="00000000" w:rsidRDefault="00000000">
      <w:pPr>
        <w:pStyle w:val="SingleTxt"/>
      </w:pPr>
      <w:r>
        <w:tab/>
      </w:r>
      <w:r>
        <w:tab/>
        <w:t>Более подробная информация приведена в разделах настоящего доклада, касающихся статей 10 и 11.</w:t>
      </w:r>
    </w:p>
    <w:p w:rsidR="00000000" w:rsidRDefault="00000000">
      <w:pPr>
        <w:pStyle w:val="50"/>
      </w:pPr>
    </w:p>
    <w:p w:rsidR="00000000" w:rsidRDefault="00000000">
      <w:pPr>
        <w:pStyle w:val="50"/>
      </w:pPr>
    </w:p>
    <w:p w:rsidR="00000000" w:rsidRDefault="00000000">
      <w:pPr>
        <w:pStyle w:val="H1"/>
      </w:pPr>
      <w:r>
        <w:tab/>
      </w:r>
      <w:bookmarkStart w:id="51" w:name="_Toc97786649"/>
      <w:r>
        <w:t>Рекомендация 235</w:t>
      </w:r>
      <w:bookmarkEnd w:id="51"/>
    </w:p>
    <w:p w:rsidR="00000000" w:rsidRDefault="00000000">
      <w:pPr>
        <w:pStyle w:val="SingleTxt"/>
      </w:pPr>
      <w:r>
        <w:tab/>
      </w:r>
      <w:r>
        <w:tab/>
        <w:t>В 2000-2002 годах на основе четвертой поправки к Закону о равном о</w:t>
      </w:r>
      <w:r>
        <w:t>б</w:t>
      </w:r>
      <w:r>
        <w:t>ращении (Бюллетень федеральных законов № 44/1998) при Управлении Омбу</w:t>
      </w:r>
      <w:r>
        <w:t>д</w:t>
      </w:r>
      <w:r>
        <w:t>смена по вопросам равного обращения были созданы региональные центры, что способствовало расширению возможностей Управления Омбудсмена по оказанию услуг. В 2000 году такой региональный центр был открыт в Штирии, в 2001 году – в Каринтии и в 2002 году – в Верхней Австрии. Все эти центры решают в</w:t>
      </w:r>
      <w:r>
        <w:t>о</w:t>
      </w:r>
      <w:r>
        <w:t>просы в их соответствующих провинциях.</w:t>
      </w:r>
    </w:p>
    <w:p w:rsidR="00000000" w:rsidRDefault="00000000">
      <w:pPr>
        <w:pStyle w:val="SingleTxt"/>
      </w:pPr>
      <w:r>
        <w:tab/>
      </w:r>
      <w:r>
        <w:tab/>
        <w:t>Таким образом, в настоящее время Управление Омбудсмена по вопросам равного обращения состоит из штаб-квартиры и четырех региональных це</w:t>
      </w:r>
      <w:r>
        <w:t>н</w:t>
      </w:r>
      <w:r>
        <w:t>тров, что обеспечивает Управлению возможность более эффективно оказывать консультационные услуги и поддержку лицам, которые, по их мнению, по</w:t>
      </w:r>
      <w:r>
        <w:t>д</w:t>
      </w:r>
      <w:r>
        <w:t>верглись дискриминации по Закону о равном обращении, на достаточном уд</w:t>
      </w:r>
      <w:r>
        <w:t>а</w:t>
      </w:r>
      <w:r>
        <w:t>лении от места их непосредственного проживания. Благодаря возможности оказания консультационных услуг и поддержки на достаточном удалении от места проживания лиц, пострадавших от дискриминации, число дел, рассмо</w:t>
      </w:r>
      <w:r>
        <w:t>т</w:t>
      </w:r>
      <w:r>
        <w:t>ренных Управлением Омбудсмена, резко возросло, а именно с 1 548 в 2001 году до 2 118 в 2002 году, о чем свидетельствуют соответствующие стат</w:t>
      </w:r>
      <w:r>
        <w:t>и</w:t>
      </w:r>
      <w:r>
        <w:t>стические данные.</w:t>
      </w:r>
    </w:p>
    <w:p w:rsidR="00000000" w:rsidRDefault="00000000">
      <w:pPr>
        <w:pStyle w:val="50"/>
      </w:pPr>
    </w:p>
    <w:p w:rsidR="00000000" w:rsidRDefault="00000000">
      <w:pPr>
        <w:pStyle w:val="50"/>
      </w:pPr>
    </w:p>
    <w:p w:rsidR="00000000" w:rsidRDefault="00000000">
      <w:pPr>
        <w:pStyle w:val="H23"/>
      </w:pPr>
      <w:r>
        <w:tab/>
      </w:r>
      <w:bookmarkStart w:id="52" w:name="_Toc97786650"/>
      <w:r>
        <w:t>Поправка к Закону о равном обращении 2001 года</w:t>
      </w:r>
      <w:bookmarkEnd w:id="52"/>
    </w:p>
    <w:p w:rsidR="00000000" w:rsidRDefault="00000000">
      <w:pPr>
        <w:pStyle w:val="SingleTxt"/>
      </w:pPr>
      <w:r>
        <w:tab/>
      </w:r>
      <w:r>
        <w:tab/>
        <w:t>До принятия поправки к Закону о равном обращении женщина, возгла</w:t>
      </w:r>
      <w:r>
        <w:t>в</w:t>
      </w:r>
      <w:r>
        <w:t>лявшая Комиссию по вопросам равного обращения, действовала в качестве п</w:t>
      </w:r>
      <w:r>
        <w:t>о</w:t>
      </w:r>
      <w:r>
        <w:t>четного председателя. В результате принятия данной поправки (Бюллетень ф</w:t>
      </w:r>
      <w:r>
        <w:t>е</w:t>
      </w:r>
      <w:r>
        <w:t>деральных законов № 129/2001) положения этого закона были видоизменены, и теперь предусматривают, что женщина, возглавляющая Комиссию, должна о</w:t>
      </w:r>
      <w:r>
        <w:t>с</w:t>
      </w:r>
      <w:r>
        <w:t>вобождаться от работы, с тем чтобы она могла выполнять возложенные на нее функции, с полным сохранением содержания в качестве гражданского служ</w:t>
      </w:r>
      <w:r>
        <w:t>а</w:t>
      </w:r>
      <w:r>
        <w:t>щего. Кроме того, в законе была провозглашена независимость и свобода во</w:t>
      </w:r>
      <w:r>
        <w:t>з</w:t>
      </w:r>
      <w:r>
        <w:t>главляющей Комиссию женщины от любых инструкции и введена должность заместителя председателя. Благодаря этому удалось повысить частоту провед</w:t>
      </w:r>
      <w:r>
        <w:t>е</w:t>
      </w:r>
      <w:r>
        <w:t>ния заседаний Комиссию по вопросам равного обращения и тем самым увел</w:t>
      </w:r>
      <w:r>
        <w:t>и</w:t>
      </w:r>
      <w:r>
        <w:t>чить число рассмотренных дел и ускорить процесс завершения их рассмотр</w:t>
      </w:r>
      <w:r>
        <w:t>е</w:t>
      </w:r>
      <w:r>
        <w:t>ния.</w:t>
      </w:r>
    </w:p>
    <w:p w:rsidR="00000000" w:rsidRDefault="00000000">
      <w:pPr>
        <w:pStyle w:val="50"/>
      </w:pPr>
    </w:p>
    <w:p w:rsidR="00000000" w:rsidRDefault="00000000">
      <w:pPr>
        <w:pStyle w:val="50"/>
      </w:pPr>
    </w:p>
    <w:p w:rsidR="00000000" w:rsidRDefault="00000000">
      <w:pPr>
        <w:pStyle w:val="H23"/>
      </w:pPr>
      <w:r>
        <w:tab/>
      </w:r>
      <w:bookmarkStart w:id="53" w:name="_Toc97786651"/>
      <w:r>
        <w:t>Пересмотр Закона о равном обращении или основные поправки к Закону о равном обращ</w:t>
      </w:r>
      <w:r>
        <w:t>е</w:t>
      </w:r>
      <w:r>
        <w:t>нии</w:t>
      </w:r>
      <w:bookmarkEnd w:id="53"/>
    </w:p>
    <w:p w:rsidR="00000000" w:rsidRDefault="00000000">
      <w:pPr>
        <w:pStyle w:val="SingleTxt"/>
      </w:pPr>
      <w:r>
        <w:tab/>
      </w:r>
      <w:r>
        <w:tab/>
        <w:t>За отчетный период большой объем подготовительной работы был прод</w:t>
      </w:r>
      <w:r>
        <w:t>е</w:t>
      </w:r>
      <w:r>
        <w:t>лан над важной поправкой к Закону о равном обращении. В настоящее время планируется реализовать Директиву Европейского парламента и Совета № 2002/73/EC о внесении поправок в Директиву об осуществлении принципа равного обращения с мужчинами и женщинами с точки зрения доступа к зан</w:t>
      </w:r>
      <w:r>
        <w:t>я</w:t>
      </w:r>
      <w:r>
        <w:t>тости, профессиональной подготовке и продвижению по службе, а также усл</w:t>
      </w:r>
      <w:r>
        <w:t>о</w:t>
      </w:r>
      <w:r>
        <w:t>вий труда (Директива о равном обращении), которая должна быть реализована к октябрю 2005 года, а также обе Директивы о борьбе с дискриминацией, пр</w:t>
      </w:r>
      <w:r>
        <w:t>и</w:t>
      </w:r>
      <w:r>
        <w:t>нятые в соответствии со статьей 13 Договора ЕС, а именно Директиву Совета № 2000/43/EC об осуществлении принципа равного обращения с гражданами независимо от их расового или этнического происхождения (Директива о бор</w:t>
      </w:r>
      <w:r>
        <w:t>ь</w:t>
      </w:r>
      <w:r>
        <w:t>бе с расизмом) и Директиву Совета № 2000/78/EC о создании общей основы для равного обращения в сфере труда и занятости, которая предусматривает запрет дискриминации по причине религиозных или идеологических убежд</w:t>
      </w:r>
      <w:r>
        <w:t>е</w:t>
      </w:r>
      <w:r>
        <w:t>ний, инвалидности, возраста или сексуальной ориентации (Рамочная директива о равном обращении).</w:t>
      </w:r>
    </w:p>
    <w:p w:rsidR="00000000" w:rsidRDefault="00000000">
      <w:pPr>
        <w:pStyle w:val="SingleTxt"/>
      </w:pPr>
      <w:r>
        <w:tab/>
      </w:r>
      <w:r>
        <w:tab/>
        <w:t>В целях обеспечения того, чтобы эти юридические положения были п</w:t>
      </w:r>
      <w:r>
        <w:t>о</w:t>
      </w:r>
      <w:r>
        <w:t>нятными и доступными для населения, планируется принять два закона – пр</w:t>
      </w:r>
      <w:r>
        <w:t>и</w:t>
      </w:r>
      <w:r>
        <w:t>меняемый в настоящее время Закон о равном обращении будет переименован в Федеральный закон, регулирующий порядок работы Комиссии по вопросам равного обращения и Управления Омбудсмена по вопросам равного обращения (GBK/GAW-Gesetz), с поправками, обеспечивающими соблюдение требований, содержащихся в директивах ЕС, и будет включать в себя некоторые положения, касающиеся учреждений и процедур. Кроме того, будет принят Федеральный закон о равном обращении (GIBG), который по существу заменит положения применяющегося в настоящее время Закона о равном обращении, которые б</w:t>
      </w:r>
      <w:r>
        <w:t>у</w:t>
      </w:r>
      <w:r>
        <w:t>дут расширены для обеспечения выполнения соответствующих д</w:t>
      </w:r>
      <w:r>
        <w:t>и</w:t>
      </w:r>
      <w:r>
        <w:t>ректив.</w:t>
      </w:r>
    </w:p>
    <w:p w:rsidR="00000000" w:rsidRDefault="00000000">
      <w:pPr>
        <w:pStyle w:val="SingleTxt"/>
      </w:pPr>
      <w:r>
        <w:tab/>
      </w:r>
      <w:r>
        <w:tab/>
        <w:t>Существуют планы относительно реорганизации Комиссии по вопросам равного обращения. В будущем она будет состоять из трех палат, первая из к</w:t>
      </w:r>
      <w:r>
        <w:t>о</w:t>
      </w:r>
      <w:r>
        <w:t>торых будет отвечать за обеспечение равного обращения с женщинами и му</w:t>
      </w:r>
      <w:r>
        <w:t>ж</w:t>
      </w:r>
      <w:r>
        <w:t>чинами на производстве, вторая – следить за обеспечением равного обращения на рынке труда независимо от расы, этнического происхождения, религиозных и идеологических убеждений, возраста или сексуальной ориентации, а третья – заниматься обеспечением равного обращения независимо от расы и этническ</w:t>
      </w:r>
      <w:r>
        <w:t>о</w:t>
      </w:r>
      <w:r>
        <w:t>го происхождения в других областях. В результате осуществления данного проекта полномочия Комиссии по вопросам равного обращения, которая ранее занималась исключительно обеспечением равного отношения к мужчинам и женщинам в трудовой сфере, будут расширены и распространяться на многие другие о</w:t>
      </w:r>
      <w:r>
        <w:t>б</w:t>
      </w:r>
      <w:r>
        <w:t>ласти.</w:t>
      </w:r>
    </w:p>
    <w:p w:rsidR="00000000" w:rsidRDefault="00000000">
      <w:pPr>
        <w:pStyle w:val="SingleTxt"/>
      </w:pPr>
      <w:r>
        <w:tab/>
      </w:r>
      <w:r>
        <w:tab/>
        <w:t>В частности, предусматривается ввести юридическое определение ди</w:t>
      </w:r>
      <w:r>
        <w:t>с</w:t>
      </w:r>
      <w:r>
        <w:t>криминации в случае сексуальных домогательств (нападок) и смягчить бремя доказывания (требования, касающиеся бремени доказывания) в судебных сл</w:t>
      </w:r>
      <w:r>
        <w:t>у</w:t>
      </w:r>
      <w:r>
        <w:t>шаниях по вопросам дискриминации, а также ввести запрет на дискримин</w:t>
      </w:r>
      <w:r>
        <w:t>а</w:t>
      </w:r>
      <w:r>
        <w:t>цию, т.е. "ущемление интересов" (по фактам жалоб потерпевших) в качестве меры по обеспечению более эффективной защиты граждан от дискриминации. Кроме того, сфера применения данного закона будет расширена и будет ра</w:t>
      </w:r>
      <w:r>
        <w:t>с</w:t>
      </w:r>
      <w:r>
        <w:t>пространяться на лиц, работающих на условиях полунайма, будет дано опред</w:t>
      </w:r>
      <w:r>
        <w:t>е</w:t>
      </w:r>
      <w:r>
        <w:t>ление термину "косвенная дискриминация", будут введены санкции в отнош</w:t>
      </w:r>
      <w:r>
        <w:t>е</w:t>
      </w:r>
      <w:r>
        <w:t>нии работодателей, нарушающих положение о нейтральной с гендерной точки зрения рекламе, и будут пересмотрены суммы штрафов, взимаемых в случае нарушений принципа равного обращения. Данный законопроект был принят австри</w:t>
      </w:r>
      <w:r>
        <w:t>й</w:t>
      </w:r>
      <w:r>
        <w:t>ским парламентом и действует с 1 июля 2004 года.</w:t>
      </w:r>
    </w:p>
    <w:p w:rsidR="00000000" w:rsidRDefault="00000000">
      <w:pPr>
        <w:pStyle w:val="SingleTxt"/>
      </w:pPr>
      <w:r>
        <w:tab/>
      </w:r>
      <w:r>
        <w:tab/>
        <w:t>Поправка к Закону о равном обращении на федеральной службе, которая также вступила в силу с 1 июля 2004 года, обеспечивает реализацию вышеук</w:t>
      </w:r>
      <w:r>
        <w:t>а</w:t>
      </w:r>
      <w:r>
        <w:t>занных директив ЕС и способствует более эффективному соблюдению закона. Она включает в себя следующие элементы:</w:t>
      </w:r>
    </w:p>
    <w:p w:rsidR="00000000" w:rsidRDefault="00000000">
      <w:pPr>
        <w:pStyle w:val="dot"/>
      </w:pPr>
      <w:r>
        <w:t>1.</w:t>
      </w:r>
      <w:r>
        <w:tab/>
        <w:t>Расширение юридического понятия дискриминации в Законе о ра</w:t>
      </w:r>
      <w:r>
        <w:t>в</w:t>
      </w:r>
      <w:r>
        <w:t>ном обращении на федеральной службе в целях осуществления Д</w:t>
      </w:r>
      <w:r>
        <w:t>и</w:t>
      </w:r>
      <w:r>
        <w:t>рективы о равном обращении ЕС с внесенными в нее поправками, а также директив по борьбе с дискриминацией, принятых в соответс</w:t>
      </w:r>
      <w:r>
        <w:t>т</w:t>
      </w:r>
      <w:r>
        <w:t>вии со статьей 13 Договора ЕС, за исключением юридического эл</w:t>
      </w:r>
      <w:r>
        <w:t>е</w:t>
      </w:r>
      <w:r>
        <w:t>мента дискриминации по пр</w:t>
      </w:r>
      <w:r>
        <w:t>и</w:t>
      </w:r>
      <w:r>
        <w:t>чине инвалидности.</w:t>
      </w:r>
    </w:p>
    <w:p w:rsidR="00000000" w:rsidRDefault="00000000">
      <w:pPr>
        <w:pStyle w:val="dot"/>
      </w:pPr>
      <w:r>
        <w:t>2.</w:t>
      </w:r>
      <w:r>
        <w:tab/>
        <w:t>Расширение сферы применения данного закона, который впредь б</w:t>
      </w:r>
      <w:r>
        <w:t>у</w:t>
      </w:r>
      <w:r>
        <w:t>дет распространяться на лиц, работающих по контрактам, заключе</w:t>
      </w:r>
      <w:r>
        <w:t>н</w:t>
      </w:r>
      <w:r>
        <w:t>ным с австрийским государством на услов</w:t>
      </w:r>
      <w:r>
        <w:t>и</w:t>
      </w:r>
      <w:r>
        <w:t>ях полунайма.</w:t>
      </w:r>
    </w:p>
    <w:p w:rsidR="00000000" w:rsidRDefault="00000000">
      <w:pPr>
        <w:pStyle w:val="dot"/>
      </w:pPr>
      <w:r>
        <w:t>3.</w:t>
      </w:r>
      <w:r>
        <w:tab/>
        <w:t>Принятие четкого определения терминов "прямая" и "косвенная" дискримин</w:t>
      </w:r>
      <w:r>
        <w:t>а</w:t>
      </w:r>
      <w:r>
        <w:t>ция.</w:t>
      </w:r>
    </w:p>
    <w:p w:rsidR="00000000" w:rsidRDefault="00000000">
      <w:pPr>
        <w:pStyle w:val="dot"/>
      </w:pPr>
      <w:r>
        <w:t>4.</w:t>
      </w:r>
      <w:r>
        <w:tab/>
        <w:t>Введение юридического элемента сексуальных домогательств, а также домогательств по причине любого из элементов дискримин</w:t>
      </w:r>
      <w:r>
        <w:t>а</w:t>
      </w:r>
      <w:r>
        <w:t>ции, перечисленных в двух директивах по борьбе с дискриминацией, и смягчение бремени доказывания в случае с любыми из перечи</w:t>
      </w:r>
      <w:r>
        <w:t>с</w:t>
      </w:r>
      <w:r>
        <w:t>ленных форм дискрим</w:t>
      </w:r>
      <w:r>
        <w:t>и</w:t>
      </w:r>
      <w:r>
        <w:t>нации.</w:t>
      </w:r>
    </w:p>
    <w:p w:rsidR="00000000" w:rsidRDefault="00000000">
      <w:pPr>
        <w:pStyle w:val="dot"/>
      </w:pPr>
      <w:r>
        <w:t>5.</w:t>
      </w:r>
      <w:r>
        <w:tab/>
        <w:t>Определение задачи обеспечения подлинного равенства между же</w:t>
      </w:r>
      <w:r>
        <w:t>н</w:t>
      </w:r>
      <w:r>
        <w:t>щинами и мужч</w:t>
      </w:r>
      <w:r>
        <w:t>и</w:t>
      </w:r>
      <w:r>
        <w:t>нами.</w:t>
      </w:r>
    </w:p>
    <w:p w:rsidR="00000000" w:rsidRDefault="00000000">
      <w:pPr>
        <w:pStyle w:val="dot"/>
      </w:pPr>
      <w:r>
        <w:t>6.</w:t>
      </w:r>
      <w:r>
        <w:tab/>
        <w:t>Принятие мер по обеспечению соблюдения закона, включающих в себя порядок выплаты компенсации, предусмотренных в Директиве о равном обращении ЕС с внесенными в нее поправками и двух д</w:t>
      </w:r>
      <w:r>
        <w:t>и</w:t>
      </w:r>
      <w:r>
        <w:t>ре</w:t>
      </w:r>
      <w:r>
        <w:t>к</w:t>
      </w:r>
      <w:r>
        <w:t>тивах по борьбе с дискриминацией.</w:t>
      </w:r>
    </w:p>
    <w:p w:rsidR="00000000" w:rsidRDefault="00000000">
      <w:pPr>
        <w:pStyle w:val="dot"/>
      </w:pPr>
      <w:r>
        <w:t>7.</w:t>
      </w:r>
      <w:r>
        <w:tab/>
        <w:t>Уменьшение бремени доказывания в делах, связанных с обвинени</w:t>
      </w:r>
      <w:r>
        <w:t>я</w:t>
      </w:r>
      <w:r>
        <w:t>ми в дискримин</w:t>
      </w:r>
      <w:r>
        <w:t>а</w:t>
      </w:r>
      <w:r>
        <w:t>ции.</w:t>
      </w:r>
    </w:p>
    <w:p w:rsidR="00000000" w:rsidRDefault="00000000">
      <w:pPr>
        <w:pStyle w:val="dot"/>
      </w:pPr>
      <w:r>
        <w:t>8.</w:t>
      </w:r>
      <w:r>
        <w:tab/>
        <w:t>Введение положений, запрещающих любые противоправные меры, направленные на ущемление интересов жертв дискриминации в к</w:t>
      </w:r>
      <w:r>
        <w:t>а</w:t>
      </w:r>
      <w:r>
        <w:t>честве реакции на подачу ими жалобы с просьбой обеспечить защ</w:t>
      </w:r>
      <w:r>
        <w:t>и</w:t>
      </w:r>
      <w:r>
        <w:t>ту от дискриминации (а также свидетелей), в осуществление Дире</w:t>
      </w:r>
      <w:r>
        <w:t>к</w:t>
      </w:r>
      <w:r>
        <w:t>тивы о равном обращении ЕС с внесенными в нее поправками и двух директив по борьбе с дискримин</w:t>
      </w:r>
      <w:r>
        <w:t>а</w:t>
      </w:r>
      <w:r>
        <w:t>цией</w:t>
      </w:r>
    </w:p>
    <w:p w:rsidR="00000000" w:rsidRDefault="00000000">
      <w:pPr>
        <w:pStyle w:val="50"/>
      </w:pPr>
    </w:p>
    <w:p w:rsidR="00000000" w:rsidRDefault="00000000">
      <w:pPr>
        <w:pStyle w:val="50"/>
      </w:pPr>
    </w:p>
    <w:p w:rsidR="00000000" w:rsidRDefault="00000000">
      <w:pPr>
        <w:pStyle w:val="H1"/>
      </w:pPr>
      <w:r>
        <w:tab/>
      </w:r>
      <w:bookmarkStart w:id="54" w:name="_Toc97786652"/>
      <w:r>
        <w:t>Рекомендация 236</w:t>
      </w:r>
      <w:bookmarkEnd w:id="54"/>
    </w:p>
    <w:p w:rsidR="00000000" w:rsidRDefault="00000000">
      <w:pPr>
        <w:pStyle w:val="SingleTxt"/>
      </w:pPr>
      <w:r>
        <w:tab/>
      </w:r>
      <w:r>
        <w:tab/>
        <w:t xml:space="preserve">За отчетный период </w:t>
      </w:r>
      <w:r>
        <w:rPr>
          <w:b/>
        </w:rPr>
        <w:t>порядок начисления пенсионных пособий</w:t>
      </w:r>
      <w:r>
        <w:t xml:space="preserve"> менялся несколько раз, как это описывается ниже.</w:t>
      </w:r>
    </w:p>
    <w:p w:rsidR="00000000" w:rsidRDefault="00000000">
      <w:pPr>
        <w:pStyle w:val="SingleTxt"/>
      </w:pPr>
      <w:r>
        <w:tab/>
      </w:r>
      <w:r>
        <w:tab/>
        <w:t>В 2000 году были внесены изменения в положения, касающиеся периодов ухода за детьми. Начиная с 2000 года база начисления пенсий за каждый месяц ухода за детьми была увеличена на сумму, соответствующую размеру офиц</w:t>
      </w:r>
      <w:r>
        <w:t>и</w:t>
      </w:r>
      <w:r>
        <w:t>ального минимального пенсионного пособия. Периоды ухода за детьми вплоть до достижения ими четырехлетнего возраста засчитываются в общий стаж при исчислении размера пенсионного пособия.</w:t>
      </w:r>
    </w:p>
    <w:p w:rsidR="00000000" w:rsidRDefault="00000000">
      <w:pPr>
        <w:pStyle w:val="SingleTxt"/>
      </w:pPr>
      <w:r>
        <w:tab/>
      </w:r>
      <w:r>
        <w:tab/>
        <w:t>В 2001 и 2002 годах были расширены возможности получения непреры</w:t>
      </w:r>
      <w:r>
        <w:t>в</w:t>
      </w:r>
      <w:r>
        <w:t>ного социального страхования на благоприятных условиях. Право на облегче</w:t>
      </w:r>
      <w:r>
        <w:t>н</w:t>
      </w:r>
      <w:r>
        <w:t>ный порядок получения непрерывного социального страхования было предо</w:t>
      </w:r>
      <w:r>
        <w:t>с</w:t>
      </w:r>
      <w:r>
        <w:t>тавлено лицам, которые из-за необходимости ухода за родственниками оказ</w:t>
      </w:r>
      <w:r>
        <w:t>а</w:t>
      </w:r>
      <w:r>
        <w:t>лись за пределами системы обязательного социального страхования: если это произошло из-за необходимости обеспечения ухода за близким родственником, имеющим право на получение пособия по уходу по меньшей мере третьего уровня по Федеральному закону о пособиях по уходу или региональным зак</w:t>
      </w:r>
      <w:r>
        <w:t>о</w:t>
      </w:r>
      <w:r>
        <w:t>нам о пособиях по уходу и если лица посвящают все свои силы и энергию ух</w:t>
      </w:r>
      <w:r>
        <w:t>о</w:t>
      </w:r>
      <w:r>
        <w:t>ду за близким родственником на дому, то ориентировочный взнос работодателя в такую программу страхования теперь вносит государство. Соответственно, лицо, осуществляющее уход, должно платить не полную сумму в размере 22,8 процента, а лишь 10,25 процента от базовой ставки в качестве взноса в фонд социального страхования. От этого нового положения преимущественно выигрывают женщины, поскольку они составляют львиную долю лиц, осущ</w:t>
      </w:r>
      <w:r>
        <w:t>е</w:t>
      </w:r>
      <w:r>
        <w:t>ствляющих работу по уходу в семье, и порой даже готовы (или оказываются вынужденными) уйти со своей работы для того, чтобы иметь возможность обеспечивать т</w:t>
      </w:r>
      <w:r>
        <w:t>а</w:t>
      </w:r>
      <w:r>
        <w:t>кой уход.</w:t>
      </w:r>
    </w:p>
    <w:p w:rsidR="00000000" w:rsidRDefault="00000000">
      <w:pPr>
        <w:pStyle w:val="SingleTxt"/>
      </w:pPr>
      <w:r>
        <w:tab/>
      </w:r>
      <w:r>
        <w:tab/>
        <w:t>С введением пособия по уходу за детьми в закон был включен принцип, предусматривающий, что по каждому ребенку 18-месячный период, в течение которого мать получает пособие по уходу за ребенком, засчитывается в труд</w:t>
      </w:r>
      <w:r>
        <w:t>о</w:t>
      </w:r>
      <w:r>
        <w:t>вой стаж матери для расчета величины ее пенсионного пособия (см. раздел н</w:t>
      </w:r>
      <w:r>
        <w:t>а</w:t>
      </w:r>
      <w:r>
        <w:t>стоящего доклада, касающийся пункта а) статьи 13).</w:t>
      </w:r>
    </w:p>
    <w:p w:rsidR="00000000" w:rsidRDefault="00000000">
      <w:pPr>
        <w:pStyle w:val="SingleTxt"/>
      </w:pPr>
      <w:r>
        <w:tab/>
      </w:r>
      <w:r>
        <w:tab/>
        <w:t>В 2003 году раздел 73 Закона о выполнении бюджета 2003 года (Бюлл</w:t>
      </w:r>
      <w:r>
        <w:t>е</w:t>
      </w:r>
      <w:r>
        <w:t>тень федеральных зак</w:t>
      </w:r>
      <w:r>
        <w:t>о</w:t>
      </w:r>
      <w:r>
        <w:t>нов, № 71/2003) обеспечил:</w:t>
      </w:r>
    </w:p>
    <w:p w:rsidR="00000000" w:rsidRDefault="00000000">
      <w:pPr>
        <w:pStyle w:val="dot"/>
      </w:pPr>
      <w:r>
        <w:sym w:font="Symbol" w:char="F0B7"/>
      </w:r>
      <w:r>
        <w:tab/>
        <w:t>Улучшение порядка зачета периодов ухода за детьми в общий труд</w:t>
      </w:r>
      <w:r>
        <w:t>о</w:t>
      </w:r>
      <w:r>
        <w:t xml:space="preserve">вой стаж: </w:t>
      </w:r>
    </w:p>
    <w:p w:rsidR="00000000" w:rsidRDefault="00000000">
      <w:pPr>
        <w:pStyle w:val="dot"/>
      </w:pPr>
      <w:r>
        <w:tab/>
      </w:r>
      <w:r>
        <w:tab/>
        <w:t>С 1 января 2004 года первые 24 месяца после рождения ребенка (на шесть месяцев больше по сравнению с действовавшим ранее закон</w:t>
      </w:r>
      <w:r>
        <w:t>о</w:t>
      </w:r>
      <w:r>
        <w:t>дательством) засчитывается при исчислении трудового стажа, если в течение этого периода времени мать получала пособия по уходу за детьми (подпункт а пункта 4 раздела 236 Закона о всеобщем соц</w:t>
      </w:r>
      <w:r>
        <w:t>и</w:t>
      </w:r>
      <w:r>
        <w:t>альном страх</w:t>
      </w:r>
      <w:r>
        <w:t>о</w:t>
      </w:r>
      <w:r>
        <w:t>вании).</w:t>
      </w:r>
    </w:p>
    <w:p w:rsidR="00000000" w:rsidRDefault="00000000">
      <w:pPr>
        <w:pStyle w:val="dot"/>
      </w:pPr>
      <w:r>
        <w:sym w:font="Symbol" w:char="F0B7"/>
      </w:r>
      <w:r>
        <w:tab/>
        <w:t>Увеличение базы начисления пенсий за периоды ухода за детьми:</w:t>
      </w:r>
    </w:p>
    <w:p w:rsidR="00000000" w:rsidRDefault="00000000">
      <w:pPr>
        <w:pStyle w:val="dot"/>
      </w:pPr>
      <w:r>
        <w:tab/>
      </w:r>
      <w:r>
        <w:tab/>
        <w:t>База начисления пенсий за периоды ухода за детьми постепенно ув</w:t>
      </w:r>
      <w:r>
        <w:t>е</w:t>
      </w:r>
      <w:r>
        <w:t>личивается на 2 процента каждый календарный год, с тем чтобы с 2028 года она составляла 150 процентов от стандартной ставки ко</w:t>
      </w:r>
      <w:r>
        <w:t>м</w:t>
      </w:r>
      <w:r>
        <w:t>пенсационной надбавки одиноким гражданам (пункт 1 раздела 239 и пункт 6 раздела 607 Закона о всеобщем социальном страховании).</w:t>
      </w:r>
    </w:p>
    <w:p w:rsidR="00000000" w:rsidRDefault="00000000">
      <w:pPr>
        <w:pStyle w:val="SingleTxt"/>
      </w:pPr>
      <w:r>
        <w:tab/>
      </w:r>
      <w:r>
        <w:tab/>
        <w:t>См. также раздел настоящего доклада, касающийся подпункта е) пункта 1 статьи 11.</w:t>
      </w:r>
    </w:p>
    <w:p w:rsidR="00000000" w:rsidRDefault="00000000">
      <w:pPr>
        <w:pStyle w:val="50"/>
      </w:pPr>
    </w:p>
    <w:p w:rsidR="00000000" w:rsidRDefault="00000000">
      <w:pPr>
        <w:pStyle w:val="50"/>
      </w:pPr>
    </w:p>
    <w:p w:rsidR="00000000" w:rsidRDefault="00000000">
      <w:pPr>
        <w:pStyle w:val="H1"/>
      </w:pPr>
      <w:r>
        <w:tab/>
      </w:r>
      <w:bookmarkStart w:id="55" w:name="_Toc97786653"/>
      <w:r>
        <w:t>Рекомендация 237</w:t>
      </w:r>
      <w:bookmarkEnd w:id="55"/>
    </w:p>
    <w:p w:rsidR="00000000" w:rsidRDefault="00000000">
      <w:pPr>
        <w:pStyle w:val="SingleTxt"/>
      </w:pPr>
      <w:r>
        <w:tab/>
      </w:r>
      <w:r>
        <w:tab/>
        <w:t>Центры по охране здоровья женщин стараются уменьшить социальное неравенство в области охраны здоровья женщин и с этой целью получают д</w:t>
      </w:r>
      <w:r>
        <w:t>о</w:t>
      </w:r>
      <w:r>
        <w:t>тации от Федерального министерства здравоохранения и по делам женщин в пределах имеющихся в его распоряжении средств. Помимо четырех имевшихся центров в 1999 году было открыто еще два центра по охране здоровья женщин (центр по охране здоровья женщин в Каринтии и FE</w:t>
      </w:r>
      <w:r>
        <w:rPr>
          <w:lang w:val="en-US"/>
        </w:rPr>
        <w:t>M</w:t>
      </w:r>
      <w:r>
        <w:t xml:space="preserve"> Süd в Вене).</w:t>
      </w:r>
    </w:p>
    <w:p w:rsidR="00000000" w:rsidRDefault="00000000">
      <w:pPr>
        <w:pStyle w:val="SingleTxt"/>
      </w:pPr>
      <w:r>
        <w:tab/>
      </w:r>
      <w:r>
        <w:tab/>
        <w:t>В апреле 2001 года был создано самостоятельное федеральное организ</w:t>
      </w:r>
      <w:r>
        <w:t>а</w:t>
      </w:r>
      <w:r>
        <w:t>ционное подразделение по вопросам охраны здоровья женщин, перед которым была поставлена задача обеспечить учет гендерного фактора в секторе здрав</w:t>
      </w:r>
      <w:r>
        <w:t>о</w:t>
      </w:r>
      <w:r>
        <w:t>охранения. В соответствии с рекомендацией ВОЗ, касающейся представления национальных докладов по вопросам охраны здоровья женщин, австрийский доклад о состоянии здоровья женщин был обновлен с использованием руков</w:t>
      </w:r>
      <w:r>
        <w:t>о</w:t>
      </w:r>
      <w:r>
        <w:t>дящих при</w:t>
      </w:r>
      <w:r>
        <w:t>н</w:t>
      </w:r>
      <w:r>
        <w:t>ципов ВОЗ.</w:t>
      </w:r>
    </w:p>
    <w:p w:rsidR="00000000" w:rsidRDefault="00000000">
      <w:pPr>
        <w:pStyle w:val="SingleTxt"/>
      </w:pPr>
      <w:r>
        <w:tab/>
      </w:r>
      <w:r>
        <w:tab/>
        <w:t>Кроме того, была подготовлена информационная брошюра, посвященная связанным с питанием проблемам у дев</w:t>
      </w:r>
      <w:r>
        <w:t>у</w:t>
      </w:r>
      <w:r>
        <w:t>шек и женщин.</w:t>
      </w:r>
    </w:p>
    <w:p w:rsidR="00000000" w:rsidRDefault="00000000">
      <w:pPr>
        <w:pStyle w:val="SingleTxt"/>
      </w:pPr>
      <w:r>
        <w:tab/>
      </w:r>
      <w:r>
        <w:tab/>
        <w:t>В исследованиях под названием "Австрийские женщины, живущие в у</w:t>
      </w:r>
      <w:r>
        <w:t>с</w:t>
      </w:r>
      <w:r>
        <w:t>ловиях нищеты. Женщины и здравоохранение" (2002 год) и "Охрана здоровья и риск заболеваемости" (2003 год) анализируются социально-экономические факторы, оказывающие влияние на состояние здоровья женщин. Исследования, посвященные вопросам охраны здоровья женщин, затрагивали вопросы нас</w:t>
      </w:r>
      <w:r>
        <w:t>и</w:t>
      </w:r>
      <w:r>
        <w:t>лия в отношении женщин и состояния здоровья женщин и были сосредоточены на выработке новых подходов к принятию мер по улучшению состояния их здор</w:t>
      </w:r>
      <w:r>
        <w:t>о</w:t>
      </w:r>
      <w:r>
        <w:t>вья.</w:t>
      </w:r>
    </w:p>
    <w:p w:rsidR="00000000" w:rsidRDefault="00000000">
      <w:pPr>
        <w:pStyle w:val="SingleTxt"/>
      </w:pPr>
      <w:r>
        <w:tab/>
      </w:r>
      <w:r>
        <w:tab/>
        <w:t>Что касается данных, поступающих из больниц, то все сведения о пац</w:t>
      </w:r>
      <w:r>
        <w:t>и</w:t>
      </w:r>
      <w:r>
        <w:t>ентах, а также данные о немедицинском персонале больниц собираются и ра</w:t>
      </w:r>
      <w:r>
        <w:t>з</w:t>
      </w:r>
      <w:r>
        <w:t>биваются по полу.</w:t>
      </w:r>
    </w:p>
    <w:p w:rsidR="00000000" w:rsidRDefault="00000000">
      <w:pPr>
        <w:pStyle w:val="50"/>
      </w:pPr>
    </w:p>
    <w:p w:rsidR="00000000" w:rsidRDefault="00000000">
      <w:pPr>
        <w:pStyle w:val="50"/>
      </w:pPr>
    </w:p>
    <w:p w:rsidR="00000000" w:rsidRDefault="00000000">
      <w:pPr>
        <w:pStyle w:val="H1"/>
      </w:pPr>
      <w:r>
        <w:tab/>
      </w:r>
      <w:bookmarkStart w:id="56" w:name="_Toc97786654"/>
      <w:r>
        <w:t>Рекомендация 238</w:t>
      </w:r>
      <w:bookmarkEnd w:id="56"/>
    </w:p>
    <w:p w:rsidR="00000000" w:rsidRDefault="00000000">
      <w:pPr>
        <w:pStyle w:val="SingleTxt"/>
      </w:pPr>
      <w:r>
        <w:tab/>
      </w:r>
      <w:r>
        <w:tab/>
        <w:t>Как отмечается в замечаниях по статье 7, доля женщин в составе полит</w:t>
      </w:r>
      <w:r>
        <w:t>и</w:t>
      </w:r>
      <w:r>
        <w:t>ческих органов увеличилась. За отчетный период ни в один из действующих законов в этой области поправки не вносились, и ни одного нового закона в этой связи принято не было.</w:t>
      </w:r>
    </w:p>
    <w:p w:rsidR="00000000" w:rsidRDefault="00000000">
      <w:pPr>
        <w:pStyle w:val="50"/>
      </w:pPr>
    </w:p>
    <w:p w:rsidR="00000000" w:rsidRDefault="00000000">
      <w:pPr>
        <w:pStyle w:val="50"/>
      </w:pPr>
    </w:p>
    <w:p w:rsidR="00000000" w:rsidRDefault="00000000">
      <w:pPr>
        <w:pStyle w:val="H1"/>
      </w:pPr>
      <w:r>
        <w:tab/>
      </w:r>
      <w:bookmarkStart w:id="57" w:name="_Toc97786655"/>
      <w:r>
        <w:t>Рекомендация 239</w:t>
      </w:r>
      <w:bookmarkEnd w:id="57"/>
    </w:p>
    <w:p w:rsidR="00000000" w:rsidRDefault="00000000">
      <w:pPr>
        <w:pStyle w:val="SingleTxt"/>
      </w:pPr>
      <w:r>
        <w:tab/>
      </w:r>
      <w:r>
        <w:tab/>
        <w:t>В результате многочисленных контактов между руководством Управления Омбудсмена по вопросам равного обращения и женщиной-председателем К</w:t>
      </w:r>
      <w:r>
        <w:t>о</w:t>
      </w:r>
      <w:r>
        <w:t>миссии по вопросам равного обращения Федерального министерства юстиции в настоящее время в стране действует система электронной регистрации всех слушаний дел, связанных с Законом о равном обращении и рассматриваемых в австрийских судах по трудовым спорам и спорам, касающимся системы соц</w:t>
      </w:r>
      <w:r>
        <w:t>и</w:t>
      </w:r>
      <w:r>
        <w:t>ального обеспечения. Первая статистическая оценка данных, зафиксированных с 1 сентября 2003 года по 31 января 2004 года, помогла выявить три не до ко</w:t>
      </w:r>
      <w:r>
        <w:t>н</w:t>
      </w:r>
      <w:r>
        <w:t>ца рассмотренных в судах дела, касающихся вопросов равного обращения. В свете решения об увеличении объема документации по вопросам отправления правосудия, принятого в соответствии с постановлением Федерального мин</w:t>
      </w:r>
      <w:r>
        <w:t>и</w:t>
      </w:r>
      <w:r>
        <w:t>стерства юстиции 18 декабря 2002 года (JMZ 6171/166-PR.5/2002), все не по</w:t>
      </w:r>
      <w:r>
        <w:t>д</w:t>
      </w:r>
      <w:r>
        <w:t>лежащие обжалованию решения судов по делам, связанным с нарушениями З</w:t>
      </w:r>
      <w:r>
        <w:t>а</w:t>
      </w:r>
      <w:r>
        <w:t>кона о равном обращении на федеральной службе и Закона о равном обращ</w:t>
      </w:r>
      <w:r>
        <w:t>е</w:t>
      </w:r>
      <w:r>
        <w:t xml:space="preserve">нии, должны документироваться и регистрироваться под рубрикой "РАВНОЕ ОБРАЩЕНИЕ". Эти документы можно бесплатно получить в сети Интернет (по адресу RIS = Rechtsinformation des Bundes, </w:t>
      </w:r>
      <w:hyperlink r:id="rId20" w:history="1">
        <w:r>
          <w:rPr>
            <w:rStyle w:val="Hyperlink"/>
            <w:spacing w:val="-3"/>
          </w:rPr>
          <w:t>http://ris.bka.intra.gv.at</w:t>
        </w:r>
      </w:hyperlink>
      <w:r>
        <w:t>). Благодаря созданию технических предпосылок теперь появилась возможность при о</w:t>
      </w:r>
      <w:r>
        <w:t>т</w:t>
      </w:r>
      <w:r>
        <w:t>правлении правосудия регистрировать все дела и выявлять судебные разбир</w:t>
      </w:r>
      <w:r>
        <w:t>а</w:t>
      </w:r>
      <w:r>
        <w:t>тельства, связанные с делами, вытекающими из Закона о равном обращении на федеральной службе и Закона о равном обращении. Статистическому управл</w:t>
      </w:r>
      <w:r>
        <w:t>е</w:t>
      </w:r>
      <w:r>
        <w:t>нию Австрии (Statistik Austria) поручено оказывать научные услуги в области федерального статистического учета (раздел 22 Закона о федеральном стат</w:t>
      </w:r>
      <w:r>
        <w:t>и</w:t>
      </w:r>
      <w:r>
        <w:t>стическом учете 2000 года). Управление проводит ежеквартальные обследов</w:t>
      </w:r>
      <w:r>
        <w:t>а</w:t>
      </w:r>
      <w:r>
        <w:t>ния в виде "микропереписей"</w:t>
      </w:r>
      <w:r>
        <w:rPr>
          <w:rStyle w:val="FootnoteReference"/>
          <w:spacing w:val="-3"/>
        </w:rPr>
        <w:footnoteReference w:id="3"/>
      </w:r>
      <w:r>
        <w:t>, базовый формат которых обеспечивает важную информацию о населении Австрии. Конкретные программы посвящены о</w:t>
      </w:r>
      <w:r>
        <w:t>т</w:t>
      </w:r>
      <w:r>
        <w:t>дельным темам (таким как, например, вопросы, касающиеся здравоохранения, семей, физических увечий и трудовой деятельности, ухода за членами семьи, ведения домашнего хозяйства, ухода за детьми, обучения в течение всей жизни, информационной и коммуникационной технологии и т.п.). В ходе всех обсл</w:t>
      </w:r>
      <w:r>
        <w:t>е</w:t>
      </w:r>
      <w:r>
        <w:t>дований данные собираются с разбивкой по полу. На основе совместного ф</w:t>
      </w:r>
      <w:r>
        <w:t>и</w:t>
      </w:r>
      <w:r>
        <w:t>нансирования проводятся дополнительные обследования и собираются допо</w:t>
      </w:r>
      <w:r>
        <w:t>л</w:t>
      </w:r>
      <w:r>
        <w:t>нительные статистические данные, которые содержат важную информацию с разбивкой по полу. К их числу относятся обследования ЕС-СИЛК (статистич</w:t>
      </w:r>
      <w:r>
        <w:t>е</w:t>
      </w:r>
      <w:r>
        <w:t>ские данные о доходах и условиях жизни общин), статистические данные о центрах дневного ухода за детьми, ЕССОС (статистика социального страхов</w:t>
      </w:r>
      <w:r>
        <w:t>а</w:t>
      </w:r>
      <w:r>
        <w:t>ния), статистика социального обеспечения, обследования потребителей и отч</w:t>
      </w:r>
      <w:r>
        <w:t>е</w:t>
      </w:r>
      <w:r>
        <w:t>ты о доходах.</w:t>
      </w:r>
    </w:p>
    <w:p w:rsidR="00000000" w:rsidRDefault="00000000">
      <w:pPr>
        <w:pStyle w:val="SingleTxt"/>
      </w:pPr>
      <w:r>
        <w:tab/>
      </w:r>
      <w:r>
        <w:tab/>
        <w:t>Согласно совместному мандату Федерального министерства социального обеспечения и по делам поколений и Федерального министерства образования, науки и культуры, связанному со сбором данных с разбивкой по полу, Стат</w:t>
      </w:r>
      <w:r>
        <w:t>и</w:t>
      </w:r>
      <w:r>
        <w:t>стическое управление Австрии подготовило доклад под названием "Неравенс</w:t>
      </w:r>
      <w:r>
        <w:t>т</w:t>
      </w:r>
      <w:r>
        <w:t>во по половому признаку", который был опубликован в 2002 году. В этом до</w:t>
      </w:r>
      <w:r>
        <w:t>к</w:t>
      </w:r>
      <w:r>
        <w:t>ладе содержатся результаты статистических анализов неравенства по половому признаку в таких областях, как: демографические структуры/образ жизни, о</w:t>
      </w:r>
      <w:r>
        <w:t>б</w:t>
      </w:r>
      <w:r>
        <w:t>разование, приносящая доход деятельность, доходы/условия жизни, здрав</w:t>
      </w:r>
      <w:r>
        <w:t>о</w:t>
      </w:r>
      <w:r>
        <w:t>охранение, культурно-развлекательная деятельность, разделение труда внутри семьи, поддержка со стороны учреждений и сопоставления с другими стран</w:t>
      </w:r>
      <w:r>
        <w:t>а</w:t>
      </w:r>
      <w:r>
        <w:t>ми ЕС. Эта публикация (включая компакт-диск) распространяется бесплатно и может быть также получена по сети Интернет.</w:t>
      </w:r>
      <w:r>
        <w:rPr>
          <w:rStyle w:val="FootnoteReference"/>
          <w:spacing w:val="-3"/>
        </w:rPr>
        <w:footnoteReference w:id="4"/>
      </w:r>
    </w:p>
    <w:p w:rsidR="00000000" w:rsidRDefault="00000000">
      <w:pPr>
        <w:pStyle w:val="SingleTxt"/>
      </w:pPr>
      <w:r>
        <w:tab/>
      </w:r>
      <w:r>
        <w:tab/>
        <w:t>В рамках программы под названием "femtech (Женщины в области нау</w:t>
      </w:r>
      <w:r>
        <w:t>ч</w:t>
      </w:r>
      <w:r>
        <w:t>ных исследований и технологии)" создается база данных о женщинах-экспертах. Эта база данных включает в себя фамилии и адреса национальных и международных экспертов в области науки и технологии, повышая тем самым роль женщин, и позволит обеспечить сбалансированное с гендерной точки зр</w:t>
      </w:r>
      <w:r>
        <w:t>е</w:t>
      </w:r>
      <w:r>
        <w:t>ния назначение экспертов в состав различных жюри, групп, форумов и т.п.</w:t>
      </w:r>
    </w:p>
    <w:p w:rsidR="00000000" w:rsidRDefault="00000000">
      <w:pPr>
        <w:pStyle w:val="50"/>
      </w:pPr>
    </w:p>
    <w:p w:rsidR="00000000" w:rsidRDefault="00000000">
      <w:pPr>
        <w:pStyle w:val="50"/>
      </w:pPr>
    </w:p>
    <w:p w:rsidR="00000000" w:rsidRDefault="00000000">
      <w:pPr>
        <w:pStyle w:val="H1"/>
      </w:pPr>
      <w:r>
        <w:tab/>
      </w:r>
      <w:bookmarkStart w:id="58" w:name="_Toc97786656"/>
      <w:r>
        <w:t>Рекомендация 240</w:t>
      </w:r>
      <w:bookmarkEnd w:id="58"/>
    </w:p>
    <w:p w:rsidR="00000000" w:rsidRDefault="00000000">
      <w:pPr>
        <w:pStyle w:val="SingleTxt"/>
      </w:pPr>
      <w:r>
        <w:tab/>
      </w:r>
      <w:r>
        <w:tab/>
        <w:t>Проект под названием "Женщины и технология" (перспективный проект), который описывается в разделе настоящего доклада, посвященном пункту с статьи 10, после его завершения должен стать самодостаточной сетью, которая будет обеспечивать более широкие возможности продвижения женщин по службе в сфере информационной технол</w:t>
      </w:r>
      <w:r>
        <w:t>о</w:t>
      </w:r>
      <w:r>
        <w:t>гии.</w:t>
      </w:r>
    </w:p>
    <w:p w:rsidR="00000000" w:rsidRDefault="00000000">
      <w:pPr>
        <w:pStyle w:val="SingleTxt"/>
      </w:pPr>
      <w:r>
        <w:tab/>
      </w:r>
      <w:r>
        <w:tab/>
        <w:t>За отчетный период было принято в общей сложности 25 мер, предл</w:t>
      </w:r>
      <w:r>
        <w:t>о</w:t>
      </w:r>
      <w:r>
        <w:t>женных в "Белой книге по улучшению положения женщин в области науки" (см. раздел настоящего доклада, посвященный пункту с статьи 10).</w:t>
      </w:r>
    </w:p>
    <w:p w:rsidR="00000000" w:rsidRDefault="00000000">
      <w:pPr>
        <w:pStyle w:val="SingleTxt"/>
      </w:pPr>
      <w:r>
        <w:tab/>
      </w:r>
      <w:r>
        <w:tab/>
        <w:t>В результате проведения исследований под названием "Заработок женщин и мужчин, работающих по найму" и "Недискриминационная оценка должнос</w:t>
      </w:r>
      <w:r>
        <w:t>т</w:t>
      </w:r>
      <w:r>
        <w:t>ных функций и организация работы" были получены данные, на основе кот</w:t>
      </w:r>
      <w:r>
        <w:t>о</w:t>
      </w:r>
      <w:r>
        <w:t>рых профсоюз работников металлургической и текстильной промышленности разработал проект всеобъемлющей реформы (см. рекомендации 233 и 234).</w:t>
      </w:r>
    </w:p>
    <w:p w:rsidR="00000000" w:rsidRDefault="00000000">
      <w:pPr>
        <w:pStyle w:val="50"/>
      </w:pPr>
    </w:p>
    <w:p w:rsidR="00000000" w:rsidRDefault="00000000">
      <w:pPr>
        <w:pStyle w:val="50"/>
      </w:pPr>
    </w:p>
    <w:p w:rsidR="00000000" w:rsidRDefault="00000000">
      <w:pPr>
        <w:pStyle w:val="H1"/>
      </w:pPr>
      <w:r>
        <w:tab/>
      </w:r>
      <w:bookmarkStart w:id="59" w:name="_Toc97786657"/>
      <w:r>
        <w:t>Рекомендация 241</w:t>
      </w:r>
      <w:bookmarkEnd w:id="59"/>
    </w:p>
    <w:p w:rsidR="00000000" w:rsidRDefault="00000000">
      <w:pPr>
        <w:pStyle w:val="SingleTxt"/>
      </w:pPr>
      <w:r>
        <w:tab/>
      </w:r>
      <w:r>
        <w:tab/>
        <w:t>В соответствии с принципом гражданского просвещения общества Центр просветительских услуг в области прав человека оказывает содействие учит</w:t>
      </w:r>
      <w:r>
        <w:t>е</w:t>
      </w:r>
      <w:r>
        <w:t>лям во всех австрийских школах в области преподавания прав человека. Нар</w:t>
      </w:r>
      <w:r>
        <w:t>я</w:t>
      </w:r>
      <w:r>
        <w:t>ду с индивидуальными консультациями постоянно увеличивается объем ра</w:t>
      </w:r>
      <w:r>
        <w:t>с</w:t>
      </w:r>
      <w:r>
        <w:t>пространяемой информации и предоставляемых услуг. Ежеквартально публ</w:t>
      </w:r>
      <w:r>
        <w:t>и</w:t>
      </w:r>
      <w:r>
        <w:t>куется информационный бюллетень "Преподавание прав человека", причем один из его номеров (№ 5 за 2000 год) был конкретно посвящен правам же</w:t>
      </w:r>
      <w:r>
        <w:t>н</w:t>
      </w:r>
      <w:r>
        <w:t>щин.</w:t>
      </w:r>
    </w:p>
    <w:p w:rsidR="00000000" w:rsidRDefault="00000000">
      <w:pPr>
        <w:pStyle w:val="SingleTxt"/>
      </w:pPr>
      <w:r>
        <w:rPr>
          <w:b/>
        </w:rPr>
        <w:tab/>
      </w:r>
      <w:r>
        <w:rPr>
          <w:b/>
        </w:rPr>
        <w:tab/>
        <w:t>Упор на права женщин в период пребывания Австрии на посту пре</w:t>
      </w:r>
      <w:r>
        <w:rPr>
          <w:b/>
        </w:rPr>
        <w:t>д</w:t>
      </w:r>
      <w:r>
        <w:rPr>
          <w:b/>
        </w:rPr>
        <w:t>седателя сети по безопасности людей:</w:t>
      </w:r>
      <w:r>
        <w:t xml:space="preserve"> Австрия активно поддерживает обяз</w:t>
      </w:r>
      <w:r>
        <w:t>а</w:t>
      </w:r>
      <w:r>
        <w:t>тельства международного сообщества в данной области. Права женщин дол</w:t>
      </w:r>
      <w:r>
        <w:t>ж</w:t>
      </w:r>
      <w:r>
        <w:t>ны соблюдаться во всех областях политической и общественной жизни для обеспечения их эффективной защиты. В этой связи просвещение по вопросам прав человека приобретает решающее значение. В период пребывания Австрии на посту председателя сети по безопасности людей (СБЛ) в 2002 и 2003 году был подготовлен учебный справочник по вопросам прав человека под назван</w:t>
      </w:r>
      <w:r>
        <w:t>и</w:t>
      </w:r>
      <w:r>
        <w:t>ем "Понимание прав человека", который был утвержден министерствами, с</w:t>
      </w:r>
      <w:r>
        <w:t>о</w:t>
      </w:r>
      <w:r>
        <w:t>трудничающими в рамках указанной сети. Этот справочник, который может быть использован в любой стране мира, состоит из тринадцати разделов, ка</w:t>
      </w:r>
      <w:r>
        <w:t>ж</w:t>
      </w:r>
      <w:r>
        <w:t>дый из которых посвящен правам женщин. Данный справочник, который в н</w:t>
      </w:r>
      <w:r>
        <w:t>а</w:t>
      </w:r>
      <w:r>
        <w:t>стоящее время переводится на основные языки мира, был рекомендован ме</w:t>
      </w:r>
      <w:r>
        <w:t>ж</w:t>
      </w:r>
      <w:r>
        <w:t>дународному сообществу государств Генеральным секретарем Организации Объединенных Наций, а также всеми международными организациями, зан</w:t>
      </w:r>
      <w:r>
        <w:t>и</w:t>
      </w:r>
      <w:r>
        <w:t>мающимися различными аспектами просветительской работы в области прав челов</w:t>
      </w:r>
      <w:r>
        <w:t>е</w:t>
      </w:r>
      <w:r>
        <w:t>ка.</w:t>
      </w:r>
    </w:p>
    <w:p w:rsidR="00000000" w:rsidRDefault="00000000">
      <w:pPr>
        <w:pStyle w:val="SingleTxt"/>
      </w:pPr>
      <w:r>
        <w:tab/>
      </w:r>
      <w:r>
        <w:tab/>
        <w:t>Еще одним направлением деятельности, непосредственно касающимся прав женщин, в период пребывания Австрии на посту председателя СБЛ явл</w:t>
      </w:r>
      <w:r>
        <w:t>я</w:t>
      </w:r>
      <w:r>
        <w:t>лась подготовка политического документа по вопросам защиты детей в ходе вооруженных конфликтах, в котором также затрагивались вопросы привлеч</w:t>
      </w:r>
      <w:r>
        <w:t>е</w:t>
      </w:r>
      <w:r>
        <w:t>ния девушек и молодых женщин к усилиям по достижению прочного мира в пост-конфликтных ситуациях.</w:t>
      </w:r>
    </w:p>
    <w:p w:rsidR="00000000" w:rsidRDefault="00000000">
      <w:pPr>
        <w:pStyle w:val="50"/>
      </w:pPr>
    </w:p>
    <w:p w:rsidR="00000000" w:rsidRDefault="00000000">
      <w:pPr>
        <w:pStyle w:val="50"/>
      </w:pPr>
    </w:p>
    <w:p w:rsidR="00000000" w:rsidRDefault="00000000">
      <w:pPr>
        <w:pStyle w:val="H1"/>
      </w:pPr>
      <w:r>
        <w:tab/>
      </w:r>
      <w:bookmarkStart w:id="60" w:name="_Toc97786658"/>
      <w:r>
        <w:t>Рекомендация 243</w:t>
      </w:r>
      <w:bookmarkEnd w:id="60"/>
    </w:p>
    <w:p w:rsidR="00000000" w:rsidRDefault="00000000">
      <w:pPr>
        <w:pStyle w:val="SingleTxt"/>
      </w:pPr>
      <w:r>
        <w:rPr>
          <w:spacing w:val="-3"/>
        </w:rPr>
        <w:tab/>
      </w:r>
      <w:r>
        <w:rPr>
          <w:spacing w:val="-3"/>
        </w:rPr>
        <w:tab/>
        <w:t xml:space="preserve">В целях распространения текста </w:t>
      </w:r>
      <w:r>
        <w:t>Конвенции о ликвидации всех форм ди</w:t>
      </w:r>
      <w:r>
        <w:t>с</w:t>
      </w:r>
      <w:r>
        <w:t>криминации в отношении женщин, ее Факультативного протокола и Пекинской платформы действий, соответствующая информация размещается на веб-сайте Департамента по делам женщин Федерального министерства здравоохранения и по делам женщин. Третий, четвертый и пятый национальные доклады Авс</w:t>
      </w:r>
      <w:r>
        <w:t>т</w:t>
      </w:r>
      <w:r>
        <w:t>рии, включая рекомендации КЛДЖ, в течение отчетного периода были также размещены на веб-сайте Департамента по делам женщин. Доклады в печатном виде бесплатно распространяются среди широких слоев населения и по запр</w:t>
      </w:r>
      <w:r>
        <w:t>о</w:t>
      </w:r>
      <w:r>
        <w:t>су м</w:t>
      </w:r>
      <w:r>
        <w:t>о</w:t>
      </w:r>
      <w:r>
        <w:t>гут быть получены у компетентных министерств.</w:t>
      </w:r>
    </w:p>
    <w:p w:rsidR="00000000" w:rsidRDefault="00000000">
      <w:pPr>
        <w:pStyle w:val="SingleTxt"/>
        <w:rPr>
          <w:spacing w:val="-3"/>
        </w:rPr>
      </w:pPr>
      <w:r>
        <w:tab/>
      </w:r>
      <w:r>
        <w:tab/>
        <w:t>Кроме того, федеральный министр по делам женщин в своем докладе, представленном Совету министров 20 июня 2000 года, проинформировала а</w:t>
      </w:r>
      <w:r>
        <w:t>в</w:t>
      </w:r>
      <w:r>
        <w:t>стрийское федеральное правительство о ходе проведения и содержании пр</w:t>
      </w:r>
      <w:r>
        <w:t>о</w:t>
      </w:r>
      <w:r>
        <w:t>верки доклада Австрии на двадцать третьем заседании КЛДЖ.</w:t>
      </w:r>
    </w:p>
    <w:p w:rsidR="00000000" w:rsidRDefault="00000000">
      <w:pPr>
        <w:pStyle w:val="50"/>
      </w:pPr>
    </w:p>
    <w:p w:rsidR="00000000" w:rsidRDefault="00000000">
      <w:pPr>
        <w:pStyle w:val="50"/>
      </w:pPr>
    </w:p>
    <w:p w:rsidR="00000000" w:rsidRDefault="00000000">
      <w:pPr>
        <w:pStyle w:val="HCh"/>
        <w:pageBreakBefore/>
      </w:pPr>
      <w:bookmarkStart w:id="61" w:name="_Toc97786659"/>
      <w:r>
        <w:t>2.</w:t>
      </w:r>
      <w:r>
        <w:tab/>
        <w:t>Осуществление Конвенции</w:t>
      </w:r>
      <w:bookmarkEnd w:id="61"/>
    </w:p>
    <w:p w:rsidR="00000000" w:rsidRDefault="00000000">
      <w:pPr>
        <w:pStyle w:val="50"/>
      </w:pPr>
    </w:p>
    <w:p w:rsidR="00000000" w:rsidRDefault="00000000">
      <w:pPr>
        <w:pStyle w:val="50"/>
      </w:pPr>
    </w:p>
    <w:p w:rsidR="00000000" w:rsidRDefault="00000000">
      <w:pPr>
        <w:pStyle w:val="H1"/>
      </w:pPr>
      <w:r>
        <w:tab/>
      </w:r>
      <w:bookmarkStart w:id="62" w:name="_Toc97786660"/>
      <w:r>
        <w:t>Статья 2</w:t>
      </w:r>
      <w:bookmarkEnd w:id="62"/>
    </w:p>
    <w:p w:rsidR="00000000" w:rsidRDefault="00000000">
      <w:pPr>
        <w:pStyle w:val="SingleTxt"/>
      </w:pPr>
      <w:r>
        <w:tab/>
      </w:r>
      <w:r>
        <w:tab/>
        <w:t>Австрия сняла свои оговорки в отношении статей 5 и 7 Конвенции (см. замечания, касающиеся рекомендации 219). Кроме того, в 2000 году Австри</w:t>
      </w:r>
      <w:r>
        <w:t>й</w:t>
      </w:r>
      <w:r>
        <w:t>ская Республика ратифицировала Факультативный протокол к Конвенции о л</w:t>
      </w:r>
      <w:r>
        <w:t>и</w:t>
      </w:r>
      <w:r>
        <w:t>квидации всех форм дискриминации в отношении женщин и включила его в национальное законодательство (Бюллетень федеральных законов, часть III, № 206/2000).</w:t>
      </w:r>
    </w:p>
    <w:p w:rsidR="00000000" w:rsidRDefault="00000000">
      <w:pPr>
        <w:pStyle w:val="SingleTxt"/>
      </w:pPr>
      <w:r>
        <w:tab/>
      </w:r>
      <w:r>
        <w:tab/>
        <w:t>Ссылка в этой связи делается на предыдущие доклады, а также на соде</w:t>
      </w:r>
      <w:r>
        <w:t>р</w:t>
      </w:r>
      <w:r>
        <w:t xml:space="preserve">жащуюся в них информацию о конституционной и правой ситуации в Австрии. </w:t>
      </w:r>
      <w:r>
        <w:rPr>
          <w:b/>
        </w:rPr>
        <w:t>Обязательства по представлению докладов</w:t>
      </w:r>
      <w:r>
        <w:t xml:space="preserve"> (включая доклад, представля</w:t>
      </w:r>
      <w:r>
        <w:t>е</w:t>
      </w:r>
      <w:r>
        <w:t>мый парламенту о ситуации и тенденциях в области равного обращения в А</w:t>
      </w:r>
      <w:r>
        <w:t>в</w:t>
      </w:r>
      <w:r>
        <w:t>стрии, публикуемый раз в пять лет в соответствии с разделом 10 (а) Закона о равноправии; доклад федерального правительства по вопросам ликвидации дискриминации в отношении женщин, Бюллетень федеральных законов № 837/1992; доклад федерального правительства по вопросам равных возможн</w:t>
      </w:r>
      <w:r>
        <w:t>о</w:t>
      </w:r>
      <w:r>
        <w:t>стей, касающийся прогресса в деле обеспечения равноправия и улучшения п</w:t>
      </w:r>
      <w:r>
        <w:t>о</w:t>
      </w:r>
      <w:r>
        <w:t>ложения женщин в рамках федеральной службы, юридическое основание: пункт 4 раздела 53 BGBG, Бюллетень федеральных законов № 100/1993 с п</w:t>
      </w:r>
      <w:r>
        <w:t>о</w:t>
      </w:r>
      <w:r>
        <w:t>правками, внесенными в него в №№ 16/1994, 43/1995, 522/1995 и 375/1996, а также положение, утвержденное Федеральным министром по делам женщин (Бюллетень федеральных законов № 774/1993); совместный доклад об осущ</w:t>
      </w:r>
      <w:r>
        <w:t>е</w:t>
      </w:r>
      <w:r>
        <w:t>ствлении Закона о равноправии (Бюллетень федеральных законов № 108/1979), в частности касающийся правил работы, деятельности и заключений Управл</w:t>
      </w:r>
      <w:r>
        <w:t>е</w:t>
      </w:r>
      <w:r>
        <w:t>ния Омбудсмена по вопросам равного обращения, дел, переданных на рассмо</w:t>
      </w:r>
      <w:r>
        <w:t>т</w:t>
      </w:r>
      <w:r>
        <w:t>рение Комиссии, и других направлений работы Комиссии в соответствии с ра</w:t>
      </w:r>
      <w:r>
        <w:t>з</w:t>
      </w:r>
      <w:r>
        <w:t>делом 10 (а) Закона о равноправии) обеспечивают регулярную оценку хода осуществления политики по обеспечению равенства между мужчинами и же</w:t>
      </w:r>
      <w:r>
        <w:t>н</w:t>
      </w:r>
      <w:r>
        <w:t>щинами.</w:t>
      </w:r>
    </w:p>
    <w:p w:rsidR="00000000" w:rsidRDefault="00000000">
      <w:pPr>
        <w:pStyle w:val="SingleTxt"/>
      </w:pPr>
      <w:r>
        <w:tab/>
      </w:r>
      <w:r>
        <w:tab/>
        <w:t xml:space="preserve">Помимо принятия конкретных </w:t>
      </w:r>
      <w:r>
        <w:rPr>
          <w:b/>
        </w:rPr>
        <w:t>конструктивных мер</w:t>
      </w:r>
      <w:r>
        <w:t xml:space="preserve"> (см. также инфо</w:t>
      </w:r>
      <w:r>
        <w:t>р</w:t>
      </w:r>
      <w:r>
        <w:t xml:space="preserve">мацию о планах по улучшению положения женщин в разделе, посвященном статье 4), Австрия также использует </w:t>
      </w:r>
      <w:r>
        <w:rPr>
          <w:b/>
        </w:rPr>
        <w:t>учет гендерного фактора</w:t>
      </w:r>
      <w:r>
        <w:t xml:space="preserve"> в качестве стратегии по обеспечению равенства между мужчинами и женщинами. В р</w:t>
      </w:r>
      <w:r>
        <w:t>е</w:t>
      </w:r>
      <w:r>
        <w:t>шении Совета министров от 11 июля 2000 года федеральное правительство заявило о своей приверженности учету гендерного фактора во всех стратегич</w:t>
      </w:r>
      <w:r>
        <w:t>е</w:t>
      </w:r>
      <w:r>
        <w:t>ских областях своей работы. Тем временем, все администрации провинций также взяли на вооружение принцип учета гендерного фактора на всех страт</w:t>
      </w:r>
      <w:r>
        <w:t>е</w:t>
      </w:r>
      <w:r>
        <w:t>гических направлениях своей деятельности на уровне провинций (более по</w:t>
      </w:r>
      <w:r>
        <w:t>д</w:t>
      </w:r>
      <w:r>
        <w:t>робную информацию см. в разделе настоящего доклада, посвященном статье 4).</w:t>
      </w:r>
    </w:p>
    <w:p w:rsidR="00000000" w:rsidRDefault="00000000">
      <w:pPr>
        <w:pStyle w:val="SingleTxt"/>
      </w:pPr>
      <w:r>
        <w:tab/>
      </w:r>
      <w:r>
        <w:tab/>
        <w:t xml:space="preserve">Поддержав предложение, представленное Совету министров 2 мая 2001 года, федеральное правительство обязалось уделять особое внимание </w:t>
      </w:r>
      <w:r>
        <w:rPr>
          <w:b/>
        </w:rPr>
        <w:t>и</w:t>
      </w:r>
      <w:r>
        <w:rPr>
          <w:b/>
        </w:rPr>
        <w:t>с</w:t>
      </w:r>
      <w:r>
        <w:rPr>
          <w:b/>
        </w:rPr>
        <w:t>пользованию нейтральных с гендерной точки зрения формулировок</w:t>
      </w:r>
      <w:r>
        <w:t xml:space="preserve"> во всех министерствах и ведомствах. Программа австрийского федерального пр</w:t>
      </w:r>
      <w:r>
        <w:t>а</w:t>
      </w:r>
      <w:r>
        <w:t>вительства на текущий законодательный период предусматривает использов</w:t>
      </w:r>
      <w:r>
        <w:t>а</w:t>
      </w:r>
      <w:r>
        <w:t>ние нейтральных с гендерной точки зрения формулировок в официальных д</w:t>
      </w:r>
      <w:r>
        <w:t>о</w:t>
      </w:r>
      <w:r>
        <w:t>кументах.</w:t>
      </w:r>
    </w:p>
    <w:p w:rsidR="00000000" w:rsidRDefault="00000000">
      <w:pPr>
        <w:pStyle w:val="SingleTxt"/>
      </w:pPr>
      <w:r>
        <w:tab/>
      </w:r>
      <w:r>
        <w:tab/>
        <w:t>Кроме того, в тексте последней поправки к Венскому закону об обеспеч</w:t>
      </w:r>
      <w:r>
        <w:t>е</w:t>
      </w:r>
      <w:r>
        <w:t>нии благосостояния молодежи (провинция Вены, Бюллетень федеральных з</w:t>
      </w:r>
      <w:r>
        <w:t>а</w:t>
      </w:r>
      <w:r>
        <w:t>конов № 35/2001) авторы намеренно старались повсеместно использовать фо</w:t>
      </w:r>
      <w:r>
        <w:t>р</w:t>
      </w:r>
      <w:r>
        <w:t>му женского рода для обозначения отдельных лиц в качестве символа равн</w:t>
      </w:r>
      <w:r>
        <w:t>о</w:t>
      </w:r>
      <w:r>
        <w:t>правия женщин в процессе разработки з</w:t>
      </w:r>
      <w:r>
        <w:t>а</w:t>
      </w:r>
      <w:r>
        <w:t>конов.</w:t>
      </w:r>
    </w:p>
    <w:p w:rsidR="00000000" w:rsidRDefault="00000000">
      <w:pPr>
        <w:pStyle w:val="50"/>
      </w:pPr>
    </w:p>
    <w:p w:rsidR="00000000" w:rsidRDefault="00000000">
      <w:pPr>
        <w:pStyle w:val="50"/>
      </w:pPr>
    </w:p>
    <w:p w:rsidR="00000000" w:rsidRDefault="00000000">
      <w:pPr>
        <w:pStyle w:val="H23"/>
        <w:rPr>
          <w:u w:val="single"/>
        </w:rPr>
      </w:pPr>
      <w:r>
        <w:tab/>
      </w:r>
      <w:bookmarkStart w:id="63" w:name="_Toc97786661"/>
      <w:r>
        <w:rPr>
          <w:u w:val="single"/>
        </w:rPr>
        <w:t>Статья 2, пункт а)</w:t>
      </w:r>
      <w:bookmarkEnd w:id="63"/>
    </w:p>
    <w:p w:rsidR="00000000" w:rsidRDefault="00000000">
      <w:pPr>
        <w:pStyle w:val="SingleTxt"/>
      </w:pPr>
      <w:r>
        <w:tab/>
      </w:r>
      <w:r>
        <w:tab/>
        <w:t>Ссылка в этой связи делается на Закон о равном обращении и Закон о равном обращении на федеральной службе, Комиссию по вопросам равного обращения, Управление Омбудсмена по вопросам равного обращения и с</w:t>
      </w:r>
      <w:r>
        <w:t>о</w:t>
      </w:r>
      <w:r>
        <w:t>трудников по вопросам равного обращения, о которых речь шла в предыдущих докл</w:t>
      </w:r>
      <w:r>
        <w:t>а</w:t>
      </w:r>
      <w:r>
        <w:t>дах (см. замечания, касающиеся рекомендации 235).</w:t>
      </w:r>
    </w:p>
    <w:p w:rsidR="00000000" w:rsidRDefault="00000000">
      <w:pPr>
        <w:pStyle w:val="SingleTxt"/>
      </w:pPr>
      <w:r>
        <w:tab/>
      </w:r>
      <w:r>
        <w:tab/>
        <w:t>Положения, имеющие статус конституционного закона, распространя</w:t>
      </w:r>
      <w:r>
        <w:t>ю</w:t>
      </w:r>
      <w:r>
        <w:t>щиеся на университеты (</w:t>
      </w:r>
      <w:r>
        <w:rPr>
          <w:b/>
        </w:rPr>
        <w:t>пункт 2 раздела 39 Федерального закона об орган</w:t>
      </w:r>
      <w:r>
        <w:rPr>
          <w:b/>
        </w:rPr>
        <w:t>и</w:t>
      </w:r>
      <w:r>
        <w:rPr>
          <w:b/>
        </w:rPr>
        <w:t>зации работы университетов, UOG 1993 года</w:t>
      </w:r>
      <w:r>
        <w:t>, который касается принятия временных специальных мер, направленных на ускоренное обеспечение фа</w:t>
      </w:r>
      <w:r>
        <w:t>к</w:t>
      </w:r>
      <w:r>
        <w:t>тического равенства между женщинами и мужчинами), предусматривали, что такие временные специальные меры не рассматриваются как неравное обращ</w:t>
      </w:r>
      <w:r>
        <w:t>е</w:t>
      </w:r>
      <w:r>
        <w:t>ние по смыслу пункта 1 ст</w:t>
      </w:r>
      <w:r>
        <w:t>а</w:t>
      </w:r>
      <w:r>
        <w:t>тьи 7 Федеральной конституции.</w:t>
      </w:r>
    </w:p>
    <w:p w:rsidR="00000000" w:rsidRDefault="00000000">
      <w:pPr>
        <w:pStyle w:val="SingleTxt"/>
      </w:pPr>
      <w:r>
        <w:tab/>
      </w:r>
      <w:r>
        <w:tab/>
        <w:t>После внесения поправки в Федеральную конституцию на основании Бюллетеня федеральных законов, часть I, № 68/1998, в пункт 2 статьи 7 Федеральной конституции было включено следующее положение: "Федер</w:t>
      </w:r>
      <w:r>
        <w:t>а</w:t>
      </w:r>
      <w:r>
        <w:t>ция, провинции и общины обеспечивают фактическое равенство между же</w:t>
      </w:r>
      <w:r>
        <w:t>н</w:t>
      </w:r>
      <w:r>
        <w:t>щинами и мужчинами. С этой целью допускаются любые меры, направленные на обеспечение фактического равенства между женщинами и мужчинами, в ч</w:t>
      </w:r>
      <w:r>
        <w:t>а</w:t>
      </w:r>
      <w:r>
        <w:t>стности путем ликвидации л</w:t>
      </w:r>
      <w:r>
        <w:t>ю</w:t>
      </w:r>
      <w:r>
        <w:t>бого существующего неравенства".</w:t>
      </w:r>
    </w:p>
    <w:p w:rsidR="00000000" w:rsidRDefault="00000000">
      <w:pPr>
        <w:pStyle w:val="SingleTxt"/>
      </w:pPr>
      <w:r>
        <w:tab/>
      </w:r>
      <w:r>
        <w:tab/>
        <w:t>Тем самым, вышеуказанная поправка к Федеральной конституции, вн</w:t>
      </w:r>
      <w:r>
        <w:t>е</w:t>
      </w:r>
      <w:r>
        <w:t>сенная на основании Бюллетеня федеральных законов, часть I, № 68/1998, ус</w:t>
      </w:r>
      <w:r>
        <w:t>т</w:t>
      </w:r>
      <w:r>
        <w:t>ранила необходимость включения в Закон об университетах специальных п</w:t>
      </w:r>
      <w:r>
        <w:t>о</w:t>
      </w:r>
      <w:r>
        <w:t>ложений, регулирующих принятие временных специальных мер, направленных на ускоренное обеспечение фактического равенства; вместе с тем положения, имеющие статус конституционного закона и закрепленные в UOG 1993 года, будут оставаться в силе вплоть до дальнейшего распоряжения.</w:t>
      </w:r>
    </w:p>
    <w:p w:rsidR="00000000" w:rsidRDefault="00000000">
      <w:pPr>
        <w:pStyle w:val="SingleTxt"/>
      </w:pPr>
      <w:r>
        <w:tab/>
      </w:r>
      <w:r>
        <w:tab/>
        <w:t>Федеральный закон об организации работы университетов и учебы в ун</w:t>
      </w:r>
      <w:r>
        <w:t>и</w:t>
      </w:r>
      <w:r>
        <w:t>верситетах (Закон об университетах 2002 года) создал новую правовую основу для университетов, которая заменила действующее законодательство (более подробную информацию см. в разделе настоящего доклада, посвященном ст</w:t>
      </w:r>
      <w:r>
        <w:t>а</w:t>
      </w:r>
      <w:r>
        <w:t>тье 10).</w:t>
      </w:r>
    </w:p>
    <w:p w:rsidR="00000000" w:rsidRDefault="00000000">
      <w:pPr>
        <w:pStyle w:val="50"/>
      </w:pPr>
    </w:p>
    <w:p w:rsidR="00000000" w:rsidRDefault="00000000">
      <w:pPr>
        <w:pStyle w:val="50"/>
      </w:pPr>
    </w:p>
    <w:p w:rsidR="00000000" w:rsidRDefault="00000000">
      <w:pPr>
        <w:pStyle w:val="H23"/>
      </w:pPr>
      <w:r>
        <w:tab/>
      </w:r>
      <w:bookmarkStart w:id="64" w:name="_Toc97786662"/>
      <w:r>
        <w:t>Поправки к законодательным актам провинций по вопросам равного обращения</w:t>
      </w:r>
      <w:bookmarkEnd w:id="64"/>
    </w:p>
    <w:p w:rsidR="00000000" w:rsidRDefault="00000000">
      <w:pPr>
        <w:pStyle w:val="dot"/>
      </w:pPr>
      <w:r>
        <w:sym w:font="Symbol" w:char="F0B7"/>
      </w:r>
      <w:r>
        <w:tab/>
        <w:t>В соответствии со второй поправкой к Закону о равном обращении провинции Нижняя Австрия (Бюллетень провинциальных законов № 2060, март 2002 года) бремя доказывания в суде по трудовым спорам было переложено на работодателя и был введен ряд других полож</w:t>
      </w:r>
      <w:r>
        <w:t>е</w:t>
      </w:r>
      <w:r>
        <w:t>ний.</w:t>
      </w:r>
    </w:p>
    <w:p w:rsidR="00000000" w:rsidRDefault="00000000">
      <w:pPr>
        <w:pStyle w:val="dot"/>
      </w:pPr>
      <w:r>
        <w:sym w:font="Symbol" w:char="F0B7"/>
      </w:r>
      <w:r>
        <w:tab/>
        <w:t>В сентябре 2001 года в силу вступила поправка к Закону о равном обращении провинции Каринтия (№ 56/1994, Бюллетень провинц</w:t>
      </w:r>
      <w:r>
        <w:t>и</w:t>
      </w:r>
      <w:r>
        <w:t>альных з</w:t>
      </w:r>
      <w:r>
        <w:t>а</w:t>
      </w:r>
      <w:r>
        <w:t>конов № 62/2001).</w:t>
      </w:r>
    </w:p>
    <w:p w:rsidR="00000000" w:rsidRDefault="00000000">
      <w:pPr>
        <w:pStyle w:val="dot"/>
      </w:pPr>
      <w:r>
        <w:sym w:font="Symbol" w:char="F0B7"/>
      </w:r>
      <w:r>
        <w:tab/>
        <w:t>С 1 января 2000 года в силу вступил Закон о равном обращении пр</w:t>
      </w:r>
      <w:r>
        <w:t>о</w:t>
      </w:r>
      <w:r>
        <w:t>винции Верхняя Австрия, касающийся женщин, нанимаемых на р</w:t>
      </w:r>
      <w:r>
        <w:t>а</w:t>
      </w:r>
      <w:r>
        <w:t>боту местными органами власти, который действует в отношении женщин, нанимаемых на работу органами власти провинций с 1995 года.</w:t>
      </w:r>
    </w:p>
    <w:p w:rsidR="00000000" w:rsidRDefault="00000000">
      <w:pPr>
        <w:pStyle w:val="dot"/>
      </w:pPr>
      <w:r>
        <w:sym w:font="Symbol" w:char="F0B7"/>
      </w:r>
      <w:r>
        <w:tab/>
        <w:t>Третья поправка (Бюллетень законов провинции Вена № 21/2001) к Закону о равном обращении провинции Вена (W-GBG, Бюллетень з</w:t>
      </w:r>
      <w:r>
        <w:t>а</w:t>
      </w:r>
      <w:r>
        <w:t>конов провинции Вена № 18/1996) предусматривает, что женщины считаются недостаточно представленными в государственном ведо</w:t>
      </w:r>
      <w:r>
        <w:t>м</w:t>
      </w:r>
      <w:r>
        <w:t>стве, если их доля от общего числа сотрудников на высокопоста</w:t>
      </w:r>
      <w:r>
        <w:t>в</w:t>
      </w:r>
      <w:r>
        <w:t>ленных должностях (постах) в конкретной служебной категории эт</w:t>
      </w:r>
      <w:r>
        <w:t>о</w:t>
      </w:r>
      <w:r>
        <w:t>го ведомства составляет менее 50 процентов (раньше – 40 процентов). В таких случаях закон требует включать в текст ре</w:t>
      </w:r>
      <w:r>
        <w:t>к</w:t>
      </w:r>
      <w:r>
        <w:t>ламного объявления о вакансиях конкретное положение о том, что соискатели-женщины б</w:t>
      </w:r>
      <w:r>
        <w:t>у</w:t>
      </w:r>
      <w:r>
        <w:t>дут особо приветствоваться.</w:t>
      </w:r>
    </w:p>
    <w:p w:rsidR="00000000" w:rsidRDefault="00000000">
      <w:pPr>
        <w:pStyle w:val="dot"/>
      </w:pPr>
      <w:r>
        <w:sym w:font="Symbol" w:char="F0B7"/>
      </w:r>
      <w:r>
        <w:tab/>
        <w:t>В соответствии с пятнадцатой поправкой к Кодексу службы 1994 года (Бюллетень законов провинции Вена № 37/2003) жертвы сексуальных домогательств получают следующие новые права: пр</w:t>
      </w:r>
      <w:r>
        <w:t>и</w:t>
      </w:r>
      <w:r>
        <w:t>сутствие во время допроса лица, пользующегося доверием поте</w:t>
      </w:r>
      <w:r>
        <w:t>р</w:t>
      </w:r>
      <w:r>
        <w:t>певшей, отмена общего предельного уровня компенсации по искам о возмещении ущерба, продление периода времени, необходимого для подачи иска о возмещении ущерба, с шести месяцев до трех лет, з</w:t>
      </w:r>
      <w:r>
        <w:t>а</w:t>
      </w:r>
      <w:r>
        <w:t>щита от увольнения, сокращения или перевода на другую работу женщин, действующих в качестве контактных лиц по вопросам р</w:t>
      </w:r>
      <w:r>
        <w:t>а</w:t>
      </w:r>
      <w:r>
        <w:t>венства во</w:t>
      </w:r>
      <w:r>
        <w:t>з</w:t>
      </w:r>
      <w:r>
        <w:t>можностей.</w:t>
      </w:r>
    </w:p>
    <w:p w:rsidR="00000000" w:rsidRDefault="00000000">
      <w:pPr>
        <w:pStyle w:val="dot"/>
      </w:pPr>
      <w:r>
        <w:sym w:font="Symbol" w:char="F0B7"/>
      </w:r>
      <w:r>
        <w:tab/>
        <w:t>Шестая поправка к Закону о равном обращении провинции Вена (Бюллетень законов провинции Вена № 38/2003) создала специал</w:t>
      </w:r>
      <w:r>
        <w:t>ь</w:t>
      </w:r>
      <w:r>
        <w:t>ные органы по обеспечению равных возможностей для преподават</w:t>
      </w:r>
      <w:r>
        <w:t>е</w:t>
      </w:r>
      <w:r>
        <w:t>лей, работающих в провинции Вена (Комиссия по вопросам равного обращения, сотрудники по вопросам равного обращения и контак</w:t>
      </w:r>
      <w:r>
        <w:t>т</w:t>
      </w:r>
      <w:r>
        <w:t>ные лица по вопросам равенства возможностей).</w:t>
      </w:r>
    </w:p>
    <w:p w:rsidR="00000000" w:rsidRDefault="00000000">
      <w:pPr>
        <w:pStyle w:val="50"/>
      </w:pPr>
    </w:p>
    <w:p w:rsidR="00000000" w:rsidRDefault="00000000">
      <w:pPr>
        <w:pStyle w:val="50"/>
      </w:pPr>
    </w:p>
    <w:p w:rsidR="00000000" w:rsidRDefault="00000000">
      <w:pPr>
        <w:pStyle w:val="H23"/>
        <w:rPr>
          <w:u w:val="single"/>
        </w:rPr>
      </w:pPr>
      <w:r>
        <w:tab/>
      </w:r>
      <w:bookmarkStart w:id="65" w:name="_Toc97786663"/>
      <w:r>
        <w:rPr>
          <w:u w:val="single"/>
        </w:rPr>
        <w:t>Статья 2, пункты b)–f)</w:t>
      </w:r>
      <w:bookmarkEnd w:id="65"/>
    </w:p>
    <w:p w:rsidR="00000000" w:rsidRDefault="00000000">
      <w:pPr>
        <w:pStyle w:val="SingleTxt"/>
        <w:rPr>
          <w:spacing w:val="-3"/>
        </w:rPr>
      </w:pPr>
      <w:r>
        <w:tab/>
      </w:r>
      <w:r>
        <w:tab/>
        <w:t>Помимо мер, о которых уже подробно говорилось в пятом периодическом докладе Австрии, представленном Комитету по ликвидации всех форм дискр</w:t>
      </w:r>
      <w:r>
        <w:t>и</w:t>
      </w:r>
      <w:r>
        <w:t xml:space="preserve">минации в отношении женщин, </w:t>
      </w:r>
      <w:r>
        <w:rPr>
          <w:b/>
        </w:rPr>
        <w:t>поправки к Закону о равном обращении на федеральной службе</w:t>
      </w:r>
      <w:r>
        <w:t xml:space="preserve"> (</w:t>
      </w:r>
      <w:r>
        <w:rPr>
          <w:b/>
          <w:spacing w:val="-3"/>
        </w:rPr>
        <w:t xml:space="preserve">Бюллетень федеральных законов, часть </w:t>
      </w:r>
      <w:r>
        <w:rPr>
          <w:b/>
          <w:spacing w:val="-3"/>
          <w:lang w:val="en-US"/>
        </w:rPr>
        <w:t>I</w:t>
      </w:r>
      <w:r>
        <w:rPr>
          <w:b/>
          <w:spacing w:val="-3"/>
        </w:rPr>
        <w:t>, № 132/1999</w:t>
      </w:r>
      <w:r>
        <w:rPr>
          <w:spacing w:val="-3"/>
        </w:rPr>
        <w:t>), которые вступили в силу 1 января 2000 года, предусматривают дополнительные меры в целях более эффективной ликвидации дискриминации и дальнейшего улучшения положения женщин. Важнейшие из этих поправок предусматривают следующее:</w:t>
      </w:r>
    </w:p>
    <w:p w:rsidR="00000000" w:rsidRDefault="00000000">
      <w:pPr>
        <w:pStyle w:val="dot"/>
        <w:rPr>
          <w:spacing w:val="-3"/>
        </w:rPr>
      </w:pPr>
      <w:r>
        <w:sym w:font="Symbol" w:char="F0B7"/>
      </w:r>
      <w:r>
        <w:tab/>
      </w:r>
      <w:r>
        <w:rPr>
          <w:spacing w:val="-3"/>
        </w:rPr>
        <w:t xml:space="preserve">расширение сферы применения Закона </w:t>
      </w:r>
      <w:r>
        <w:t>о равном обращении на фед</w:t>
      </w:r>
      <w:r>
        <w:t>е</w:t>
      </w:r>
      <w:r>
        <w:t>ральной службе для охвата некоторых категорий сотрудников ун</w:t>
      </w:r>
      <w:r>
        <w:t>и</w:t>
      </w:r>
      <w:r>
        <w:t>верситетов и университетов искусств, которые не являются фед</w:t>
      </w:r>
      <w:r>
        <w:t>е</w:t>
      </w:r>
      <w:r>
        <w:t>ральными служащими (абитуриентов и студентов университетов, преподавателей университетов, которые не являются в таком качес</w:t>
      </w:r>
      <w:r>
        <w:t>т</w:t>
      </w:r>
      <w:r>
        <w:t>ве государственными федеральными служащими, доценты универс</w:t>
      </w:r>
      <w:r>
        <w:t>и</w:t>
      </w:r>
      <w:r>
        <w:t>тетов и приглашенные преподав</w:t>
      </w:r>
      <w:r>
        <w:t>а</w:t>
      </w:r>
      <w:r>
        <w:t>тели);</w:t>
      </w:r>
    </w:p>
    <w:p w:rsidR="00000000" w:rsidRDefault="00000000">
      <w:pPr>
        <w:pStyle w:val="dot"/>
        <w:rPr>
          <w:spacing w:val="-3"/>
        </w:rPr>
      </w:pPr>
      <w:r>
        <w:sym w:font="Symbol" w:char="F0B7"/>
      </w:r>
      <w:r>
        <w:tab/>
        <w:t>введение положения об обязательной общенациональной рекламе всех постов и должностей, подразумевающих продвижение по слу</w:t>
      </w:r>
      <w:r>
        <w:t>ж</w:t>
      </w:r>
      <w:r>
        <w:t>бе;</w:t>
      </w:r>
    </w:p>
    <w:p w:rsidR="00000000" w:rsidRDefault="00000000">
      <w:pPr>
        <w:pStyle w:val="dot"/>
        <w:rPr>
          <w:spacing w:val="-3"/>
        </w:rPr>
      </w:pPr>
      <w:r>
        <w:sym w:font="Symbol" w:char="F0B7"/>
      </w:r>
      <w:r>
        <w:tab/>
        <w:t>целевые приглашения, поощряющие женщин к соисканию вакантных должностей, включая должности, которые не обязательно должны рекламироваться в соответствии с Законом об обнародовании вака</w:t>
      </w:r>
      <w:r>
        <w:t>н</w:t>
      </w:r>
      <w:r>
        <w:t>сий;</w:t>
      </w:r>
    </w:p>
    <w:p w:rsidR="00000000" w:rsidRDefault="00000000">
      <w:pPr>
        <w:pStyle w:val="dot"/>
        <w:rPr>
          <w:spacing w:val="-3"/>
        </w:rPr>
      </w:pPr>
      <w:r>
        <w:sym w:font="Symbol" w:char="F0B7"/>
      </w:r>
      <w:r>
        <w:tab/>
        <w:t>разъяснение того, что сексуальные домогательства в отношении с</w:t>
      </w:r>
      <w:r>
        <w:t>о</w:t>
      </w:r>
      <w:r>
        <w:t>трудника, совершенные третьей стороной в контексте выполнения этим сотрудником своих профессиональных обязанностей или в пр</w:t>
      </w:r>
      <w:r>
        <w:t>о</w:t>
      </w:r>
      <w:r>
        <w:t>цессе профессиональной подготовки и в которых не виноват работ</w:t>
      </w:r>
      <w:r>
        <w:t>о</w:t>
      </w:r>
      <w:r>
        <w:t>датель, однозначно являются проявлением дискриминации по пр</w:t>
      </w:r>
      <w:r>
        <w:t>и</w:t>
      </w:r>
      <w:r>
        <w:t>знаку пола и тем самым относятся к сфере компетенции Комиссии по вопросам равного обращения;</w:t>
      </w:r>
    </w:p>
    <w:p w:rsidR="00000000" w:rsidRDefault="00000000">
      <w:pPr>
        <w:pStyle w:val="dot"/>
        <w:rPr>
          <w:spacing w:val="-3"/>
        </w:rPr>
      </w:pPr>
      <w:r>
        <w:sym w:font="Symbol" w:char="F0B7"/>
      </w:r>
      <w:r>
        <w:tab/>
        <w:t>установление обязательного требования о том, что доля женщин, н</w:t>
      </w:r>
      <w:r>
        <w:t>а</w:t>
      </w:r>
      <w:r>
        <w:t>значаемых в состав комиссий, регулирующих отношения в рамках государственной службы, должна в любом случае соответствовать доли женщин в соответствующем государственном органе и что представители женщин должны иметь право участвовать в роли ко</w:t>
      </w:r>
      <w:r>
        <w:t>н</w:t>
      </w:r>
      <w:r>
        <w:t>сультантов даже в том случае, когда несмотря на требование обесп</w:t>
      </w:r>
      <w:r>
        <w:t>е</w:t>
      </w:r>
      <w:r>
        <w:t>чить пропорциональность ни одна женщина не может быть назнач</w:t>
      </w:r>
      <w:r>
        <w:t>е</w:t>
      </w:r>
      <w:r>
        <w:t>на;</w:t>
      </w:r>
    </w:p>
    <w:p w:rsidR="00000000" w:rsidRDefault="00000000">
      <w:pPr>
        <w:pStyle w:val="dot"/>
        <w:rPr>
          <w:spacing w:val="-3"/>
        </w:rPr>
      </w:pPr>
      <w:r>
        <w:sym w:font="Symbol" w:char="F0B7"/>
      </w:r>
      <w:r>
        <w:tab/>
      </w:r>
      <w:r>
        <w:rPr>
          <w:spacing w:val="-3"/>
        </w:rPr>
        <w:t>установление положения о санкциях в соответствие с законодательством ЕС путем отмены ограничений на размер компенсационных выплат по и</w:t>
      </w:r>
      <w:r>
        <w:rPr>
          <w:spacing w:val="-3"/>
        </w:rPr>
        <w:t>с</w:t>
      </w:r>
      <w:r>
        <w:rPr>
          <w:spacing w:val="-3"/>
        </w:rPr>
        <w:t>кам о возмещении ущерба в связи с проявлениями дискриминации по призн</w:t>
      </w:r>
      <w:r>
        <w:rPr>
          <w:spacing w:val="-3"/>
        </w:rPr>
        <w:t>а</w:t>
      </w:r>
      <w:r>
        <w:rPr>
          <w:spacing w:val="-3"/>
        </w:rPr>
        <w:t>ку пола при приеме на работу и продвижении по службе;</w:t>
      </w:r>
    </w:p>
    <w:p w:rsidR="00000000" w:rsidRDefault="00000000">
      <w:pPr>
        <w:pStyle w:val="dot"/>
        <w:rPr>
          <w:spacing w:val="-3"/>
        </w:rPr>
      </w:pPr>
      <w:r>
        <w:sym w:font="Symbol" w:char="F0B7"/>
      </w:r>
      <w:r>
        <w:tab/>
      </w:r>
      <w:r>
        <w:rPr>
          <w:spacing w:val="-3"/>
        </w:rPr>
        <w:t>уменьшение бремени доказывания (достаточно представляющихся дост</w:t>
      </w:r>
      <w:r>
        <w:rPr>
          <w:spacing w:val="-3"/>
        </w:rPr>
        <w:t>о</w:t>
      </w:r>
      <w:r>
        <w:rPr>
          <w:spacing w:val="-3"/>
        </w:rPr>
        <w:t>верными доказательств) в делах, переданных на рассмотрение Комиссии по вопросам равного обращения, в том числе в делах по обвинению в се</w:t>
      </w:r>
      <w:r>
        <w:rPr>
          <w:spacing w:val="-3"/>
        </w:rPr>
        <w:t>к</w:t>
      </w:r>
      <w:r>
        <w:rPr>
          <w:spacing w:val="-3"/>
        </w:rPr>
        <w:t>суальных д</w:t>
      </w:r>
      <w:r>
        <w:rPr>
          <w:spacing w:val="-3"/>
        </w:rPr>
        <w:t>о</w:t>
      </w:r>
      <w:r>
        <w:rPr>
          <w:spacing w:val="-3"/>
        </w:rPr>
        <w:t>могательствах;</w:t>
      </w:r>
    </w:p>
    <w:p w:rsidR="00000000" w:rsidRDefault="00000000">
      <w:pPr>
        <w:pStyle w:val="dot"/>
        <w:rPr>
          <w:spacing w:val="-3"/>
        </w:rPr>
      </w:pPr>
      <w:r>
        <w:sym w:font="Symbol" w:char="F0B7"/>
      </w:r>
      <w:r>
        <w:tab/>
      </w:r>
      <w:r>
        <w:rPr>
          <w:spacing w:val="-3"/>
        </w:rPr>
        <w:t>отмена ограничения, связанного с тем, что требования сохранения сл</w:t>
      </w:r>
      <w:r>
        <w:rPr>
          <w:spacing w:val="-3"/>
        </w:rPr>
        <w:t>у</w:t>
      </w:r>
      <w:r>
        <w:rPr>
          <w:spacing w:val="-3"/>
        </w:rPr>
        <w:t>жебной тайны противоречат обязател</w:t>
      </w:r>
      <w:r>
        <w:rPr>
          <w:spacing w:val="-3"/>
        </w:rPr>
        <w:t>ь</w:t>
      </w:r>
      <w:r>
        <w:rPr>
          <w:spacing w:val="-3"/>
        </w:rPr>
        <w:t>ству сообщать информацию;</w:t>
      </w:r>
    </w:p>
    <w:p w:rsidR="00000000" w:rsidRDefault="00000000">
      <w:pPr>
        <w:pStyle w:val="dot"/>
        <w:rPr>
          <w:spacing w:val="-3"/>
        </w:rPr>
      </w:pPr>
      <w:r>
        <w:sym w:font="Symbol" w:char="F0B7"/>
      </w:r>
      <w:r>
        <w:tab/>
      </w:r>
      <w:r>
        <w:rPr>
          <w:spacing w:val="-3"/>
        </w:rPr>
        <w:t>расширение возможностей получения дальнейшей профессиональной подготовки для сотрудников по вопросам равного обращения, членов р</w:t>
      </w:r>
      <w:r>
        <w:rPr>
          <w:spacing w:val="-3"/>
        </w:rPr>
        <w:t>а</w:t>
      </w:r>
      <w:r>
        <w:rPr>
          <w:spacing w:val="-3"/>
        </w:rPr>
        <w:t>бочих групп и контактных лиц по вопросам равенства возмо</w:t>
      </w:r>
      <w:r>
        <w:rPr>
          <w:spacing w:val="-3"/>
        </w:rPr>
        <w:t>ж</w:t>
      </w:r>
      <w:r>
        <w:rPr>
          <w:spacing w:val="-3"/>
        </w:rPr>
        <w:t>ностей.</w:t>
      </w:r>
    </w:p>
    <w:p w:rsidR="00000000" w:rsidRDefault="00000000">
      <w:pPr>
        <w:pStyle w:val="50"/>
      </w:pPr>
    </w:p>
    <w:p w:rsidR="00000000" w:rsidRDefault="00000000">
      <w:pPr>
        <w:pStyle w:val="50"/>
      </w:pPr>
    </w:p>
    <w:p w:rsidR="00000000" w:rsidRDefault="00000000">
      <w:pPr>
        <w:pStyle w:val="H23"/>
      </w:pPr>
      <w:r>
        <w:tab/>
      </w:r>
      <w:bookmarkStart w:id="66" w:name="_Toc97786664"/>
      <w:r>
        <w:t>Осуществление европейского законодательства</w:t>
      </w:r>
      <w:bookmarkEnd w:id="66"/>
    </w:p>
    <w:p w:rsidR="00000000" w:rsidRDefault="00000000">
      <w:pPr>
        <w:pStyle w:val="dot"/>
      </w:pPr>
      <w:r>
        <w:sym w:font="Symbol" w:char="F0B7"/>
      </w:r>
      <w:r>
        <w:tab/>
        <w:t>Проект указа правительства об осуществлении Директивы 2002/73/ЕС от 23 сентября 2002 года о внесении поправок в Дире</w:t>
      </w:r>
      <w:r>
        <w:t>к</w:t>
      </w:r>
      <w:r>
        <w:t>тиву Совета 76/207/ЕЕС о реализации принципа равного обращения с мужчинами и женщинами с точки зрения доступа к занятости, профессиональной подготовке и продвижению по службе, а также условий труда (см. Рекоме</w:t>
      </w:r>
      <w:r>
        <w:t>н</w:t>
      </w:r>
      <w:r>
        <w:t>дацию 235).</w:t>
      </w:r>
    </w:p>
    <w:p w:rsidR="00000000" w:rsidRDefault="00000000">
      <w:pPr>
        <w:pStyle w:val="dot"/>
      </w:pPr>
      <w:r>
        <w:sym w:font="Symbol" w:char="F0B7"/>
      </w:r>
      <w:r>
        <w:tab/>
        <w:t>В рамках запланированного пересмотра в Закон о равном обращении на федеральной службе предполагается включить положения, учит</w:t>
      </w:r>
      <w:r>
        <w:t>ы</w:t>
      </w:r>
      <w:r>
        <w:t>вающие особые потребности женщин, в частности с точки зрения осуществления вышеупомянутой директивы ЕС и совершенствов</w:t>
      </w:r>
      <w:r>
        <w:t>а</w:t>
      </w:r>
      <w:r>
        <w:t>ния документов по обеспечению прав в соответствии с этим законом (см. Рекомендацию 235).</w:t>
      </w:r>
    </w:p>
    <w:p w:rsidR="00000000" w:rsidRDefault="00000000">
      <w:pPr>
        <w:pStyle w:val="dot"/>
      </w:pPr>
      <w:r>
        <w:sym w:font="Symbol" w:char="F0B7"/>
      </w:r>
      <w:r>
        <w:tab/>
        <w:t>Директиву ЕС 2001/19/ЕС предполагается осуществить путем пра</w:t>
      </w:r>
      <w:r>
        <w:t>к</w:t>
      </w:r>
      <w:r>
        <w:t>тической реализации положений о предоставлении почасовой раб</w:t>
      </w:r>
      <w:r>
        <w:t>о</w:t>
      </w:r>
      <w:r>
        <w:t>ты студентам-медикам в больницах, которые предусмотрены в пятой поправкой к Федеральному закону о специалистах-медиках (Бюлл</w:t>
      </w:r>
      <w:r>
        <w:t>е</w:t>
      </w:r>
      <w:r>
        <w:t>тень официальных законов № 140/2003) (см. раздел настоящего до</w:t>
      </w:r>
      <w:r>
        <w:t>к</w:t>
      </w:r>
      <w:r>
        <w:t>лада, касающийся ст</w:t>
      </w:r>
      <w:r>
        <w:t>а</w:t>
      </w:r>
      <w:r>
        <w:t>тьи 12).</w:t>
      </w:r>
    </w:p>
    <w:p w:rsidR="00000000" w:rsidRDefault="00000000">
      <w:pPr>
        <w:pStyle w:val="dot"/>
      </w:pPr>
      <w:r>
        <w:sym w:font="Symbol" w:char="F0B7"/>
      </w:r>
      <w:r>
        <w:tab/>
        <w:t xml:space="preserve">Директива ЕС 96/34/ЕС нашла воплощение в поправке к Закону об охране материнства и Закону о порядке предоставления отпуска по уходу за детьми (Бюллетень официальных законов, часть </w:t>
      </w:r>
      <w:r>
        <w:rPr>
          <w:lang w:val="en-US"/>
        </w:rPr>
        <w:t>I</w:t>
      </w:r>
      <w:r>
        <w:t>, № 153/1999) (см. раздел настоящего доклада, касающийся пункта 2 ст</w:t>
      </w:r>
      <w:r>
        <w:t>а</w:t>
      </w:r>
      <w:r>
        <w:t>тьи 11).</w:t>
      </w:r>
    </w:p>
    <w:p w:rsidR="00000000" w:rsidRDefault="00000000">
      <w:pPr>
        <w:pStyle w:val="dot"/>
      </w:pPr>
      <w:r>
        <w:sym w:font="Symbol" w:char="F0B7"/>
      </w:r>
      <w:r>
        <w:tab/>
        <w:t>Работа по подготовке новой директивы ЕС о реализации принципа равного обращения с мужчинами и женщинами с точки зрения до</w:t>
      </w:r>
      <w:r>
        <w:t>с</w:t>
      </w:r>
      <w:r>
        <w:t>тупа к товарам и услугам и обеспечения ими, как это предусмотрено в статье 13 Договора ЕС, будет проводиться в 2004 году в рамках р</w:t>
      </w:r>
      <w:r>
        <w:t>а</w:t>
      </w:r>
      <w:r>
        <w:t>бочей группы Сов</w:t>
      </w:r>
      <w:r>
        <w:t>е</w:t>
      </w:r>
      <w:r>
        <w:t>та ЕС.</w:t>
      </w:r>
    </w:p>
    <w:p w:rsidR="00000000" w:rsidRDefault="00000000">
      <w:pPr>
        <w:pStyle w:val="50"/>
      </w:pPr>
    </w:p>
    <w:p w:rsidR="00000000" w:rsidRDefault="00000000">
      <w:pPr>
        <w:pStyle w:val="50"/>
      </w:pPr>
    </w:p>
    <w:p w:rsidR="00000000" w:rsidRDefault="00000000">
      <w:pPr>
        <w:pStyle w:val="H23"/>
        <w:rPr>
          <w:u w:val="single"/>
        </w:rPr>
      </w:pPr>
      <w:r>
        <w:tab/>
      </w:r>
      <w:bookmarkStart w:id="67" w:name="_Toc97786665"/>
      <w:r>
        <w:rPr>
          <w:u w:val="single"/>
        </w:rPr>
        <w:t>Статья 2, пункт е)</w:t>
      </w:r>
      <w:bookmarkEnd w:id="67"/>
    </w:p>
    <w:p w:rsidR="00000000" w:rsidRDefault="00000000">
      <w:pPr>
        <w:pStyle w:val="SingleTxt"/>
      </w:pPr>
      <w:r>
        <w:tab/>
      </w:r>
      <w:r>
        <w:tab/>
        <w:t xml:space="preserve">С 1 июля 2003 года </w:t>
      </w:r>
      <w:r>
        <w:rPr>
          <w:b/>
        </w:rPr>
        <w:t>Федеральный закон о порядке присуждения гос</w:t>
      </w:r>
      <w:r>
        <w:rPr>
          <w:b/>
        </w:rPr>
        <w:t>у</w:t>
      </w:r>
      <w:r>
        <w:rPr>
          <w:b/>
        </w:rPr>
        <w:t>дарственных подрядов 2002 года</w:t>
      </w:r>
      <w:r>
        <w:t xml:space="preserve"> (Бюллетень официальных законов № 99/2002) содержит единые положения о порядке присуждения государстве</w:t>
      </w:r>
      <w:r>
        <w:t>н</w:t>
      </w:r>
      <w:r>
        <w:t>ных подрядов в Австрии и тем самым может рассматриваться в качестве инс</w:t>
      </w:r>
      <w:r>
        <w:t>т</w:t>
      </w:r>
      <w:r>
        <w:t>румента, способствующего трудоустройству большего числа женщин. В кач</w:t>
      </w:r>
      <w:r>
        <w:t>е</w:t>
      </w:r>
      <w:r>
        <w:t>стве "общего принципа приема на службу" в этом законе конкретно предусма</w:t>
      </w:r>
      <w:r>
        <w:t>т</w:t>
      </w:r>
      <w:r>
        <w:t>ривается, что "количество работающих женщин" и "меры по решению других социально-экономических проблем" могут учитываться при присуждении г</w:t>
      </w:r>
      <w:r>
        <w:t>о</w:t>
      </w:r>
      <w:r>
        <w:t>сударственных подрядов. Далее в законе подробно указывается, что это может, среди прочего, обеспечиваться путем принятия мер "соответствующего хара</w:t>
      </w:r>
      <w:r>
        <w:t>к</w:t>
      </w:r>
      <w:r>
        <w:t>тера", например включения мер, учитывающих особые потребности женщин, в описание услуг, которые будут оказываться, в описание технических характ</w:t>
      </w:r>
      <w:r>
        <w:t>е</w:t>
      </w:r>
      <w:r>
        <w:t>ристик, в описание конкретных критериев присуждения подрядов (с особой ссылкой на женщин) или в описания условий заключения контрактов.</w:t>
      </w:r>
    </w:p>
    <w:p w:rsidR="00000000" w:rsidRDefault="00000000">
      <w:pPr>
        <w:pStyle w:val="SingleTxt"/>
      </w:pPr>
      <w:r>
        <w:tab/>
      </w:r>
      <w:r>
        <w:tab/>
        <w:t>Кроме того, в Федеральном законе о порядке присуждения государстве</w:t>
      </w:r>
      <w:r>
        <w:t>н</w:t>
      </w:r>
      <w:r>
        <w:t>ных подрядов предусматривается ряд возможностей и/или обязательств, обе</w:t>
      </w:r>
      <w:r>
        <w:t>с</w:t>
      </w:r>
      <w:r>
        <w:t>печивающих учет особых потребностей женщин на различных этапах прису</w:t>
      </w:r>
      <w:r>
        <w:t>ж</w:t>
      </w:r>
      <w:r>
        <w:t>дения подрядов. Что касается определения степени надежности предприятия, то пункт 4 статьи 51 предусматривает обязательное исключения из круга пр</w:t>
      </w:r>
      <w:r>
        <w:t>е</w:t>
      </w:r>
      <w:r>
        <w:t>тендентов тех компаний, которые совершили серьезные нарушения в процессе осуществления предпринимательской деятельности, особенно в области труд</w:t>
      </w:r>
      <w:r>
        <w:t>о</w:t>
      </w:r>
      <w:r>
        <w:t>вого и социального законодательства. Закон также делает соблюдение полож</w:t>
      </w:r>
      <w:r>
        <w:t>е</w:t>
      </w:r>
      <w:r>
        <w:t>ний трудового и социального законодательства обязательным условием для т</w:t>
      </w:r>
      <w:r>
        <w:t>о</w:t>
      </w:r>
      <w:r>
        <w:t>го, чтобы предприятие могло оказывать услуги в Австрии (см. также перечень обязательных к применению конвенций МОТ в разделе 71), и создает возмо</w:t>
      </w:r>
      <w:r>
        <w:t>ж</w:t>
      </w:r>
      <w:r>
        <w:t>ности для определения конкретных условий для улучшения положения женщин в соглашении о подряде (см. подпункт 14 пункта 1 раздела 80). Эти правовые возможности и/или обязательства применяются ко всем подрядам, подпада</w:t>
      </w:r>
      <w:r>
        <w:t>ю</w:t>
      </w:r>
      <w:r>
        <w:t>щим под сферу охвата Федерального закона о порядке присуждения государс</w:t>
      </w:r>
      <w:r>
        <w:t>т</w:t>
      </w:r>
      <w:r>
        <w:t>венных подрядов (т.е. независимо от пороговых значений, устанавливаемых согласно законодательству ЕС).</w:t>
      </w:r>
    </w:p>
    <w:p w:rsidR="00000000" w:rsidRDefault="00000000">
      <w:pPr>
        <w:pStyle w:val="50"/>
      </w:pPr>
    </w:p>
    <w:p w:rsidR="00000000" w:rsidRDefault="00000000">
      <w:pPr>
        <w:pStyle w:val="50"/>
      </w:pPr>
    </w:p>
    <w:p w:rsidR="00000000" w:rsidRDefault="00000000">
      <w:pPr>
        <w:pStyle w:val="H23"/>
        <w:rPr>
          <w:u w:val="single"/>
        </w:rPr>
      </w:pPr>
      <w:r>
        <w:tab/>
      </w:r>
      <w:bookmarkStart w:id="68" w:name="_Toc97786666"/>
      <w:r>
        <w:rPr>
          <w:u w:val="single"/>
        </w:rPr>
        <w:t xml:space="preserve">Статья 2, пункт </w:t>
      </w:r>
      <w:r>
        <w:rPr>
          <w:u w:val="single"/>
          <w:lang w:val="en-US"/>
        </w:rPr>
        <w:t>g</w:t>
      </w:r>
      <w:r>
        <w:rPr>
          <w:u w:val="single"/>
        </w:rPr>
        <w:t>)</w:t>
      </w:r>
      <w:bookmarkEnd w:id="68"/>
    </w:p>
    <w:p w:rsidR="00000000" w:rsidRDefault="00000000">
      <w:pPr>
        <w:pStyle w:val="50"/>
        <w:keepNext/>
      </w:pPr>
    </w:p>
    <w:p w:rsidR="00000000" w:rsidRDefault="00000000">
      <w:pPr>
        <w:pStyle w:val="H23"/>
      </w:pPr>
      <w:r>
        <w:tab/>
      </w:r>
      <w:bookmarkStart w:id="69" w:name="_Toc97786667"/>
      <w:r>
        <w:t>Уголовное законодательство и судопроизводство в отношении половых преступлений</w:t>
      </w:r>
      <w:bookmarkEnd w:id="69"/>
    </w:p>
    <w:p w:rsidR="00000000" w:rsidRDefault="00000000">
      <w:pPr>
        <w:pStyle w:val="SingleTxt"/>
      </w:pPr>
      <w:r>
        <w:tab/>
      </w:r>
      <w:r>
        <w:tab/>
        <w:t xml:space="preserve">Согласно </w:t>
      </w:r>
      <w:r>
        <w:rPr>
          <w:b/>
        </w:rPr>
        <w:t>Закону 2001 года о внесении поправок в Уголовный кодекс</w:t>
      </w:r>
      <w:r>
        <w:t xml:space="preserve"> (Бюллетень официальных законов, часть </w:t>
      </w:r>
      <w:r>
        <w:rPr>
          <w:lang w:val="en-US"/>
        </w:rPr>
        <w:t>I</w:t>
      </w:r>
      <w:r>
        <w:t>, № 130/2001), изнасилование и же</w:t>
      </w:r>
      <w:r>
        <w:t>с</w:t>
      </w:r>
      <w:r>
        <w:t>токое обращение с несовершеннолетними с летальным исходом караются п</w:t>
      </w:r>
      <w:r>
        <w:t>о</w:t>
      </w:r>
      <w:r>
        <w:t>жизненным заключением, а без летального исхода – 10-20 годами тюремного заключ</w:t>
      </w:r>
      <w:r>
        <w:t>е</w:t>
      </w:r>
      <w:r>
        <w:t>ния (см. ниже).</w:t>
      </w:r>
    </w:p>
    <w:p w:rsidR="00000000" w:rsidRDefault="00000000">
      <w:pPr>
        <w:pStyle w:val="SingleTxt"/>
      </w:pPr>
      <w:r>
        <w:tab/>
      </w:r>
      <w:r>
        <w:tab/>
        <w:t xml:space="preserve">С принятием </w:t>
      </w:r>
      <w:r>
        <w:rPr>
          <w:b/>
        </w:rPr>
        <w:t>Закона 2004 года о внесении поправок в Уголовный к</w:t>
      </w:r>
      <w:r>
        <w:rPr>
          <w:b/>
        </w:rPr>
        <w:t>о</w:t>
      </w:r>
      <w:r>
        <w:rPr>
          <w:b/>
        </w:rPr>
        <w:t>декс</w:t>
      </w:r>
      <w:r>
        <w:t xml:space="preserve"> (</w:t>
      </w:r>
      <w:r>
        <w:rPr>
          <w:lang w:val="en-US"/>
        </w:rPr>
        <w:t>StR</w:t>
      </w:r>
      <w:r>
        <w:t>Ä</w:t>
      </w:r>
      <w:r>
        <w:rPr>
          <w:lang w:val="en-US"/>
        </w:rPr>
        <w:t>G</w:t>
      </w:r>
      <w:r>
        <w:t xml:space="preserve"> 2004, Бюллетень официальных законов, часть </w:t>
      </w:r>
      <w:r>
        <w:rPr>
          <w:lang w:val="en-US"/>
        </w:rPr>
        <w:t>I</w:t>
      </w:r>
      <w:r>
        <w:t>, № 150/2004; см. также последующие разделы и раздел, касающийся рекомендации 228) рефо</w:t>
      </w:r>
      <w:r>
        <w:t>р</w:t>
      </w:r>
      <w:r>
        <w:t>ма австрийского уголовного права в отношении половых преступлений пр</w:t>
      </w:r>
      <w:r>
        <w:t>о</w:t>
      </w:r>
      <w:r>
        <w:t>должилась. В этом законе особое внимание обращается на важность защиты прав несовершеннолетних от сексуальной эксплуатации и предусматривается расширение определения преступлений, связанных с детской порнографией и злоупотреблением властью, а также содержатся уголовные положения, запр</w:t>
      </w:r>
      <w:r>
        <w:t>е</w:t>
      </w:r>
      <w:r>
        <w:t>щающие содействие занятию проституцией несовершеннолетними и вовлеч</w:t>
      </w:r>
      <w:r>
        <w:t>е</w:t>
      </w:r>
      <w:r>
        <w:t>ние несовершеннолетних в процесс производства порнографических матери</w:t>
      </w:r>
      <w:r>
        <w:t>а</w:t>
      </w:r>
      <w:r>
        <w:t>лов.</w:t>
      </w:r>
    </w:p>
    <w:p w:rsidR="00000000" w:rsidRDefault="00000000">
      <w:pPr>
        <w:pStyle w:val="SingleTxt"/>
      </w:pPr>
      <w:r>
        <w:tab/>
      </w:r>
      <w:r>
        <w:tab/>
        <w:t>К числу других важных изменений, конкретно касающихся женщин, о</w:t>
      </w:r>
      <w:r>
        <w:t>т</w:t>
      </w:r>
      <w:r>
        <w:t>носится новое положение о преступлении, связанном с торговлей людьми (см. также замечания, касающиеся рекомендации 228), положение о равном обр</w:t>
      </w:r>
      <w:r>
        <w:t>а</w:t>
      </w:r>
      <w:r>
        <w:t>щении по закону об изнасиловании и принуждении к сожительству в браке и вне брака и введение определения нового уголовного преступления – сексуал</w:t>
      </w:r>
      <w:r>
        <w:t>ь</w:t>
      </w:r>
      <w:r>
        <w:t>ных домог</w:t>
      </w:r>
      <w:r>
        <w:t>а</w:t>
      </w:r>
      <w:r>
        <w:t>тельств.</w:t>
      </w:r>
    </w:p>
    <w:p w:rsidR="00000000" w:rsidRDefault="00000000">
      <w:pPr>
        <w:pStyle w:val="50"/>
      </w:pPr>
    </w:p>
    <w:p w:rsidR="00000000" w:rsidRDefault="00000000">
      <w:pPr>
        <w:pStyle w:val="50"/>
      </w:pPr>
    </w:p>
    <w:p w:rsidR="00000000" w:rsidRDefault="00000000">
      <w:pPr>
        <w:pStyle w:val="H23"/>
      </w:pPr>
      <w:r>
        <w:tab/>
      </w:r>
      <w:bookmarkStart w:id="70" w:name="_Toc97786668"/>
      <w:r>
        <w:t>Помощь потерпевшим в процессе уголовного судопроизводства</w:t>
      </w:r>
      <w:bookmarkEnd w:id="70"/>
    </w:p>
    <w:p w:rsidR="00000000" w:rsidRDefault="00000000">
      <w:pPr>
        <w:pStyle w:val="SingleTxt"/>
      </w:pPr>
      <w:r>
        <w:tab/>
      </w:r>
      <w:r>
        <w:tab/>
        <w:t>В отчетный период преобразования также коснулись и сферы оказания психологической и юридической помощи потерпевшим в процессе уголовного судопроизводства. В 2000 году было завершено осуществление типового пр</w:t>
      </w:r>
      <w:r>
        <w:t>о</w:t>
      </w:r>
      <w:r>
        <w:t>екта под названием "Оказание психологической и юридической помощи дево</w:t>
      </w:r>
      <w:r>
        <w:t>ч</w:t>
      </w:r>
      <w:r>
        <w:t>кам, мальчикам и подросткам в ходе уголовного судопроизводства". С конца 2000 года услуги психологов и адвокатов, оказывающих помощь детям, подр</w:t>
      </w:r>
      <w:r>
        <w:t>о</w:t>
      </w:r>
      <w:r>
        <w:t>сткам и женщинам, пострадавшим от физического или сексуального насилия, финансируются из государс</w:t>
      </w:r>
      <w:r>
        <w:t>т</w:t>
      </w:r>
      <w:r>
        <w:t xml:space="preserve">венного бюджета. </w:t>
      </w:r>
    </w:p>
    <w:p w:rsidR="00000000" w:rsidRDefault="00000000">
      <w:pPr>
        <w:pStyle w:val="SingleTxt"/>
      </w:pPr>
      <w:r>
        <w:tab/>
      </w:r>
      <w:r>
        <w:tab/>
        <w:t>В 2001 году при Федеральном министерстве социального обеспечения и по делам поколений была образована межведомственная рабочая группа (ИМАГ), которая занимается оказанием помощи потерпевшим в процессе уг</w:t>
      </w:r>
      <w:r>
        <w:t>о</w:t>
      </w:r>
      <w:r>
        <w:t>ловного судопроизводства. Эта рабочая группа занимается разработкой единых стандартов по оказанию помощи потерпевшим в процессе уголовного судопр</w:t>
      </w:r>
      <w:r>
        <w:t>о</w:t>
      </w:r>
      <w:r>
        <w:t>изводства (одного набора стандартов для детей и подростков и другого – для женщин) и созданием структурированной системы оказания помощи поте</w:t>
      </w:r>
      <w:r>
        <w:t>р</w:t>
      </w:r>
      <w:r>
        <w:t>певшим по всей территории Австрии. Кроме того, средства из федерального бюджета выделяются на подготовку инструкторов по оказанию помощи поте</w:t>
      </w:r>
      <w:r>
        <w:t>р</w:t>
      </w:r>
      <w:r>
        <w:t>певшим, проведение междисциплинарных семинаров и формирование мех</w:t>
      </w:r>
      <w:r>
        <w:t>а</w:t>
      </w:r>
      <w:r>
        <w:t>низмов сотру</w:t>
      </w:r>
      <w:r>
        <w:t>д</w:t>
      </w:r>
      <w:r>
        <w:t>ничества.</w:t>
      </w:r>
    </w:p>
    <w:p w:rsidR="00000000" w:rsidRDefault="00000000">
      <w:pPr>
        <w:pStyle w:val="50"/>
      </w:pPr>
    </w:p>
    <w:p w:rsidR="00000000" w:rsidRDefault="00000000">
      <w:pPr>
        <w:pStyle w:val="50"/>
      </w:pPr>
    </w:p>
    <w:p w:rsidR="00000000" w:rsidRDefault="00000000">
      <w:pPr>
        <w:pStyle w:val="H23"/>
      </w:pPr>
      <w:r>
        <w:tab/>
      </w:r>
      <w:bookmarkStart w:id="71" w:name="_Toc97786669"/>
      <w:r>
        <w:t>Федеральный закон о защите от насилия в семье</w:t>
      </w:r>
      <w:bookmarkEnd w:id="71"/>
    </w:p>
    <w:p w:rsidR="00000000" w:rsidRDefault="00000000">
      <w:pPr>
        <w:pStyle w:val="SingleTxt"/>
      </w:pPr>
      <w:r>
        <w:tab/>
      </w:r>
      <w:r>
        <w:tab/>
        <w:t>Федеральный закон о защите от насилия в семье вступил в силу 1 мая 1997 года. Сфера применения этого закона уже подробно описывалась в пятом пери</w:t>
      </w:r>
      <w:r>
        <w:t>о</w:t>
      </w:r>
      <w:r>
        <w:t>дическом докладе Австрии, представленном на рассмотрение Комитета.</w:t>
      </w:r>
    </w:p>
    <w:p w:rsidR="00000000" w:rsidRDefault="00000000">
      <w:pPr>
        <w:pStyle w:val="SingleTxt"/>
        <w:rPr>
          <w:spacing w:val="-3"/>
        </w:rPr>
      </w:pPr>
      <w:r>
        <w:tab/>
      </w:r>
      <w:r>
        <w:tab/>
        <w:t>В результате принятия поправки 2003 года к Закону об исполнении нак</w:t>
      </w:r>
      <w:r>
        <w:t>а</w:t>
      </w:r>
      <w:r>
        <w:t xml:space="preserve">заний (ЕО – ноябрь 2003 года, </w:t>
      </w:r>
      <w:r>
        <w:rPr>
          <w:spacing w:val="-3"/>
        </w:rPr>
        <w:t xml:space="preserve">Бюллетень официальных законов, часть </w:t>
      </w:r>
      <w:r>
        <w:rPr>
          <w:spacing w:val="-3"/>
          <w:lang w:val="en-US"/>
        </w:rPr>
        <w:t>I</w:t>
      </w:r>
      <w:r>
        <w:rPr>
          <w:spacing w:val="-3"/>
        </w:rPr>
        <w:t xml:space="preserve">, № 31/2003), которая вступила в силу 1 января 2004 года, положения о защите от насилия в семье (пункты </w:t>
      </w:r>
      <w:r>
        <w:rPr>
          <w:spacing w:val="-3"/>
          <w:lang w:val="en-US"/>
        </w:rPr>
        <w:t>b</w:t>
      </w:r>
      <w:r>
        <w:rPr>
          <w:spacing w:val="-3"/>
        </w:rPr>
        <w:t xml:space="preserve">) и </w:t>
      </w:r>
      <w:r>
        <w:rPr>
          <w:spacing w:val="-3"/>
          <w:lang w:val="en-US"/>
        </w:rPr>
        <w:t>d</w:t>
      </w:r>
      <w:r>
        <w:rPr>
          <w:spacing w:val="-3"/>
        </w:rPr>
        <w:t>) раздела 382 ЕО) также были усилены с учетом опыта, нако</w:t>
      </w:r>
      <w:r>
        <w:rPr>
          <w:spacing w:val="-3"/>
        </w:rPr>
        <w:t>п</w:t>
      </w:r>
      <w:r>
        <w:rPr>
          <w:spacing w:val="-3"/>
        </w:rPr>
        <w:t>ленного в процессе осуществления действующего законодательства.</w:t>
      </w:r>
    </w:p>
    <w:p w:rsidR="00000000" w:rsidRDefault="00000000">
      <w:pPr>
        <w:pStyle w:val="SingleTxt"/>
      </w:pPr>
      <w:r>
        <w:tab/>
      </w:r>
      <w:r>
        <w:tab/>
        <w:t>В соответствии с новым законом защита, предоставляемая по разделу 382</w:t>
      </w:r>
      <w:r>
        <w:rPr>
          <w:lang w:val="en-US"/>
        </w:rPr>
        <w:t>b</w:t>
      </w:r>
      <w:r>
        <w:t xml:space="preserve"> ЕО, теперь распространяется на всех лиц, которые проживают или пр</w:t>
      </w:r>
      <w:r>
        <w:t>о</w:t>
      </w:r>
      <w:r>
        <w:t>живали вместе с (потенциальным) правонарушителем в официально зарегис</w:t>
      </w:r>
      <w:r>
        <w:t>т</w:t>
      </w:r>
      <w:r>
        <w:t>рированном или гражданском браке (раньше эта защита распространялся лишь на конкретно оговоренный круг лиц и предоставлялась только в том случае, е</w:t>
      </w:r>
      <w:r>
        <w:t>с</w:t>
      </w:r>
      <w:r>
        <w:t>ли эти лица проживали вместе с (потенциальным) правонарушителем и вели общее хозяйство в течение последних трех месяцев, предшествующих возбу</w:t>
      </w:r>
      <w:r>
        <w:t>ж</w:t>
      </w:r>
      <w:r>
        <w:t>дению уг</w:t>
      </w:r>
      <w:r>
        <w:t>о</w:t>
      </w:r>
      <w:r>
        <w:t>ловного дела).</w:t>
      </w:r>
    </w:p>
    <w:p w:rsidR="00000000" w:rsidRDefault="00000000">
      <w:pPr>
        <w:pStyle w:val="SingleTxt"/>
        <w:rPr>
          <w:spacing w:val="-3"/>
        </w:rPr>
      </w:pPr>
      <w:r>
        <w:rPr>
          <w:spacing w:val="-3"/>
        </w:rPr>
        <w:tab/>
      </w:r>
      <w:r>
        <w:rPr>
          <w:spacing w:val="-3"/>
        </w:rPr>
        <w:tab/>
        <w:t>Общее изменение определения термина "близкие родственники" с помощью новой поправки главным образом направлено на то, чтобы расширить круг защища</w:t>
      </w:r>
      <w:r>
        <w:rPr>
          <w:spacing w:val="-3"/>
        </w:rPr>
        <w:t>е</w:t>
      </w:r>
      <w:r>
        <w:rPr>
          <w:spacing w:val="-3"/>
        </w:rPr>
        <w:t>мых лиц, не ограничиваясь узким определением совместно проживающих партнеров. Отмена трехмесячного срока совместного проживания была связана с тем, что эм</w:t>
      </w:r>
      <w:r>
        <w:rPr>
          <w:spacing w:val="-3"/>
        </w:rPr>
        <w:t>о</w:t>
      </w:r>
      <w:r>
        <w:rPr>
          <w:spacing w:val="-3"/>
        </w:rPr>
        <w:t>циональный накал ранее совместно проживавших партнеров вряд ли спадет за три месяца, и она направлена на то, чтобы обеспечить защиту людей от насилия незав</w:t>
      </w:r>
      <w:r>
        <w:rPr>
          <w:spacing w:val="-3"/>
        </w:rPr>
        <w:t>и</w:t>
      </w:r>
      <w:r>
        <w:rPr>
          <w:spacing w:val="-3"/>
        </w:rPr>
        <w:t>симо от сроков судебного разбирательства, особенно в тех случаях, когда постоянные столкновения вполне в</w:t>
      </w:r>
      <w:r>
        <w:rPr>
          <w:spacing w:val="-3"/>
        </w:rPr>
        <w:t>е</w:t>
      </w:r>
      <w:r>
        <w:rPr>
          <w:spacing w:val="-3"/>
        </w:rPr>
        <w:t>роятны, например в случае наличия общих детей.</w:t>
      </w:r>
    </w:p>
    <w:p w:rsidR="00000000" w:rsidRDefault="00000000">
      <w:pPr>
        <w:pStyle w:val="SingleTxt"/>
      </w:pPr>
      <w:r>
        <w:rPr>
          <w:spacing w:val="-3"/>
        </w:rPr>
        <w:tab/>
      </w:r>
      <w:r>
        <w:rPr>
          <w:spacing w:val="-3"/>
        </w:rPr>
        <w:tab/>
        <w:t>Кроме того, в целях обеспечения более эффективного и действенного выполн</w:t>
      </w:r>
      <w:r>
        <w:rPr>
          <w:spacing w:val="-3"/>
        </w:rPr>
        <w:t>е</w:t>
      </w:r>
      <w:r>
        <w:rPr>
          <w:spacing w:val="-3"/>
        </w:rPr>
        <w:t xml:space="preserve">ния судебных запретов, выносимых в соответствии с пунктом 2 раздела </w:t>
      </w:r>
      <w:r>
        <w:t>382</w:t>
      </w:r>
      <w:r>
        <w:rPr>
          <w:lang w:val="en-US"/>
        </w:rPr>
        <w:t>b</w:t>
      </w:r>
      <w:r>
        <w:t xml:space="preserve"> ЕО, которые запрещают насильнику находиться или бывать в некоторых местах (запрет на пребывание, "запретные места"), закон ЕО от ноября 2003 года пр</w:t>
      </w:r>
      <w:r>
        <w:t>е</w:t>
      </w:r>
      <w:r>
        <w:t>дусматривает, что соблюдение этих запретов в будущем также может обеспеч</w:t>
      </w:r>
      <w:r>
        <w:t>и</w:t>
      </w:r>
      <w:r>
        <w:t>ваться государстве</w:t>
      </w:r>
      <w:r>
        <w:t>н</w:t>
      </w:r>
      <w:r>
        <w:t>ными правоохранительными органами.</w:t>
      </w:r>
    </w:p>
    <w:p w:rsidR="00000000" w:rsidRDefault="00000000">
      <w:pPr>
        <w:pStyle w:val="50"/>
      </w:pPr>
    </w:p>
    <w:p w:rsidR="00000000" w:rsidRDefault="00000000">
      <w:pPr>
        <w:pStyle w:val="50"/>
      </w:pPr>
    </w:p>
    <w:p w:rsidR="00000000" w:rsidRDefault="00000000">
      <w:pPr>
        <w:pStyle w:val="H23"/>
      </w:pPr>
      <w:r>
        <w:tab/>
      </w:r>
      <w:bookmarkStart w:id="72" w:name="_Toc97786670"/>
      <w:r>
        <w:rPr>
          <w:b w:val="0"/>
        </w:rPr>
        <w:t>Раздел 90 Уголовного кодекса Австрии</w:t>
      </w:r>
      <w:r>
        <w:t>: причинение увечий женским половым органам</w:t>
      </w:r>
      <w:bookmarkEnd w:id="72"/>
    </w:p>
    <w:p w:rsidR="00000000" w:rsidRDefault="00000000">
      <w:pPr>
        <w:pStyle w:val="SingleTxt"/>
      </w:pPr>
      <w:r>
        <w:tab/>
      </w:r>
      <w:r>
        <w:tab/>
        <w:t>В соответствии с пунктом 1 раздела 90 Уголовного кодекса Австрии пр</w:t>
      </w:r>
      <w:r>
        <w:t>и</w:t>
      </w:r>
      <w:r>
        <w:t>чинение телесных увечий или изъятие органов возможно только с согласия р</w:t>
      </w:r>
      <w:r>
        <w:t>а</w:t>
      </w:r>
      <w:r>
        <w:t>неного лица или лица, чья жизнь находится под угрозой, при условии, что т</w:t>
      </w:r>
      <w:r>
        <w:t>а</w:t>
      </w:r>
      <w:r>
        <w:t xml:space="preserve">кие увечья или угроза жизни сами по себе не являются преступлением против общественной морали и нравственности. </w:t>
      </w:r>
      <w:r>
        <w:tab/>
        <w:t>С другой стороны, в пункте 3, доба</w:t>
      </w:r>
      <w:r>
        <w:t>в</w:t>
      </w:r>
      <w:r>
        <w:t xml:space="preserve">ленным в Кодекс на основании </w:t>
      </w:r>
      <w:r>
        <w:rPr>
          <w:b/>
        </w:rPr>
        <w:t>Закона 2001 года о внесении поправок в Уг</w:t>
      </w:r>
      <w:r>
        <w:rPr>
          <w:b/>
        </w:rPr>
        <w:t>о</w:t>
      </w:r>
      <w:r>
        <w:rPr>
          <w:b/>
        </w:rPr>
        <w:t>ловный кодекс</w:t>
      </w:r>
      <w:r>
        <w:t>, предусматривается, что лицо не может давать согласие на причинение увечий или иных повреждений половым органам, предназначе</w:t>
      </w:r>
      <w:r>
        <w:t>н</w:t>
      </w:r>
      <w:r>
        <w:t>ных для того, чтобы навсегда лишить человека полового влечения. Поэтому любое согласие на калечащую практику, широко известную под названием "</w:t>
      </w:r>
      <w:r>
        <w:rPr>
          <w:b/>
        </w:rPr>
        <w:t>причинение увечий (женским) половым органам</w:t>
      </w:r>
      <w:r>
        <w:t>", всегда считается нез</w:t>
      </w:r>
      <w:r>
        <w:t>а</w:t>
      </w:r>
      <w:r>
        <w:t>конным. Лишив такое действие основы в виде добровольного согласия, новый пункт четко дал понять, что такие калечащие операции на половых органах во всех случаях являются преступлением против общественной морали и нравс</w:t>
      </w:r>
      <w:r>
        <w:t>т</w:t>
      </w:r>
      <w:r>
        <w:t>венности и тем самым преследуются по закону (см. также раздел настоящего доклада, касающийся рекоменд</w:t>
      </w:r>
      <w:r>
        <w:t>а</w:t>
      </w:r>
      <w:r>
        <w:t>ции 229).</w:t>
      </w:r>
    </w:p>
    <w:p w:rsidR="00000000" w:rsidRDefault="00000000">
      <w:pPr>
        <w:pStyle w:val="50"/>
      </w:pPr>
    </w:p>
    <w:p w:rsidR="00000000" w:rsidRDefault="00000000">
      <w:pPr>
        <w:pStyle w:val="50"/>
      </w:pPr>
    </w:p>
    <w:p w:rsidR="00000000" w:rsidRDefault="00000000">
      <w:pPr>
        <w:pStyle w:val="H23"/>
      </w:pPr>
      <w:r>
        <w:tab/>
      </w:r>
      <w:bookmarkStart w:id="73" w:name="_Toc97786671"/>
      <w:r>
        <w:t>Ужесточение наказаний за половые преступления</w:t>
      </w:r>
      <w:bookmarkEnd w:id="73"/>
    </w:p>
    <w:p w:rsidR="00000000" w:rsidRDefault="00000000">
      <w:pPr>
        <w:pStyle w:val="SingleTxt"/>
      </w:pPr>
      <w:r>
        <w:t>С учетом того, что по данным доклада о преступности, подготовленного Фед</w:t>
      </w:r>
      <w:r>
        <w:t>е</w:t>
      </w:r>
      <w:r>
        <w:t>ральным министерством внутренних дел за 2002 год, примерно 96 процентов жертв изнасилования и около 79 процентов жертв насилия в отношении детей были женщинами или девушками, положения уголовного законодательства, к</w:t>
      </w:r>
      <w:r>
        <w:t>а</w:t>
      </w:r>
      <w:r>
        <w:t>сающиеся изнасилования и, в частности, сексуального насилия в отношении детей, можно трактовать как положения о защите лиц женского пола от нас</w:t>
      </w:r>
      <w:r>
        <w:t>и</w:t>
      </w:r>
      <w:r>
        <w:t>лия и дискриминации. За отчетный период благодаря Закону 2001 года о внес</w:t>
      </w:r>
      <w:r>
        <w:t>е</w:t>
      </w:r>
      <w:r>
        <w:t>нии поправок в Уголовный кодекс наказания за изнасилование и акты секс</w:t>
      </w:r>
      <w:r>
        <w:t>у</w:t>
      </w:r>
      <w:r>
        <w:t>ального насилия при отягчающих обстоятельствах в отношении детей с л</w:t>
      </w:r>
      <w:r>
        <w:t>е</w:t>
      </w:r>
      <w:r>
        <w:t>тальным исходом уже были ужесточены, и теперь лица, виновные в соверш</w:t>
      </w:r>
      <w:r>
        <w:t>е</w:t>
      </w:r>
      <w:r>
        <w:t>нии указанных выше преступлений, могут быть приговорены к пожизненному заключению (которое уже предусмотрено за ограбление в сочетании с убийс</w:t>
      </w:r>
      <w:r>
        <w:t>т</w:t>
      </w:r>
      <w:r>
        <w:t>вом).</w:t>
      </w:r>
    </w:p>
    <w:p w:rsidR="00000000" w:rsidRDefault="00000000">
      <w:pPr>
        <w:pStyle w:val="50"/>
      </w:pPr>
    </w:p>
    <w:p w:rsidR="00000000" w:rsidRDefault="00000000">
      <w:pPr>
        <w:pStyle w:val="50"/>
      </w:pPr>
    </w:p>
    <w:p w:rsidR="00000000" w:rsidRDefault="00000000">
      <w:pPr>
        <w:pStyle w:val="H23"/>
      </w:pPr>
      <w:r>
        <w:tab/>
      </w:r>
      <w:bookmarkStart w:id="74" w:name="_Toc97786672"/>
      <w:r>
        <w:t>Закон 2004 года о внесении поправок в Уголовный кодекс</w:t>
      </w:r>
      <w:bookmarkEnd w:id="74"/>
    </w:p>
    <w:p w:rsidR="00000000" w:rsidRDefault="00000000">
      <w:pPr>
        <w:pStyle w:val="SingleTxt"/>
      </w:pPr>
      <w:r>
        <w:tab/>
      </w:r>
      <w:r>
        <w:tab/>
        <w:t>Благодаря повышенному вниманию, уделяемому в последнее время ли</w:t>
      </w:r>
      <w:r>
        <w:t>ч</w:t>
      </w:r>
      <w:r>
        <w:t>ности человека и его праву на сексуальное самоопределение, попустительское отношение, которое правоохранительные органы раньше проявляли к изнас</w:t>
      </w:r>
      <w:r>
        <w:t>и</w:t>
      </w:r>
      <w:r>
        <w:t>лованию и принуждению к сожительству в официально зарегистрированном или гражданском браке, было полностью изжито. Дальнейшие меры по осущ</w:t>
      </w:r>
      <w:r>
        <w:t>е</w:t>
      </w:r>
      <w:r>
        <w:t>ствлению положений вышеуказанного Закона 2004 года о внесении поправок в Уголовный кодекс, касающиеся расширения определений преступлений и уж</w:t>
      </w:r>
      <w:r>
        <w:t>е</w:t>
      </w:r>
      <w:r>
        <w:t>сточения наказаний, включают в себя сл</w:t>
      </w:r>
      <w:r>
        <w:t>е</w:t>
      </w:r>
      <w:r>
        <w:t>дующее.</w:t>
      </w:r>
    </w:p>
    <w:p w:rsidR="00000000" w:rsidRDefault="00000000">
      <w:pPr>
        <w:pStyle w:val="SingleTxt"/>
      </w:pPr>
      <w:r>
        <w:tab/>
      </w:r>
      <w:r>
        <w:tab/>
        <w:t>Использование нейтральных с гендерной точки зрения формулировок для положения, закрепленного в разделе 100 Уголовного кодекса ("похищение не давшей своего согласия или беззащитной женщины"), и отказ от признания п</w:t>
      </w:r>
      <w:r>
        <w:t>о</w:t>
      </w:r>
      <w:r>
        <w:t>следующего брака в качестве основания для освобождения от наказания.</w:t>
      </w:r>
    </w:p>
    <w:p w:rsidR="00000000" w:rsidRDefault="00000000">
      <w:pPr>
        <w:pStyle w:val="dot"/>
      </w:pPr>
      <w:r>
        <w:sym w:font="Symbol" w:char="F0B7"/>
      </w:r>
      <w:r>
        <w:tab/>
        <w:t>Отмена различия между изнасилованием с применением значител</w:t>
      </w:r>
      <w:r>
        <w:t>ь</w:t>
      </w:r>
      <w:r>
        <w:t>ной силы и/или с серьезной угрозой для жизни и здоровья, с одной стороны, и изнасилованием с применением меньшей силы, незако</w:t>
      </w:r>
      <w:r>
        <w:t>н</w:t>
      </w:r>
      <w:r>
        <w:t>ного лишения свободы передвижения и/или угрозы для жизни и зд</w:t>
      </w:r>
      <w:r>
        <w:t>о</w:t>
      </w:r>
      <w:r>
        <w:t>ровья, с другой, путем объединения пунктов 1 и 2 раздела 201 исправленного Уголо</w:t>
      </w:r>
      <w:r>
        <w:t>в</w:t>
      </w:r>
      <w:r>
        <w:t>ного кодекса.</w:t>
      </w:r>
    </w:p>
    <w:p w:rsidR="00000000" w:rsidRDefault="00000000">
      <w:pPr>
        <w:pStyle w:val="dot"/>
      </w:pPr>
      <w:r>
        <w:sym w:font="Symbol" w:char="F0B7"/>
      </w:r>
      <w:r>
        <w:tab/>
        <w:t>Ужесточения наказания за принуждение к сожительству согласно разделу 202 Уголовного кодекса с трех до пяти лет лишения свободы.</w:t>
      </w:r>
    </w:p>
    <w:p w:rsidR="00000000" w:rsidRDefault="00000000">
      <w:pPr>
        <w:pStyle w:val="dot"/>
      </w:pPr>
      <w:r>
        <w:sym w:font="Symbol" w:char="F0B7"/>
      </w:r>
      <w:r>
        <w:tab/>
        <w:t>Принятие четкого положения о запрете сексуальных домогательств (раздел 218 Уголовного кодекса с поправками, внесенными в него на основании Закона 2004 года о внесении поправок в Уголовный к</w:t>
      </w:r>
      <w:r>
        <w:t>о</w:t>
      </w:r>
      <w:r>
        <w:t>декс), направленного на защиту людей от нежелательных действий сексуального характера и не предусматривающего, что эти акты об</w:t>
      </w:r>
      <w:r>
        <w:t>я</w:t>
      </w:r>
      <w:r>
        <w:t>зательно должны были сопровождаться насилием или совершаться в общ</w:t>
      </w:r>
      <w:r>
        <w:t>е</w:t>
      </w:r>
      <w:r>
        <w:t>ственном месте.</w:t>
      </w:r>
    </w:p>
    <w:p w:rsidR="00000000" w:rsidRDefault="00000000">
      <w:pPr>
        <w:pStyle w:val="SingleTxt"/>
      </w:pPr>
      <w:r>
        <w:tab/>
      </w:r>
      <w:r>
        <w:tab/>
        <w:t>В заключение, говоря о Законе 2001 года о внесении поправок в Уголо</w:t>
      </w:r>
      <w:r>
        <w:t>в</w:t>
      </w:r>
      <w:r>
        <w:t>ный кодекс, следует также упомянуть о том, что исключение из числа уголовно наказуемых деяний правонарушения, связанного с оставлением детей их род</w:t>
      </w:r>
      <w:r>
        <w:t>и</w:t>
      </w:r>
      <w:r>
        <w:t>телями, в соответствии с разделом 197 Уголовного кодекса обеспечило во</w:t>
      </w:r>
      <w:r>
        <w:t>з</w:t>
      </w:r>
      <w:r>
        <w:t>можность создать такие механизмы, как "приемники для детей" или "дома безопасн</w:t>
      </w:r>
      <w:r>
        <w:t>о</w:t>
      </w:r>
      <w:r>
        <w:t>сти" для брошенных детей.</w:t>
      </w:r>
    </w:p>
    <w:p w:rsidR="00000000" w:rsidRDefault="00000000">
      <w:pPr>
        <w:pStyle w:val="50"/>
      </w:pPr>
    </w:p>
    <w:p w:rsidR="00000000" w:rsidRDefault="00000000">
      <w:pPr>
        <w:pStyle w:val="50"/>
      </w:pPr>
    </w:p>
    <w:p w:rsidR="00000000" w:rsidRDefault="00000000">
      <w:pPr>
        <w:pStyle w:val="H1"/>
      </w:pPr>
      <w:r>
        <w:tab/>
      </w:r>
      <w:bookmarkStart w:id="75" w:name="_Toc97786673"/>
      <w:r>
        <w:t>Статья 3</w:t>
      </w:r>
      <w:bookmarkEnd w:id="75"/>
    </w:p>
    <w:p w:rsidR="00000000" w:rsidRDefault="00000000">
      <w:pPr>
        <w:pStyle w:val="50"/>
        <w:keepNext/>
      </w:pPr>
    </w:p>
    <w:p w:rsidR="00000000" w:rsidRDefault="00000000">
      <w:pPr>
        <w:pStyle w:val="50"/>
        <w:keepNext/>
      </w:pPr>
    </w:p>
    <w:p w:rsidR="00000000" w:rsidRDefault="00000000">
      <w:pPr>
        <w:pStyle w:val="H23"/>
      </w:pPr>
      <w:r>
        <w:tab/>
      </w:r>
      <w:bookmarkStart w:id="76" w:name="_Toc97786674"/>
      <w:r>
        <w:t>Законодательство</w:t>
      </w:r>
      <w:bookmarkEnd w:id="76"/>
    </w:p>
    <w:p w:rsidR="00000000" w:rsidRDefault="00000000">
      <w:pPr>
        <w:pStyle w:val="SingleTxt"/>
      </w:pPr>
      <w:r>
        <w:tab/>
      </w:r>
      <w:r>
        <w:tab/>
        <w:t>За отчетный период австрийские представители от имени Австрийской Республики принимали участие в работе Европейского суда по правам челов</w:t>
      </w:r>
      <w:r>
        <w:t>е</w:t>
      </w:r>
      <w:r>
        <w:t>ка, а также рабочих групп, сформированных под эгидой Совета Европы, Евр</w:t>
      </w:r>
      <w:r>
        <w:t>о</w:t>
      </w:r>
      <w:r>
        <w:t>пейских сообществ и Организации Объединенных Наций, внеся тем самым в</w:t>
      </w:r>
      <w:r>
        <w:t>е</w:t>
      </w:r>
      <w:r>
        <w:t xml:space="preserve">сомый вклад в дальнейшую разработку </w:t>
      </w:r>
      <w:r>
        <w:rPr>
          <w:b/>
        </w:rPr>
        <w:t>норм в области прав человека</w:t>
      </w:r>
      <w:r>
        <w:t>.</w:t>
      </w:r>
    </w:p>
    <w:p w:rsidR="00000000" w:rsidRDefault="00000000">
      <w:pPr>
        <w:pStyle w:val="SingleTxt"/>
      </w:pPr>
      <w:r>
        <w:tab/>
      </w:r>
      <w:r>
        <w:tab/>
        <w:t xml:space="preserve">В отчетный период был введен в действие (или пересмотрен) целый ряд </w:t>
      </w:r>
      <w:r>
        <w:rPr>
          <w:b/>
        </w:rPr>
        <w:t>законов о средствах массовой информации</w:t>
      </w:r>
      <w:r>
        <w:t>, предусматривающих запрет ди</w:t>
      </w:r>
      <w:r>
        <w:t>с</w:t>
      </w:r>
      <w:r>
        <w:t>криминации по признаку пола. Так, и Федеральный закон об австрийской р</w:t>
      </w:r>
      <w:r>
        <w:t>а</w:t>
      </w:r>
      <w:r>
        <w:t xml:space="preserve">диовещательной корпорации (закон об АРК) (Бюллетень официальных законов, часть </w:t>
      </w:r>
      <w:r>
        <w:rPr>
          <w:lang w:val="en-US"/>
        </w:rPr>
        <w:t>I</w:t>
      </w:r>
      <w:r>
        <w:t>, № 397/1984 с поправками, внесенными в него в Бюллетене официал</w:t>
      </w:r>
      <w:r>
        <w:t>ь</w:t>
      </w:r>
      <w:r>
        <w:t xml:space="preserve">ных законов, часть </w:t>
      </w:r>
      <w:r>
        <w:rPr>
          <w:lang w:val="en-US"/>
        </w:rPr>
        <w:t>I</w:t>
      </w:r>
      <w:r>
        <w:t xml:space="preserve">, №№, соответственно, 83/2001 и 100/2002; раздел 10, пункт 2) и Закон о частном радиовещании (Бюллетень официальных законов, часть </w:t>
      </w:r>
      <w:r>
        <w:rPr>
          <w:lang w:val="en-US"/>
        </w:rPr>
        <w:t>I</w:t>
      </w:r>
      <w:r>
        <w:t>, № 20/2001 с поправками, внесенными в него в Бюллетене официал</w:t>
      </w:r>
      <w:r>
        <w:t>ь</w:t>
      </w:r>
      <w:r>
        <w:t xml:space="preserve">ных законов, часть </w:t>
      </w:r>
      <w:r>
        <w:rPr>
          <w:lang w:val="en-US"/>
        </w:rPr>
        <w:t>I</w:t>
      </w:r>
      <w:r>
        <w:t>, № 136/2001; раздел 16, пункт 4), а также Закон о частном телевидении (раздел 31, пункт 2) предусматривают, что передачи не должны подстрекать других людей к вражде, в частности по признаку пола, и что с то</w:t>
      </w:r>
      <w:r>
        <w:t>ч</w:t>
      </w:r>
      <w:r>
        <w:t>ки зрения подачи материала и содержания передачи должны уважать человеч</w:t>
      </w:r>
      <w:r>
        <w:t>е</w:t>
      </w:r>
      <w:r>
        <w:t xml:space="preserve">ское достоинство и основные права других людей. Что касается рекламы, то в подпункте 2 пункта 1 раздела 14 Закона об АРК и пункте 2 раздела 37 Закона о частном телевидении (Бюллетень официальных законов, часть </w:t>
      </w:r>
      <w:r>
        <w:rPr>
          <w:lang w:val="en-US"/>
        </w:rPr>
        <w:t>I</w:t>
      </w:r>
      <w:r>
        <w:t xml:space="preserve">, № 84/2001 с поправками, внесенными в него в Бюллетене официальных законов, часть </w:t>
      </w:r>
      <w:r>
        <w:rPr>
          <w:lang w:val="en-US"/>
        </w:rPr>
        <w:t>I</w:t>
      </w:r>
      <w:r>
        <w:t>, № 71/2003) содержится положение о том, что рекламные передачи и программы из рубрики "Покупки по телевидению" не должны содержать никаких проявл</w:t>
      </w:r>
      <w:r>
        <w:t>е</w:t>
      </w:r>
      <w:r>
        <w:t>ний дискриминации, в ч</w:t>
      </w:r>
      <w:r>
        <w:t>а</w:t>
      </w:r>
      <w:r>
        <w:t>стности по признаку пола.</w:t>
      </w:r>
    </w:p>
    <w:p w:rsidR="00000000" w:rsidRDefault="00000000">
      <w:pPr>
        <w:pStyle w:val="50"/>
      </w:pPr>
    </w:p>
    <w:p w:rsidR="00000000" w:rsidRDefault="00000000">
      <w:pPr>
        <w:pStyle w:val="50"/>
      </w:pPr>
    </w:p>
    <w:p w:rsidR="00000000" w:rsidRDefault="00000000">
      <w:pPr>
        <w:pStyle w:val="H23"/>
      </w:pPr>
      <w:r>
        <w:tab/>
      </w:r>
      <w:bookmarkStart w:id="77" w:name="_Toc97786675"/>
      <w:r>
        <w:t>Искусство</w:t>
      </w:r>
      <w:bookmarkEnd w:id="77"/>
    </w:p>
    <w:p w:rsidR="00000000" w:rsidRDefault="00000000">
      <w:pPr>
        <w:pStyle w:val="SingleTxt"/>
      </w:pPr>
      <w:r>
        <w:tab/>
      </w:r>
      <w:r>
        <w:tab/>
        <w:t>В целях улучшения социального положения женщин, работающих по св</w:t>
      </w:r>
      <w:r>
        <w:t>о</w:t>
      </w:r>
      <w:r>
        <w:t>бодному графику в сфере искусства, в 1990 году было введено пособие, выпл</w:t>
      </w:r>
      <w:r>
        <w:t>а</w:t>
      </w:r>
      <w:r>
        <w:t>чиваемое взамен предоставления отпуска по уходу за детьми, а также пособие, аналогичное пособию по уходу за детьми, выплачиваемое из Фонда помощи деятелям искусств. Эта модель финансирования была ликвидирована с введ</w:t>
      </w:r>
      <w:r>
        <w:t>е</w:t>
      </w:r>
      <w:r>
        <w:t>нием с 1 января 2002 года единого пособия на детей, право на получение кот</w:t>
      </w:r>
      <w:r>
        <w:t>о</w:t>
      </w:r>
      <w:r>
        <w:t>рого также имеют деятели искусства.</w:t>
      </w:r>
    </w:p>
    <w:p w:rsidR="00000000" w:rsidRDefault="00000000">
      <w:pPr>
        <w:pStyle w:val="50"/>
      </w:pPr>
    </w:p>
    <w:p w:rsidR="00000000" w:rsidRDefault="00000000">
      <w:pPr>
        <w:pStyle w:val="50"/>
      </w:pPr>
    </w:p>
    <w:p w:rsidR="00000000" w:rsidRDefault="00000000">
      <w:pPr>
        <w:pStyle w:val="H4"/>
        <w:rPr>
          <w:b/>
          <w:i w:val="0"/>
        </w:rPr>
      </w:pPr>
      <w:r>
        <w:rPr>
          <w:b/>
          <w:i w:val="0"/>
        </w:rPr>
        <w:t>Гранты и субсидии, предоставляемые женщинам-деятелям искусства</w:t>
      </w:r>
    </w:p>
    <w:p w:rsidR="00000000" w:rsidRDefault="00000000">
      <w:pPr>
        <w:pStyle w:val="SingleTxt"/>
      </w:pPr>
      <w:r>
        <w:tab/>
      </w:r>
      <w:r>
        <w:tab/>
        <w:t xml:space="preserve">Правовой основой для </w:t>
      </w:r>
      <w:r>
        <w:rPr>
          <w:b/>
        </w:rPr>
        <w:t>финансирования искусства</w:t>
      </w:r>
      <w:r>
        <w:t xml:space="preserve"> является </w:t>
      </w:r>
      <w:r>
        <w:rPr>
          <w:b/>
        </w:rPr>
        <w:t>Федерал</w:t>
      </w:r>
      <w:r>
        <w:rPr>
          <w:b/>
        </w:rPr>
        <w:t>ь</w:t>
      </w:r>
      <w:r>
        <w:rPr>
          <w:b/>
        </w:rPr>
        <w:t>ный закон 1988 года о финансировании искусства</w:t>
      </w:r>
      <w:r>
        <w:t xml:space="preserve"> (Бюллетень официальных законов, № 146/1988 с поправками, внесенными в него в Бюллетене официал</w:t>
      </w:r>
      <w:r>
        <w:t>ь</w:t>
      </w:r>
      <w:r>
        <w:t xml:space="preserve">ных законов, часть </w:t>
      </w:r>
      <w:r>
        <w:rPr>
          <w:lang w:val="en-US"/>
        </w:rPr>
        <w:t>I</w:t>
      </w:r>
      <w:r>
        <w:t xml:space="preserve">, № 95/1997 и Бюллетень официальных законов, часть </w:t>
      </w:r>
      <w:r>
        <w:rPr>
          <w:lang w:val="en-US"/>
        </w:rPr>
        <w:t>I</w:t>
      </w:r>
      <w:r>
        <w:t>, № 132/2000), в котором предусматривается, что средства на развитие художес</w:t>
      </w:r>
      <w:r>
        <w:t>т</w:t>
      </w:r>
      <w:r>
        <w:t>венной, творческой и рекламной деятельности в Австрии должны выделяться из государственного бюджета. Гранты присуждаются выдающимся и новато</w:t>
      </w:r>
      <w:r>
        <w:t>р</w:t>
      </w:r>
      <w:r>
        <w:t>ским проектам и представляющим международный интерес проектам, отбор которых производится согласно критериям качества. Одним из исключений из общего правила является программа финансирования Департамента культу</w:t>
      </w:r>
      <w:r>
        <w:t>р</w:t>
      </w:r>
      <w:r>
        <w:t>ных инициатив федерального правительства, которая была организована на о</w:t>
      </w:r>
      <w:r>
        <w:t>с</w:t>
      </w:r>
      <w:r>
        <w:t>нове единогласно принятого в 1990 году предложения о поощрении художес</w:t>
      </w:r>
      <w:r>
        <w:t>т</w:t>
      </w:r>
      <w:r>
        <w:t>венной и культурной деятельности, которая не пользуется достаточным вним</w:t>
      </w:r>
      <w:r>
        <w:t>а</w:t>
      </w:r>
      <w:r>
        <w:t>нием в других областях федерального финансирования искусства. В рамках этого сектора финансирования особое значение отводится проектам, напра</w:t>
      </w:r>
      <w:r>
        <w:t>в</w:t>
      </w:r>
      <w:r>
        <w:t>ленным на привлечение социально уязвимых групп, в том числе женщин, к культурной жизни; гранты и субсидии выделяются на женские культурные проекты в целях содействия культурной самореализации женщин, привлечения внимания к темам, волнующим женщин, и расширения их участия в социал</w:t>
      </w:r>
      <w:r>
        <w:t>ь</w:t>
      </w:r>
      <w:r>
        <w:t>ной и культу</w:t>
      </w:r>
      <w:r>
        <w:t>р</w:t>
      </w:r>
      <w:r>
        <w:t>ной жизни.</w:t>
      </w:r>
    </w:p>
    <w:p w:rsidR="00000000" w:rsidRDefault="00000000">
      <w:pPr>
        <w:pStyle w:val="SingleTxt"/>
      </w:pPr>
      <w:r>
        <w:tab/>
      </w:r>
      <w:r>
        <w:tab/>
        <w:t>В 1997 году был проведен анализ распределения финансовых средств по половому признаку (см. Федеральный доклад о сфере искусства за 1997 год), результаты которого показали, что приблизительно 50 процентов грантов и субсидий целенаправленно выделяется по признаку пола (гранты частным л</w:t>
      </w:r>
      <w:r>
        <w:t>и</w:t>
      </w:r>
      <w:r>
        <w:t>цам, финансирование ассоциаций, в которые входят представители определе</w:t>
      </w:r>
      <w:r>
        <w:t>н</w:t>
      </w:r>
      <w:r>
        <w:t>ного пола) и что женщинам выделяется лишь 20 процентов от этих средств. Однако с финансовой точки зрения, средства, выделяемые женщинам, соста</w:t>
      </w:r>
      <w:r>
        <w:t>в</w:t>
      </w:r>
      <w:r>
        <w:t>ляют лишь 2,3 процента от общей суммы бюджета. Несмотря на то, что более свежих данных по этой теме в настоящее время не имеется, на основе имеющ</w:t>
      </w:r>
      <w:r>
        <w:t>е</w:t>
      </w:r>
      <w:r>
        <w:t>гося опыта можно предположить, что показатели 1997 года отражают тенде</w:t>
      </w:r>
      <w:r>
        <w:t>н</w:t>
      </w:r>
      <w:r>
        <w:t>ции, которые наблюдались и в отчетный период.</w:t>
      </w:r>
    </w:p>
    <w:p w:rsidR="00000000" w:rsidRDefault="00000000">
      <w:pPr>
        <w:pStyle w:val="SingleTxt"/>
      </w:pPr>
      <w:r>
        <w:tab/>
      </w:r>
      <w:r>
        <w:tab/>
        <w:t>Помимо грантов, предоставляемых частным лицам, еще одним примером финансирования, целенаправленно выделяемого женщинам-деятелям искусс</w:t>
      </w:r>
      <w:r>
        <w:t>т</w:t>
      </w:r>
      <w:r>
        <w:t xml:space="preserve">ва, является </w:t>
      </w:r>
      <w:r>
        <w:rPr>
          <w:b/>
        </w:rPr>
        <w:t>финансовая поддержка женских культурных ассоциаций</w:t>
      </w:r>
      <w:r>
        <w:t>. С</w:t>
      </w:r>
      <w:r>
        <w:t>о</w:t>
      </w:r>
      <w:r>
        <w:t>гласно программе выделения грантов на издательскую деятельность, помощь предоставляется австрийскому издательскому дому "Милена верлаг", который публикует книги, написанные австрийскими женщинами, а также книги по женской проблематике.</w:t>
      </w:r>
    </w:p>
    <w:p w:rsidR="00000000" w:rsidRDefault="00000000">
      <w:pPr>
        <w:pStyle w:val="SingleTxt"/>
      </w:pPr>
      <w:r>
        <w:tab/>
      </w:r>
      <w:r>
        <w:tab/>
        <w:t xml:space="preserve">В рамках программы финансирования </w:t>
      </w:r>
      <w:r>
        <w:rPr>
          <w:b/>
        </w:rPr>
        <w:t>культурных инициатив финанс</w:t>
      </w:r>
      <w:r>
        <w:rPr>
          <w:b/>
        </w:rPr>
        <w:t>о</w:t>
      </w:r>
      <w:r>
        <w:rPr>
          <w:b/>
        </w:rPr>
        <w:t>вая поддержка</w:t>
      </w:r>
      <w:r>
        <w:t xml:space="preserve"> оказывается различным культурным проектам женщин и, соо</w:t>
      </w:r>
      <w:r>
        <w:t>т</w:t>
      </w:r>
      <w:r>
        <w:t>ветственно, инициативам, направленным на повышение общественного статуса женщин-деятелей искусства, таким как культурные проекты, семинары и сов</w:t>
      </w:r>
      <w:r>
        <w:t>е</w:t>
      </w:r>
      <w:r>
        <w:t>щания, которые могут способствовать совершенствованию навыков женщин.</w:t>
      </w:r>
    </w:p>
    <w:p w:rsidR="00000000" w:rsidRDefault="00000000">
      <w:pPr>
        <w:pStyle w:val="50"/>
      </w:pPr>
    </w:p>
    <w:p w:rsidR="00000000" w:rsidRDefault="00000000">
      <w:pPr>
        <w:pStyle w:val="50"/>
      </w:pPr>
    </w:p>
    <w:p w:rsidR="00000000" w:rsidRDefault="00000000">
      <w:pPr>
        <w:pStyle w:val="H4"/>
        <w:rPr>
          <w:b/>
          <w:i w:val="0"/>
        </w:rPr>
      </w:pPr>
      <w:r>
        <w:rPr>
          <w:b/>
          <w:i w:val="0"/>
        </w:rPr>
        <w:t>Женщины-эксперты в рамках процедуры отбора</w:t>
      </w:r>
    </w:p>
    <w:p w:rsidR="00000000" w:rsidRDefault="00000000">
      <w:pPr>
        <w:pStyle w:val="SingleTxt"/>
      </w:pPr>
      <w:r>
        <w:tab/>
      </w:r>
      <w:r>
        <w:tab/>
        <w:t>В знак официального признания и в качестве косвенной меры по улучш</w:t>
      </w:r>
      <w:r>
        <w:t>е</w:t>
      </w:r>
      <w:r>
        <w:t xml:space="preserve">нию положения женщин в сфере искусства все большее число </w:t>
      </w:r>
      <w:r>
        <w:rPr>
          <w:b/>
        </w:rPr>
        <w:t>женщин-экспертов</w:t>
      </w:r>
      <w:r>
        <w:t xml:space="preserve"> назначаются координаторами присуждения международных премий и включаются </w:t>
      </w:r>
      <w:r>
        <w:rPr>
          <w:b/>
        </w:rPr>
        <w:t>в состав жюри и ко</w:t>
      </w:r>
      <w:r>
        <w:rPr>
          <w:b/>
        </w:rPr>
        <w:t>н</w:t>
      </w:r>
      <w:r>
        <w:rPr>
          <w:b/>
        </w:rPr>
        <w:t>сультативных советов</w:t>
      </w:r>
      <w:r>
        <w:t>. В период 2001-2003 годов доля женщин в составе таких консультативных органов составляла 53 пр</w:t>
      </w:r>
      <w:r>
        <w:t>о</w:t>
      </w:r>
      <w:r>
        <w:t>цента.</w:t>
      </w:r>
    </w:p>
    <w:p w:rsidR="00000000" w:rsidRDefault="00000000">
      <w:pPr>
        <w:pStyle w:val="50"/>
      </w:pPr>
    </w:p>
    <w:p w:rsidR="00000000" w:rsidRDefault="00000000">
      <w:pPr>
        <w:pStyle w:val="50"/>
      </w:pPr>
    </w:p>
    <w:p w:rsidR="00000000" w:rsidRDefault="00000000">
      <w:pPr>
        <w:pStyle w:val="H4"/>
        <w:rPr>
          <w:b/>
          <w:i w:val="0"/>
        </w:rPr>
      </w:pPr>
      <w:r>
        <w:rPr>
          <w:b/>
          <w:i w:val="0"/>
        </w:rPr>
        <w:t>Присуждение премии им. Кати Лейхтер за 2000 год</w:t>
      </w:r>
    </w:p>
    <w:p w:rsidR="00000000" w:rsidRDefault="00000000">
      <w:pPr>
        <w:pStyle w:val="SingleTxt"/>
      </w:pPr>
      <w:r>
        <w:tab/>
      </w:r>
      <w:r>
        <w:tab/>
        <w:t>Эта австрийская национальная премия в области истории участия женщин в профсоюзном движении присуждается в знак признания особых достижений в области исследований женской проблематики и просветительской деятельн</w:t>
      </w:r>
      <w:r>
        <w:t>о</w:t>
      </w:r>
      <w:r>
        <w:t>сти, касающейся участия женщин в профсоюзном движении и истории женской трудовой деятельности и женского движения. В 2000 году премии им. Кати Лейхтер были удостоены пять женщин.</w:t>
      </w:r>
    </w:p>
    <w:p w:rsidR="00000000" w:rsidRDefault="00000000">
      <w:pPr>
        <w:pStyle w:val="50"/>
      </w:pPr>
    </w:p>
    <w:p w:rsidR="00000000" w:rsidRDefault="00000000">
      <w:pPr>
        <w:pStyle w:val="50"/>
      </w:pPr>
    </w:p>
    <w:p w:rsidR="00000000" w:rsidRDefault="00000000">
      <w:pPr>
        <w:pStyle w:val="H23"/>
      </w:pPr>
      <w:r>
        <w:tab/>
      </w:r>
      <w:bookmarkStart w:id="78" w:name="_Toc97786676"/>
      <w:r>
        <w:t>Территориальное планирование и региональная политика</w:t>
      </w:r>
      <w:bookmarkEnd w:id="78"/>
    </w:p>
    <w:p w:rsidR="00000000" w:rsidRDefault="00000000">
      <w:pPr>
        <w:pStyle w:val="SingleTxt"/>
      </w:pPr>
      <w:r>
        <w:tab/>
      </w:r>
      <w:r>
        <w:tab/>
        <w:t xml:space="preserve">В 2003 году группа ученых и исследователей, специализирующихся на географии и региональных исследованиях, экономике сельского хозяйства и социологии, по поручению федеральной канцелярии подготовили исследование под названием </w:t>
      </w:r>
      <w:r>
        <w:rPr>
          <w:b/>
        </w:rPr>
        <w:t>"Основные принципы регионального развития с учетом гендерного фактора"</w:t>
      </w:r>
      <w:r>
        <w:t>.</w:t>
      </w:r>
      <w:r>
        <w:rPr>
          <w:rStyle w:val="FootnoteReference"/>
          <w:spacing w:val="-3"/>
        </w:rPr>
        <w:footnoteReference w:id="5"/>
      </w:r>
      <w:r>
        <w:t xml:space="preserve"> В настоящее время по поручению Австрийской конф</w:t>
      </w:r>
      <w:r>
        <w:t>е</w:t>
      </w:r>
      <w:r>
        <w:t>ренции по территориальному планированию (Ö</w:t>
      </w:r>
      <w:r>
        <w:rPr>
          <w:lang w:val="en-US"/>
        </w:rPr>
        <w:t>ROK</w:t>
      </w:r>
      <w:r>
        <w:t>) проводится исследов</w:t>
      </w:r>
      <w:r>
        <w:t>а</w:t>
      </w:r>
      <w:r>
        <w:t xml:space="preserve">ние, озаглавленное </w:t>
      </w:r>
      <w:r>
        <w:rPr>
          <w:b/>
        </w:rPr>
        <w:t>"Учет гендерного фактора в программах по выполн</w:t>
      </w:r>
      <w:r>
        <w:rPr>
          <w:b/>
        </w:rPr>
        <w:t>е</w:t>
      </w:r>
      <w:r>
        <w:rPr>
          <w:b/>
        </w:rPr>
        <w:t>нию региональных з</w:t>
      </w:r>
      <w:r>
        <w:rPr>
          <w:b/>
        </w:rPr>
        <w:t>а</w:t>
      </w:r>
      <w:r>
        <w:rPr>
          <w:b/>
        </w:rPr>
        <w:t>дач 1 и 2 ЕС"</w:t>
      </w:r>
      <w:r>
        <w:t>.</w:t>
      </w:r>
    </w:p>
    <w:p w:rsidR="00000000" w:rsidRDefault="00000000">
      <w:pPr>
        <w:pStyle w:val="50"/>
      </w:pPr>
    </w:p>
    <w:p w:rsidR="00000000" w:rsidRDefault="00000000">
      <w:pPr>
        <w:pStyle w:val="50"/>
      </w:pPr>
    </w:p>
    <w:p w:rsidR="00000000" w:rsidRDefault="00000000">
      <w:pPr>
        <w:pStyle w:val="H23"/>
      </w:pPr>
      <w:r>
        <w:tab/>
      </w:r>
      <w:bookmarkStart w:id="79" w:name="_Toc97786677"/>
      <w:r>
        <w:t>Меры по улучшению положения женщин в контексте осуществляемого Австрией сотрудничества в ц</w:t>
      </w:r>
      <w:r>
        <w:t>е</w:t>
      </w:r>
      <w:r>
        <w:t>лях развития</w:t>
      </w:r>
      <w:bookmarkEnd w:id="79"/>
    </w:p>
    <w:p w:rsidR="00000000" w:rsidRDefault="00000000">
      <w:pPr>
        <w:pStyle w:val="SingleTxt"/>
      </w:pPr>
      <w:r>
        <w:tab/>
      </w:r>
      <w:r>
        <w:tab/>
        <w:t>В течение отчетного периода гендерная проблематика в качестве соста</w:t>
      </w:r>
      <w:r>
        <w:t>в</w:t>
      </w:r>
      <w:r>
        <w:t>ного элемента включалась во все стадии цикла разработки программ сотрудн</w:t>
      </w:r>
      <w:r>
        <w:t>и</w:t>
      </w:r>
      <w:r>
        <w:t>чества в целях развития. Гендерные аспекты и другие смежные темы с самого начала учитываются на стадии планирования программ. Таким образом, при</w:t>
      </w:r>
      <w:r>
        <w:t>н</w:t>
      </w:r>
      <w:r>
        <w:t>цип обеспечения равенства между мужчинами и женщинами уже был вопл</w:t>
      </w:r>
      <w:r>
        <w:t>о</w:t>
      </w:r>
      <w:r>
        <w:t>щен в страновых программах Австрии в области сотрудничества в целях ра</w:t>
      </w:r>
      <w:r>
        <w:t>з</w:t>
      </w:r>
      <w:r>
        <w:t>вития с приоритетными странами и странами-партнерами.</w:t>
      </w:r>
    </w:p>
    <w:p w:rsidR="00000000" w:rsidRDefault="00000000">
      <w:pPr>
        <w:pStyle w:val="SingleTxt"/>
      </w:pPr>
      <w:r>
        <w:tab/>
      </w:r>
      <w:r>
        <w:tab/>
        <w:t>Подход, направленный на обеспечение равенства между мужчинами и женщинами, уже активно используется в процессе разработки секторальной политики в области водоснабжения и санитарии, создания микро-, малых и средних предприятий и сельского развития. В целях дальнейшего развития этих подходов и стратегий, направленных на обеспечение равенства между мужчинами и женщинами и борьбу с нищетой в контексте деятельности Авс</w:t>
      </w:r>
      <w:r>
        <w:t>т</w:t>
      </w:r>
      <w:r>
        <w:t>рии в области сотрудничества в целях развития, в 2000 году были разработаны руководящие принципы по применению гендерного подхода в проектах и пр</w:t>
      </w:r>
      <w:r>
        <w:t>о</w:t>
      </w:r>
      <w:r>
        <w:t>граммах, и на основе имеющегося материала были подготовлены практические и</w:t>
      </w:r>
      <w:r>
        <w:t>н</w:t>
      </w:r>
      <w:r>
        <w:t>струкции по отдельным тематическим областям.</w:t>
      </w:r>
    </w:p>
    <w:p w:rsidR="00000000" w:rsidRDefault="00000000">
      <w:pPr>
        <w:pStyle w:val="SingleTxt"/>
      </w:pPr>
      <w:r>
        <w:tab/>
      </w:r>
      <w:r>
        <w:tab/>
        <w:t>В 2002 году доля проектов, осуществляемых в рамках австрийских пр</w:t>
      </w:r>
      <w:r>
        <w:t>о</w:t>
      </w:r>
      <w:r>
        <w:t>грамм сотрудничества в целях развития, направленных на обеспечение раве</w:t>
      </w:r>
      <w:r>
        <w:t>н</w:t>
      </w:r>
      <w:r>
        <w:t>ства между мужчинами и женщинами и связанных с использованием критериев гендерного равенства, возросла до 49,89 процента по сравнению с 44,61 процента в 2001 году, 31,18 процента в 2000 году и 39,55 процента в 1999 году. Гендерная подготовка и большой опыт в планировании и осущест</w:t>
      </w:r>
      <w:r>
        <w:t>в</w:t>
      </w:r>
      <w:r>
        <w:t>лении проектов в значительной мере способствовали повышению информир</w:t>
      </w:r>
      <w:r>
        <w:t>о</w:t>
      </w:r>
      <w:r>
        <w:t>ванности сотрудников в области гендерной проблематики.</w:t>
      </w:r>
    </w:p>
    <w:p w:rsidR="00000000" w:rsidRDefault="00000000">
      <w:pPr>
        <w:pStyle w:val="SingleTxt"/>
      </w:pPr>
      <w:r>
        <w:tab/>
      </w:r>
      <w:r>
        <w:tab/>
        <w:t>Помимо использования подхода, связанного с учетом гендерного фактора во всех австрийских программах и проектах сотрудничества в целях развития, поддержка также оказывалась мерам, которые приносят прямые выгоды же</w:t>
      </w:r>
      <w:r>
        <w:t>н</w:t>
      </w:r>
      <w:r>
        <w:t>щинам и укрепляют их права и управленческие навыки. К числу таких мер о</w:t>
      </w:r>
      <w:r>
        <w:t>т</w:t>
      </w:r>
      <w:r>
        <w:t xml:space="preserve">носятся </w:t>
      </w:r>
      <w:r>
        <w:rPr>
          <w:b/>
        </w:rPr>
        <w:t>курсы подготовки для женщин-представителей общин</w:t>
      </w:r>
      <w:r>
        <w:t xml:space="preserve"> в Уганде и Южной Африке, </w:t>
      </w:r>
      <w:r>
        <w:rPr>
          <w:b/>
        </w:rPr>
        <w:t>юридические консультации и юридическое образование по гендерной проблематике</w:t>
      </w:r>
      <w:r>
        <w:t xml:space="preserve"> в Намибии, </w:t>
      </w:r>
      <w:r>
        <w:rPr>
          <w:b/>
        </w:rPr>
        <w:t>финансирование женских приютов и кампаний по предупреждению насилия в отношении женщин</w:t>
      </w:r>
      <w:r>
        <w:t xml:space="preserve">, в которых также участвует все большее число мужчин. В рамках программы, касающейся </w:t>
      </w:r>
      <w:r>
        <w:rPr>
          <w:b/>
        </w:rPr>
        <w:t>образования в области прав человека</w:t>
      </w:r>
      <w:r>
        <w:t>, реализуемой в контексте австрийской программы сотрудничества в целях развития, осуществлялось финансирование ряда учебных видеофильмов под названием "Женщины держат небо на своих плечах" и соответствующего справочника КЛДЖ, озаглавленного "Истории, рассказанные женщинами, и наша реальность", которые были подготовлены движениями на низовом уровне в Африке, Латинской Америке и Азии под эг</w:t>
      </w:r>
      <w:r>
        <w:t>и</w:t>
      </w:r>
      <w:r>
        <w:t>дой международной НПО "Народное движение за образование в области прав челов</w:t>
      </w:r>
      <w:r>
        <w:t>е</w:t>
      </w:r>
      <w:r>
        <w:t>ка".</w:t>
      </w:r>
    </w:p>
    <w:p w:rsidR="00000000" w:rsidRDefault="00000000">
      <w:pPr>
        <w:pStyle w:val="SingleTxt"/>
      </w:pPr>
      <w:r>
        <w:tab/>
      </w:r>
      <w:r>
        <w:tab/>
        <w:t>Австрийская программа сотрудничества в целях развития играет акти</w:t>
      </w:r>
      <w:r>
        <w:t>в</w:t>
      </w:r>
      <w:r>
        <w:t>ную роль в деятельности рабочей группы Комитета содействия развитию ОЭСР (КСР) под названием "Гендерное равенство и реализация прав женщин", а также группы экспертов Европейского союза по гендерной проблематике. Одной из важных тем их работы являлся вопрос о ходе осуществления резол</w:t>
      </w:r>
      <w:r>
        <w:t>ю</w:t>
      </w:r>
      <w:r>
        <w:t>ции 1325 Совета Безопасности от 31 октября 2000 года, в которой, в частности, подчеркивается важная роль женщин в разрешении и предотвращении ко</w:t>
      </w:r>
      <w:r>
        <w:t>н</w:t>
      </w:r>
      <w:r>
        <w:t xml:space="preserve">фликтов. В новом </w:t>
      </w:r>
      <w:r>
        <w:rPr>
          <w:b/>
        </w:rPr>
        <w:t>Законе о сотрудничестве в целях развития 2002 года</w:t>
      </w:r>
      <w:r>
        <w:t xml:space="preserve"> (Бюллетень официальных законов, часть </w:t>
      </w:r>
      <w:r>
        <w:rPr>
          <w:lang w:val="en-US"/>
        </w:rPr>
        <w:t>I</w:t>
      </w:r>
      <w:r>
        <w:t>, № 49/2002) с поправками, внесе</w:t>
      </w:r>
      <w:r>
        <w:t>н</w:t>
      </w:r>
      <w:r>
        <w:t xml:space="preserve">ными в него в 2003 году (Бюллетень официальных законов, часть </w:t>
      </w:r>
      <w:r>
        <w:rPr>
          <w:lang w:val="en-US"/>
        </w:rPr>
        <w:t>I</w:t>
      </w:r>
      <w:r>
        <w:t xml:space="preserve">, № 65/2003), принцип </w:t>
      </w:r>
      <w:r>
        <w:rPr>
          <w:b/>
        </w:rPr>
        <w:t>гендерного равенства</w:t>
      </w:r>
      <w:r>
        <w:t xml:space="preserve"> был провозглашен в качестве </w:t>
      </w:r>
      <w:r>
        <w:rPr>
          <w:b/>
        </w:rPr>
        <w:t>одного из при</w:t>
      </w:r>
      <w:r>
        <w:rPr>
          <w:b/>
        </w:rPr>
        <w:t>н</w:t>
      </w:r>
      <w:r>
        <w:rPr>
          <w:b/>
        </w:rPr>
        <w:t>ципов австрийской политики в области развития</w:t>
      </w:r>
      <w:r>
        <w:t>. Осуществление этого принципа по-прежнему остается важной задачей не только для австрийской программы сотрудничества в целях развития, но и с точки зрения мер, прин</w:t>
      </w:r>
      <w:r>
        <w:t>и</w:t>
      </w:r>
      <w:r>
        <w:t>маемых австрийским федеральным правительством и имеющих потенциальные последс</w:t>
      </w:r>
      <w:r>
        <w:t>т</w:t>
      </w:r>
      <w:r>
        <w:t>вия для развивающихся стран.</w:t>
      </w:r>
    </w:p>
    <w:p w:rsidR="00000000" w:rsidRDefault="00000000">
      <w:pPr>
        <w:pStyle w:val="SingleTxt"/>
      </w:pPr>
      <w:r>
        <w:tab/>
      </w:r>
      <w:r>
        <w:tab/>
        <w:t xml:space="preserve">За отчетный период </w:t>
      </w:r>
      <w:r>
        <w:rPr>
          <w:b/>
        </w:rPr>
        <w:t>двусторонние контакты</w:t>
      </w:r>
      <w:r>
        <w:t xml:space="preserve"> были установлены с Вен</w:t>
      </w:r>
      <w:r>
        <w:t>г</w:t>
      </w:r>
      <w:r>
        <w:t>рией, Словакией, Чешской Республикой, Беларусью, Польшей, Мальтой, Бо</w:t>
      </w:r>
      <w:r>
        <w:t>л</w:t>
      </w:r>
      <w:r>
        <w:t>гарией и Сербией, которые способствовали обмену информацией и примерами наилучшей практики, иллюстрирующими меры по борьбе с насилием и обе</w:t>
      </w:r>
      <w:r>
        <w:t>с</w:t>
      </w:r>
      <w:r>
        <w:t>печению равенства между мужчинами и женщинами, в рамках осуществления совм</w:t>
      </w:r>
      <w:r>
        <w:t>е</w:t>
      </w:r>
      <w:r>
        <w:t>стных проектов, проведения семинаров и конференций.</w:t>
      </w:r>
    </w:p>
    <w:p w:rsidR="00000000" w:rsidRDefault="00000000">
      <w:pPr>
        <w:pStyle w:val="SingleTxt"/>
      </w:pPr>
      <w:r>
        <w:tab/>
      </w:r>
      <w:r>
        <w:tab/>
        <w:t>Гранты, выделяемые организациям, представляющим различные этнич</w:t>
      </w:r>
      <w:r>
        <w:t>е</w:t>
      </w:r>
      <w:r>
        <w:t xml:space="preserve">ские группы, в рамках </w:t>
      </w:r>
      <w:r>
        <w:rPr>
          <w:b/>
        </w:rPr>
        <w:t>программы финансирования этнических групп</w:t>
      </w:r>
      <w:r>
        <w:t>, в принципе предоставляются не по гендерному принципу. Однако если говорить в целом, средства, выделяемые этническим группам, также позволяют орган</w:t>
      </w:r>
      <w:r>
        <w:t>и</w:t>
      </w:r>
      <w:r>
        <w:t>зациям этнических меньшинств проводить многочисленные мероприятия в о</w:t>
      </w:r>
      <w:r>
        <w:t>б</w:t>
      </w:r>
      <w:r>
        <w:t>ласти культуры, которые готовятся женщинами, обращены к женской аудит</w:t>
      </w:r>
      <w:r>
        <w:t>о</w:t>
      </w:r>
      <w:r>
        <w:t>рии и обеспечивают женщинам возможность активно и на равной с мужчинами осн</w:t>
      </w:r>
      <w:r>
        <w:t>о</w:t>
      </w:r>
      <w:r>
        <w:t>ве участвовать в жизни общества.</w:t>
      </w:r>
    </w:p>
    <w:p w:rsidR="00000000" w:rsidRDefault="00000000">
      <w:pPr>
        <w:pStyle w:val="50"/>
      </w:pPr>
    </w:p>
    <w:p w:rsidR="00000000" w:rsidRDefault="00000000">
      <w:pPr>
        <w:pStyle w:val="50"/>
      </w:pPr>
    </w:p>
    <w:p w:rsidR="00000000" w:rsidRDefault="00000000">
      <w:pPr>
        <w:pStyle w:val="H4"/>
        <w:rPr>
          <w:b/>
          <w:i w:val="0"/>
        </w:rPr>
      </w:pPr>
      <w:r>
        <w:rPr>
          <w:b/>
          <w:i w:val="0"/>
        </w:rPr>
        <w:t>Конструктивные меры, принимаемые в провинциях</w:t>
      </w:r>
    </w:p>
    <w:p w:rsidR="00000000" w:rsidRDefault="00000000">
      <w:pPr>
        <w:pStyle w:val="dot"/>
      </w:pPr>
      <w:r>
        <w:sym w:font="Symbol" w:char="F0B7"/>
      </w:r>
      <w:r>
        <w:tab/>
        <w:t xml:space="preserve">Во всех провинциях существуют </w:t>
      </w:r>
      <w:r>
        <w:rPr>
          <w:b/>
        </w:rPr>
        <w:t>женские консультационные це</w:t>
      </w:r>
      <w:r>
        <w:rPr>
          <w:b/>
        </w:rPr>
        <w:t>н</w:t>
      </w:r>
      <w:r>
        <w:rPr>
          <w:b/>
        </w:rPr>
        <w:t>тры</w:t>
      </w:r>
      <w:r>
        <w:t>, предоставляющие информационно-консультационные услуги по вопросам охраны здоровья, правовым вопросам, вопросам рынка труда, получения дохода и возвращения на рынок труда, а в Бурге</w:t>
      </w:r>
      <w:r>
        <w:t>н</w:t>
      </w:r>
      <w:r>
        <w:t>ланде такие центры действуют в каждом округе.</w:t>
      </w:r>
    </w:p>
    <w:p w:rsidR="00000000" w:rsidRDefault="00000000">
      <w:pPr>
        <w:pStyle w:val="dot"/>
      </w:pPr>
      <w:r>
        <w:sym w:font="Symbol" w:char="F0B7"/>
      </w:r>
      <w:r>
        <w:tab/>
        <w:t>Провинции выделяют финансовые средства на различные женские проекты. Власти Вены (помимо финансирования четырех приютов для женщин и выделения суммы в размере 1 390 000 евро другим женским ассоциациям в 2003 году) недавно приняли решение о в</w:t>
      </w:r>
      <w:r>
        <w:t>ы</w:t>
      </w:r>
      <w:r>
        <w:t>делении грантов на сумму до 5 100 евро на отдельные проекты и м</w:t>
      </w:r>
      <w:r>
        <w:t>е</w:t>
      </w:r>
      <w:r>
        <w:t xml:space="preserve">роприятия из так называемого "фонда мелкомасштабных проектов" муниципального департамента № 57 – Управления по делам женщин города Вены. Различные ассоциации, обращающиеся за финансовой помощью, занимаются такими вопросами, как </w:t>
      </w:r>
      <w:r>
        <w:rPr>
          <w:b/>
        </w:rPr>
        <w:t>женщины-мигранты, вопросы здравоохранения и социальные вопросы, насилие в о</w:t>
      </w:r>
      <w:r>
        <w:rPr>
          <w:b/>
        </w:rPr>
        <w:t>т</w:t>
      </w:r>
      <w:r>
        <w:rPr>
          <w:b/>
        </w:rPr>
        <w:t>ношении женщин, проекты, ориентированные на девочек и м</w:t>
      </w:r>
      <w:r>
        <w:rPr>
          <w:b/>
        </w:rPr>
        <w:t>о</w:t>
      </w:r>
      <w:r>
        <w:rPr>
          <w:b/>
        </w:rPr>
        <w:t>лодых женщин, а также новые технологии и рынок труда</w:t>
      </w:r>
      <w:r>
        <w:t>. С 2002 года ассоциациям, действовавшим в Вене в течение более дл</w:t>
      </w:r>
      <w:r>
        <w:t>и</w:t>
      </w:r>
      <w:r>
        <w:t>тельного периода времени и ранее получавшим финансовую по</w:t>
      </w:r>
      <w:r>
        <w:t>д</w:t>
      </w:r>
      <w:r>
        <w:t>держку, была предоставлена возможность подать заявку на получ</w:t>
      </w:r>
      <w:r>
        <w:t>е</w:t>
      </w:r>
      <w:r>
        <w:t>ние трехлетней субсидии вместо выделявшихся им ранее грантов, рассчитанных на один год. Власти провинции Зальцбург (помимо женских консультационных центров и трех приютов для женщин) также финансировали отдельные проекты, направленные на эманс</w:t>
      </w:r>
      <w:r>
        <w:t>и</w:t>
      </w:r>
      <w:r>
        <w:t>пацию женщин и совершенствование механизма выделения грантов, связанных с ними целей и критериев оценки, с целью добиться того, чтобы они были более прозрачными и ориентированными на потр</w:t>
      </w:r>
      <w:r>
        <w:t>е</w:t>
      </w:r>
      <w:r>
        <w:t>бителя.</w:t>
      </w:r>
    </w:p>
    <w:p w:rsidR="00000000" w:rsidRDefault="00000000">
      <w:pPr>
        <w:pStyle w:val="dot"/>
      </w:pPr>
      <w:r>
        <w:sym w:font="Symbol" w:char="F0B7"/>
      </w:r>
      <w:r>
        <w:tab/>
        <w:t xml:space="preserve">В ряде провинций осуществляются </w:t>
      </w:r>
      <w:r>
        <w:rPr>
          <w:b/>
        </w:rPr>
        <w:t>международные сетевые мер</w:t>
      </w:r>
      <w:r>
        <w:rPr>
          <w:b/>
        </w:rPr>
        <w:t>о</w:t>
      </w:r>
      <w:r>
        <w:rPr>
          <w:b/>
        </w:rPr>
        <w:t>приятия</w:t>
      </w:r>
      <w:r>
        <w:t>.</w:t>
      </w:r>
    </w:p>
    <w:p w:rsidR="00000000" w:rsidRDefault="00000000">
      <w:pPr>
        <w:pStyle w:val="SingleTxt"/>
      </w:pPr>
      <w:r>
        <w:tab/>
      </w:r>
      <w:r>
        <w:tab/>
        <w:t>(Более подробную информацию о деятельности провинций см. в прил</w:t>
      </w:r>
      <w:r>
        <w:t>о</w:t>
      </w:r>
      <w:r>
        <w:t>жении 1.)</w:t>
      </w:r>
    </w:p>
    <w:p w:rsidR="00000000" w:rsidRDefault="00000000">
      <w:pPr>
        <w:pStyle w:val="50"/>
      </w:pPr>
    </w:p>
    <w:p w:rsidR="00000000" w:rsidRDefault="00000000">
      <w:pPr>
        <w:pStyle w:val="H1"/>
      </w:pPr>
      <w:r>
        <w:tab/>
      </w:r>
      <w:bookmarkStart w:id="80" w:name="_Toc97786678"/>
      <w:r>
        <w:t>Статья 4</w:t>
      </w:r>
      <w:bookmarkEnd w:id="80"/>
    </w:p>
    <w:p w:rsidR="00000000" w:rsidRDefault="00000000">
      <w:pPr>
        <w:pStyle w:val="50"/>
      </w:pPr>
    </w:p>
    <w:p w:rsidR="00000000" w:rsidRDefault="00000000">
      <w:pPr>
        <w:pStyle w:val="H23"/>
        <w:rPr>
          <w:u w:val="single"/>
        </w:rPr>
      </w:pPr>
      <w:r>
        <w:tab/>
      </w:r>
      <w:bookmarkStart w:id="81" w:name="_Toc97786679"/>
      <w:r>
        <w:rPr>
          <w:u w:val="single"/>
        </w:rPr>
        <w:t>Статья 4, пункт 1</w:t>
      </w:r>
      <w:bookmarkEnd w:id="81"/>
    </w:p>
    <w:p w:rsidR="00000000" w:rsidRDefault="00000000">
      <w:pPr>
        <w:pStyle w:val="H23"/>
      </w:pPr>
      <w:r>
        <w:tab/>
      </w:r>
      <w:bookmarkStart w:id="82" w:name="_Toc97786680"/>
      <w:r>
        <w:t>Планы по улучшению положения женщин</w:t>
      </w:r>
      <w:bookmarkEnd w:id="82"/>
    </w:p>
    <w:p w:rsidR="00000000" w:rsidRDefault="00000000">
      <w:pPr>
        <w:pStyle w:val="SingleTxt"/>
      </w:pPr>
      <w:r>
        <w:tab/>
      </w:r>
      <w:r>
        <w:tab/>
        <w:t>В соответствии с Законом о равном обращении на федеральной службе все федеральные министерства и ведомства, подпадающие под действие данн</w:t>
      </w:r>
      <w:r>
        <w:t>о</w:t>
      </w:r>
      <w:r>
        <w:t xml:space="preserve">го закона, разрабатывают собственные </w:t>
      </w:r>
      <w:r>
        <w:rPr>
          <w:b/>
        </w:rPr>
        <w:t>планы по улучшению положения женщин</w:t>
      </w:r>
      <w:r>
        <w:t>. Важными элементами нынешних планов федеральной канцелярии и других государственных министерств являются меры по защите чести и дост</w:t>
      </w:r>
      <w:r>
        <w:t>о</w:t>
      </w:r>
      <w:r>
        <w:t>инства женщин на рабочем месте, увеличению доли женщин в программах профессиональной подготовки и переподготовки, продвижению женщин по службе и возвращению на рынок труда и содействию совмещению производс</w:t>
      </w:r>
      <w:r>
        <w:t>т</w:t>
      </w:r>
      <w:r>
        <w:t>венных и с</w:t>
      </w:r>
      <w:r>
        <w:t>е</w:t>
      </w:r>
      <w:r>
        <w:t>мейных обязанностей, в соответствии с которыми кандидатам-женщинам отдается предпочтение в тех областях, в которых они недостаточно широко представлены по смыслу пункта 2 раздела 40 Закона о равном обращ</w:t>
      </w:r>
      <w:r>
        <w:t>е</w:t>
      </w:r>
      <w:r>
        <w:t>нии на федеральной службе (</w:t>
      </w:r>
      <w:r>
        <w:rPr>
          <w:lang w:val="en-US"/>
        </w:rPr>
        <w:t>B</w:t>
      </w:r>
      <w:r>
        <w:t>-</w:t>
      </w:r>
      <w:r>
        <w:rPr>
          <w:lang w:val="en-US"/>
        </w:rPr>
        <w:t>GBG</w:t>
      </w:r>
      <w:r>
        <w:t>), при условии, что они обладают не менее высокой квалификацией, чем их самые квал</w:t>
      </w:r>
      <w:r>
        <w:t>и</w:t>
      </w:r>
      <w:r>
        <w:t>фицированные конкуренты-мужчины (до тех пор, пока не будут соблюдены условия, предусмотренные в разделах 42 и 43 </w:t>
      </w:r>
      <w:r>
        <w:rPr>
          <w:lang w:val="en-US"/>
        </w:rPr>
        <w:t>B</w:t>
      </w:r>
      <w:r>
        <w:t>-</w:t>
      </w:r>
      <w:r>
        <w:rPr>
          <w:lang w:val="en-US"/>
        </w:rPr>
        <w:t>GBG</w:t>
      </w:r>
      <w:r>
        <w:t xml:space="preserve">). </w:t>
      </w:r>
    </w:p>
    <w:p w:rsidR="00000000" w:rsidRDefault="00000000">
      <w:pPr>
        <w:pStyle w:val="SingleTxt"/>
      </w:pPr>
      <w:r>
        <w:tab/>
      </w:r>
      <w:r>
        <w:tab/>
        <w:t xml:space="preserve">В качестве одного из примеров можно привести </w:t>
      </w:r>
      <w:r>
        <w:rPr>
          <w:b/>
        </w:rPr>
        <w:t>План по улучшению п</w:t>
      </w:r>
      <w:r>
        <w:rPr>
          <w:b/>
        </w:rPr>
        <w:t>о</w:t>
      </w:r>
      <w:r>
        <w:rPr>
          <w:b/>
        </w:rPr>
        <w:t>ложения женщин Федерального министерства сельского хозяйства и лес</w:t>
      </w:r>
      <w:r>
        <w:rPr>
          <w:b/>
        </w:rPr>
        <w:t>о</w:t>
      </w:r>
      <w:r>
        <w:rPr>
          <w:b/>
        </w:rPr>
        <w:t>водства, окружающей среды и управления водными ресурсами</w:t>
      </w:r>
      <w:r>
        <w:t xml:space="preserve">, который был принят в постановлении от 2003 года. </w:t>
      </w:r>
    </w:p>
    <w:p w:rsidR="00000000" w:rsidRDefault="00000000">
      <w:pPr>
        <w:pStyle w:val="SingleTxt"/>
      </w:pPr>
      <w:r>
        <w:tab/>
      </w:r>
      <w:r>
        <w:tab/>
        <w:t>Задачи данного плана, в частности, связаны с ликвидацией существу</w:t>
      </w:r>
      <w:r>
        <w:t>ю</w:t>
      </w:r>
      <w:r>
        <w:t>щих форм дискриминации в отношении женщин, являющихся результатом тр</w:t>
      </w:r>
      <w:r>
        <w:t>а</w:t>
      </w:r>
      <w:r>
        <w:t>диционного разделения труда в обществе, с облегчением совмещения прои</w:t>
      </w:r>
      <w:r>
        <w:t>з</w:t>
      </w:r>
      <w:r>
        <w:t>водственных и семейных обязанностей, увеличением доли женщин до дост</w:t>
      </w:r>
      <w:r>
        <w:t>и</w:t>
      </w:r>
      <w:r>
        <w:t>жения квоты женского представительства в 40 процентов, с увеличением числа женщин на руководящих должностях и реализацией стратегии по обеспечению учета гендерного фактора. В этом плане далее предусматриваются меры по з</w:t>
      </w:r>
      <w:r>
        <w:t>а</w:t>
      </w:r>
      <w:r>
        <w:t>щите чести и достоинства женщин на рабочем месте. Женщинам отдается предпочтение при зачислении на курсы подготовки и повышения квалифик</w:t>
      </w:r>
      <w:r>
        <w:t>а</w:t>
      </w:r>
      <w:r>
        <w:t>ции до достижения квоты женского представительства в 40 процентов, причем такие курсы также разрешается посещать женщинам, работающим неполный рабочий день. Руководители должны стимулировать квалифицированный же</w:t>
      </w:r>
      <w:r>
        <w:t>н</w:t>
      </w:r>
      <w:r>
        <w:t>ский персонал к выдвижению своих кандидатур на вакантные руководящие должности и для включения в список потенциальных будущих руков</w:t>
      </w:r>
      <w:r>
        <w:t>о</w:t>
      </w:r>
      <w:r>
        <w:t>дителей.</w:t>
      </w:r>
    </w:p>
    <w:p w:rsidR="00000000" w:rsidRDefault="00000000">
      <w:pPr>
        <w:pStyle w:val="50"/>
      </w:pPr>
    </w:p>
    <w:p w:rsidR="00000000" w:rsidRDefault="00000000">
      <w:pPr>
        <w:pStyle w:val="50"/>
      </w:pPr>
    </w:p>
    <w:p w:rsidR="00000000" w:rsidRDefault="00000000">
      <w:pPr>
        <w:pStyle w:val="H23"/>
      </w:pPr>
      <w:r>
        <w:tab/>
      </w:r>
      <w:bookmarkStart w:id="83" w:name="_Toc97786681"/>
      <w:r>
        <w:t>Совмещение производственных и семейных обязанностей</w:t>
      </w:r>
      <w:bookmarkEnd w:id="83"/>
    </w:p>
    <w:p w:rsidR="00000000" w:rsidRDefault="00000000">
      <w:pPr>
        <w:pStyle w:val="SingleTxt"/>
      </w:pPr>
      <w:r>
        <w:tab/>
      </w:r>
      <w:r>
        <w:tab/>
        <w:t>Кроме того, предусматривается поддержка занятости в течение неполного рабочего дня: работодатель обязан удовлетворить просьбу работника о перев</w:t>
      </w:r>
      <w:r>
        <w:t>о</w:t>
      </w:r>
      <w:r>
        <w:t>де его на неполный график работы, если это не мешает нормальному функци</w:t>
      </w:r>
      <w:r>
        <w:t>о</w:t>
      </w:r>
      <w:r>
        <w:t>нированию предприятия. Помимо этого необходимо создать организационную основу для того, чтобы обеспечить трудящимся, работающим неполный раб</w:t>
      </w:r>
      <w:r>
        <w:t>о</w:t>
      </w:r>
      <w:r>
        <w:t>чий день, больше возможностей для занятия руководящих должностей. В соо</w:t>
      </w:r>
      <w:r>
        <w:t>т</w:t>
      </w:r>
      <w:r>
        <w:t>ветствии с положением о порядке осуществления Плана по улучшению пол</w:t>
      </w:r>
      <w:r>
        <w:t>о</w:t>
      </w:r>
      <w:r>
        <w:t>жения женщин количество должностей, на которых можно работать на дому или неполный рабочий день, в Федеральном министерстве сельского хозяйства и лесоводства, окружающей среды и управления водными ресурсами было ув</w:t>
      </w:r>
      <w:r>
        <w:t>е</w:t>
      </w:r>
      <w:r>
        <w:t>личено, причем большинство таких должностей оказались заняты женщ</w:t>
      </w:r>
      <w:r>
        <w:t>и</w:t>
      </w:r>
      <w:r>
        <w:t>нами.</w:t>
      </w:r>
    </w:p>
    <w:p w:rsidR="00000000" w:rsidRDefault="00000000">
      <w:pPr>
        <w:pStyle w:val="SingleTxt"/>
        <w:rPr>
          <w:b/>
        </w:rPr>
      </w:pPr>
      <w:r>
        <w:rPr>
          <w:b/>
        </w:rPr>
        <w:t>Должности, на которых можно работать на дому или неполный рабочий день, в Федеральном министерстве сельского хозяйства и лесоводства, о</w:t>
      </w:r>
      <w:r>
        <w:rPr>
          <w:b/>
        </w:rPr>
        <w:t>к</w:t>
      </w:r>
      <w:r>
        <w:rPr>
          <w:b/>
        </w:rPr>
        <w:t>ружающей среды и управления водными ресурсами и подведомственных учре</w:t>
      </w:r>
      <w:r>
        <w:rPr>
          <w:b/>
        </w:rPr>
        <w:t>ж</w:t>
      </w:r>
      <w:r>
        <w:rPr>
          <w:b/>
        </w:rPr>
        <w:t>дениях по состоянию на 1 июля 2003 года</w:t>
      </w:r>
    </w:p>
    <w:tbl>
      <w:tblPr>
        <w:tblW w:w="0" w:type="auto"/>
        <w:tblInd w:w="1278" w:type="dxa"/>
        <w:tblLayout w:type="fixed"/>
        <w:tblLook w:val="0000" w:firstRow="0" w:lastRow="0" w:firstColumn="0" w:lastColumn="0" w:noHBand="0" w:noVBand="0"/>
      </w:tblPr>
      <w:tblGrid>
        <w:gridCol w:w="2410"/>
        <w:gridCol w:w="1653"/>
        <w:gridCol w:w="1654"/>
        <w:gridCol w:w="1654"/>
      </w:tblGrid>
      <w:tr w:rsidR="00000000">
        <w:tblPrEx>
          <w:tblCellMar>
            <w:top w:w="0" w:type="dxa"/>
            <w:bottom w:w="0" w:type="dxa"/>
          </w:tblCellMar>
        </w:tblPrEx>
        <w:tc>
          <w:tcPr>
            <w:tcW w:w="2410" w:type="dxa"/>
            <w:tcBorders>
              <w:top w:val="single" w:sz="6" w:space="0" w:color="auto"/>
            </w:tcBorders>
          </w:tcPr>
          <w:p w:rsidR="00000000" w:rsidRDefault="00000000">
            <w:pPr>
              <w:suppressAutoHyphens/>
              <w:jc w:val="center"/>
              <w:rPr>
                <w:i/>
                <w:spacing w:val="-3"/>
                <w:sz w:val="17"/>
              </w:rPr>
            </w:pPr>
          </w:p>
        </w:tc>
        <w:tc>
          <w:tcPr>
            <w:tcW w:w="4961" w:type="dxa"/>
            <w:gridSpan w:val="3"/>
            <w:tcBorders>
              <w:top w:val="single" w:sz="6" w:space="0" w:color="auto"/>
            </w:tcBorders>
          </w:tcPr>
          <w:p w:rsidR="00000000" w:rsidRDefault="00000000">
            <w:pPr>
              <w:suppressAutoHyphens/>
              <w:jc w:val="center"/>
              <w:rPr>
                <w:i/>
                <w:spacing w:val="-3"/>
                <w:sz w:val="17"/>
              </w:rPr>
            </w:pPr>
            <w:r>
              <w:rPr>
                <w:i/>
                <w:spacing w:val="-3"/>
                <w:sz w:val="17"/>
              </w:rPr>
              <w:t>Количество работников</w:t>
            </w:r>
          </w:p>
        </w:tc>
      </w:tr>
      <w:tr w:rsidR="00000000">
        <w:tblPrEx>
          <w:tblCellMar>
            <w:top w:w="0" w:type="dxa"/>
            <w:bottom w:w="0" w:type="dxa"/>
          </w:tblCellMar>
        </w:tblPrEx>
        <w:tc>
          <w:tcPr>
            <w:tcW w:w="2410" w:type="dxa"/>
            <w:tcBorders>
              <w:bottom w:val="single" w:sz="12" w:space="0" w:color="auto"/>
            </w:tcBorders>
          </w:tcPr>
          <w:p w:rsidR="00000000" w:rsidRDefault="00000000">
            <w:pPr>
              <w:suppressAutoHyphens/>
              <w:jc w:val="center"/>
              <w:rPr>
                <w:i/>
                <w:spacing w:val="-3"/>
                <w:sz w:val="17"/>
              </w:rPr>
            </w:pPr>
          </w:p>
        </w:tc>
        <w:tc>
          <w:tcPr>
            <w:tcW w:w="1653" w:type="dxa"/>
            <w:tcBorders>
              <w:bottom w:val="single" w:sz="12" w:space="0" w:color="auto"/>
            </w:tcBorders>
          </w:tcPr>
          <w:p w:rsidR="00000000" w:rsidRDefault="00000000">
            <w:pPr>
              <w:suppressAutoHyphens/>
              <w:jc w:val="center"/>
              <w:rPr>
                <w:i/>
                <w:spacing w:val="-3"/>
                <w:sz w:val="17"/>
              </w:rPr>
            </w:pPr>
            <w:r>
              <w:rPr>
                <w:i/>
                <w:spacing w:val="-3"/>
                <w:sz w:val="17"/>
              </w:rPr>
              <w:t>Женщины</w:t>
            </w:r>
          </w:p>
        </w:tc>
        <w:tc>
          <w:tcPr>
            <w:tcW w:w="1654" w:type="dxa"/>
            <w:tcBorders>
              <w:bottom w:val="single" w:sz="12" w:space="0" w:color="auto"/>
            </w:tcBorders>
          </w:tcPr>
          <w:p w:rsidR="00000000" w:rsidRDefault="00000000">
            <w:pPr>
              <w:suppressAutoHyphens/>
              <w:jc w:val="center"/>
              <w:rPr>
                <w:i/>
                <w:spacing w:val="-3"/>
                <w:sz w:val="17"/>
              </w:rPr>
            </w:pPr>
            <w:r>
              <w:rPr>
                <w:i/>
                <w:spacing w:val="-3"/>
                <w:sz w:val="17"/>
              </w:rPr>
              <w:t>Мужчины</w:t>
            </w:r>
          </w:p>
        </w:tc>
        <w:tc>
          <w:tcPr>
            <w:tcW w:w="1654" w:type="dxa"/>
            <w:tcBorders>
              <w:bottom w:val="single" w:sz="12" w:space="0" w:color="auto"/>
            </w:tcBorders>
          </w:tcPr>
          <w:p w:rsidR="00000000" w:rsidRDefault="00000000">
            <w:pPr>
              <w:suppressAutoHyphens/>
              <w:jc w:val="center"/>
              <w:rPr>
                <w:i/>
                <w:spacing w:val="-3"/>
                <w:sz w:val="17"/>
              </w:rPr>
            </w:pPr>
            <w:r>
              <w:rPr>
                <w:i/>
                <w:spacing w:val="-3"/>
                <w:sz w:val="17"/>
              </w:rPr>
              <w:t>Итого</w:t>
            </w:r>
          </w:p>
        </w:tc>
      </w:tr>
      <w:tr w:rsidR="00000000">
        <w:tblPrEx>
          <w:tblCellMar>
            <w:top w:w="0" w:type="dxa"/>
            <w:bottom w:w="0" w:type="dxa"/>
          </w:tblCellMar>
        </w:tblPrEx>
        <w:tc>
          <w:tcPr>
            <w:tcW w:w="2410" w:type="dxa"/>
            <w:tcBorders>
              <w:top w:val="single" w:sz="12" w:space="0" w:color="auto"/>
            </w:tcBorders>
          </w:tcPr>
          <w:p w:rsidR="00000000" w:rsidRDefault="00000000">
            <w:pPr>
              <w:suppressAutoHyphens/>
              <w:rPr>
                <w:spacing w:val="-3"/>
                <w:sz w:val="17"/>
              </w:rPr>
            </w:pPr>
            <w:r>
              <w:rPr>
                <w:spacing w:val="-3"/>
                <w:sz w:val="17"/>
              </w:rPr>
              <w:t>Работа неполный рабочий день</w:t>
            </w:r>
          </w:p>
        </w:tc>
        <w:tc>
          <w:tcPr>
            <w:tcW w:w="1653" w:type="dxa"/>
            <w:tcBorders>
              <w:top w:val="single" w:sz="12" w:space="0" w:color="auto"/>
            </w:tcBorders>
          </w:tcPr>
          <w:p w:rsidR="00000000" w:rsidRDefault="00000000">
            <w:pPr>
              <w:suppressAutoHyphens/>
              <w:ind w:right="553"/>
              <w:jc w:val="right"/>
              <w:rPr>
                <w:spacing w:val="-3"/>
                <w:sz w:val="17"/>
              </w:rPr>
            </w:pPr>
            <w:r>
              <w:rPr>
                <w:spacing w:val="-3"/>
                <w:sz w:val="17"/>
              </w:rPr>
              <w:t>18</w:t>
            </w:r>
          </w:p>
        </w:tc>
        <w:tc>
          <w:tcPr>
            <w:tcW w:w="1654" w:type="dxa"/>
            <w:tcBorders>
              <w:top w:val="single" w:sz="12" w:space="0" w:color="auto"/>
            </w:tcBorders>
          </w:tcPr>
          <w:p w:rsidR="00000000" w:rsidRDefault="00000000">
            <w:pPr>
              <w:suppressAutoHyphens/>
              <w:ind w:right="553"/>
              <w:jc w:val="right"/>
              <w:rPr>
                <w:spacing w:val="-3"/>
                <w:sz w:val="17"/>
              </w:rPr>
            </w:pPr>
            <w:r>
              <w:rPr>
                <w:spacing w:val="-3"/>
                <w:sz w:val="17"/>
              </w:rPr>
              <w:t>12</w:t>
            </w:r>
          </w:p>
        </w:tc>
        <w:tc>
          <w:tcPr>
            <w:tcW w:w="1654" w:type="dxa"/>
            <w:tcBorders>
              <w:top w:val="single" w:sz="12" w:space="0" w:color="auto"/>
            </w:tcBorders>
          </w:tcPr>
          <w:p w:rsidR="00000000" w:rsidRDefault="00000000">
            <w:pPr>
              <w:suppressAutoHyphens/>
              <w:ind w:right="553"/>
              <w:jc w:val="right"/>
              <w:rPr>
                <w:spacing w:val="-3"/>
                <w:sz w:val="17"/>
              </w:rPr>
            </w:pPr>
            <w:r>
              <w:rPr>
                <w:spacing w:val="-3"/>
                <w:sz w:val="17"/>
              </w:rPr>
              <w:t>30</w:t>
            </w:r>
          </w:p>
        </w:tc>
      </w:tr>
      <w:tr w:rsidR="00000000">
        <w:tblPrEx>
          <w:tblCellMar>
            <w:top w:w="0" w:type="dxa"/>
            <w:bottom w:w="0" w:type="dxa"/>
          </w:tblCellMar>
        </w:tblPrEx>
        <w:tc>
          <w:tcPr>
            <w:tcW w:w="2410" w:type="dxa"/>
            <w:tcBorders>
              <w:bottom w:val="single" w:sz="12" w:space="0" w:color="auto"/>
            </w:tcBorders>
          </w:tcPr>
          <w:p w:rsidR="00000000" w:rsidRDefault="00000000">
            <w:pPr>
              <w:suppressAutoHyphens/>
              <w:rPr>
                <w:spacing w:val="-3"/>
                <w:sz w:val="17"/>
              </w:rPr>
            </w:pPr>
            <w:r>
              <w:rPr>
                <w:spacing w:val="-3"/>
                <w:sz w:val="17"/>
              </w:rPr>
              <w:t>Работа на дому</w:t>
            </w:r>
          </w:p>
        </w:tc>
        <w:tc>
          <w:tcPr>
            <w:tcW w:w="1653" w:type="dxa"/>
            <w:tcBorders>
              <w:bottom w:val="single" w:sz="12" w:space="0" w:color="auto"/>
            </w:tcBorders>
          </w:tcPr>
          <w:p w:rsidR="00000000" w:rsidRDefault="00000000">
            <w:pPr>
              <w:suppressAutoHyphens/>
              <w:ind w:right="553"/>
              <w:jc w:val="right"/>
              <w:rPr>
                <w:spacing w:val="-3"/>
                <w:sz w:val="17"/>
              </w:rPr>
            </w:pPr>
            <w:r>
              <w:rPr>
                <w:spacing w:val="-3"/>
                <w:sz w:val="17"/>
              </w:rPr>
              <w:t>409</w:t>
            </w:r>
          </w:p>
        </w:tc>
        <w:tc>
          <w:tcPr>
            <w:tcW w:w="1654" w:type="dxa"/>
            <w:tcBorders>
              <w:bottom w:val="single" w:sz="12" w:space="0" w:color="auto"/>
            </w:tcBorders>
          </w:tcPr>
          <w:p w:rsidR="00000000" w:rsidRDefault="00000000">
            <w:pPr>
              <w:suppressAutoHyphens/>
              <w:ind w:right="553"/>
              <w:jc w:val="right"/>
              <w:rPr>
                <w:spacing w:val="-3"/>
                <w:sz w:val="17"/>
              </w:rPr>
            </w:pPr>
            <w:r>
              <w:rPr>
                <w:spacing w:val="-3"/>
                <w:sz w:val="17"/>
              </w:rPr>
              <w:t>196</w:t>
            </w:r>
          </w:p>
        </w:tc>
        <w:tc>
          <w:tcPr>
            <w:tcW w:w="1654" w:type="dxa"/>
            <w:tcBorders>
              <w:bottom w:val="single" w:sz="12" w:space="0" w:color="auto"/>
            </w:tcBorders>
          </w:tcPr>
          <w:p w:rsidR="00000000" w:rsidRDefault="00000000">
            <w:pPr>
              <w:suppressAutoHyphens/>
              <w:ind w:right="553"/>
              <w:jc w:val="right"/>
              <w:rPr>
                <w:spacing w:val="-3"/>
                <w:sz w:val="17"/>
              </w:rPr>
            </w:pPr>
            <w:r>
              <w:rPr>
                <w:spacing w:val="-3"/>
                <w:sz w:val="17"/>
              </w:rPr>
              <w:t>605</w:t>
            </w:r>
          </w:p>
        </w:tc>
      </w:tr>
    </w:tbl>
    <w:p w:rsidR="00000000" w:rsidRDefault="00000000">
      <w:pPr>
        <w:pStyle w:val="50"/>
      </w:pPr>
    </w:p>
    <w:p w:rsidR="00000000" w:rsidRDefault="00000000">
      <w:pPr>
        <w:pStyle w:val="SingleTxt"/>
      </w:pPr>
      <w:r>
        <w:tab/>
      </w:r>
      <w:r>
        <w:tab/>
        <w:t>В министерстве была проведена проверка процесса "совмещения прои</w:t>
      </w:r>
      <w:r>
        <w:t>з</w:t>
      </w:r>
      <w:r>
        <w:t>водственных и семейных обязанностей", в результате которой министерство до 3 ноября 2005 года было в предварительном порядке удостоено звания "учре</w:t>
      </w:r>
      <w:r>
        <w:t>ж</w:t>
      </w:r>
      <w:r>
        <w:t>дения, отстаивающего интересы семьи". Министерство также является учас</w:t>
      </w:r>
      <w:r>
        <w:t>т</w:t>
      </w:r>
      <w:r>
        <w:t>ником рабочей группы, отвечающей за разработку предложений относительно дальнейших направлений деятельности правительства в этой области.</w:t>
      </w:r>
    </w:p>
    <w:p w:rsidR="00000000" w:rsidRDefault="00000000">
      <w:pPr>
        <w:pStyle w:val="SingleTxt"/>
      </w:pPr>
      <w:r>
        <w:tab/>
      </w:r>
      <w:r>
        <w:tab/>
        <w:t>Соотношение мужчин и женщин, работающих в министерстве, выглядит примерно одинаковым, однако женщины по-прежнему недостаточно широко представлены на руководящих должностях. Несмотря на существующие обяз</w:t>
      </w:r>
      <w:r>
        <w:t>а</w:t>
      </w:r>
      <w:r>
        <w:t>тельные положения об увеличении доли женщин на таких должностях, огран</w:t>
      </w:r>
      <w:r>
        <w:t>и</w:t>
      </w:r>
      <w:r>
        <w:t>чительная кадровая политика на федеральной службе, проводимая правител</w:t>
      </w:r>
      <w:r>
        <w:t>ь</w:t>
      </w:r>
      <w:r>
        <w:t>ством в целях экономии за последние несколько лет, существенно затрудняет процесс увеличения представительства женщин. Тем не менее, можно отметить медленно развивающуюся, но неуклонную тенденцию к увеличению предст</w:t>
      </w:r>
      <w:r>
        <w:t>а</w:t>
      </w:r>
      <w:r>
        <w:t>вительства же</w:t>
      </w:r>
      <w:r>
        <w:t>н</w:t>
      </w:r>
      <w:r>
        <w:t>щин на руководящих постах.</w:t>
      </w:r>
    </w:p>
    <w:p w:rsidR="00000000" w:rsidRDefault="00000000">
      <w:pPr>
        <w:pStyle w:val="SingleTxt"/>
        <w:rPr>
          <w:b/>
        </w:rPr>
      </w:pPr>
      <w:r>
        <w:rPr>
          <w:b/>
        </w:rPr>
        <w:t>Доля женщин на высокопоставленных должностях (постах)</w:t>
      </w:r>
    </w:p>
    <w:tbl>
      <w:tblPr>
        <w:tblW w:w="0" w:type="auto"/>
        <w:tblInd w:w="1278" w:type="dxa"/>
        <w:tblLayout w:type="fixed"/>
        <w:tblLook w:val="0000" w:firstRow="0" w:lastRow="0" w:firstColumn="0" w:lastColumn="0" w:noHBand="0" w:noVBand="0"/>
      </w:tblPr>
      <w:tblGrid>
        <w:gridCol w:w="1134"/>
        <w:gridCol w:w="1247"/>
        <w:gridCol w:w="1247"/>
        <w:gridCol w:w="1248"/>
        <w:gridCol w:w="1247"/>
        <w:gridCol w:w="1248"/>
      </w:tblGrid>
      <w:tr w:rsidR="00000000">
        <w:tblPrEx>
          <w:tblCellMar>
            <w:top w:w="0" w:type="dxa"/>
            <w:bottom w:w="0" w:type="dxa"/>
          </w:tblCellMar>
        </w:tblPrEx>
        <w:tc>
          <w:tcPr>
            <w:tcW w:w="1134" w:type="dxa"/>
            <w:tcBorders>
              <w:top w:val="single" w:sz="6" w:space="0" w:color="auto"/>
              <w:bottom w:val="single" w:sz="12" w:space="0" w:color="auto"/>
            </w:tcBorders>
          </w:tcPr>
          <w:p w:rsidR="00000000" w:rsidRDefault="00000000">
            <w:pPr>
              <w:suppressAutoHyphens/>
              <w:jc w:val="both"/>
              <w:rPr>
                <w:spacing w:val="-3"/>
                <w:sz w:val="17"/>
              </w:rPr>
            </w:pPr>
          </w:p>
        </w:tc>
        <w:tc>
          <w:tcPr>
            <w:tcW w:w="1247" w:type="dxa"/>
            <w:tcBorders>
              <w:top w:val="single" w:sz="6" w:space="0" w:color="auto"/>
              <w:bottom w:val="single" w:sz="12" w:space="0" w:color="auto"/>
            </w:tcBorders>
            <w:vAlign w:val="bottom"/>
          </w:tcPr>
          <w:p w:rsidR="00000000" w:rsidRDefault="00000000">
            <w:pPr>
              <w:suppressAutoHyphens/>
              <w:jc w:val="center"/>
              <w:rPr>
                <w:i/>
                <w:spacing w:val="-3"/>
                <w:sz w:val="17"/>
              </w:rPr>
            </w:pPr>
            <w:r>
              <w:rPr>
                <w:i/>
                <w:spacing w:val="-3"/>
                <w:sz w:val="17"/>
              </w:rPr>
              <w:t>Количество женщин</w:t>
            </w:r>
          </w:p>
        </w:tc>
        <w:tc>
          <w:tcPr>
            <w:tcW w:w="1247" w:type="dxa"/>
            <w:tcBorders>
              <w:top w:val="single" w:sz="6" w:space="0" w:color="auto"/>
              <w:bottom w:val="single" w:sz="12" w:space="0" w:color="auto"/>
            </w:tcBorders>
            <w:vAlign w:val="bottom"/>
          </w:tcPr>
          <w:p w:rsidR="00000000" w:rsidRDefault="00000000">
            <w:pPr>
              <w:suppressAutoHyphens/>
              <w:jc w:val="center"/>
              <w:rPr>
                <w:i/>
                <w:spacing w:val="-3"/>
                <w:sz w:val="17"/>
              </w:rPr>
            </w:pPr>
            <w:r>
              <w:rPr>
                <w:i/>
                <w:spacing w:val="-3"/>
                <w:sz w:val="17"/>
              </w:rPr>
              <w:t>Доля женщин</w:t>
            </w:r>
          </w:p>
        </w:tc>
        <w:tc>
          <w:tcPr>
            <w:tcW w:w="1248" w:type="dxa"/>
            <w:tcBorders>
              <w:top w:val="single" w:sz="6" w:space="0" w:color="auto"/>
              <w:bottom w:val="single" w:sz="12" w:space="0" w:color="auto"/>
            </w:tcBorders>
            <w:vAlign w:val="bottom"/>
          </w:tcPr>
          <w:p w:rsidR="00000000" w:rsidRDefault="00000000">
            <w:pPr>
              <w:suppressAutoHyphens/>
              <w:jc w:val="center"/>
              <w:rPr>
                <w:i/>
                <w:spacing w:val="-3"/>
                <w:sz w:val="17"/>
              </w:rPr>
            </w:pPr>
            <w:r>
              <w:rPr>
                <w:i/>
                <w:spacing w:val="-3"/>
                <w:sz w:val="17"/>
              </w:rPr>
              <w:t>Количество мужчин</w:t>
            </w:r>
          </w:p>
        </w:tc>
        <w:tc>
          <w:tcPr>
            <w:tcW w:w="1247" w:type="dxa"/>
            <w:tcBorders>
              <w:top w:val="single" w:sz="6" w:space="0" w:color="auto"/>
              <w:bottom w:val="single" w:sz="12" w:space="0" w:color="auto"/>
            </w:tcBorders>
            <w:vAlign w:val="bottom"/>
          </w:tcPr>
          <w:p w:rsidR="00000000" w:rsidRDefault="00000000">
            <w:pPr>
              <w:suppressAutoHyphens/>
              <w:jc w:val="center"/>
              <w:rPr>
                <w:i/>
                <w:spacing w:val="-3"/>
                <w:sz w:val="17"/>
              </w:rPr>
            </w:pPr>
            <w:r>
              <w:rPr>
                <w:i/>
                <w:spacing w:val="-3"/>
                <w:sz w:val="17"/>
              </w:rPr>
              <w:t>Доля мужчин</w:t>
            </w:r>
          </w:p>
        </w:tc>
        <w:tc>
          <w:tcPr>
            <w:tcW w:w="1248" w:type="dxa"/>
            <w:tcBorders>
              <w:top w:val="single" w:sz="6" w:space="0" w:color="auto"/>
              <w:bottom w:val="single" w:sz="12" w:space="0" w:color="auto"/>
            </w:tcBorders>
            <w:vAlign w:val="bottom"/>
          </w:tcPr>
          <w:p w:rsidR="00000000" w:rsidRDefault="00000000">
            <w:pPr>
              <w:suppressAutoHyphens/>
              <w:jc w:val="center"/>
              <w:rPr>
                <w:i/>
                <w:spacing w:val="-3"/>
                <w:sz w:val="17"/>
              </w:rPr>
            </w:pPr>
            <w:r>
              <w:rPr>
                <w:i/>
                <w:spacing w:val="-3"/>
                <w:sz w:val="17"/>
              </w:rPr>
              <w:t>Итого</w:t>
            </w:r>
          </w:p>
        </w:tc>
      </w:tr>
      <w:tr w:rsidR="00000000">
        <w:tblPrEx>
          <w:tblCellMar>
            <w:top w:w="0" w:type="dxa"/>
            <w:bottom w:w="0" w:type="dxa"/>
          </w:tblCellMar>
        </w:tblPrEx>
        <w:tc>
          <w:tcPr>
            <w:tcW w:w="1134" w:type="dxa"/>
            <w:tcBorders>
              <w:top w:val="single" w:sz="12" w:space="0" w:color="auto"/>
            </w:tcBorders>
          </w:tcPr>
          <w:p w:rsidR="00000000" w:rsidRDefault="00000000">
            <w:pPr>
              <w:suppressAutoHyphens/>
              <w:jc w:val="both"/>
              <w:rPr>
                <w:spacing w:val="-3"/>
                <w:sz w:val="17"/>
              </w:rPr>
            </w:pPr>
            <w:r>
              <w:rPr>
                <w:spacing w:val="-3"/>
                <w:sz w:val="17"/>
              </w:rPr>
              <w:t>2000 год</w:t>
            </w:r>
          </w:p>
        </w:tc>
        <w:tc>
          <w:tcPr>
            <w:tcW w:w="1247" w:type="dxa"/>
            <w:tcBorders>
              <w:top w:val="single" w:sz="12" w:space="0" w:color="auto"/>
            </w:tcBorders>
          </w:tcPr>
          <w:p w:rsidR="00000000" w:rsidRDefault="00000000">
            <w:pPr>
              <w:suppressAutoHyphens/>
              <w:jc w:val="center"/>
              <w:rPr>
                <w:spacing w:val="-3"/>
                <w:sz w:val="17"/>
              </w:rPr>
            </w:pPr>
            <w:r>
              <w:rPr>
                <w:spacing w:val="-3"/>
                <w:sz w:val="17"/>
              </w:rPr>
              <w:t>48</w:t>
            </w:r>
          </w:p>
        </w:tc>
        <w:tc>
          <w:tcPr>
            <w:tcW w:w="1247" w:type="dxa"/>
            <w:tcBorders>
              <w:top w:val="single" w:sz="12" w:space="0" w:color="auto"/>
            </w:tcBorders>
          </w:tcPr>
          <w:p w:rsidR="00000000" w:rsidRDefault="00000000">
            <w:pPr>
              <w:suppressAutoHyphens/>
              <w:jc w:val="center"/>
              <w:rPr>
                <w:spacing w:val="-3"/>
                <w:sz w:val="17"/>
              </w:rPr>
            </w:pPr>
            <w:r>
              <w:rPr>
                <w:spacing w:val="-3"/>
                <w:sz w:val="17"/>
              </w:rPr>
              <w:t>15,5%</w:t>
            </w:r>
          </w:p>
        </w:tc>
        <w:tc>
          <w:tcPr>
            <w:tcW w:w="1248" w:type="dxa"/>
            <w:tcBorders>
              <w:top w:val="single" w:sz="12" w:space="0" w:color="auto"/>
            </w:tcBorders>
          </w:tcPr>
          <w:p w:rsidR="00000000" w:rsidRDefault="00000000">
            <w:pPr>
              <w:suppressAutoHyphens/>
              <w:jc w:val="center"/>
              <w:rPr>
                <w:spacing w:val="-3"/>
                <w:sz w:val="17"/>
              </w:rPr>
            </w:pPr>
            <w:r>
              <w:rPr>
                <w:spacing w:val="-3"/>
                <w:sz w:val="17"/>
              </w:rPr>
              <w:t>261</w:t>
            </w:r>
          </w:p>
        </w:tc>
        <w:tc>
          <w:tcPr>
            <w:tcW w:w="1247" w:type="dxa"/>
            <w:tcBorders>
              <w:top w:val="single" w:sz="12" w:space="0" w:color="auto"/>
            </w:tcBorders>
          </w:tcPr>
          <w:p w:rsidR="00000000" w:rsidRDefault="00000000">
            <w:pPr>
              <w:suppressAutoHyphens/>
              <w:jc w:val="center"/>
              <w:rPr>
                <w:spacing w:val="-3"/>
                <w:sz w:val="17"/>
              </w:rPr>
            </w:pPr>
            <w:r>
              <w:rPr>
                <w:spacing w:val="-3"/>
                <w:sz w:val="17"/>
              </w:rPr>
              <w:t>84,5%</w:t>
            </w:r>
          </w:p>
        </w:tc>
        <w:tc>
          <w:tcPr>
            <w:tcW w:w="1248" w:type="dxa"/>
            <w:tcBorders>
              <w:top w:val="single" w:sz="12" w:space="0" w:color="auto"/>
            </w:tcBorders>
          </w:tcPr>
          <w:p w:rsidR="00000000" w:rsidRDefault="00000000">
            <w:pPr>
              <w:suppressAutoHyphens/>
              <w:jc w:val="center"/>
              <w:rPr>
                <w:spacing w:val="-3"/>
                <w:sz w:val="17"/>
              </w:rPr>
            </w:pPr>
            <w:r>
              <w:rPr>
                <w:spacing w:val="-3"/>
                <w:sz w:val="17"/>
              </w:rPr>
              <w:t>309</w:t>
            </w:r>
          </w:p>
        </w:tc>
      </w:tr>
      <w:tr w:rsidR="00000000">
        <w:tblPrEx>
          <w:tblCellMar>
            <w:top w:w="0" w:type="dxa"/>
            <w:bottom w:w="0" w:type="dxa"/>
          </w:tblCellMar>
        </w:tblPrEx>
        <w:tc>
          <w:tcPr>
            <w:tcW w:w="1134" w:type="dxa"/>
            <w:tcBorders>
              <w:bottom w:val="single" w:sz="12" w:space="0" w:color="auto"/>
            </w:tcBorders>
          </w:tcPr>
          <w:p w:rsidR="00000000" w:rsidRDefault="00000000">
            <w:pPr>
              <w:suppressAutoHyphens/>
              <w:jc w:val="both"/>
              <w:rPr>
                <w:spacing w:val="-3"/>
                <w:sz w:val="17"/>
              </w:rPr>
            </w:pPr>
            <w:r>
              <w:rPr>
                <w:spacing w:val="-3"/>
                <w:sz w:val="17"/>
              </w:rPr>
              <w:t>2002 год</w:t>
            </w:r>
          </w:p>
        </w:tc>
        <w:tc>
          <w:tcPr>
            <w:tcW w:w="1247" w:type="dxa"/>
            <w:tcBorders>
              <w:bottom w:val="single" w:sz="12" w:space="0" w:color="auto"/>
            </w:tcBorders>
          </w:tcPr>
          <w:p w:rsidR="00000000" w:rsidRDefault="00000000">
            <w:pPr>
              <w:suppressAutoHyphens/>
              <w:jc w:val="center"/>
              <w:rPr>
                <w:spacing w:val="-3"/>
                <w:sz w:val="17"/>
              </w:rPr>
            </w:pPr>
            <w:r>
              <w:rPr>
                <w:spacing w:val="-3"/>
                <w:sz w:val="17"/>
              </w:rPr>
              <w:t>43</w:t>
            </w:r>
          </w:p>
        </w:tc>
        <w:tc>
          <w:tcPr>
            <w:tcW w:w="1247" w:type="dxa"/>
            <w:tcBorders>
              <w:bottom w:val="single" w:sz="12" w:space="0" w:color="auto"/>
            </w:tcBorders>
          </w:tcPr>
          <w:p w:rsidR="00000000" w:rsidRDefault="00000000">
            <w:pPr>
              <w:suppressAutoHyphens/>
              <w:jc w:val="center"/>
              <w:rPr>
                <w:spacing w:val="-3"/>
                <w:sz w:val="17"/>
              </w:rPr>
            </w:pPr>
            <w:r>
              <w:rPr>
                <w:spacing w:val="-3"/>
                <w:sz w:val="17"/>
              </w:rPr>
              <w:t>18,1%</w:t>
            </w:r>
          </w:p>
        </w:tc>
        <w:tc>
          <w:tcPr>
            <w:tcW w:w="1248" w:type="dxa"/>
            <w:tcBorders>
              <w:bottom w:val="single" w:sz="12" w:space="0" w:color="auto"/>
            </w:tcBorders>
          </w:tcPr>
          <w:p w:rsidR="00000000" w:rsidRDefault="00000000">
            <w:pPr>
              <w:suppressAutoHyphens/>
              <w:jc w:val="center"/>
              <w:rPr>
                <w:spacing w:val="-3"/>
                <w:sz w:val="17"/>
              </w:rPr>
            </w:pPr>
            <w:r>
              <w:rPr>
                <w:spacing w:val="-3"/>
                <w:sz w:val="17"/>
              </w:rPr>
              <w:t>194</w:t>
            </w:r>
          </w:p>
        </w:tc>
        <w:tc>
          <w:tcPr>
            <w:tcW w:w="1247" w:type="dxa"/>
            <w:tcBorders>
              <w:bottom w:val="single" w:sz="12" w:space="0" w:color="auto"/>
            </w:tcBorders>
          </w:tcPr>
          <w:p w:rsidR="00000000" w:rsidRDefault="00000000">
            <w:pPr>
              <w:suppressAutoHyphens/>
              <w:jc w:val="center"/>
              <w:rPr>
                <w:spacing w:val="-3"/>
                <w:sz w:val="17"/>
              </w:rPr>
            </w:pPr>
            <w:r>
              <w:rPr>
                <w:spacing w:val="-3"/>
                <w:sz w:val="17"/>
              </w:rPr>
              <w:t>81,9%</w:t>
            </w:r>
          </w:p>
        </w:tc>
        <w:tc>
          <w:tcPr>
            <w:tcW w:w="1248" w:type="dxa"/>
            <w:tcBorders>
              <w:bottom w:val="single" w:sz="12" w:space="0" w:color="auto"/>
            </w:tcBorders>
          </w:tcPr>
          <w:p w:rsidR="00000000" w:rsidRDefault="00000000">
            <w:pPr>
              <w:suppressAutoHyphens/>
              <w:jc w:val="center"/>
              <w:rPr>
                <w:spacing w:val="-3"/>
                <w:sz w:val="17"/>
              </w:rPr>
            </w:pPr>
            <w:r>
              <w:rPr>
                <w:spacing w:val="-3"/>
                <w:sz w:val="17"/>
              </w:rPr>
              <w:t>237</w:t>
            </w:r>
          </w:p>
        </w:tc>
      </w:tr>
    </w:tbl>
    <w:p w:rsidR="00000000" w:rsidRDefault="00000000">
      <w:pPr>
        <w:pStyle w:val="50"/>
      </w:pPr>
    </w:p>
    <w:p w:rsidR="00000000" w:rsidRDefault="00000000">
      <w:pPr>
        <w:pStyle w:val="50"/>
      </w:pPr>
    </w:p>
    <w:p w:rsidR="00000000" w:rsidRDefault="00000000">
      <w:pPr>
        <w:pStyle w:val="H23"/>
      </w:pPr>
      <w:r>
        <w:tab/>
      </w:r>
      <w:bookmarkStart w:id="84" w:name="_Toc97786682"/>
      <w:r>
        <w:t>Стратегии обеспечения учета гендерного фактора</w:t>
      </w:r>
      <w:bookmarkEnd w:id="84"/>
    </w:p>
    <w:p w:rsidR="00000000" w:rsidRDefault="00000000">
      <w:pPr>
        <w:pStyle w:val="SingleTxt"/>
      </w:pPr>
      <w:r>
        <w:tab/>
      </w:r>
      <w:r>
        <w:tab/>
        <w:t>11 июля 2000 года в соответствии с резолюцией Совета министров был учрежден Координационный комитет по обеспечению учета гендерного факт</w:t>
      </w:r>
      <w:r>
        <w:t>о</w:t>
      </w:r>
      <w:r>
        <w:t>ра (</w:t>
      </w:r>
      <w:r>
        <w:rPr>
          <w:lang w:val="en-US"/>
        </w:rPr>
        <w:t>IMAG</w:t>
      </w:r>
      <w:r>
        <w:t xml:space="preserve"> </w:t>
      </w:r>
      <w:r>
        <w:rPr>
          <w:lang w:val="en-US"/>
        </w:rPr>
        <w:t>GM</w:t>
      </w:r>
      <w:r>
        <w:t>), на который возлагалась задача обеспечить выполнение полит</w:t>
      </w:r>
      <w:r>
        <w:t>и</w:t>
      </w:r>
      <w:r>
        <w:t>ческих и юридических обязательств Австрии, связанных с учетом гендерного фактора на национальном уровне.</w:t>
      </w:r>
    </w:p>
    <w:p w:rsidR="00000000" w:rsidRDefault="00000000">
      <w:pPr>
        <w:pStyle w:val="SingleTxt"/>
      </w:pPr>
      <w:r>
        <w:tab/>
      </w:r>
      <w:r>
        <w:tab/>
        <w:t>В состав этого комитета, который работает под председательством Фед</w:t>
      </w:r>
      <w:r>
        <w:t>е</w:t>
      </w:r>
      <w:r>
        <w:t>рального министра здравоохранения и по делам женщин, входят представители всех федеральных министерств, Конституционного суда, Апелляционного а</w:t>
      </w:r>
      <w:r>
        <w:t>д</w:t>
      </w:r>
      <w:r>
        <w:t xml:space="preserve">министративного суда, Аудиторского суда и Управления Омбудсмена, а также парламентской администрации и профсоюза государственных служащих. Цель </w:t>
      </w:r>
      <w:r>
        <w:rPr>
          <w:lang w:val="en-US"/>
        </w:rPr>
        <w:t>IMAG</w:t>
      </w:r>
      <w:r>
        <w:t xml:space="preserve"> </w:t>
      </w:r>
      <w:r>
        <w:rPr>
          <w:lang w:val="en-US"/>
        </w:rPr>
        <w:t>GM</w:t>
      </w:r>
      <w:r>
        <w:t xml:space="preserve"> состоит в оказании поддержки процессу обеспечения учета генде</w:t>
      </w:r>
      <w:r>
        <w:t>р</w:t>
      </w:r>
      <w:r>
        <w:t>ного фактора во всех правительственных департаментах и на всех политич</w:t>
      </w:r>
      <w:r>
        <w:t>е</w:t>
      </w:r>
      <w:r>
        <w:t>ских уровнях (см. также раздел настоящего доклада, касающийся рекоменд</w:t>
      </w:r>
      <w:r>
        <w:t>а</w:t>
      </w:r>
      <w:r>
        <w:t>ции 226).</w:t>
      </w:r>
    </w:p>
    <w:p w:rsidR="00000000" w:rsidRDefault="00000000">
      <w:pPr>
        <w:pStyle w:val="SingleTxt"/>
      </w:pPr>
      <w:r>
        <w:tab/>
      </w:r>
      <w:r>
        <w:tab/>
        <w:t>Главные задачи Комитета связаны с обменом информацией и данными о полезных инициативах в министерствах, а также о примерах наилучшей пра</w:t>
      </w:r>
      <w:r>
        <w:t>к</w:t>
      </w:r>
      <w:r>
        <w:t>тики, выявленных в Австрии и за рубежом, с разработкой критериев осущест</w:t>
      </w:r>
      <w:r>
        <w:t>в</w:t>
      </w:r>
      <w:r>
        <w:t>ления стратегии по обеспечению учета гендерного фактора и поддержкой и оценкой текущих проектов, мероприятий и законодательства, касающихся применения принципа учета гендерного фактора. В соответствии с правилами процед</w:t>
      </w:r>
      <w:r>
        <w:t>у</w:t>
      </w:r>
      <w:r>
        <w:t xml:space="preserve">ры совещания </w:t>
      </w:r>
      <w:r>
        <w:rPr>
          <w:lang w:val="en-US"/>
        </w:rPr>
        <w:t>IMAG</w:t>
      </w:r>
      <w:r>
        <w:t xml:space="preserve"> </w:t>
      </w:r>
      <w:r>
        <w:rPr>
          <w:lang w:val="en-US"/>
        </w:rPr>
        <w:t>GM</w:t>
      </w:r>
      <w:r>
        <w:t xml:space="preserve"> проводятся не реже двух раз в год.</w:t>
      </w:r>
    </w:p>
    <w:p w:rsidR="00000000" w:rsidRDefault="00000000">
      <w:pPr>
        <w:pStyle w:val="SingleTxt"/>
      </w:pPr>
      <w:r>
        <w:tab/>
      </w:r>
      <w:r>
        <w:tab/>
        <w:t xml:space="preserve">В 2001 году </w:t>
      </w:r>
      <w:r>
        <w:rPr>
          <w:lang w:val="en-US"/>
        </w:rPr>
        <w:t>IMAG</w:t>
      </w:r>
      <w:r>
        <w:t xml:space="preserve"> </w:t>
      </w:r>
      <w:r>
        <w:rPr>
          <w:lang w:val="en-US"/>
        </w:rPr>
        <w:t>GM</w:t>
      </w:r>
      <w:r>
        <w:t xml:space="preserve"> силами трех рабочих групп, занимающихся вопр</w:t>
      </w:r>
      <w:r>
        <w:t>о</w:t>
      </w:r>
      <w:r>
        <w:t>сами "проектов и руководящих принципов", "структуры, ресурсов и представ</w:t>
      </w:r>
      <w:r>
        <w:t>и</w:t>
      </w:r>
      <w:r>
        <w:t>тельства" и "информации, пропаганды и просвещения населения", разработал рекомендации о создании предварительных условий и основы для принятия эффективных мер по обеспечению учета гендерного фактора. Эти рекоменд</w:t>
      </w:r>
      <w:r>
        <w:t>а</w:t>
      </w:r>
      <w:r>
        <w:t>ции легли в основу резолюции Совета министров от 3 марта 2002 года о прин</w:t>
      </w:r>
      <w:r>
        <w:t>я</w:t>
      </w:r>
      <w:r>
        <w:t>тии программы работы по обеспечению учета гендерного фактора, предусма</w:t>
      </w:r>
      <w:r>
        <w:t>т</w:t>
      </w:r>
      <w:r>
        <w:t>ривающей конкретные меры для всех федеральных мин</w:t>
      </w:r>
      <w:r>
        <w:t>и</w:t>
      </w:r>
      <w:r>
        <w:t>стерств.</w:t>
      </w:r>
    </w:p>
    <w:p w:rsidR="00000000" w:rsidRDefault="00000000">
      <w:pPr>
        <w:pStyle w:val="SingleTxt"/>
      </w:pPr>
      <w:r>
        <w:tab/>
      </w:r>
      <w:r>
        <w:tab/>
        <w:t>9 марта 2004 года была принята третья резолюция Совета министров по обеспечению учета гендерного фактора (УГФ), которая вытекает из предыд</w:t>
      </w:r>
      <w:r>
        <w:t>у</w:t>
      </w:r>
      <w:r>
        <w:t>щих резолюций и содержит положения, касающиеся целевого обеспечения УГФ на федеральном уровне. В частности, все федеральные министерства вз</w:t>
      </w:r>
      <w:r>
        <w:t>я</w:t>
      </w:r>
      <w:r>
        <w:t>ли обязательство создать внутренние рабочие группы и/или руководящие ком</w:t>
      </w:r>
      <w:r>
        <w:t>и</w:t>
      </w:r>
      <w:r>
        <w:t>теты по УГФ и осуществить в каждом федеральном министерстве по одному проекту в области УГФ, связанному с политикой в области людских ресурсов, и по одн</w:t>
      </w:r>
      <w:r>
        <w:t>о</w:t>
      </w:r>
      <w:r>
        <w:t>му внутреннему или внешнему проекту по УГФ.</w:t>
      </w:r>
    </w:p>
    <w:p w:rsidR="00000000" w:rsidRDefault="00000000">
      <w:pPr>
        <w:pStyle w:val="50"/>
      </w:pPr>
    </w:p>
    <w:p w:rsidR="00000000" w:rsidRDefault="00000000">
      <w:pPr>
        <w:pStyle w:val="50"/>
      </w:pPr>
    </w:p>
    <w:p w:rsidR="00000000" w:rsidRDefault="00000000">
      <w:pPr>
        <w:pStyle w:val="H4"/>
        <w:ind w:left="1264" w:firstLine="0"/>
        <w:rPr>
          <w:b/>
          <w:i w:val="0"/>
        </w:rPr>
      </w:pPr>
      <w:r>
        <w:rPr>
          <w:b/>
          <w:i w:val="0"/>
        </w:rPr>
        <w:t>Программы подготовки по обеспечению учета гендерного фактора в различных министерствах</w:t>
      </w:r>
    </w:p>
    <w:p w:rsidR="00000000" w:rsidRDefault="00000000">
      <w:pPr>
        <w:pStyle w:val="SingleTxt"/>
      </w:pPr>
      <w:r>
        <w:tab/>
      </w:r>
      <w:r>
        <w:tab/>
        <w:t>В первой половине 2002 года в пяти федеральных министерствах, фед</w:t>
      </w:r>
      <w:r>
        <w:t>е</w:t>
      </w:r>
      <w:r>
        <w:t>ральной канцелярии и Управлении омбудсмена были организованы курсы по обеспечению учета гендерного фактора продолжительностью семь с половиной дней, цель которых заключалась в том, чтобы ознакомить заинтересованных сотрудников с понятием и содержанием УГФ и предоставить возможности для обс</w:t>
      </w:r>
      <w:r>
        <w:t>у</w:t>
      </w:r>
      <w:r>
        <w:t>ждения вопросов, касающихся их конкретного ведомства.</w:t>
      </w:r>
    </w:p>
    <w:p w:rsidR="00000000" w:rsidRDefault="00000000">
      <w:pPr>
        <w:pStyle w:val="SingleTxt"/>
      </w:pPr>
      <w:r>
        <w:rPr>
          <w:b/>
        </w:rPr>
        <w:tab/>
      </w:r>
      <w:r>
        <w:rPr>
          <w:b/>
        </w:rPr>
        <w:tab/>
        <w:t xml:space="preserve">Межведомственный координационный комитет по обеспечению учета гендерного фактора </w:t>
      </w:r>
      <w:r>
        <w:t xml:space="preserve">также открыл веб-сайт </w:t>
      </w:r>
      <w:hyperlink r:id="rId21" w:history="1">
        <w:r>
          <w:rPr>
            <w:rStyle w:val="Hyperlink"/>
            <w:spacing w:val="-3"/>
            <w:lang w:val="en-US"/>
          </w:rPr>
          <w:t>www</w:t>
        </w:r>
        <w:r>
          <w:rPr>
            <w:rStyle w:val="Hyperlink"/>
            <w:spacing w:val="-3"/>
          </w:rPr>
          <w:t>.</w:t>
        </w:r>
        <w:r>
          <w:rPr>
            <w:rStyle w:val="Hyperlink"/>
            <w:spacing w:val="-3"/>
            <w:lang w:val="en-US"/>
          </w:rPr>
          <w:t>imag</w:t>
        </w:r>
        <w:r>
          <w:rPr>
            <w:rStyle w:val="Hyperlink"/>
            <w:spacing w:val="-3"/>
          </w:rPr>
          <w:t>-</w:t>
        </w:r>
        <w:r>
          <w:rPr>
            <w:rStyle w:val="Hyperlink"/>
            <w:spacing w:val="-3"/>
            <w:lang w:val="en-US"/>
          </w:rPr>
          <w:t>gendermainstreaming</w:t>
        </w:r>
        <w:r>
          <w:rPr>
            <w:rStyle w:val="Hyperlink"/>
            <w:spacing w:val="-3"/>
          </w:rPr>
          <w:t>.</w:t>
        </w:r>
        <w:r>
          <w:rPr>
            <w:rStyle w:val="Hyperlink"/>
            <w:spacing w:val="-3"/>
            <w:lang w:val="en-US"/>
          </w:rPr>
          <w:t>at</w:t>
        </w:r>
      </w:hyperlink>
      <w:r>
        <w:t>, который функционирует с 1 мая 2002 года и содержит всеобъемлющую инфо</w:t>
      </w:r>
      <w:r>
        <w:t>р</w:t>
      </w:r>
      <w:r>
        <w:t>мацию по данной тематике.</w:t>
      </w:r>
    </w:p>
    <w:p w:rsidR="00000000" w:rsidRDefault="00000000">
      <w:pPr>
        <w:pStyle w:val="SingleTxt"/>
      </w:pPr>
      <w:r>
        <w:tab/>
      </w:r>
      <w:r>
        <w:tab/>
        <w:t>В этой связи следует также сослаться на подробную информацию, прив</w:t>
      </w:r>
      <w:r>
        <w:t>е</w:t>
      </w:r>
      <w:r>
        <w:t>денную в разделе настоящего доклада, посвященном пункту а) статьи 5, к</w:t>
      </w:r>
      <w:r>
        <w:t>а</w:t>
      </w:r>
      <w:r>
        <w:t>сающуюся реализации принципа "гендерного равенства" в системе образов</w:t>
      </w:r>
      <w:r>
        <w:t>а</w:t>
      </w:r>
      <w:r>
        <w:t>ния.</w:t>
      </w:r>
    </w:p>
    <w:p w:rsidR="00000000" w:rsidRDefault="00000000">
      <w:pPr>
        <w:pStyle w:val="50"/>
      </w:pPr>
    </w:p>
    <w:p w:rsidR="00000000" w:rsidRDefault="00000000">
      <w:pPr>
        <w:pStyle w:val="50"/>
      </w:pPr>
    </w:p>
    <w:p w:rsidR="00000000" w:rsidRDefault="00000000">
      <w:pPr>
        <w:pStyle w:val="H4"/>
        <w:rPr>
          <w:b/>
          <w:i w:val="0"/>
        </w:rPr>
      </w:pPr>
      <w:r>
        <w:rPr>
          <w:b/>
          <w:i w:val="0"/>
        </w:rPr>
        <w:t>Меры, принимаемые в провинциях</w:t>
      </w:r>
    </w:p>
    <w:p w:rsidR="00000000" w:rsidRDefault="00000000">
      <w:pPr>
        <w:pStyle w:val="SingleTxt"/>
      </w:pPr>
      <w:r>
        <w:tab/>
      </w:r>
      <w:r>
        <w:tab/>
        <w:t>Разработаны также планы и меры по улучшению положения женщин для сотрудников администраций провинций и местных органов власти. В качестве примера можно привести следующее:</w:t>
      </w:r>
    </w:p>
    <w:p w:rsidR="00000000" w:rsidRDefault="00000000">
      <w:pPr>
        <w:pStyle w:val="dot"/>
      </w:pPr>
      <w:r>
        <w:sym w:font="Symbol" w:char="F0B7"/>
      </w:r>
      <w:r>
        <w:tab/>
        <w:t xml:space="preserve">На основе законов о равном обращении, принятых провинциями и местными органами власти и действующих с 1996 и 1998 годов, по инициативе властей </w:t>
      </w:r>
      <w:r>
        <w:rPr>
          <w:b/>
        </w:rPr>
        <w:t>провинции Зальцбург</w:t>
      </w:r>
      <w:r>
        <w:t xml:space="preserve"> созывается ежегодная конференция сотрудников органов власти австрийских провинций и местных органов власти по вопросам равного обращения, которая проводится в различные периоды года. Эта конференция служит ф</w:t>
      </w:r>
      <w:r>
        <w:t>о</w:t>
      </w:r>
      <w:r>
        <w:t>румом для обмена опытом и знаниями по вопросам, касающимся з</w:t>
      </w:r>
      <w:r>
        <w:t>а</w:t>
      </w:r>
      <w:r>
        <w:t>конодательства в области создания равных возможностей, а также содействия отражению тенденций, отмечаемых в международном и национальном законодательстве, в законах провинций о равном о</w:t>
      </w:r>
      <w:r>
        <w:t>б</w:t>
      </w:r>
      <w:r>
        <w:t xml:space="preserve">ращении. В процессе разработки и осуществления </w:t>
      </w:r>
      <w:r>
        <w:rPr>
          <w:b/>
        </w:rPr>
        <w:t>планов действий по улучшению положения женщин</w:t>
      </w:r>
      <w:r>
        <w:t xml:space="preserve"> для сотрудников органов власти провинций и региональных больниц государственные служащие в Зальцбурге проходят обучение по вопросам принятия временных специальных мер. Интеграция принципа учета гендерного фактора на законодательном и административном уровне (в постановлениях парламентов и администраций провинций) сопровождалась инфо</w:t>
      </w:r>
      <w:r>
        <w:t>р</w:t>
      </w:r>
      <w:r>
        <w:t>мационными мероприятиями по данной теме, организованными Управлением по делам женщин и обеспечению равных возможн</w:t>
      </w:r>
      <w:r>
        <w:t>о</w:t>
      </w:r>
      <w:r>
        <w:t>стей.</w:t>
      </w:r>
    </w:p>
    <w:p w:rsidR="00000000" w:rsidRDefault="00000000">
      <w:pPr>
        <w:pStyle w:val="dot"/>
      </w:pPr>
      <w:r>
        <w:sym w:font="Symbol" w:char="F0B7"/>
      </w:r>
      <w:r>
        <w:tab/>
        <w:t xml:space="preserve">На основании </w:t>
      </w:r>
      <w:r>
        <w:rPr>
          <w:b/>
        </w:rPr>
        <w:t>Закона о равном обращении провинции Нижняя Австрия</w:t>
      </w:r>
      <w:r>
        <w:t xml:space="preserve"> за отчетный период были утверждены 15 планов по улу</w:t>
      </w:r>
      <w:r>
        <w:t>ч</w:t>
      </w:r>
      <w:r>
        <w:t>шению положения женщин (для сотрудников администрации пр</w:t>
      </w:r>
      <w:r>
        <w:t>о</w:t>
      </w:r>
      <w:r>
        <w:t>винции и 14 местных органов власти) в целях принятия надлежащих мер по увеличению представительства женщин среди всех категорий и классов персонала. В 2003 году администрация провинции Нижняя Австрия осуществила ограниченный по своим срокам проект, св</w:t>
      </w:r>
      <w:r>
        <w:t>я</w:t>
      </w:r>
      <w:r>
        <w:t>занный с введением наставничества в качестве конструктивной меры на основе св</w:t>
      </w:r>
      <w:r>
        <w:t>о</w:t>
      </w:r>
      <w:r>
        <w:t>его плана.</w:t>
      </w:r>
    </w:p>
    <w:p w:rsidR="00000000" w:rsidRDefault="00000000">
      <w:pPr>
        <w:pStyle w:val="dot"/>
      </w:pPr>
      <w:r>
        <w:sym w:font="Symbol" w:char="F0B7"/>
      </w:r>
      <w:r>
        <w:tab/>
        <w:t xml:space="preserve">Благодаря конструктивным действиям властей доля женщин среди сотрудников государственных учреждений </w:t>
      </w:r>
      <w:r>
        <w:rPr>
          <w:b/>
        </w:rPr>
        <w:t>провинции Бургенланд</w:t>
      </w:r>
      <w:r>
        <w:t xml:space="preserve"> ежегодно увеличивается: общая квота женщин (среди гражданских служащих и персонала, работающего по контрактам) выросла с 38,3 процента (по состоянию на 31 декабря 1999 года) до 40,9 процента (по состоянию на 30 сентября 2003 года), т.е. на 2,6 процента.</w:t>
      </w:r>
    </w:p>
    <w:p w:rsidR="00000000" w:rsidRDefault="00000000">
      <w:pPr>
        <w:pStyle w:val="dot"/>
      </w:pPr>
      <w:r>
        <w:sym w:font="Symbol" w:char="F0B7"/>
      </w:r>
      <w:r>
        <w:tab/>
        <w:t xml:space="preserve">Учет гендерного фактора в </w:t>
      </w:r>
      <w:r>
        <w:rPr>
          <w:b/>
        </w:rPr>
        <w:t>Вене</w:t>
      </w:r>
      <w:r>
        <w:t>: гендерные аспекты учитываются в процессе организации планирования, жилищного строительства, м</w:t>
      </w:r>
      <w:r>
        <w:t>е</w:t>
      </w:r>
      <w:r>
        <w:t>дицинского обслуживания и культурной деятельности, а также в ко</w:t>
      </w:r>
      <w:r>
        <w:t>н</w:t>
      </w:r>
      <w:r>
        <w:t>тексте выделения ассигнований финансовыми учреждениями Вены, такими как Венский фонд интеграции (ВФИ), Венское агентство предпринимательства (ВАП) и Венский фонд продвижения работн</w:t>
      </w:r>
      <w:r>
        <w:t>и</w:t>
      </w:r>
      <w:r>
        <w:t>ков по службе (ВПРС), который конкретно предусматривает меры по обеспечению учета гендерного фактора в своих правилах процедуры. Помимо создания Координационного управления планирования и строительства с учетом требований современной жизни и конкре</w:t>
      </w:r>
      <w:r>
        <w:t>т</w:t>
      </w:r>
      <w:r>
        <w:t>ных потребностей женщин в 1998 году, в 1999 году в муниципалит</w:t>
      </w:r>
      <w:r>
        <w:t>е</w:t>
      </w:r>
      <w:r>
        <w:t>те Вены была учреждена должность сотрудника по охране здоровья женщин, а в Венском агентстве предпринимательства открыта слу</w:t>
      </w:r>
      <w:r>
        <w:t>ж</w:t>
      </w:r>
      <w:r>
        <w:t>ба по оказанию помощи женщинам.</w:t>
      </w:r>
    </w:p>
    <w:p w:rsidR="00000000" w:rsidRDefault="00000000">
      <w:pPr>
        <w:pStyle w:val="dot"/>
      </w:pPr>
      <w:r>
        <w:sym w:font="Symbol" w:char="F0B7"/>
      </w:r>
      <w:r>
        <w:tab/>
        <w:t xml:space="preserve">15 августа 2002 года был утвержден план по улучшению положения женщин для сотрудников </w:t>
      </w:r>
      <w:r>
        <w:rPr>
          <w:b/>
        </w:rPr>
        <w:t>провинции Тироль</w:t>
      </w:r>
      <w:r>
        <w:t>, который, в частности, преследует цель достичь квоты представительства женщин на всех должностях не менее 40 процентов.</w:t>
      </w:r>
    </w:p>
    <w:p w:rsidR="00000000" w:rsidRDefault="00000000">
      <w:pPr>
        <w:pStyle w:val="dot"/>
      </w:pPr>
      <w:r>
        <w:sym w:font="Symbol" w:char="F0B7"/>
      </w:r>
      <w:r>
        <w:tab/>
        <w:t xml:space="preserve">В постановлении от 10 июня 2002 года власти </w:t>
      </w:r>
      <w:r>
        <w:rPr>
          <w:b/>
        </w:rPr>
        <w:t>провинции Штирия</w:t>
      </w:r>
      <w:r>
        <w:t xml:space="preserve"> обязались осуществлять стратегию по обеспечению учета гендерн</w:t>
      </w:r>
      <w:r>
        <w:t>о</w:t>
      </w:r>
      <w:r>
        <w:t>го фактора и создать межведомственную руководящую группу для выработки стратегических задач, связанных с учетом гендерного фактора.</w:t>
      </w:r>
    </w:p>
    <w:p w:rsidR="00000000" w:rsidRDefault="00000000">
      <w:pPr>
        <w:pStyle w:val="50"/>
      </w:pPr>
    </w:p>
    <w:p w:rsidR="00000000" w:rsidRDefault="00000000">
      <w:pPr>
        <w:pStyle w:val="50"/>
      </w:pPr>
    </w:p>
    <w:p w:rsidR="00000000" w:rsidRDefault="00000000">
      <w:pPr>
        <w:pStyle w:val="H1"/>
      </w:pPr>
      <w:r>
        <w:tab/>
      </w:r>
      <w:bookmarkStart w:id="85" w:name="_Toc97786683"/>
      <w:r>
        <w:t>Статья 5</w:t>
      </w:r>
      <w:bookmarkEnd w:id="85"/>
    </w:p>
    <w:p w:rsidR="00000000" w:rsidRDefault="00000000">
      <w:pPr>
        <w:pStyle w:val="50"/>
        <w:keepNext/>
      </w:pPr>
    </w:p>
    <w:p w:rsidR="00000000" w:rsidRDefault="00000000">
      <w:pPr>
        <w:pStyle w:val="50"/>
        <w:keepNext/>
      </w:pPr>
    </w:p>
    <w:p w:rsidR="00000000" w:rsidRDefault="00000000">
      <w:pPr>
        <w:pStyle w:val="H23"/>
        <w:rPr>
          <w:u w:val="single"/>
        </w:rPr>
      </w:pPr>
      <w:r>
        <w:tab/>
      </w:r>
      <w:bookmarkStart w:id="86" w:name="_Toc97786684"/>
      <w:r>
        <w:rPr>
          <w:u w:val="single"/>
        </w:rPr>
        <w:t>Статья 5, пункт а)</w:t>
      </w:r>
      <w:bookmarkEnd w:id="86"/>
    </w:p>
    <w:p w:rsidR="00000000" w:rsidRDefault="00000000">
      <w:pPr>
        <w:pStyle w:val="50"/>
        <w:keepNext/>
      </w:pPr>
    </w:p>
    <w:p w:rsidR="00000000" w:rsidRDefault="00000000">
      <w:pPr>
        <w:pStyle w:val="50"/>
        <w:keepNext/>
      </w:pPr>
    </w:p>
    <w:p w:rsidR="00000000" w:rsidRDefault="00000000">
      <w:pPr>
        <w:pStyle w:val="H23"/>
      </w:pPr>
      <w:r>
        <w:tab/>
      </w:r>
      <w:bookmarkStart w:id="87" w:name="_Toc97786685"/>
      <w:r>
        <w:t>Борьба со стереотипными представлениями о роли женщин и мужчин</w:t>
      </w:r>
      <w:bookmarkEnd w:id="87"/>
    </w:p>
    <w:p w:rsidR="00000000" w:rsidRDefault="00000000">
      <w:pPr>
        <w:pStyle w:val="SingleTxt"/>
      </w:pPr>
      <w:r>
        <w:tab/>
      </w:r>
      <w:r>
        <w:tab/>
        <w:t xml:space="preserve">Принцип </w:t>
      </w:r>
      <w:r>
        <w:rPr>
          <w:b/>
        </w:rPr>
        <w:t>"гендерного равенства в системе образования"</w:t>
      </w:r>
      <w:r>
        <w:t xml:space="preserve"> (также ра</w:t>
      </w:r>
      <w:r>
        <w:t>с</w:t>
      </w:r>
      <w:r>
        <w:t>сматривающийся в качестве временной специальной меры по смыслу статьи 4), который был введен в 1995 году, успешно применяется в рамках программ об</w:t>
      </w:r>
      <w:r>
        <w:t>у</w:t>
      </w:r>
      <w:r>
        <w:t>чения в школах различных типов. Были подготовлены дидактические матери</w:t>
      </w:r>
      <w:r>
        <w:t>а</w:t>
      </w:r>
      <w:r>
        <w:t>лы для использования в начальных школах, на всех последующих ступенях обязательного обучения и в профессионально технических училищах в целях ускорения процесса обеспечения учета данного принципа в различных дисци</w:t>
      </w:r>
      <w:r>
        <w:t>п</w:t>
      </w:r>
      <w:r>
        <w:t>линах учебной программы. Был организован специальный проект для оценки уровня информированности населения об этом дидактическом принципе и его применении в школах, а для преподавательского состава по этому предмету был пров</w:t>
      </w:r>
      <w:r>
        <w:t>е</w:t>
      </w:r>
      <w:r>
        <w:t>ден ряд учебных курсов.</w:t>
      </w:r>
    </w:p>
    <w:p w:rsidR="00000000" w:rsidRDefault="00000000">
      <w:pPr>
        <w:pStyle w:val="SingleTxt"/>
      </w:pPr>
      <w:r>
        <w:tab/>
      </w:r>
      <w:r>
        <w:tab/>
        <w:t xml:space="preserve">В </w:t>
      </w:r>
      <w:r>
        <w:rPr>
          <w:b/>
        </w:rPr>
        <w:t>Зальцбурге</w:t>
      </w:r>
      <w:r>
        <w:t xml:space="preserve"> работа с девушками, которая началась в предыдущие годы, в 2002 году продолжилась с назначением специального сотрудника по делам девушек и реализацией инициативы "Сделай это", которая направлена на п</w:t>
      </w:r>
      <w:r>
        <w:t>о</w:t>
      </w:r>
      <w:r>
        <w:t>ощрение девушек и в рамках которой принимаются различные меры (некот</w:t>
      </w:r>
      <w:r>
        <w:t>о</w:t>
      </w:r>
      <w:r>
        <w:t>рые из которых перечислены в приложении 1) в целях искоренить стереоти</w:t>
      </w:r>
      <w:r>
        <w:t>п</w:t>
      </w:r>
      <w:r>
        <w:t>ные представления о роли девушек и препятствовать формированию стере</w:t>
      </w:r>
      <w:r>
        <w:t>о</w:t>
      </w:r>
      <w:r>
        <w:t>типных моделей поведения ср</w:t>
      </w:r>
      <w:r>
        <w:t>е</w:t>
      </w:r>
      <w:r>
        <w:t>ди девушек.</w:t>
      </w:r>
    </w:p>
    <w:p w:rsidR="00000000" w:rsidRDefault="00000000">
      <w:pPr>
        <w:pStyle w:val="50"/>
      </w:pPr>
    </w:p>
    <w:p w:rsidR="00000000" w:rsidRDefault="00000000">
      <w:pPr>
        <w:pStyle w:val="50"/>
      </w:pPr>
    </w:p>
    <w:p w:rsidR="00000000" w:rsidRDefault="00000000">
      <w:pPr>
        <w:pStyle w:val="H4"/>
        <w:rPr>
          <w:b/>
          <w:i w:val="0"/>
        </w:rPr>
      </w:pPr>
      <w:r>
        <w:rPr>
          <w:b/>
          <w:i w:val="0"/>
        </w:rPr>
        <w:t>Равное распределение неоплачиваемой работы в семье</w:t>
      </w:r>
    </w:p>
    <w:p w:rsidR="00000000" w:rsidRDefault="00000000">
      <w:pPr>
        <w:pStyle w:val="SingleTxt"/>
      </w:pPr>
      <w:r>
        <w:tab/>
      </w:r>
      <w:r>
        <w:tab/>
        <w:t>Как показывают результаты микропереписи "Ведение домашнего хозяйс</w:t>
      </w:r>
      <w:r>
        <w:t>т</w:t>
      </w:r>
      <w:r>
        <w:t>ва – уход за детьми – уход за родственниками"</w:t>
      </w:r>
      <w:r>
        <w:rPr>
          <w:rStyle w:val="FootnoteReference"/>
          <w:spacing w:val="-3"/>
        </w:rPr>
        <w:footnoteReference w:id="6"/>
      </w:r>
      <w:r>
        <w:t>, равное распределение неопл</w:t>
      </w:r>
      <w:r>
        <w:t>а</w:t>
      </w:r>
      <w:r>
        <w:t>чиваемой работы в рамках семьи пока еще не стало реальностью. Для того, чтобы получить более подробные результаты о структуре и типах неоплач</w:t>
      </w:r>
      <w:r>
        <w:t>и</w:t>
      </w:r>
      <w:r>
        <w:t>ваемой работы в семье, выполняемой, соответственно, женщинами и мужчин</w:t>
      </w:r>
      <w:r>
        <w:t>а</w:t>
      </w:r>
      <w:r>
        <w:t>ми, необходимо будет провести повторное "обследование затрат времени" (п</w:t>
      </w:r>
      <w:r>
        <w:t>о</w:t>
      </w:r>
      <w:r>
        <w:t>следнее обследование из этой серии было проведено в 1992 году). Однако пока изыскать финансовые средства на проведение такого обследования не пре</w:t>
      </w:r>
      <w:r>
        <w:t>д</w:t>
      </w:r>
      <w:r>
        <w:t>ставляется возможным.</w:t>
      </w:r>
    </w:p>
    <w:p w:rsidR="00000000" w:rsidRDefault="00000000">
      <w:pPr>
        <w:pStyle w:val="SingleTxt"/>
      </w:pPr>
      <w:r>
        <w:tab/>
      </w:r>
      <w:r>
        <w:tab/>
        <w:t xml:space="preserve">После проведения в 2002 году Года равных возможностей Управление по делам женщин осенью 2003 года провела кампанию в </w:t>
      </w:r>
      <w:r>
        <w:rPr>
          <w:b/>
        </w:rPr>
        <w:t>провинции Верхняя Австрия</w:t>
      </w:r>
      <w:r>
        <w:t xml:space="preserve"> с целью убедить общественность в необходимости равного распред</w:t>
      </w:r>
      <w:r>
        <w:t>е</w:t>
      </w:r>
      <w:r>
        <w:t>ления н</w:t>
      </w:r>
      <w:r>
        <w:t>е</w:t>
      </w:r>
      <w:r>
        <w:t>оплачиваемой работы в рамках семьи (</w:t>
      </w:r>
      <w:r>
        <w:rPr>
          <w:b/>
          <w:lang w:val="en-US"/>
        </w:rPr>
        <w:t>www</w:t>
      </w:r>
      <w:r>
        <w:rPr>
          <w:b/>
        </w:rPr>
        <w:t>.chanceengleichheit.at)</w:t>
      </w:r>
      <w:r>
        <w:t>.</w:t>
      </w:r>
    </w:p>
    <w:p w:rsidR="00000000" w:rsidRDefault="00000000">
      <w:pPr>
        <w:pStyle w:val="50"/>
      </w:pPr>
    </w:p>
    <w:p w:rsidR="00000000" w:rsidRDefault="00000000">
      <w:pPr>
        <w:pStyle w:val="50"/>
      </w:pPr>
    </w:p>
    <w:p w:rsidR="00000000" w:rsidRDefault="00000000">
      <w:pPr>
        <w:pStyle w:val="H23"/>
      </w:pPr>
      <w:r>
        <w:tab/>
      </w:r>
      <w:bookmarkStart w:id="88" w:name="_Toc97786686"/>
      <w:r>
        <w:t>Борьба с насилием</w:t>
      </w:r>
      <w:bookmarkEnd w:id="88"/>
      <w:r>
        <w:t xml:space="preserve"> в семьях</w:t>
      </w:r>
    </w:p>
    <w:p w:rsidR="00000000" w:rsidRDefault="00000000">
      <w:pPr>
        <w:pStyle w:val="50"/>
        <w:keepNext/>
      </w:pPr>
    </w:p>
    <w:p w:rsidR="00000000" w:rsidRDefault="00000000">
      <w:pPr>
        <w:pStyle w:val="50"/>
        <w:keepNext/>
      </w:pPr>
    </w:p>
    <w:p w:rsidR="00000000" w:rsidRDefault="00000000">
      <w:pPr>
        <w:pStyle w:val="H4"/>
        <w:rPr>
          <w:b/>
          <w:i w:val="0"/>
        </w:rPr>
      </w:pPr>
      <w:r>
        <w:rPr>
          <w:b/>
          <w:i w:val="0"/>
        </w:rPr>
        <w:t>Защита жертв насилия и центры вмешательства</w:t>
      </w:r>
    </w:p>
    <w:p w:rsidR="00000000" w:rsidRDefault="00000000">
      <w:pPr>
        <w:pStyle w:val="SingleTxt"/>
      </w:pPr>
      <w:r>
        <w:tab/>
      </w:r>
      <w:r>
        <w:tab/>
        <w:t>С 1999 года в каждой провинции действуют центры вмешательства, а с 2001 года в провинциях Верхняя Австрия и Нижняя Австрия функционирует по одному региональному отделению. Непрерывная работа таких центров вмешательства обеспечивается на основе договора об услугах, заключаемого сроком на пять лет на основе пункта 3 раздела 25 Закона о полиции (</w:t>
      </w:r>
      <w:r>
        <w:rPr>
          <w:lang w:val="en-US"/>
        </w:rPr>
        <w:t>SPG</w:t>
      </w:r>
      <w:r>
        <w:t>) м</w:t>
      </w:r>
      <w:r>
        <w:t>е</w:t>
      </w:r>
      <w:r>
        <w:t>жду Федеральным министерством внутренних дел, Федеральным министерс</w:t>
      </w:r>
      <w:r>
        <w:t>т</w:t>
      </w:r>
      <w:r>
        <w:t>вом здравоохранения и по делам женщин и соответствующими центрами вм</w:t>
      </w:r>
      <w:r>
        <w:t>е</w:t>
      </w:r>
      <w:r>
        <w:t>шательс</w:t>
      </w:r>
      <w:r>
        <w:t>т</w:t>
      </w:r>
      <w:r>
        <w:t>ва.</w:t>
      </w:r>
    </w:p>
    <w:p w:rsidR="00000000" w:rsidRDefault="00000000">
      <w:pPr>
        <w:pStyle w:val="SingleTxt"/>
      </w:pPr>
      <w:r>
        <w:tab/>
      </w:r>
      <w:r>
        <w:tab/>
        <w:t>Бюджет утверждается ежегодно и в последнее время из года в год сущес</w:t>
      </w:r>
      <w:r>
        <w:t>т</w:t>
      </w:r>
      <w:r>
        <w:t>венно увеличивался, с тем чтобы он соответствовал их постоянно растущим потребностям в кадрах и помещениях. Благодаря повышению информирова</w:t>
      </w:r>
      <w:r>
        <w:t>н</w:t>
      </w:r>
      <w:r>
        <w:t>ности общественности о положениях Федерального закона о защите от семе</w:t>
      </w:r>
      <w:r>
        <w:t>й</w:t>
      </w:r>
      <w:r>
        <w:t>ного насилия и вспомогательным услугам, обеспечиваемым силами центров вмешательства, число вынесенных запретов, а вместе с ним и число рассмо</w:t>
      </w:r>
      <w:r>
        <w:t>т</w:t>
      </w:r>
      <w:r>
        <w:t>ренных дел из года в год возрастало. Так, по данным Федерального министе</w:t>
      </w:r>
      <w:r>
        <w:t>р</w:t>
      </w:r>
      <w:r>
        <w:t>ства внутренних дел, в 1999 году было вынесено 3 076 запретов, а к 2003 году эта величина уже дости</w:t>
      </w:r>
      <w:r>
        <w:t>г</w:t>
      </w:r>
      <w:r>
        <w:t xml:space="preserve">ла 4 180 . </w:t>
      </w:r>
    </w:p>
    <w:p w:rsidR="00000000" w:rsidRDefault="00000000">
      <w:pPr>
        <w:pStyle w:val="SingleTxt"/>
      </w:pPr>
      <w:r>
        <w:tab/>
      </w:r>
      <w:r>
        <w:tab/>
        <w:t>Кроме того, за отчетный период было открыто еще шесть приютов для женщин и/или пунктов экстренного размещения женщин (в результате чего общее число таких центров достигло 27); еще один приют для женщин был о</w:t>
      </w:r>
      <w:r>
        <w:t>т</w:t>
      </w:r>
      <w:r>
        <w:t>крыт в начале 2004 года, и в настоящее время уже началось строительство оч</w:t>
      </w:r>
      <w:r>
        <w:t>е</w:t>
      </w:r>
      <w:r>
        <w:t>редного пр</w:t>
      </w:r>
      <w:r>
        <w:t>и</w:t>
      </w:r>
      <w:r>
        <w:t>юта.</w:t>
      </w:r>
    </w:p>
    <w:p w:rsidR="00000000" w:rsidRDefault="00000000">
      <w:pPr>
        <w:pStyle w:val="50"/>
      </w:pPr>
    </w:p>
    <w:p w:rsidR="00000000" w:rsidRDefault="00000000">
      <w:pPr>
        <w:pStyle w:val="50"/>
      </w:pPr>
    </w:p>
    <w:p w:rsidR="00000000" w:rsidRDefault="00000000">
      <w:pPr>
        <w:pStyle w:val="H4"/>
        <w:ind w:left="1276" w:hanging="12"/>
        <w:rPr>
          <w:b/>
          <w:i w:val="0"/>
        </w:rPr>
      </w:pPr>
      <w:r>
        <w:rPr>
          <w:b/>
          <w:i w:val="0"/>
        </w:rPr>
        <w:t>Законодательная поправка, требующая от врачей в обязательном порядке связываться с полицией</w:t>
      </w:r>
    </w:p>
    <w:p w:rsidR="00000000" w:rsidRDefault="00000000">
      <w:pPr>
        <w:pStyle w:val="SingleTxt"/>
      </w:pPr>
      <w:r>
        <w:tab/>
      </w:r>
      <w:r>
        <w:tab/>
        <w:t xml:space="preserve">Вторая поправка к Федеральному закону о профессии врача (Бюллетень официальных законов, часть </w:t>
      </w:r>
      <w:r>
        <w:rPr>
          <w:lang w:val="en-US"/>
        </w:rPr>
        <w:t>I</w:t>
      </w:r>
      <w:r>
        <w:t xml:space="preserve">, № 110/2001) частично изменила </w:t>
      </w:r>
      <w:r>
        <w:rPr>
          <w:b/>
        </w:rPr>
        <w:t>положение, требующее от врачей в обязательном порядке связываться с полицией</w:t>
      </w:r>
      <w:r>
        <w:t>, к</w:t>
      </w:r>
      <w:r>
        <w:t>о</w:t>
      </w:r>
      <w:r>
        <w:t>торое теперь имеет следующую формулировку, которая включена в пункт 4 Федерального закона о профессии врача:</w:t>
      </w:r>
    </w:p>
    <w:p w:rsidR="00000000" w:rsidRDefault="00000000">
      <w:pPr>
        <w:pStyle w:val="SingleTxt"/>
      </w:pPr>
      <w:r>
        <w:tab/>
      </w:r>
      <w:r>
        <w:tab/>
        <w:t>"Раздел 54 (4). Если врач в процессе своей работы имеет основания пол</w:t>
      </w:r>
      <w:r>
        <w:t>а</w:t>
      </w:r>
      <w:r>
        <w:t>гать, что смерть или серьезное увечье произошли в результате уголовного пр</w:t>
      </w:r>
      <w:r>
        <w:t>е</w:t>
      </w:r>
      <w:r>
        <w:t>ступления, он обязан, если в пункте 5 не предусмотрено иное, немедленно с</w:t>
      </w:r>
      <w:r>
        <w:t>о</w:t>
      </w:r>
      <w:r>
        <w:t>общить об этом в правоохранительные органы. Такой же порядок применяется в том случае, если врач имеет основания полагать, что взрослый человек с о</w:t>
      </w:r>
      <w:r>
        <w:t>г</w:t>
      </w:r>
      <w:r>
        <w:t>раниченной дееспособностью становится жертвой бездействия или физическ</w:t>
      </w:r>
      <w:r>
        <w:t>о</w:t>
      </w:r>
      <w:r>
        <w:t>го, сексуального или психологического н</w:t>
      </w:r>
      <w:r>
        <w:t>а</w:t>
      </w:r>
      <w:r>
        <w:t>силия".</w:t>
      </w:r>
    </w:p>
    <w:p w:rsidR="00000000" w:rsidRDefault="00000000">
      <w:pPr>
        <w:pStyle w:val="SingleTxt"/>
      </w:pPr>
      <w:r>
        <w:tab/>
      </w:r>
      <w:r>
        <w:tab/>
        <w:t>Это положение требует, чтобы врач безотлагательно и в обязательном п</w:t>
      </w:r>
      <w:r>
        <w:t>о</w:t>
      </w:r>
      <w:r>
        <w:t>рядке информировал правоохранительные органы о случаях смерти или о сер</w:t>
      </w:r>
      <w:r>
        <w:t>ь</w:t>
      </w:r>
      <w:r>
        <w:t>езных увечьях, причиненных взрослым жертвам.</w:t>
      </w:r>
    </w:p>
    <w:p w:rsidR="00000000" w:rsidRDefault="00000000">
      <w:pPr>
        <w:pStyle w:val="50"/>
      </w:pPr>
    </w:p>
    <w:p w:rsidR="00000000" w:rsidRDefault="00000000">
      <w:pPr>
        <w:pStyle w:val="50"/>
      </w:pPr>
    </w:p>
    <w:p w:rsidR="00000000" w:rsidRDefault="00000000">
      <w:pPr>
        <w:pStyle w:val="H4"/>
        <w:rPr>
          <w:b/>
          <w:i w:val="0"/>
        </w:rPr>
      </w:pPr>
      <w:r>
        <w:rPr>
          <w:b/>
          <w:i w:val="0"/>
        </w:rPr>
        <w:t>Повышение осведомленности общественности и курсы подготовки</w:t>
      </w:r>
    </w:p>
    <w:p w:rsidR="00000000" w:rsidRDefault="00000000">
      <w:pPr>
        <w:pStyle w:val="SingleTxt"/>
      </w:pPr>
      <w:r>
        <w:tab/>
      </w:r>
      <w:r>
        <w:tab/>
        <w:t>Федеральное министерство здравоохранения и по делам женщин с се</w:t>
      </w:r>
      <w:r>
        <w:t>н</w:t>
      </w:r>
      <w:r>
        <w:t>тября 1999 года финансирует в общей сложности 27 учебных семинаров по в</w:t>
      </w:r>
      <w:r>
        <w:t>о</w:t>
      </w:r>
      <w:r>
        <w:t>просам насилия в отношении женщин. Одни семинары были посвящены по</w:t>
      </w:r>
      <w:r>
        <w:t>д</w:t>
      </w:r>
      <w:r>
        <w:t>готовке и повышению квалификации сотрудников учреждений, оказывающих услуги женщинам, а другие – изучению различных аспектов расширения с</w:t>
      </w:r>
      <w:r>
        <w:t>о</w:t>
      </w:r>
      <w:r>
        <w:t>трудничества между представителями разных профессий, расследующими д</w:t>
      </w:r>
      <w:r>
        <w:t>е</w:t>
      </w:r>
      <w:r>
        <w:t>ла, связанные с насилием в отношении женщин (сотрудниками полиции, суд</w:t>
      </w:r>
      <w:r>
        <w:t>ь</w:t>
      </w:r>
      <w:r>
        <w:t>ями и т.п.), а также вопросы продолжения работы по созданию эффективной сети.</w:t>
      </w:r>
    </w:p>
    <w:p w:rsidR="00000000" w:rsidRDefault="00000000">
      <w:pPr>
        <w:pStyle w:val="50"/>
      </w:pPr>
    </w:p>
    <w:p w:rsidR="00000000" w:rsidRDefault="00000000">
      <w:pPr>
        <w:pStyle w:val="50"/>
      </w:pPr>
    </w:p>
    <w:p w:rsidR="00000000" w:rsidRDefault="00000000">
      <w:pPr>
        <w:pStyle w:val="H4"/>
        <w:rPr>
          <w:b/>
          <w:i w:val="0"/>
        </w:rPr>
      </w:pPr>
      <w:r>
        <w:rPr>
          <w:b/>
          <w:i w:val="0"/>
        </w:rPr>
        <w:t>Информационно-пропагандистская работа</w:t>
      </w:r>
    </w:p>
    <w:p w:rsidR="00000000" w:rsidRDefault="00000000">
      <w:pPr>
        <w:pStyle w:val="SingleTxt"/>
      </w:pPr>
      <w:r>
        <w:tab/>
      </w:r>
      <w:r>
        <w:tab/>
        <w:t>В 2001 году была опубликована информационная брошюра "Женщины имеют права", касающаяся женщин, страдающих от насилия. В этой брошюре содержатся подробные сведения о ключевых законах и данные о механизмах по защите жертв, и она бесплатно рассылается всем заинтересованным женщ</w:t>
      </w:r>
      <w:r>
        <w:t>и</w:t>
      </w:r>
      <w:r>
        <w:t>нам. Кроме того, в 2001 году был опубликован доклад по теме "Семейное н</w:t>
      </w:r>
      <w:r>
        <w:t>а</w:t>
      </w:r>
      <w:r>
        <w:t>силие", в котором, во-первых, затрагивается вопрос о масштабах, причинах и последствиях семейного насилия (с отдельными главами, посвященными д</w:t>
      </w:r>
      <w:r>
        <w:t>е</w:t>
      </w:r>
      <w:r>
        <w:t>тям, женщинам, мужчинам, пожилым людям и инвалидам) и, во-вторых, ук</w:t>
      </w:r>
      <w:r>
        <w:t>а</w:t>
      </w:r>
      <w:r>
        <w:t>зываются средства защиты для решения проблемы и данный доклад, соотве</w:t>
      </w:r>
      <w:r>
        <w:t>т</w:t>
      </w:r>
      <w:r>
        <w:t>ственно, является наиболее по</w:t>
      </w:r>
      <w:r>
        <w:t>л</w:t>
      </w:r>
      <w:r>
        <w:t>ным справочником по данной теме.</w:t>
      </w:r>
    </w:p>
    <w:p w:rsidR="00000000" w:rsidRDefault="00000000">
      <w:pPr>
        <w:pStyle w:val="SingleTxt"/>
      </w:pPr>
      <w:r>
        <w:tab/>
      </w:r>
      <w:r>
        <w:tab/>
        <w:t>В ноябре 2001 года были выделены средства на проведение исследования под названием "Влияние насилия на состояние здоровья женщин – насилие влечет за собой болезни" (более подробную информацию см. в прилож</w:t>
      </w:r>
      <w:r>
        <w:t>е</w:t>
      </w:r>
      <w:r>
        <w:t>нии 1).</w:t>
      </w:r>
    </w:p>
    <w:p w:rsidR="00000000" w:rsidRDefault="00000000">
      <w:pPr>
        <w:pStyle w:val="50"/>
      </w:pPr>
    </w:p>
    <w:p w:rsidR="00000000" w:rsidRDefault="00000000">
      <w:pPr>
        <w:pStyle w:val="50"/>
      </w:pPr>
    </w:p>
    <w:p w:rsidR="00000000" w:rsidRDefault="00000000">
      <w:pPr>
        <w:pStyle w:val="H4"/>
        <w:rPr>
          <w:b/>
          <w:i w:val="0"/>
        </w:rPr>
      </w:pPr>
      <w:r>
        <w:rPr>
          <w:b/>
          <w:i w:val="0"/>
        </w:rPr>
        <w:t>Кампании 1999 и 2000 годов по борьбе с насилием</w:t>
      </w:r>
    </w:p>
    <w:p w:rsidR="00000000" w:rsidRDefault="00000000">
      <w:pPr>
        <w:pStyle w:val="SingleTxt"/>
      </w:pPr>
      <w:r>
        <w:tab/>
      </w:r>
      <w:r>
        <w:tab/>
        <w:t>Провозглашенная в конце 1998 года кампания по борьбе с насилием пр</w:t>
      </w:r>
      <w:r>
        <w:t>о</w:t>
      </w:r>
      <w:r>
        <w:t>должилась с проведением в июне и июле 1999 года информационной кампании "Положить конец насилию", которая была направлена на повышение осведо</w:t>
      </w:r>
      <w:r>
        <w:t>м</w:t>
      </w:r>
      <w:r>
        <w:t>ленности общественности о недавно открытой линии помощи по телефону для женщин, пострадавших от насилия, а также широких слоев населения. Эта о</w:t>
      </w:r>
      <w:r>
        <w:t>б</w:t>
      </w:r>
      <w:r>
        <w:t>щенациональная бесплатная линия телефонной связи работает круглосуточно и является механизмом для экстренного обращения жертв насилия и других с</w:t>
      </w:r>
      <w:r>
        <w:t>о</w:t>
      </w:r>
      <w:r>
        <w:t>циальных групп; с 1 июня 1999 года по настоящий момент эти услуги обесп</w:t>
      </w:r>
      <w:r>
        <w:t>е</w:t>
      </w:r>
      <w:r>
        <w:t>чивает единая служба, укомплектованная специалистами-женщинами.</w:t>
      </w:r>
    </w:p>
    <w:p w:rsidR="00000000" w:rsidRDefault="00000000">
      <w:pPr>
        <w:pStyle w:val="50"/>
      </w:pPr>
    </w:p>
    <w:p w:rsidR="00000000" w:rsidRDefault="00000000">
      <w:pPr>
        <w:pStyle w:val="50"/>
      </w:pPr>
    </w:p>
    <w:p w:rsidR="00000000" w:rsidRDefault="00000000">
      <w:pPr>
        <w:pStyle w:val="H23"/>
        <w:rPr>
          <w:u w:val="single"/>
        </w:rPr>
      </w:pPr>
      <w:r>
        <w:tab/>
      </w:r>
      <w:bookmarkStart w:id="89" w:name="_Toc97786687"/>
      <w:r>
        <w:rPr>
          <w:u w:val="single"/>
        </w:rPr>
        <w:t xml:space="preserve">Статья 5, пункт </w:t>
      </w:r>
      <w:r>
        <w:rPr>
          <w:u w:val="single"/>
          <w:lang w:val="en-US"/>
        </w:rPr>
        <w:t>b</w:t>
      </w:r>
      <w:r>
        <w:rPr>
          <w:u w:val="single"/>
        </w:rPr>
        <w:t>)</w:t>
      </w:r>
      <w:bookmarkEnd w:id="89"/>
    </w:p>
    <w:p w:rsidR="00000000" w:rsidRDefault="00000000">
      <w:pPr>
        <w:pStyle w:val="50"/>
      </w:pPr>
    </w:p>
    <w:p w:rsidR="00000000" w:rsidRDefault="00000000">
      <w:pPr>
        <w:pStyle w:val="50"/>
      </w:pPr>
    </w:p>
    <w:p w:rsidR="00000000" w:rsidRDefault="00000000">
      <w:pPr>
        <w:pStyle w:val="H23"/>
      </w:pPr>
      <w:r>
        <w:tab/>
      </w:r>
      <w:bookmarkStart w:id="90" w:name="_Toc97786688"/>
      <w:r>
        <w:t>Совместная опека</w:t>
      </w:r>
      <w:bookmarkEnd w:id="90"/>
    </w:p>
    <w:p w:rsidR="00000000" w:rsidRDefault="00000000">
      <w:pPr>
        <w:pStyle w:val="SingleTxt"/>
      </w:pPr>
      <w:r>
        <w:tab/>
      </w:r>
      <w:r>
        <w:tab/>
        <w:t>Опека означает право ухаживать за ребенком и воспитывать ребенка изо дня в день, выступать в роли его законного представителя и управлять его имуществом. В соответствии с законом родители осуществляют совместную опеку над своими законнорожденными детьми до достижения последними с</w:t>
      </w:r>
      <w:r>
        <w:t>о</w:t>
      </w:r>
      <w:r>
        <w:t>вершеннолетия. На основании Закона о внесении поправок в закон о ребенке (</w:t>
      </w:r>
      <w:r>
        <w:rPr>
          <w:lang w:val="en-US"/>
        </w:rPr>
        <w:t>KindR</w:t>
      </w:r>
      <w:r>
        <w:t>Ä</w:t>
      </w:r>
      <w:r>
        <w:rPr>
          <w:lang w:val="en-US"/>
        </w:rPr>
        <w:t>G</w:t>
      </w:r>
      <w:r>
        <w:t xml:space="preserve">; Бюллетень официальных законов, часть </w:t>
      </w:r>
      <w:r>
        <w:rPr>
          <w:lang w:val="en-US"/>
        </w:rPr>
        <w:t>I</w:t>
      </w:r>
      <w:r>
        <w:t>, № 135/20010 и Бюлл</w:t>
      </w:r>
      <w:r>
        <w:t>е</w:t>
      </w:r>
      <w:r>
        <w:t xml:space="preserve">тень официальных законов, часть </w:t>
      </w:r>
      <w:r>
        <w:rPr>
          <w:lang w:val="en-US"/>
        </w:rPr>
        <w:t>I</w:t>
      </w:r>
      <w:r>
        <w:t>, № 29/2003) родители имеют возможность договариваться о совместной опеке для обоих родителей после развода, пр</w:t>
      </w:r>
      <w:r>
        <w:t>и</w:t>
      </w:r>
      <w:r>
        <w:t>знания брака недействительным или расторжения брака. В случае совместной опеки права в области опеки одного из родителей также могут быть огранич</w:t>
      </w:r>
      <w:r>
        <w:t>е</w:t>
      </w:r>
      <w:r>
        <w:t>ны конкретными областями. О достигнутой договоренности следует сообщить в суд, указав то, с каким из родителей ребенок будет проживать большую часть времени, и этот родитель должен всегда осуществлять полную опеку над р</w:t>
      </w:r>
      <w:r>
        <w:t>е</w:t>
      </w:r>
      <w:r>
        <w:t>бенком. Суд обязан удовлетворять просьбу родителей о совместной опеки, если это, как предполагается, отвечает инт</w:t>
      </w:r>
      <w:r>
        <w:t>е</w:t>
      </w:r>
      <w:r>
        <w:t>ресам самого ребенка.</w:t>
      </w:r>
    </w:p>
    <w:p w:rsidR="00000000" w:rsidRDefault="00000000">
      <w:pPr>
        <w:pStyle w:val="50"/>
      </w:pPr>
    </w:p>
    <w:p w:rsidR="00000000" w:rsidRDefault="00000000">
      <w:pPr>
        <w:pStyle w:val="50"/>
      </w:pPr>
    </w:p>
    <w:p w:rsidR="00000000" w:rsidRDefault="00000000">
      <w:pPr>
        <w:pStyle w:val="H4"/>
        <w:rPr>
          <w:b/>
          <w:i w:val="0"/>
        </w:rPr>
      </w:pPr>
      <w:r>
        <w:rPr>
          <w:b/>
          <w:i w:val="0"/>
        </w:rPr>
        <w:t>Право ребенка иметь двух родителей</w:t>
      </w:r>
    </w:p>
    <w:p w:rsidR="00000000" w:rsidRDefault="00000000">
      <w:pPr>
        <w:pStyle w:val="SingleTxt"/>
      </w:pPr>
      <w:r>
        <w:tab/>
      </w:r>
      <w:r>
        <w:tab/>
        <w:t>В 2001 году при Федеральном министерстве социального обеспечения и по делам поколений был образован Департамент по изучению политики в о</w:t>
      </w:r>
      <w:r>
        <w:t>т</w:t>
      </w:r>
      <w:r>
        <w:t>ношении мужчин, которому б</w:t>
      </w:r>
      <w:r>
        <w:t>ы</w:t>
      </w:r>
      <w:r>
        <w:t>ло поручено заниматься информационно-исследовательской работой, связанной с изучением традиционного стереоти</w:t>
      </w:r>
      <w:r>
        <w:t>п</w:t>
      </w:r>
      <w:r>
        <w:t>ного изображения роли мальчиков и мужчин. С учетом важности формиров</w:t>
      </w:r>
      <w:r>
        <w:t>а</w:t>
      </w:r>
      <w:r>
        <w:t>ния новых представлений о роли отцов и новых примеров для подражания, призванных заменить устаревшие стереотипы, в 2003 году был организован и</w:t>
      </w:r>
      <w:r>
        <w:t>с</w:t>
      </w:r>
      <w:r>
        <w:t>следовательский проект под названием "Мир отцов и детей, позитивные отн</w:t>
      </w:r>
      <w:r>
        <w:t>о</w:t>
      </w:r>
      <w:r>
        <w:t>шения отцов с детьми и мужское начало", осуществление которого в настоящее время пр</w:t>
      </w:r>
      <w:r>
        <w:t>о</w:t>
      </w:r>
      <w:r>
        <w:t>должается.</w:t>
      </w:r>
    </w:p>
    <w:p w:rsidR="00000000" w:rsidRDefault="00000000">
      <w:pPr>
        <w:pStyle w:val="50"/>
      </w:pPr>
    </w:p>
    <w:p w:rsidR="00000000" w:rsidRDefault="00000000">
      <w:pPr>
        <w:pStyle w:val="50"/>
      </w:pPr>
    </w:p>
    <w:p w:rsidR="00000000" w:rsidRDefault="00000000">
      <w:pPr>
        <w:pStyle w:val="H1"/>
      </w:pPr>
      <w:r>
        <w:tab/>
      </w:r>
      <w:bookmarkStart w:id="91" w:name="_Toc97786689"/>
      <w:r>
        <w:t>Статья 6</w:t>
      </w:r>
      <w:bookmarkEnd w:id="91"/>
    </w:p>
    <w:p w:rsidR="00000000" w:rsidRDefault="00000000">
      <w:pPr>
        <w:pStyle w:val="SingleTxt"/>
      </w:pPr>
      <w:r>
        <w:tab/>
      </w:r>
      <w:r>
        <w:tab/>
        <w:t>Информация по вопросам борьбы с торговлей женщинами приведена в разделе настоящего доклада, касающемся рекоменд</w:t>
      </w:r>
      <w:r>
        <w:t>а</w:t>
      </w:r>
      <w:r>
        <w:t>ции 228.</w:t>
      </w:r>
    </w:p>
    <w:p w:rsidR="00000000" w:rsidRDefault="00000000">
      <w:pPr>
        <w:pStyle w:val="50"/>
      </w:pPr>
    </w:p>
    <w:p w:rsidR="00000000" w:rsidRDefault="00000000">
      <w:pPr>
        <w:pStyle w:val="50"/>
      </w:pPr>
    </w:p>
    <w:p w:rsidR="00000000" w:rsidRDefault="00000000">
      <w:pPr>
        <w:pStyle w:val="H23"/>
      </w:pPr>
      <w:r>
        <w:tab/>
      </w:r>
      <w:bookmarkStart w:id="92" w:name="_Toc97786690"/>
      <w:r>
        <w:t>Проституция в Вене</w:t>
      </w:r>
      <w:bookmarkEnd w:id="92"/>
    </w:p>
    <w:p w:rsidR="00000000" w:rsidRDefault="00000000">
      <w:pPr>
        <w:pStyle w:val="SingleTxt"/>
      </w:pPr>
      <w:r>
        <w:t xml:space="preserve">В 2003 году в Вене было </w:t>
      </w:r>
      <w:r>
        <w:rPr>
          <w:b/>
        </w:rPr>
        <w:t>зарегистрировано</w:t>
      </w:r>
      <w:r>
        <w:t xml:space="preserve"> 531 проститутка женского пола (по сравнению с 12 проститутками мужского пола). В предыдущие годы кривая проституции снижалась (до 474 человек в 2002 году), однако в 2003 году пок</w:t>
      </w:r>
      <w:r>
        <w:t>а</w:t>
      </w:r>
      <w:r>
        <w:t>затели впервые вновь стали расти. Возможно, это объясняется тем, что в конце 2002 года органами полиции, занимающимися делами иностранцев, была до</w:t>
      </w:r>
      <w:r>
        <w:t>с</w:t>
      </w:r>
      <w:r>
        <w:t>тигнута договоренность о том, что лица, ищущие убежища и имеющие на р</w:t>
      </w:r>
      <w:r>
        <w:t>у</w:t>
      </w:r>
      <w:r>
        <w:t>ках временный вид на жительство, могут обращаться с просьбой о выдаче им так называемой "медицинской карты", дающей им возможность заниматься проституцией. Это привело к увеличению числа зарегистрированных прост</w:t>
      </w:r>
      <w:r>
        <w:t>и</w:t>
      </w:r>
      <w:r>
        <w:t>туток, особенно среди чернокожих женщин, являющихся выходцами из Афр</w:t>
      </w:r>
      <w:r>
        <w:t>и</w:t>
      </w:r>
      <w:r>
        <w:t>ки.</w:t>
      </w:r>
    </w:p>
    <w:p w:rsidR="00000000" w:rsidRDefault="00000000">
      <w:pPr>
        <w:pStyle w:val="SingleTxt"/>
      </w:pPr>
      <w:r>
        <w:rPr>
          <w:b/>
        </w:rPr>
        <w:tab/>
      </w:r>
      <w:r>
        <w:rPr>
          <w:b/>
        </w:rPr>
        <w:tab/>
        <w:t>Незарегистрированные проститутки</w:t>
      </w:r>
      <w:r>
        <w:t>: примерно 3 тысячи женщин рег</w:t>
      </w:r>
      <w:r>
        <w:t>у</w:t>
      </w:r>
      <w:r>
        <w:t>лярно занимаются незаконной проституцией, приблизительно 80 процентов из кот</w:t>
      </w:r>
      <w:r>
        <w:t>о</w:t>
      </w:r>
      <w:r>
        <w:t>рых не являются гражданами Австрии.</w:t>
      </w:r>
    </w:p>
    <w:p w:rsidR="00000000" w:rsidRDefault="00000000">
      <w:pPr>
        <w:pStyle w:val="SingleTxt"/>
      </w:pPr>
      <w:r>
        <w:t>(Источник: статистика и предварительные оценки Министерства внутренних дел.)</w:t>
      </w:r>
    </w:p>
    <w:p w:rsidR="00000000" w:rsidRDefault="00000000">
      <w:pPr>
        <w:pStyle w:val="50"/>
      </w:pPr>
    </w:p>
    <w:p w:rsidR="00000000" w:rsidRDefault="00000000">
      <w:pPr>
        <w:pStyle w:val="50"/>
      </w:pPr>
    </w:p>
    <w:p w:rsidR="00000000" w:rsidRDefault="00000000">
      <w:pPr>
        <w:pStyle w:val="H23"/>
      </w:pPr>
      <w:r>
        <w:tab/>
      </w:r>
      <w:bookmarkStart w:id="93" w:name="_Toc97786691"/>
      <w:r>
        <w:t>Меры по предотвращению сексуальной эксплуатации детей</w:t>
      </w:r>
      <w:bookmarkEnd w:id="93"/>
    </w:p>
    <w:p w:rsidR="00000000" w:rsidRDefault="00000000">
      <w:pPr>
        <w:pStyle w:val="SingleTxt"/>
      </w:pPr>
      <w:r>
        <w:tab/>
      </w:r>
      <w:r>
        <w:tab/>
        <w:t>Согласно новому положению, касающемуся сексуального насилия в о</w:t>
      </w:r>
      <w:r>
        <w:t>т</w:t>
      </w:r>
      <w:r>
        <w:t xml:space="preserve">ношении несовершеннолетних, принятому на основании Закона о внесении поправок в Уголовный кодекс (Бюллетень официальных законов, часть </w:t>
      </w:r>
      <w:r>
        <w:rPr>
          <w:lang w:val="en-US"/>
        </w:rPr>
        <w:t>I</w:t>
      </w:r>
      <w:r>
        <w:t>, № 134/2002), преступление, связанное с вступлением в половую связь с несове</w:t>
      </w:r>
      <w:r>
        <w:t>р</w:t>
      </w:r>
      <w:r>
        <w:t>шеннолетними за вознаграждение, теперь карается лишением свободы сроком до трех лет.</w:t>
      </w:r>
    </w:p>
    <w:p w:rsidR="00000000" w:rsidRDefault="00000000">
      <w:pPr>
        <w:pStyle w:val="SingleTxt"/>
      </w:pPr>
      <w:r>
        <w:tab/>
      </w:r>
      <w:r>
        <w:tab/>
        <w:t>Подробную информацию об изменениях, произошедших в связи с прин</w:t>
      </w:r>
      <w:r>
        <w:t>я</w:t>
      </w:r>
      <w:r>
        <w:t xml:space="preserve">тием Закона о внесении поправок в Уголовный кодекс 2004 года, см. в разделе настоящего доклада, посвященном пункте </w:t>
      </w:r>
      <w:r>
        <w:rPr>
          <w:lang w:val="en-US"/>
        </w:rPr>
        <w:t>g</w:t>
      </w:r>
      <w:r>
        <w:t>) статья 2 и касающемся уголовн</w:t>
      </w:r>
      <w:r>
        <w:t>о</w:t>
      </w:r>
      <w:r>
        <w:t>го права и судопроизводства в связи с половыми преступлениями.</w:t>
      </w:r>
    </w:p>
    <w:p w:rsidR="00000000" w:rsidRDefault="00000000">
      <w:pPr>
        <w:pStyle w:val="SingleTxt"/>
      </w:pPr>
      <w:r>
        <w:tab/>
      </w:r>
      <w:r>
        <w:tab/>
        <w:t xml:space="preserve">Что касается провинций, то </w:t>
      </w:r>
      <w:r>
        <w:rPr>
          <w:b/>
        </w:rPr>
        <w:t>провинция Верхняя Австрия</w:t>
      </w:r>
      <w:r>
        <w:t xml:space="preserve"> выделяет средства женским ассоциациям ПИА, МАИЗ и ЛЕНА, которые занимаются в</w:t>
      </w:r>
      <w:r>
        <w:t>о</w:t>
      </w:r>
      <w:r>
        <w:t>прос</w:t>
      </w:r>
      <w:r>
        <w:t>а</w:t>
      </w:r>
      <w:r>
        <w:t>ми проституции и торговли женщинами.</w:t>
      </w:r>
    </w:p>
    <w:p w:rsidR="00000000" w:rsidRDefault="00000000">
      <w:pPr>
        <w:pStyle w:val="50"/>
      </w:pPr>
    </w:p>
    <w:p w:rsidR="00000000" w:rsidRDefault="00000000">
      <w:pPr>
        <w:pStyle w:val="50"/>
      </w:pPr>
    </w:p>
    <w:p w:rsidR="00000000" w:rsidRDefault="00000000">
      <w:pPr>
        <w:pStyle w:val="H1"/>
      </w:pPr>
      <w:r>
        <w:tab/>
      </w:r>
      <w:bookmarkStart w:id="94" w:name="_Toc97786692"/>
      <w:r>
        <w:t>Статья 7</w:t>
      </w:r>
      <w:bookmarkEnd w:id="94"/>
    </w:p>
    <w:p w:rsidR="00000000" w:rsidRDefault="00000000">
      <w:pPr>
        <w:pStyle w:val="50"/>
      </w:pPr>
    </w:p>
    <w:p w:rsidR="00000000" w:rsidRDefault="00000000">
      <w:pPr>
        <w:pStyle w:val="50"/>
      </w:pPr>
    </w:p>
    <w:p w:rsidR="00000000" w:rsidRDefault="00000000">
      <w:pPr>
        <w:pStyle w:val="H23"/>
        <w:rPr>
          <w:u w:val="single"/>
        </w:rPr>
      </w:pPr>
      <w:r>
        <w:tab/>
      </w:r>
      <w:r>
        <w:rPr>
          <w:u w:val="single"/>
        </w:rPr>
        <w:t xml:space="preserve">Статья 7, пункт </w:t>
      </w:r>
      <w:r>
        <w:rPr>
          <w:u w:val="single"/>
          <w:lang w:val="en-US"/>
        </w:rPr>
        <w:t>a</w:t>
      </w:r>
      <w:r>
        <w:rPr>
          <w:u w:val="single"/>
        </w:rPr>
        <w:t>)</w:t>
      </w:r>
    </w:p>
    <w:p w:rsidR="00000000" w:rsidRDefault="00000000">
      <w:pPr>
        <w:pStyle w:val="H23"/>
      </w:pPr>
      <w:r>
        <w:tab/>
      </w:r>
      <w:bookmarkStart w:id="95" w:name="_Toc97786693"/>
      <w:r>
        <w:t>Женщины на политических и государственных постах</w:t>
      </w:r>
      <w:bookmarkEnd w:id="95"/>
    </w:p>
    <w:p w:rsidR="00000000" w:rsidRDefault="00000000">
      <w:pPr>
        <w:pStyle w:val="SingleTxt"/>
      </w:pPr>
      <w:r>
        <w:tab/>
      </w:r>
      <w:r>
        <w:tab/>
        <w:t xml:space="preserve">Доля </w:t>
      </w:r>
      <w:r>
        <w:rPr>
          <w:b/>
        </w:rPr>
        <w:t>женщин, занимающих политические должности</w:t>
      </w:r>
      <w:r>
        <w:t>, которая была зафиксирована в декабре 2003 года, отличается от той, которая была указана в пятом страновом докладе. Как и в 1999 году три женщины занимают в насто</w:t>
      </w:r>
      <w:r>
        <w:t>я</w:t>
      </w:r>
      <w:r>
        <w:t>щее время посты федеральных министров, а одна работает государственным секретарем. Из-за увеличения числа государственных постов, к которым доб</w:t>
      </w:r>
      <w:r>
        <w:t>а</w:t>
      </w:r>
      <w:r>
        <w:t>вились еще два поста государственных секретарей, относительная доля же</w:t>
      </w:r>
      <w:r>
        <w:t>н</w:t>
      </w:r>
      <w:r>
        <w:t>щин в составе правительства сейчас несколько ниже той, которая была зафи</w:t>
      </w:r>
      <w:r>
        <w:t>к</w:t>
      </w:r>
      <w:r>
        <w:t>сирована в 1999 году (25 процентов), и составляет 22,2 процента. В парламенте общая доля депутатов-женщин увеличилась с 28 процентов (в 1999 году) до 33,9 процента в настоящее время, причем доля женщин в составе политических партий колеблется от 27,7 процента (партия свободы) до 58,8 процента (партия зел</w:t>
      </w:r>
      <w:r>
        <w:t>е</w:t>
      </w:r>
      <w:r>
        <w:t>ных).</w:t>
      </w:r>
    </w:p>
    <w:p w:rsidR="00000000" w:rsidRDefault="00000000">
      <w:pPr>
        <w:pStyle w:val="SingleTxt"/>
      </w:pPr>
      <w:r>
        <w:tab/>
      </w:r>
      <w:r>
        <w:tab/>
        <w:t>По числу женщин-депутатов Европейского парламента Австрия занимает одно из ведущих мест среди всех государств-членов ЕС. Доля женщин среди австрийских депутатов Европейского парламента (38,1 процента) остается н</w:t>
      </w:r>
      <w:r>
        <w:t>е</w:t>
      </w:r>
      <w:r>
        <w:t>изменной с 1999 года, поскольку следующие выборы будут проводиться только в 2004 году.</w:t>
      </w:r>
    </w:p>
    <w:p w:rsidR="00000000" w:rsidRDefault="00000000">
      <w:pPr>
        <w:pStyle w:val="SingleTxt"/>
      </w:pPr>
      <w:r>
        <w:tab/>
      </w:r>
      <w:r>
        <w:tab/>
        <w:t xml:space="preserve">Практически во всех провинциях отмечен значительный рост </w:t>
      </w:r>
      <w:r>
        <w:rPr>
          <w:b/>
        </w:rPr>
        <w:t>участия женщин в политических движениях на соответствующем уровне</w:t>
      </w:r>
      <w:r>
        <w:t>.</w:t>
      </w:r>
    </w:p>
    <w:p w:rsidR="00000000" w:rsidRDefault="00000000">
      <w:pPr>
        <w:pStyle w:val="SingleTxt"/>
      </w:pPr>
      <w:r>
        <w:tab/>
      </w:r>
      <w:r>
        <w:tab/>
        <w:t>Каринтия в настоящее время занимает последнее место по числу женщин-депутатов парламента провинции (16,7 процента), хотя этот показатель все равно выше самого низкого показателя, зафиксированного в 1999 году, а име</w:t>
      </w:r>
      <w:r>
        <w:t>н</w:t>
      </w:r>
      <w:r>
        <w:t>но 6 процентов в Бургенланде. С тех пор Бургенланду удалось добиться увел</w:t>
      </w:r>
      <w:r>
        <w:t>и</w:t>
      </w:r>
      <w:r>
        <w:t>чения доли женщин в составе своего парламента до 19,4 процента. Наивысший показатель участия женщин в парламенте провинции в настоящее время отм</w:t>
      </w:r>
      <w:r>
        <w:t>е</w:t>
      </w:r>
      <w:r>
        <w:t>чается в Верхней Австрии (37,5 процента), за которой следуют Зальцбург (36,1 процента), Вена (35 процентов), Форарльберг (33,3 процента) и Тироль (30,6 процента). Первое место по числу женщин в составе правительства пр</w:t>
      </w:r>
      <w:r>
        <w:t>о</w:t>
      </w:r>
      <w:r>
        <w:t>винции занимает Вена (46,7 процента), причем далее следуют Нижняя Австрия (44,4 процента) и Тироль (37,5 процента), в то время как наименьшее число женщин в составе правительства провинции отмечается в провинции Верхняя Австрия и составляет 11,1 процента. Более подробные данные см. в прилож</w:t>
      </w:r>
      <w:r>
        <w:t>е</w:t>
      </w:r>
      <w:r>
        <w:t>нии 2.</w:t>
      </w:r>
    </w:p>
    <w:p w:rsidR="00000000" w:rsidRDefault="00000000">
      <w:pPr>
        <w:pStyle w:val="50"/>
      </w:pPr>
    </w:p>
    <w:p w:rsidR="00000000" w:rsidRDefault="00000000">
      <w:pPr>
        <w:pStyle w:val="50"/>
      </w:pPr>
    </w:p>
    <w:p w:rsidR="00000000" w:rsidRDefault="00000000">
      <w:pPr>
        <w:pStyle w:val="H4"/>
        <w:ind w:left="1264" w:firstLine="0"/>
        <w:rPr>
          <w:b/>
          <w:i w:val="0"/>
        </w:rPr>
      </w:pPr>
      <w:r>
        <w:rPr>
          <w:b/>
          <w:i w:val="0"/>
        </w:rPr>
        <w:t>Действия провинций, направленные на увеличение представительства женщин на политических постах</w:t>
      </w:r>
    </w:p>
    <w:p w:rsidR="00000000" w:rsidRDefault="00000000">
      <w:pPr>
        <w:pStyle w:val="SingleTxt"/>
      </w:pPr>
      <w:r>
        <w:tab/>
      </w:r>
      <w:r>
        <w:tab/>
        <w:t xml:space="preserve">С 2001 года в </w:t>
      </w:r>
      <w:r>
        <w:rPr>
          <w:b/>
        </w:rPr>
        <w:t>Тироле</w:t>
      </w:r>
      <w:r>
        <w:t xml:space="preserve"> было организовано пять курсов по теме "Участие женщин в политической жизни", и с 2003 года в провинции проводятся сем</w:t>
      </w:r>
      <w:r>
        <w:t>и</w:t>
      </w:r>
      <w:r>
        <w:t>нары в развитие этой темы.</w:t>
      </w:r>
    </w:p>
    <w:p w:rsidR="00000000" w:rsidRDefault="00000000">
      <w:pPr>
        <w:pStyle w:val="SingleTxt"/>
      </w:pPr>
      <w:r>
        <w:rPr>
          <w:b/>
        </w:rPr>
        <w:tab/>
      </w:r>
      <w:r>
        <w:rPr>
          <w:b/>
        </w:rPr>
        <w:tab/>
        <w:t>Власти Верхней Австрии</w:t>
      </w:r>
      <w:r>
        <w:t xml:space="preserve"> в 2000 году организовали первые курсы по подготовке женщин к участию в политической жизни, и сейчас эти курсы о</w:t>
      </w:r>
      <w:r>
        <w:t>т</w:t>
      </w:r>
      <w:r>
        <w:t>крыты уже в четвертый раз. Кроме того, в настоящее время в третий раз пров</w:t>
      </w:r>
      <w:r>
        <w:t>о</w:t>
      </w:r>
      <w:r>
        <w:t>дится семинар для девушек в возрасте от 15 до 18 лет по теме "Девушки акти</w:t>
      </w:r>
      <w:r>
        <w:t>в</w:t>
      </w:r>
      <w:r>
        <w:t>но идут в политику".</w:t>
      </w:r>
    </w:p>
    <w:p w:rsidR="00000000" w:rsidRDefault="00000000">
      <w:pPr>
        <w:pStyle w:val="SingleTxt"/>
      </w:pPr>
      <w:r>
        <w:tab/>
      </w:r>
      <w:r>
        <w:tab/>
        <w:t xml:space="preserve">Программа наставничества, осуществляемая </w:t>
      </w:r>
      <w:r>
        <w:rPr>
          <w:b/>
        </w:rPr>
        <w:t>властями провинции Ф</w:t>
      </w:r>
      <w:r>
        <w:rPr>
          <w:b/>
        </w:rPr>
        <w:t>о</w:t>
      </w:r>
      <w:r>
        <w:rPr>
          <w:b/>
        </w:rPr>
        <w:t>рарльберг</w:t>
      </w:r>
      <w:r>
        <w:t>, направлена на то, чтобы помочь женщинам задуматься о возмо</w:t>
      </w:r>
      <w:r>
        <w:t>ж</w:t>
      </w:r>
      <w:r>
        <w:t>ности выбора политической карьеры.</w:t>
      </w:r>
    </w:p>
    <w:p w:rsidR="00000000" w:rsidRDefault="00000000">
      <w:pPr>
        <w:pStyle w:val="SingleTxt"/>
      </w:pPr>
      <w:r>
        <w:tab/>
      </w:r>
      <w:r>
        <w:tab/>
        <w:t xml:space="preserve">Власти провинции </w:t>
      </w:r>
      <w:r>
        <w:rPr>
          <w:b/>
        </w:rPr>
        <w:t>Нижняя Австрия</w:t>
      </w:r>
      <w:r>
        <w:t xml:space="preserve"> спланировали и организовали курс политического просвещения для девушек продолжительностью одна неделя под н</w:t>
      </w:r>
      <w:r>
        <w:t>а</w:t>
      </w:r>
      <w:r>
        <w:t>званием "Девушки выбирают политику".</w:t>
      </w:r>
    </w:p>
    <w:p w:rsidR="00000000" w:rsidRDefault="00000000">
      <w:pPr>
        <w:pStyle w:val="SingleTxt"/>
      </w:pPr>
      <w:r>
        <w:tab/>
      </w:r>
      <w:r>
        <w:tab/>
        <w:t xml:space="preserve">В </w:t>
      </w:r>
      <w:r>
        <w:rPr>
          <w:b/>
        </w:rPr>
        <w:t>Штирии</w:t>
      </w:r>
      <w:r>
        <w:t xml:space="preserve"> были организованы два проект наставничества для женщин под названием "Перспективы: женщины активно наступают", в рамках которых женщинам оказывается целевая поддержка в области планирования их карьеры и участия в политической жизни. </w:t>
      </w:r>
    </w:p>
    <w:p w:rsidR="00000000" w:rsidRDefault="00000000">
      <w:pPr>
        <w:pStyle w:val="50"/>
      </w:pPr>
    </w:p>
    <w:p w:rsidR="00000000" w:rsidRDefault="00000000">
      <w:pPr>
        <w:pStyle w:val="50"/>
      </w:pPr>
    </w:p>
    <w:p w:rsidR="00000000" w:rsidRDefault="00000000">
      <w:pPr>
        <w:pStyle w:val="H23"/>
        <w:rPr>
          <w:u w:val="single"/>
        </w:rPr>
      </w:pPr>
      <w:r>
        <w:tab/>
      </w:r>
      <w:bookmarkStart w:id="96" w:name="_Toc97786694"/>
      <w:r>
        <w:rPr>
          <w:u w:val="single"/>
        </w:rPr>
        <w:t xml:space="preserve">Статья 7, пункт </w:t>
      </w:r>
      <w:r>
        <w:rPr>
          <w:u w:val="single"/>
          <w:lang w:val="en-US"/>
        </w:rPr>
        <w:t>b</w:t>
      </w:r>
      <w:r>
        <w:rPr>
          <w:u w:val="single"/>
        </w:rPr>
        <w:t>)</w:t>
      </w:r>
      <w:bookmarkEnd w:id="96"/>
    </w:p>
    <w:p w:rsidR="00000000" w:rsidRDefault="00000000">
      <w:pPr>
        <w:pStyle w:val="SingleTxt"/>
      </w:pPr>
      <w:r>
        <w:tab/>
      </w:r>
      <w:r>
        <w:tab/>
        <w:t xml:space="preserve">Действия, направленные на увеличение </w:t>
      </w:r>
      <w:r>
        <w:rPr>
          <w:b/>
        </w:rPr>
        <w:t>представительства женщин в составе государственных административных органов, особенно на руков</w:t>
      </w:r>
      <w:r>
        <w:rPr>
          <w:b/>
        </w:rPr>
        <w:t>о</w:t>
      </w:r>
      <w:r>
        <w:rPr>
          <w:b/>
        </w:rPr>
        <w:t>дящих должностях</w:t>
      </w:r>
      <w:r>
        <w:t>, предусмотрены положениями Закона о равном обращении на федеральной службе и законами провинций о равном обращении и освещ</w:t>
      </w:r>
      <w:r>
        <w:t>а</w:t>
      </w:r>
      <w:r>
        <w:t>ются в представляемых раз два года докладах по обеспечению равных возмо</w:t>
      </w:r>
      <w:r>
        <w:t>ж</w:t>
      </w:r>
      <w:r>
        <w:t xml:space="preserve">ностей (см. также разделы настоящего доклада, посвященные статьям 2 и 4). </w:t>
      </w:r>
    </w:p>
    <w:p w:rsidR="00000000" w:rsidRDefault="00000000">
      <w:pPr>
        <w:pStyle w:val="50"/>
      </w:pPr>
    </w:p>
    <w:p w:rsidR="00000000" w:rsidRDefault="00000000">
      <w:pPr>
        <w:pStyle w:val="50"/>
      </w:pPr>
    </w:p>
    <w:p w:rsidR="00000000" w:rsidRDefault="00000000">
      <w:pPr>
        <w:pStyle w:val="H23"/>
      </w:pPr>
      <w:r>
        <w:tab/>
      </w:r>
      <w:bookmarkStart w:id="97" w:name="_Toc97786695"/>
      <w:r>
        <w:t>Женщины в составе австрийских вооруженных сил</w:t>
      </w:r>
      <w:bookmarkEnd w:id="97"/>
    </w:p>
    <w:p w:rsidR="00000000" w:rsidRDefault="00000000">
      <w:pPr>
        <w:pStyle w:val="SingleTxt"/>
      </w:pPr>
      <w:r>
        <w:tab/>
      </w:r>
      <w:r>
        <w:tab/>
        <w:t>На основании Закона о национальной обороне 2001 года (Бюллетень оф</w:t>
      </w:r>
      <w:r>
        <w:t>и</w:t>
      </w:r>
      <w:r>
        <w:t xml:space="preserve">циальных законов, часть </w:t>
      </w:r>
      <w:r>
        <w:rPr>
          <w:lang w:val="en-US"/>
        </w:rPr>
        <w:t>I</w:t>
      </w:r>
      <w:r>
        <w:t>, № 146/2001) женщины получили возможность з</w:t>
      </w:r>
      <w:r>
        <w:t>а</w:t>
      </w:r>
      <w:r>
        <w:t>нимать посты в австрийских федеральных вооруженных силах. Женщины, у</w:t>
      </w:r>
      <w:r>
        <w:t>с</w:t>
      </w:r>
      <w:r>
        <w:t xml:space="preserve">пешно прошедшие базовую воинскую подготовку, имеют право поступать на </w:t>
      </w:r>
      <w:r>
        <w:rPr>
          <w:b/>
        </w:rPr>
        <w:t>действительную военную службу</w:t>
      </w:r>
      <w:r>
        <w:t xml:space="preserve"> (раздел 39 Закона о федеральных воор</w:t>
      </w:r>
      <w:r>
        <w:t>у</w:t>
      </w:r>
      <w:r>
        <w:t>женных силах 2001 года).</w:t>
      </w:r>
    </w:p>
    <w:p w:rsidR="00000000" w:rsidRDefault="00000000">
      <w:pPr>
        <w:pStyle w:val="SingleTxt"/>
      </w:pPr>
      <w:r>
        <w:tab/>
      </w:r>
      <w:r>
        <w:tab/>
        <w:t>После завершения базовой подготовки и окончания срочной военной службы женщины могут продолжать военное образование в качестве офицеров и сержантов в условиях, приближенных к действительной службе, и на добр</w:t>
      </w:r>
      <w:r>
        <w:t>о</w:t>
      </w:r>
      <w:r>
        <w:t>вольной основе обучаться обращению с оружием и участвовать в военных м</w:t>
      </w:r>
      <w:r>
        <w:t>а</w:t>
      </w:r>
      <w:r>
        <w:t>неврах.</w:t>
      </w:r>
    </w:p>
    <w:p w:rsidR="00000000" w:rsidRDefault="00000000">
      <w:pPr>
        <w:pStyle w:val="SingleTxt"/>
      </w:pPr>
      <w:r>
        <w:tab/>
      </w:r>
      <w:r>
        <w:tab/>
        <w:t>Согласно подпункту 2 пункта 2 раздела 2 </w:t>
      </w:r>
      <w:r>
        <w:rPr>
          <w:b/>
        </w:rPr>
        <w:t>Закона об отправке военн</w:t>
      </w:r>
      <w:r>
        <w:rPr>
          <w:b/>
        </w:rPr>
        <w:t>о</w:t>
      </w:r>
      <w:r>
        <w:rPr>
          <w:b/>
        </w:rPr>
        <w:t>служащих для оказания военной помощи за рубежом</w:t>
      </w:r>
      <w:r>
        <w:t xml:space="preserve"> 2001 года (Бюллетень официальных законов, часть </w:t>
      </w:r>
      <w:r>
        <w:rPr>
          <w:lang w:val="en-US"/>
        </w:rPr>
        <w:t>I</w:t>
      </w:r>
      <w:r>
        <w:t>, № 55/2001), с 1 июля 2001 года женщины, кот</w:t>
      </w:r>
      <w:r>
        <w:t>о</w:t>
      </w:r>
      <w:r>
        <w:t>рые проходят или прошли военную подготовку, могут нести воинскую службу за рубежом.</w:t>
      </w:r>
    </w:p>
    <w:p w:rsidR="00000000" w:rsidRDefault="00000000">
      <w:pPr>
        <w:pStyle w:val="50"/>
      </w:pPr>
    </w:p>
    <w:p w:rsidR="00000000" w:rsidRDefault="00000000">
      <w:pPr>
        <w:pStyle w:val="50"/>
      </w:pPr>
    </w:p>
    <w:p w:rsidR="00000000" w:rsidRDefault="00000000">
      <w:pPr>
        <w:pStyle w:val="H23"/>
      </w:pPr>
      <w:r>
        <w:tab/>
      </w:r>
      <w:bookmarkStart w:id="98" w:name="_Toc97786696"/>
      <w:r>
        <w:t xml:space="preserve">Учет гендерного фактора и органы городского </w:t>
      </w:r>
      <w:bookmarkEnd w:id="98"/>
      <w:r>
        <w:t>управления</w:t>
      </w:r>
    </w:p>
    <w:p w:rsidR="00000000" w:rsidRDefault="00000000">
      <w:pPr>
        <w:pStyle w:val="SingleTxt"/>
      </w:pPr>
      <w:r>
        <w:tab/>
      </w:r>
      <w:r>
        <w:tab/>
        <w:t>В ходе модернизации государственного управления в Вене контрактное управление было введено в качестве центрального стратегического инструме</w:t>
      </w:r>
      <w:r>
        <w:t>н</w:t>
      </w:r>
      <w:r>
        <w:t>та управления. В сотрудничестве с Исполнительной канцелярией по управл</w:t>
      </w:r>
      <w:r>
        <w:t>е</w:t>
      </w:r>
      <w:r>
        <w:t>нию и контролю, которая отвечала за осуществление этого проекта, муниц</w:t>
      </w:r>
      <w:r>
        <w:t>и</w:t>
      </w:r>
      <w:r>
        <w:t>пальный департамент № 57 – Управление по делам женщин города Вены и</w:t>
      </w:r>
      <w:r>
        <w:t>н</w:t>
      </w:r>
      <w:r>
        <w:t>тенсивно занимался изучением того, насколько широко учет гендерного факт</w:t>
      </w:r>
      <w:r>
        <w:t>о</w:t>
      </w:r>
      <w:r>
        <w:t>ра можно обеспечить в качестве общей стратегии в рамках новых концепций управл</w:t>
      </w:r>
      <w:r>
        <w:t>е</w:t>
      </w:r>
      <w:r>
        <w:t>ния.</w:t>
      </w:r>
    </w:p>
    <w:p w:rsidR="00000000" w:rsidRDefault="00000000">
      <w:pPr>
        <w:pStyle w:val="SingleTxt"/>
      </w:pPr>
      <w:r>
        <w:tab/>
      </w:r>
      <w:r>
        <w:tab/>
        <w:t>В декабре 2001 года муниципальный департамент № 18 – Городское ра</w:t>
      </w:r>
      <w:r>
        <w:t>з</w:t>
      </w:r>
      <w:r>
        <w:t>витие и планирование организовал совещание по теме "Учет гендерного фа</w:t>
      </w:r>
      <w:r>
        <w:t>к</w:t>
      </w:r>
      <w:r>
        <w:t>тора в процессе городского планирования". Выводы этого совещания были опубликованы в октябре 2002 года вместе с анализом нынешних проектов по обеспечению учета гендерного фактора в процессе городского планирования в Вене и других городах Европы.</w:t>
      </w:r>
    </w:p>
    <w:p w:rsidR="00000000" w:rsidRDefault="00000000">
      <w:pPr>
        <w:pStyle w:val="SingleTxt"/>
      </w:pPr>
      <w:r>
        <w:tab/>
      </w:r>
      <w:r>
        <w:tab/>
        <w:t>Осенью 2003 года в рамках венского совещания по планированию был проведен ряд мероприятий на основе игры под названием "Гендерный город". Эти однодневные мероприятия были направлены на повышение информир</w:t>
      </w:r>
      <w:r>
        <w:t>о</w:t>
      </w:r>
      <w:r>
        <w:t>ванности участвующих председателей округов, жителей Вены, ответственных за планирование должностных лиц, учителей, школьников, студентов и сотру</w:t>
      </w:r>
      <w:r>
        <w:t>д</w:t>
      </w:r>
      <w:r>
        <w:t>ников местных органов власти о вопросах, касающихся учета гендерного фа</w:t>
      </w:r>
      <w:r>
        <w:t>к</w:t>
      </w:r>
      <w:r>
        <w:t>тора в вопросах г</w:t>
      </w:r>
      <w:r>
        <w:t>о</w:t>
      </w:r>
      <w:r>
        <w:t>родского планирования.</w:t>
      </w:r>
    </w:p>
    <w:p w:rsidR="00000000" w:rsidRDefault="00000000">
      <w:pPr>
        <w:pStyle w:val="SingleTxt"/>
      </w:pPr>
      <w:r>
        <w:tab/>
      </w:r>
      <w:r>
        <w:tab/>
        <w:t>Результаты текущей оценки запланированных проектов жилищного строительства, представленных на соискание государственных субсидий: в 1995 году муниципалитет Вены ввел конкурсное утверждение проектов стро</w:t>
      </w:r>
      <w:r>
        <w:t>и</w:t>
      </w:r>
      <w:r>
        <w:t>тельства жилья с учетом их качества. Координационное управление планир</w:t>
      </w:r>
      <w:r>
        <w:t>о</w:t>
      </w:r>
      <w:r>
        <w:t>вания и строительства, учитывающего требования повседневной жизни и ко</w:t>
      </w:r>
      <w:r>
        <w:t>н</w:t>
      </w:r>
      <w:r>
        <w:t>кретные потребности женщин, ввело оценку и контроль качества и организов</w:t>
      </w:r>
      <w:r>
        <w:t>а</w:t>
      </w:r>
      <w:r>
        <w:t>ло оценку качества всех проектов жилищного строительства, представленных для государственного финансирования, на предмет их соответствия функци</w:t>
      </w:r>
      <w:r>
        <w:t>о</w:t>
      </w:r>
      <w:r>
        <w:t>нальным требованиям домашнего хозяйства и семьи, соблюдения норм без</w:t>
      </w:r>
      <w:r>
        <w:t>о</w:t>
      </w:r>
      <w:r>
        <w:t>пасности, соответствия архитектурных особенностей задачам сохранения до</w:t>
      </w:r>
      <w:r>
        <w:t>б</w:t>
      </w:r>
      <w:r>
        <w:t>рососедских отношений и поддержания достойного внешнего вида территорий общего пользования и дворов. В период с 1995 года по конец июня 2003 года в рамках 13 конкурсов для проектировщиков была проведена оценка порядка 7 200 единиц жилья, и 368 проектов, касающихся строительства примерно 33 тысяч единиц жилья, были рекомендованы для финансирования и подвер</w:t>
      </w:r>
      <w:r>
        <w:t>г</w:t>
      </w:r>
      <w:r>
        <w:t>лись оценке силами Консультативного совета по недвижимости.</w:t>
      </w:r>
    </w:p>
    <w:p w:rsidR="00000000" w:rsidRDefault="00000000">
      <w:pPr>
        <w:pStyle w:val="SingleTxt"/>
      </w:pPr>
      <w:r>
        <w:tab/>
      </w:r>
      <w:r>
        <w:tab/>
        <w:t xml:space="preserve">В результате большого успеха типового проекта </w:t>
      </w:r>
      <w:r>
        <w:rPr>
          <w:lang w:val="en-US"/>
        </w:rPr>
        <w:t>Frauen</w:t>
      </w:r>
      <w:r>
        <w:t>-</w:t>
      </w:r>
      <w:r>
        <w:rPr>
          <w:lang w:val="en-US"/>
        </w:rPr>
        <w:t>Werk</w:t>
      </w:r>
      <w:r>
        <w:t>-</w:t>
      </w:r>
      <w:r>
        <w:rPr>
          <w:lang w:val="en-US"/>
        </w:rPr>
        <w:t>Stadt</w:t>
      </w:r>
      <w:r>
        <w:t xml:space="preserve"> </w:t>
      </w:r>
      <w:r>
        <w:rPr>
          <w:lang w:val="en-US"/>
        </w:rPr>
        <w:t>I</w:t>
      </w:r>
      <w:r>
        <w:t xml:space="preserve"> (1992-1997 годы) муниципалитет Вены организовал последующий проект </w:t>
      </w:r>
      <w:r>
        <w:rPr>
          <w:lang w:val="en-US"/>
        </w:rPr>
        <w:t>Frauen</w:t>
      </w:r>
      <w:r>
        <w:t>-</w:t>
      </w:r>
      <w:r>
        <w:rPr>
          <w:lang w:val="en-US"/>
        </w:rPr>
        <w:t>Werk</w:t>
      </w:r>
      <w:r>
        <w:t>-</w:t>
      </w:r>
      <w:r>
        <w:rPr>
          <w:lang w:val="en-US"/>
        </w:rPr>
        <w:t>Stadt</w:t>
      </w:r>
      <w:r>
        <w:t xml:space="preserve"> </w:t>
      </w:r>
      <w:r>
        <w:rPr>
          <w:lang w:val="en-US"/>
        </w:rPr>
        <w:t>II</w:t>
      </w:r>
      <w:r>
        <w:t xml:space="preserve"> в развитие концепции первоначального проекта, сделав упор на "создании условий и планировании, отвечающих требованиям повс</w:t>
      </w:r>
      <w:r>
        <w:t>е</w:t>
      </w:r>
      <w:r>
        <w:t>дневной жизни и конкретным потребностям женщин". Осуществление этого проекта началось в августе 2002 года и завершится летом 2004 года.</w:t>
      </w:r>
    </w:p>
    <w:p w:rsidR="00000000" w:rsidRDefault="00000000">
      <w:pPr>
        <w:pStyle w:val="SingleTxt"/>
      </w:pPr>
      <w:r>
        <w:tab/>
      </w:r>
      <w:r>
        <w:tab/>
        <w:t>В рамках Стратегического плана застройки Вены (утвержденного весной 2000 года) был организован стратегический проект под названием "Отвеча</w:t>
      </w:r>
      <w:r>
        <w:t>ю</w:t>
      </w:r>
      <w:r>
        <w:t>щие гендерным требованиям игровые площадки, спортивные сооружения и парки для детей и молодежи в муниципальных округах Вены", связанный со строительством и/или модернизацией городских территорий в соответствии с этим принципом. Весной 1999 года план новой разбивки двух парков был и</w:t>
      </w:r>
      <w:r>
        <w:t>с</w:t>
      </w:r>
      <w:r>
        <w:t>пользован в качестве экспериментального проекта для испытания отвечающей гендерным требованиям модели парка. Перепроектирование парков заверш</w:t>
      </w:r>
      <w:r>
        <w:t>и</w:t>
      </w:r>
      <w:r>
        <w:t>лось весной 2001 года.</w:t>
      </w:r>
    </w:p>
    <w:p w:rsidR="00000000" w:rsidRDefault="00000000">
      <w:pPr>
        <w:pStyle w:val="SingleTxt"/>
      </w:pPr>
      <w:r>
        <w:tab/>
      </w:r>
      <w:r>
        <w:tab/>
        <w:t>Проект анализа конфигурации парков, организованный в 2000 году и осуществлявшийся силами опытной группы специалистов в области лан</w:t>
      </w:r>
      <w:r>
        <w:t>д</w:t>
      </w:r>
      <w:r>
        <w:t>шафтного планирования, охватывал 14 парков и площадей в Вене, которые б</w:t>
      </w:r>
      <w:r>
        <w:t>ы</w:t>
      </w:r>
      <w:r>
        <w:t>ли перепроектированы или перестроены за последние несколько лет. На основе перечня соответствующих критериев эти проекты были проанализированы на предмет того, в какой мере при разбивке территории в них были учтены инт</w:t>
      </w:r>
      <w:r>
        <w:t>е</w:t>
      </w:r>
      <w:r>
        <w:t>ресы разных полов и модели их поведения.</w:t>
      </w:r>
    </w:p>
    <w:p w:rsidR="00000000" w:rsidRDefault="00000000">
      <w:pPr>
        <w:pStyle w:val="SingleTxt"/>
      </w:pPr>
      <w:r>
        <w:tab/>
      </w:r>
      <w:r>
        <w:tab/>
        <w:t>Другой подход, апробированный муниципалитетом Вены в 2000 году, был св</w:t>
      </w:r>
      <w:r>
        <w:t>я</w:t>
      </w:r>
      <w:r>
        <w:t>зан с привлечением девушек к планированию и разбивке парков.</w:t>
      </w:r>
    </w:p>
    <w:p w:rsidR="00000000" w:rsidRDefault="00000000">
      <w:pPr>
        <w:pStyle w:val="50"/>
      </w:pPr>
    </w:p>
    <w:p w:rsidR="00000000" w:rsidRDefault="00000000">
      <w:pPr>
        <w:pStyle w:val="50"/>
      </w:pPr>
    </w:p>
    <w:p w:rsidR="00000000" w:rsidRDefault="00000000">
      <w:pPr>
        <w:pStyle w:val="H1"/>
      </w:pPr>
      <w:r>
        <w:tab/>
      </w:r>
      <w:bookmarkStart w:id="99" w:name="_Toc97786697"/>
      <w:r>
        <w:t>Статья 8</w:t>
      </w:r>
      <w:bookmarkEnd w:id="99"/>
    </w:p>
    <w:p w:rsidR="00000000" w:rsidRDefault="00000000">
      <w:pPr>
        <w:pStyle w:val="50"/>
        <w:keepNext/>
      </w:pPr>
    </w:p>
    <w:p w:rsidR="00000000" w:rsidRDefault="00000000">
      <w:pPr>
        <w:pStyle w:val="50"/>
        <w:keepNext/>
      </w:pPr>
    </w:p>
    <w:p w:rsidR="00000000" w:rsidRDefault="00000000">
      <w:pPr>
        <w:pStyle w:val="H23"/>
      </w:pPr>
      <w:r>
        <w:tab/>
      </w:r>
      <w:bookmarkStart w:id="100" w:name="_Toc97786698"/>
      <w:r>
        <w:t>Представительство женщин на международном уровне, включая международные о</w:t>
      </w:r>
      <w:r>
        <w:t>р</w:t>
      </w:r>
      <w:r>
        <w:t>ганизации</w:t>
      </w:r>
      <w:bookmarkEnd w:id="100"/>
    </w:p>
    <w:p w:rsidR="00000000" w:rsidRDefault="00000000">
      <w:pPr>
        <w:pStyle w:val="SingleTxt"/>
      </w:pPr>
      <w:r>
        <w:tab/>
      </w:r>
      <w:r>
        <w:tab/>
        <w:t>По состоянию на 1 августа 2003 года женщины занимали 49 (20 процентов) из 245 руководящих должностей в рамках австрийской д</w:t>
      </w:r>
      <w:r>
        <w:t>и</w:t>
      </w:r>
      <w:r>
        <w:t>пломатической службы внутри страны и за рубежом. В посольствах в других странах или в постоянных представительствах при международных организ</w:t>
      </w:r>
      <w:r>
        <w:t>а</w:t>
      </w:r>
      <w:r>
        <w:t>циях работали 76 </w:t>
      </w:r>
      <w:r>
        <w:rPr>
          <w:b/>
        </w:rPr>
        <w:t>послов-мужчин</w:t>
      </w:r>
      <w:r>
        <w:t xml:space="preserve"> и 7 </w:t>
      </w:r>
      <w:r>
        <w:rPr>
          <w:b/>
        </w:rPr>
        <w:t>послов-женщин</w:t>
      </w:r>
      <w:r>
        <w:t xml:space="preserve"> (6,5 процента). Из о</w:t>
      </w:r>
      <w:r>
        <w:t>с</w:t>
      </w:r>
      <w:r>
        <w:t>тавшихся 25 должностей глав зарубежных представительств (генеральных ко</w:t>
      </w:r>
      <w:r>
        <w:t>н</w:t>
      </w:r>
      <w:r>
        <w:t>сулов, глав австрийских культурных форумов и т.п.) 12 (20 процентов) в н</w:t>
      </w:r>
      <w:r>
        <w:t>а</w:t>
      </w:r>
      <w:r>
        <w:t>стоящее время заняты же</w:t>
      </w:r>
      <w:r>
        <w:t>н</w:t>
      </w:r>
      <w:r>
        <w:t>щинами.</w:t>
      </w:r>
    </w:p>
    <w:p w:rsidR="00000000" w:rsidRDefault="00000000">
      <w:pPr>
        <w:pStyle w:val="SingleTxt"/>
      </w:pPr>
      <w:r>
        <w:tab/>
      </w:r>
      <w:r>
        <w:tab/>
        <w:t>Федеральное министерство иностранных дел в полной мере осознает, что доля женщин по-прежнему намного ниже квоты в 40 процентов, предусмо</w:t>
      </w:r>
      <w:r>
        <w:t>т</w:t>
      </w:r>
      <w:r>
        <w:t xml:space="preserve">ренной в соответствии с австрийским законодательством. Поэтому оно открыто приглашает всех своих сотрудников-женщин </w:t>
      </w:r>
      <w:r>
        <w:rPr>
          <w:b/>
        </w:rPr>
        <w:t>выдвигать свои кандидатуры для замещения вакантных руководящих должностей</w:t>
      </w:r>
      <w:r>
        <w:t>. К сожалению, трад</w:t>
      </w:r>
      <w:r>
        <w:t>и</w:t>
      </w:r>
      <w:r>
        <w:t>ции прошлого по-прежнему сильны, в результате чего доля женщин в руков</w:t>
      </w:r>
      <w:r>
        <w:t>о</w:t>
      </w:r>
      <w:r>
        <w:t>дящих эшелонах Министерства иностранных дел по-прежнему остается н</w:t>
      </w:r>
      <w:r>
        <w:t>е</w:t>
      </w:r>
      <w:r>
        <w:t>пропорционально низкой. В рамках своих усилий по увеличению количества женщин (см. раздел настоящего доклада, касающийся статьи 4, а именно пл</w:t>
      </w:r>
      <w:r>
        <w:t>а</w:t>
      </w:r>
      <w:r>
        <w:t>нов по улучшению положения женщин в соответствии с Законом о равном о</w:t>
      </w:r>
      <w:r>
        <w:t>б</w:t>
      </w:r>
      <w:r>
        <w:t>ращении на федеральной службе) Федеральное министерство иностранных дел в контексте своей политики продвижения по дипломатической службе приз</w:t>
      </w:r>
      <w:r>
        <w:t>ы</w:t>
      </w:r>
      <w:r>
        <w:t>вает женщин выставлять свои кандидатуры для замещения более высоких должностей. В 2003 году общая доля женщин, работающих по контрактам на ведущих и руководящих должностях, уже достигла 43 процентов. Вместе с тем, только с течением времени можно будет сказать, насколько эффективно н</w:t>
      </w:r>
      <w:r>
        <w:t>ы</w:t>
      </w:r>
      <w:r>
        <w:t>нешняя кадровая политика отразится на общем количестве назначений женщин на руководящие должн</w:t>
      </w:r>
      <w:r>
        <w:t>о</w:t>
      </w:r>
      <w:r>
        <w:t>сти.</w:t>
      </w:r>
    </w:p>
    <w:p w:rsidR="00000000" w:rsidRDefault="00000000">
      <w:pPr>
        <w:pStyle w:val="50"/>
      </w:pPr>
    </w:p>
    <w:p w:rsidR="00000000" w:rsidRDefault="00000000">
      <w:pPr>
        <w:pStyle w:val="50"/>
      </w:pPr>
    </w:p>
    <w:p w:rsidR="00000000" w:rsidRDefault="00000000">
      <w:pPr>
        <w:pStyle w:val="H23"/>
      </w:pPr>
      <w:r>
        <w:tab/>
      </w:r>
      <w:bookmarkStart w:id="101" w:name="_Toc97786699"/>
      <w:r>
        <w:t xml:space="preserve">Международные спортивные </w:t>
      </w:r>
      <w:bookmarkEnd w:id="101"/>
      <w:r>
        <w:t>мероприятия</w:t>
      </w:r>
    </w:p>
    <w:p w:rsidR="00000000" w:rsidRDefault="00000000">
      <w:pPr>
        <w:pStyle w:val="SingleTxt"/>
      </w:pPr>
      <w:r>
        <w:tab/>
      </w:r>
      <w:r>
        <w:tab/>
        <w:t>В феврале 2001 года в Вене состоялось совещание Руководящей группы "</w:t>
      </w:r>
      <w:r>
        <w:rPr>
          <w:b/>
        </w:rPr>
        <w:t>Европейские женщины и спорт</w:t>
      </w:r>
      <w:r>
        <w:t>" (ЕЖС)</w:t>
      </w:r>
      <w:r>
        <w:rPr>
          <w:rStyle w:val="FootnoteReference"/>
          <w:spacing w:val="-3"/>
        </w:rPr>
        <w:footnoteReference w:id="7"/>
      </w:r>
      <w:r>
        <w:t>, организованное Федеральной ка</w:t>
      </w:r>
      <w:r>
        <w:t>н</w:t>
      </w:r>
      <w:r>
        <w:t>целярией. Помимо рассмотрения вопроса о женщинах, работающих на руков</w:t>
      </w:r>
      <w:r>
        <w:t>о</w:t>
      </w:r>
      <w:r>
        <w:t>дящих должностях в спортивных федерациях, участники совещания обсудили вопросы, которые предстояло рассмотреть на Таллинской конференции.</w:t>
      </w:r>
    </w:p>
    <w:p w:rsidR="00000000" w:rsidRDefault="00000000">
      <w:pPr>
        <w:pStyle w:val="SingleTxt"/>
      </w:pPr>
      <w:r>
        <w:tab/>
      </w:r>
      <w:r>
        <w:tab/>
        <w:t>На открытом совещании ЕЖС, состоявшемся в Дубровнике в сентябре 2003 года</w:t>
      </w:r>
      <w:r>
        <w:rPr>
          <w:rStyle w:val="FootnoteReference"/>
          <w:spacing w:val="-3"/>
        </w:rPr>
        <w:footnoteReference w:id="8"/>
      </w:r>
      <w:r>
        <w:t xml:space="preserve"> Австрия была избрана председателем международной руководящей группы ЕЖС на период 2004-2006 годов. По итогам председательствования Австрии будет проведена </w:t>
      </w:r>
      <w:r>
        <w:rPr>
          <w:b/>
        </w:rPr>
        <w:t>Конференция ЕЖС по теме "Женщины и спорт, 2006 год"</w:t>
      </w:r>
      <w:r>
        <w:t>, в к</w:t>
      </w:r>
      <w:r>
        <w:t>о</w:t>
      </w:r>
      <w:r>
        <w:t>торой примут участие около 300 делегатов.</w:t>
      </w:r>
    </w:p>
    <w:p w:rsidR="00000000" w:rsidRDefault="00000000">
      <w:pPr>
        <w:pStyle w:val="50"/>
      </w:pPr>
    </w:p>
    <w:p w:rsidR="00000000" w:rsidRDefault="00000000">
      <w:pPr>
        <w:pStyle w:val="50"/>
      </w:pPr>
    </w:p>
    <w:p w:rsidR="00000000" w:rsidRDefault="00000000">
      <w:pPr>
        <w:pStyle w:val="H1"/>
      </w:pPr>
      <w:r>
        <w:tab/>
      </w:r>
      <w:bookmarkStart w:id="102" w:name="_Toc97786700"/>
      <w:r>
        <w:t>Статья 10</w:t>
      </w:r>
      <w:bookmarkEnd w:id="102"/>
    </w:p>
    <w:p w:rsidR="00000000" w:rsidRDefault="00000000">
      <w:pPr>
        <w:pStyle w:val="50"/>
        <w:keepNext/>
      </w:pPr>
    </w:p>
    <w:p w:rsidR="00000000" w:rsidRDefault="00000000">
      <w:pPr>
        <w:pStyle w:val="50"/>
        <w:keepNext/>
      </w:pPr>
    </w:p>
    <w:p w:rsidR="00000000" w:rsidRDefault="00000000">
      <w:pPr>
        <w:pStyle w:val="H23"/>
      </w:pPr>
      <w:r>
        <w:tab/>
      </w:r>
      <w:bookmarkStart w:id="103" w:name="_Toc97786701"/>
      <w:r>
        <w:t>Успехи женщин в области образования</w:t>
      </w:r>
      <w:bookmarkEnd w:id="103"/>
    </w:p>
    <w:p w:rsidR="00000000" w:rsidRDefault="00000000">
      <w:pPr>
        <w:pStyle w:val="SingleTxt"/>
      </w:pPr>
      <w:r>
        <w:tab/>
      </w:r>
      <w:r>
        <w:tab/>
        <w:t>С 60-х годов прошлого столетия уровень образования всех слоев насел</w:t>
      </w:r>
      <w:r>
        <w:t>е</w:t>
      </w:r>
      <w:r>
        <w:t>ния в Австрии повышался, причем уровень образования женщин увеличивался даже более быстрыми темпами по сравнению с мужчинами. Несмотря на то, что доля населения, уровень образования которого не выходит за рамки обяз</w:t>
      </w:r>
      <w:r>
        <w:t>а</w:t>
      </w:r>
      <w:r>
        <w:t>тельного, с 1971 года неуклонно снижалась (согласно результатам переписи; данные приводятся в приложении 2), результаты переписи 2001 года показали, что ситуация среди женщин, доля которых составляет 43,6 процента (в 1971 году этот показатель равнялся 73 процентам) выглядит еще менее благ</w:t>
      </w:r>
      <w:r>
        <w:t>о</w:t>
      </w:r>
      <w:r>
        <w:t>приятной, чем среди мужчин (2001 год – 27,0 процента; 1971 год – 48,9 процента). Этот очевидный разрыв в уровнях образования мужчин и же</w:t>
      </w:r>
      <w:r>
        <w:t>н</w:t>
      </w:r>
      <w:r>
        <w:t>щин прежде всего можно отнести за счет женщин более старшего поколения, многие из которых имеют образование не выше обязательного уровня, а также за счет того, что девушки по-прежнему реже, чем юноши, проходят профе</w:t>
      </w:r>
      <w:r>
        <w:t>с</w:t>
      </w:r>
      <w:r>
        <w:t>сионально-техническое обучение. В настоящее время школу, колледж, униве</w:t>
      </w:r>
      <w:r>
        <w:t>р</w:t>
      </w:r>
      <w:r>
        <w:t>ситет или иное высшее учебное заведение посещают 29 процентов женщин по сравнению с 23 процентами мужчин той же возрастной группы. Наиболее з</w:t>
      </w:r>
      <w:r>
        <w:t>а</w:t>
      </w:r>
      <w:r>
        <w:t>метным является увеличение доли девушек в средних и специальных учебных заведениях, не относящихся к системе высшего образования: в 2002/2003 учебном году 54 процента учащихся общеобразовательных средних школ, 51 процент учащихся средних профессионально-технических училищ и 96 процентов учащихся колледжей по подготовке учителей и внешкольных п</w:t>
      </w:r>
      <w:r>
        <w:t>е</w:t>
      </w:r>
      <w:r>
        <w:t>дагогических ка</w:t>
      </w:r>
      <w:r>
        <w:t>д</w:t>
      </w:r>
      <w:r>
        <w:t>ров были женщинами.</w:t>
      </w:r>
    </w:p>
    <w:p w:rsidR="00000000" w:rsidRDefault="00000000">
      <w:pPr>
        <w:pStyle w:val="SingleTxt"/>
      </w:pPr>
      <w:r>
        <w:t xml:space="preserve">(Источник: Федеральное министерство образования, науки и культуры </w:t>
      </w:r>
      <w:hyperlink r:id="rId22" w:history="1">
        <w:r>
          <w:rPr>
            <w:rStyle w:val="Hyperlink"/>
            <w:spacing w:val="-3"/>
            <w:lang w:val="en-US"/>
          </w:rPr>
          <w:t>www</w:t>
        </w:r>
        <w:r>
          <w:rPr>
            <w:rStyle w:val="Hyperlink"/>
            <w:spacing w:val="-3"/>
          </w:rPr>
          <w:t>.</w:t>
        </w:r>
        <w:r>
          <w:rPr>
            <w:rStyle w:val="Hyperlink"/>
            <w:spacing w:val="-3"/>
            <w:lang w:val="en-US"/>
          </w:rPr>
          <w:t>bmbwk</w:t>
        </w:r>
        <w:r>
          <w:rPr>
            <w:rStyle w:val="Hyperlink"/>
            <w:spacing w:val="-3"/>
          </w:rPr>
          <w:t>.</w:t>
        </w:r>
        <w:r>
          <w:rPr>
            <w:rStyle w:val="Hyperlink"/>
            <w:spacing w:val="-3"/>
            <w:lang w:val="en-US"/>
          </w:rPr>
          <w:t>gv</w:t>
        </w:r>
        <w:r>
          <w:rPr>
            <w:rStyle w:val="Hyperlink"/>
            <w:spacing w:val="-3"/>
          </w:rPr>
          <w:t>.</w:t>
        </w:r>
        <w:r>
          <w:rPr>
            <w:rStyle w:val="Hyperlink"/>
            <w:spacing w:val="-3"/>
            <w:lang w:val="en-US"/>
          </w:rPr>
          <w:t>at</w:t>
        </w:r>
      </w:hyperlink>
      <w:r>
        <w:t>.)</w:t>
      </w:r>
    </w:p>
    <w:p w:rsidR="00000000" w:rsidRDefault="00000000">
      <w:pPr>
        <w:pStyle w:val="SingleTxt"/>
      </w:pPr>
      <w:r>
        <w:tab/>
      </w:r>
      <w:r>
        <w:tab/>
        <w:t>Несмотря на то, что все профессионально-технические училищ открыты для приема учащихся обоих полов, в программах профессиональных школ и технических училищ отмечается четкая сегрегация по признаку пола. В связи с этим многочисленные инициативы Федерального министерства образования, науки и культуры направлены на то, чтобы ликвидировать половые различия при выборе предметов для изучения и последующего рода занятий, причем приоритетное внимание при этом уделяется поощрению выбора девушками и женщинами технических профессий (см. раздел настоящего доклада, каса</w:t>
      </w:r>
      <w:r>
        <w:t>ю</w:t>
      </w:r>
      <w:r>
        <w:t>щийся пункта с) статьи 10).</w:t>
      </w:r>
    </w:p>
    <w:p w:rsidR="00000000" w:rsidRDefault="00000000">
      <w:pPr>
        <w:pStyle w:val="SingleTxt"/>
      </w:pPr>
      <w:r>
        <w:tab/>
      </w:r>
      <w:r>
        <w:tab/>
        <w:t>В 2000 году 51 процент юношей и 52 процента девушек, сдавших вып</w:t>
      </w:r>
      <w:r>
        <w:t>у</w:t>
      </w:r>
      <w:r>
        <w:t>скные экзамены по окончании средней школы (получившие аттестат зрелости) в том же году, выбрали курс обучения в научном или техническом университ</w:t>
      </w:r>
      <w:r>
        <w:t>е</w:t>
      </w:r>
      <w:r>
        <w:t>те продолжительностью в пять семестров. С 1999 года доля женщин среди а</w:t>
      </w:r>
      <w:r>
        <w:t>в</w:t>
      </w:r>
      <w:r>
        <w:t>стрийских и иностранных студентов, поступивших в австрийские университ</w:t>
      </w:r>
      <w:r>
        <w:t>е</w:t>
      </w:r>
      <w:r>
        <w:t>ты, увеличилась до 53 процентов, а в университетах искусств – до 58 процентов. Доля женщин среди первокурсников в настоящее время соста</w:t>
      </w:r>
      <w:r>
        <w:t>в</w:t>
      </w:r>
      <w:r>
        <w:t>ляет 57 процентов в обычных университетах и 53 процента в университетах искусств, причем в 2000/01 учебном году доля женщин среди первокурсников впервые превысила 50 процентов. На выбор курса обучения представителями разных полов также влияет предыдущее образование в соответствующей о</w:t>
      </w:r>
      <w:r>
        <w:t>б</w:t>
      </w:r>
      <w:r>
        <w:t>ласти знаний, полученное в средних и специальных учебных заведениях, не относящихся к системе высшего образования. Несмотря на то, что женщины по-прежнему недостаточно широко представлены на факультетах машин</w:t>
      </w:r>
      <w:r>
        <w:t>о</w:t>
      </w:r>
      <w:r>
        <w:t>строения, технологии и естественных наук и составляют лишь 18 процентов от общего числа учащихся, в 1999-2001 годах в процентном отношении их доля увеличилась на три процента. Эта тенденция подкрепляется программой мер, поощряющих женщин выбирать профессии в сфере исследований и технологии (см. раздел настоящего доклада, касающийся пункта с) статьи 10).</w:t>
      </w:r>
    </w:p>
    <w:p w:rsidR="00000000" w:rsidRDefault="00000000">
      <w:pPr>
        <w:pStyle w:val="SingleTxt"/>
      </w:pPr>
      <w:r>
        <w:tab/>
      </w:r>
      <w:r>
        <w:tab/>
        <w:t>На факультетах университетов прикладных наук, т.е. в секторе образов</w:t>
      </w:r>
      <w:r>
        <w:t>а</w:t>
      </w:r>
      <w:r>
        <w:t>ния, который был создан в 1994 году и до сих пор находится в процессе ст</w:t>
      </w:r>
      <w:r>
        <w:t>а</w:t>
      </w:r>
      <w:r>
        <w:t>новления, доля учащихся женского пола по-прежнему сильно колеблется в з</w:t>
      </w:r>
      <w:r>
        <w:t>а</w:t>
      </w:r>
      <w:r>
        <w:t>висимости от соответствующего предмета изучения. В то время как на курсах по туризму и курсах по гуманитарным наукам женщины составляют, соотве</w:t>
      </w:r>
      <w:r>
        <w:t>т</w:t>
      </w:r>
      <w:r>
        <w:t>ственно, 71 процент и 58 процентов, их доля на курсах по изучению механи</w:t>
      </w:r>
      <w:r>
        <w:t>з</w:t>
      </w:r>
      <w:r>
        <w:t>мов предпринимательства и экономики составляет 51 процент, а на курсах по изучению технических предметов – 22 процента. Однако эти данные следует считать относительными, поскольку до 54 процентов всех курсов в универс</w:t>
      </w:r>
      <w:r>
        <w:t>и</w:t>
      </w:r>
      <w:r>
        <w:t>тетах прикладных наук относятся к техническим областям, и доля женщин на этих курсах повысилась с 11 процентов в зимний семестр 1999 года до 22 процентов в зимний семестр 2002 года.</w:t>
      </w:r>
    </w:p>
    <w:p w:rsidR="00000000" w:rsidRDefault="00000000">
      <w:pPr>
        <w:pStyle w:val="SingleTxt"/>
      </w:pPr>
      <w:r>
        <w:tab/>
      </w:r>
      <w:r>
        <w:tab/>
        <w:t>Рассматривается вопрос о принятии мер, которые позволят включить ку</w:t>
      </w:r>
      <w:r>
        <w:t>р</w:t>
      </w:r>
      <w:r>
        <w:t>сы по подготовке дипломированного вспомогательного медицинского персон</w:t>
      </w:r>
      <w:r>
        <w:t>а</w:t>
      </w:r>
      <w:r>
        <w:t>ла и акушерок в программы университетов прикладных наук.</w:t>
      </w:r>
    </w:p>
    <w:p w:rsidR="00000000" w:rsidRDefault="00000000">
      <w:pPr>
        <w:pStyle w:val="SingleTxt"/>
      </w:pPr>
      <w:r>
        <w:tab/>
      </w:r>
      <w:r>
        <w:tab/>
        <w:t>Академии по подготовке учителей и социальных работников и колледжи по подготовке вспомогательного медицинского и немедицинского персонала системы здравоохранения (например, медицинских сестер и другого медици</w:t>
      </w:r>
      <w:r>
        <w:t>н</w:t>
      </w:r>
      <w:r>
        <w:t>ского персонала, акушерок, работников технических медицинских профессий и т.п.) являются вотчиной женщин. Женщины составляют три четверти учащихся этих учебных заведений, и этот показатель не меняется на протяжении после</w:t>
      </w:r>
      <w:r>
        <w:t>д</w:t>
      </w:r>
      <w:r>
        <w:t>них 15 лет.</w:t>
      </w:r>
    </w:p>
    <w:p w:rsidR="00000000" w:rsidRDefault="00000000">
      <w:pPr>
        <w:pStyle w:val="50"/>
      </w:pPr>
    </w:p>
    <w:p w:rsidR="00000000" w:rsidRDefault="00000000">
      <w:pPr>
        <w:pStyle w:val="50"/>
      </w:pPr>
    </w:p>
    <w:p w:rsidR="00000000" w:rsidRDefault="00000000">
      <w:pPr>
        <w:pStyle w:val="H23"/>
        <w:rPr>
          <w:u w:val="single"/>
        </w:rPr>
      </w:pPr>
      <w:r>
        <w:tab/>
      </w:r>
      <w:bookmarkStart w:id="104" w:name="_Toc97786702"/>
      <w:r>
        <w:rPr>
          <w:u w:val="single"/>
        </w:rPr>
        <w:t xml:space="preserve">Статья 10, пункты </w:t>
      </w:r>
      <w:r>
        <w:rPr>
          <w:u w:val="single"/>
          <w:lang w:val="en-US"/>
        </w:rPr>
        <w:t>a</w:t>
      </w:r>
      <w:r>
        <w:rPr>
          <w:u w:val="single"/>
        </w:rPr>
        <w:t xml:space="preserve">), </w:t>
      </w:r>
      <w:r>
        <w:rPr>
          <w:u w:val="single"/>
          <w:lang w:val="en-US"/>
        </w:rPr>
        <w:t>b</w:t>
      </w:r>
      <w:r>
        <w:rPr>
          <w:u w:val="single"/>
        </w:rPr>
        <w:t xml:space="preserve">) и </w:t>
      </w:r>
      <w:r>
        <w:rPr>
          <w:u w:val="single"/>
          <w:lang w:val="en-US"/>
        </w:rPr>
        <w:t>d</w:t>
      </w:r>
      <w:r>
        <w:rPr>
          <w:u w:val="single"/>
        </w:rPr>
        <w:t>)</w:t>
      </w:r>
      <w:bookmarkEnd w:id="104"/>
    </w:p>
    <w:p w:rsidR="00000000" w:rsidRDefault="00000000">
      <w:pPr>
        <w:pStyle w:val="H23"/>
      </w:pPr>
      <w:r>
        <w:tab/>
      </w:r>
    </w:p>
    <w:p w:rsidR="00000000" w:rsidRDefault="00000000">
      <w:pPr>
        <w:pStyle w:val="SingleTxt"/>
      </w:pPr>
      <w:r>
        <w:rPr>
          <w:b/>
        </w:rPr>
        <w:tab/>
      </w:r>
      <w:r>
        <w:rPr>
          <w:b/>
        </w:rPr>
        <w:tab/>
        <w:t>Законодательные положения</w:t>
      </w:r>
      <w:r>
        <w:t>, направленные на обеспечения равенства между женщинами и мужчинами в вопросах профессиональной ориентации, поступления на учебу, получения свидетельство об окончании учебных завед</w:t>
      </w:r>
      <w:r>
        <w:t>е</w:t>
      </w:r>
      <w:r>
        <w:t>ний и т.д., закреплены в австрийском законодательстве и формально выполн</w:t>
      </w:r>
      <w:r>
        <w:t>я</w:t>
      </w:r>
      <w:r>
        <w:t>ются. (Это касается также других пунктов статьи 10.) Однако сохраняющиеся несмотря на это различия, например различия между девушками и юношами в плане выбора типа учебного заведения, преимущественно связаны с социал</w:t>
      </w:r>
      <w:r>
        <w:t>ь</w:t>
      </w:r>
      <w:r>
        <w:t>ными барьерами, такими как предрассудки, устаревшие стереотипы в отнош</w:t>
      </w:r>
      <w:r>
        <w:t>е</w:t>
      </w:r>
      <w:r>
        <w:t>нии роли полов и т.п., и могут быть устранены только путем изменения пра</w:t>
      </w:r>
      <w:r>
        <w:t>к</w:t>
      </w:r>
      <w:r>
        <w:t>тики преподавания и проведения целенаправленных кампаний по информир</w:t>
      </w:r>
      <w:r>
        <w:t>о</w:t>
      </w:r>
      <w:r>
        <w:t>ванию и повышению осведомленности общественности.</w:t>
      </w:r>
    </w:p>
    <w:p w:rsidR="00000000" w:rsidRDefault="00000000">
      <w:pPr>
        <w:pStyle w:val="50"/>
      </w:pPr>
    </w:p>
    <w:p w:rsidR="00000000" w:rsidRDefault="00000000">
      <w:pPr>
        <w:pStyle w:val="50"/>
      </w:pPr>
    </w:p>
    <w:p w:rsidR="00000000" w:rsidRDefault="00000000">
      <w:pPr>
        <w:pStyle w:val="H23"/>
        <w:rPr>
          <w:u w:val="single"/>
        </w:rPr>
      </w:pPr>
      <w:r>
        <w:tab/>
      </w:r>
      <w:bookmarkStart w:id="105" w:name="_Toc97786704"/>
      <w:r>
        <w:rPr>
          <w:u w:val="single"/>
        </w:rPr>
        <w:t>Статья 10, пункт с)</w:t>
      </w:r>
      <w:bookmarkEnd w:id="105"/>
    </w:p>
    <w:p w:rsidR="00000000" w:rsidRDefault="00000000">
      <w:pPr>
        <w:pStyle w:val="SingleTxt"/>
      </w:pPr>
      <w:r>
        <w:tab/>
      </w:r>
      <w:r>
        <w:tab/>
        <w:t xml:space="preserve">После завершения </w:t>
      </w:r>
      <w:r>
        <w:rPr>
          <w:b/>
        </w:rPr>
        <w:t>пекинской Всемирной конференции по положению женщин</w:t>
      </w:r>
      <w:r>
        <w:t xml:space="preserve"> и </w:t>
      </w:r>
      <w:r>
        <w:rPr>
          <w:b/>
        </w:rPr>
        <w:t>ратификации Амстердамского договора</w:t>
      </w:r>
      <w:r>
        <w:t xml:space="preserve"> вопрос об </w:t>
      </w:r>
      <w:r>
        <w:rPr>
          <w:b/>
        </w:rPr>
        <w:t>учете генде</w:t>
      </w:r>
      <w:r>
        <w:rPr>
          <w:b/>
        </w:rPr>
        <w:t>р</w:t>
      </w:r>
      <w:r>
        <w:rPr>
          <w:b/>
        </w:rPr>
        <w:t>ного фактора</w:t>
      </w:r>
      <w:r>
        <w:t xml:space="preserve"> стал одним из ключевых пунктов повестки дня Федерального министерства образования, науки и культуры. (пункт 38 Пекинской деклар</w:t>
      </w:r>
      <w:r>
        <w:t>а</w:t>
      </w:r>
      <w:r>
        <w:t>ции: "Мы настоящим принимаем и как правительства обязуемся выполнять нижеследующую Платформу действий, следя за тем, чтобы гендерные аспекты находили отражение во всех наших стратегиях и программах"). В целях осущ</w:t>
      </w:r>
      <w:r>
        <w:t>е</w:t>
      </w:r>
      <w:r>
        <w:t>ствления этой стратегии при Министерстве образования была создана Рабочая группа по обеспечению учета гендерного фактора для оказания министерству консультационных услуг и поддержки и обеспечения информации, повышения осведомленности и консультирования и поддержки его руководителей в реал</w:t>
      </w:r>
      <w:r>
        <w:t>и</w:t>
      </w:r>
      <w:r>
        <w:t>зации подхода по обеспечению учета гендерного фактора во всей структуре р</w:t>
      </w:r>
      <w:r>
        <w:t>а</w:t>
      </w:r>
      <w:r>
        <w:t>боты министерства. Особое внимание уделяется использованию нейтральных с гендерной точки зрения формулировок, для чего были опубликованы две бр</w:t>
      </w:r>
      <w:r>
        <w:t>о</w:t>
      </w:r>
      <w:r>
        <w:t>шюры по вопросу об использовании нейтральных с гендерной точки зрения формулировок и соответствующий справочник для руководителей проектов. Практически все да</w:t>
      </w:r>
      <w:r>
        <w:t>н</w:t>
      </w:r>
      <w:r>
        <w:t>ные уже собраны и имеются в разбивке по полу.</w:t>
      </w:r>
    </w:p>
    <w:p w:rsidR="00000000" w:rsidRDefault="00000000">
      <w:pPr>
        <w:pStyle w:val="SingleTxt"/>
      </w:pPr>
      <w:r>
        <w:tab/>
      </w:r>
      <w:r>
        <w:tab/>
        <w:t>В целях обеспечения учета гендерного фактора на всех ступенях системы образования были осуществлены следующие проекты: "Учет гендерного фа</w:t>
      </w:r>
      <w:r>
        <w:t>к</w:t>
      </w:r>
      <w:r>
        <w:t>тора и школьное обучение", в рамках которого в школах используется проа</w:t>
      </w:r>
      <w:r>
        <w:t>к</w:t>
      </w:r>
      <w:r>
        <w:t>тивный подход, способствующий совершенствованию процесса школьного обучения и обеспечению учета гендерного фактора и принятию мер в этой св</w:t>
      </w:r>
      <w:r>
        <w:t>я</w:t>
      </w:r>
      <w:r>
        <w:t>зи в школах. Проект под названием "Учет гендерного фактора в академиях" связан с подготовкой педагогического состава и применением принципа отр</w:t>
      </w:r>
      <w:r>
        <w:t>а</w:t>
      </w:r>
      <w:r>
        <w:t>жения гендерного фактора в программах исследований, лекциях и проектах в области обучения и исследований и направлен на обеспечение сбалансирова</w:t>
      </w:r>
      <w:r>
        <w:t>н</w:t>
      </w:r>
      <w:r>
        <w:t>ного соотношения полов при назначениях в официальные органы, а также пр</w:t>
      </w:r>
      <w:r>
        <w:t>о</w:t>
      </w:r>
      <w:r>
        <w:t>ведение и</w:t>
      </w:r>
      <w:r>
        <w:t>н</w:t>
      </w:r>
      <w:r>
        <w:t>формационно-просветительских мероприятий.</w:t>
      </w:r>
    </w:p>
    <w:p w:rsidR="00000000" w:rsidRDefault="00000000">
      <w:pPr>
        <w:pStyle w:val="SingleTxt"/>
      </w:pPr>
      <w:r>
        <w:tab/>
      </w:r>
      <w:r>
        <w:tab/>
        <w:t>Для решения этих задач и повышения осведомленности общественности о вопросах, связанных с обеспечением учета гендерного фактора, были пров</w:t>
      </w:r>
      <w:r>
        <w:t>е</w:t>
      </w:r>
      <w:r>
        <w:t>дены два семинара: один – для координаторов гендерных вопросов в педагог</w:t>
      </w:r>
      <w:r>
        <w:t>и</w:t>
      </w:r>
      <w:r>
        <w:t>ческих учебных заведениях, а другой – для преподавателей колледжей среднего уровня по машиностроению (см. раздел настоящего доклада, посвященный статье 2).</w:t>
      </w:r>
    </w:p>
    <w:p w:rsidR="00000000" w:rsidRDefault="00000000">
      <w:pPr>
        <w:pStyle w:val="SingleTxt"/>
      </w:pPr>
      <w:r>
        <w:tab/>
      </w:r>
      <w:r>
        <w:tab/>
        <w:t>В последние два года главная задача заключалась в том, чтобы активиз</w:t>
      </w:r>
      <w:r>
        <w:t>и</w:t>
      </w:r>
      <w:r>
        <w:t>ровать участие женщин в исследовательской деятельности, содействовать и</w:t>
      </w:r>
      <w:r>
        <w:t>н</w:t>
      </w:r>
      <w:r>
        <w:t>теграции женской проблематики и вопросов, представляющих интерес для и</w:t>
      </w:r>
      <w:r>
        <w:t>с</w:t>
      </w:r>
      <w:r>
        <w:t>следований, и обеспечивать более интенсивное проведение исследований и распространение информации о конкретных темах гендерной проблематики. Задача интеграции гендерных подходов и активизации участия женщин в и</w:t>
      </w:r>
      <w:r>
        <w:t>с</w:t>
      </w:r>
      <w:r>
        <w:t>следовательской деятельности, особенно в качестве руководителей и координ</w:t>
      </w:r>
      <w:r>
        <w:t>а</w:t>
      </w:r>
      <w:r>
        <w:t>торов проектов, в некоторых случаях уже была решена при выделении грантов на исследовательские проекты. В рамках этой стратегии успешно осуществл</w:t>
      </w:r>
      <w:r>
        <w:t>я</w:t>
      </w:r>
      <w:r>
        <w:t>лись программы исследования, при разработке которых в полной мере учит</w:t>
      </w:r>
      <w:r>
        <w:t>ы</w:t>
      </w:r>
      <w:r>
        <w:t>вался гендерный фактор. К числу таких программ можно отнести программу "Исследование культурных ландшафтов", в которой доля женщин повысилась до 50 процентов в результате введения системы внутренних бонусов или пр</w:t>
      </w:r>
      <w:r>
        <w:t>о</w:t>
      </w:r>
      <w:r>
        <w:t xml:space="preserve">грамму </w:t>
      </w:r>
      <w:r>
        <w:rPr>
          <w:u w:val="single"/>
        </w:rPr>
        <w:t>"</w:t>
      </w:r>
      <w:r>
        <w:rPr>
          <w:u w:val="single"/>
          <w:lang w:val="en-US"/>
        </w:rPr>
        <w:t>node</w:t>
      </w:r>
      <w:r>
        <w:rPr>
          <w:u w:val="single"/>
        </w:rPr>
        <w:t>"</w:t>
      </w:r>
      <w:r>
        <w:t>, в рамках которой женщины возглавляют до 40 процентов ос</w:t>
      </w:r>
      <w:r>
        <w:t>у</w:t>
      </w:r>
      <w:r>
        <w:t xml:space="preserve">ществляемых проектов, во всех из которых учитывается гендерный фактор. </w:t>
      </w:r>
    </w:p>
    <w:p w:rsidR="00000000" w:rsidRDefault="00000000">
      <w:pPr>
        <w:pStyle w:val="SingleTxt"/>
      </w:pPr>
      <w:r>
        <w:tab/>
      </w:r>
      <w:r>
        <w:tab/>
        <w:t>Меры по улучшению положения женщин принимаются в рамках процед</w:t>
      </w:r>
      <w:r>
        <w:t>у</w:t>
      </w:r>
      <w:r>
        <w:t>ры финансирования исследовательских учреждений неуниверситетского типа в целях увеличения числа женщин, занимающихся исследовательской деятел</w:t>
      </w:r>
      <w:r>
        <w:t>ь</w:t>
      </w:r>
      <w:r>
        <w:t>ностью, и поощрения создания благоприятных условий труда для женщин.</w:t>
      </w:r>
    </w:p>
    <w:p w:rsidR="00000000" w:rsidRDefault="00000000">
      <w:pPr>
        <w:pStyle w:val="SingleTxt"/>
      </w:pPr>
      <w:r>
        <w:tab/>
      </w:r>
      <w:r>
        <w:tab/>
        <w:t>Для финансирования мероприятий, направленных на повышение автор</w:t>
      </w:r>
      <w:r>
        <w:t>и</w:t>
      </w:r>
      <w:r>
        <w:t>тета женщин-ученых и прозрачности исследований гендерной проблематики (например, путем увеличение доли женщин среди главных выступающих, ле</w:t>
      </w:r>
      <w:r>
        <w:t>к</w:t>
      </w:r>
      <w:r>
        <w:t>торов или посредников, уделения большего внимания гендерным проблемам во время симпозиумов, рабочих совещаний и т.п.), используется система прису</w:t>
      </w:r>
      <w:r>
        <w:t>ж</w:t>
      </w:r>
      <w:r>
        <w:t>дения премий.</w:t>
      </w:r>
    </w:p>
    <w:p w:rsidR="00000000" w:rsidRDefault="00000000">
      <w:pPr>
        <w:pStyle w:val="SingleTxt"/>
      </w:pPr>
      <w:r>
        <w:tab/>
      </w:r>
      <w:r>
        <w:tab/>
        <w:t xml:space="preserve">В развитие "Плана действий-2000" (99 мер по обеспечению равенства в школах и учебных заведениях для взрослых), который осуществлялся с 1997 года по конец 2000 года, в 2001 году был утвержден </w:t>
      </w:r>
      <w:r>
        <w:rPr>
          <w:b/>
        </w:rPr>
        <w:t>"План действий-2003 – Учет гендерного фактора и улучшение положения женщин в шк</w:t>
      </w:r>
      <w:r>
        <w:rPr>
          <w:b/>
        </w:rPr>
        <w:t>о</w:t>
      </w:r>
      <w:r>
        <w:rPr>
          <w:b/>
        </w:rPr>
        <w:t>лах и учебных заведениях для взрослых"</w:t>
      </w:r>
      <w:r>
        <w:t>, в который в качестве приоритетов были включены следующие новые темы: "качество школьного образования и равные возможности", "профессиональная ориентация, учитывающая генде</w:t>
      </w:r>
      <w:r>
        <w:t>р</w:t>
      </w:r>
      <w:r>
        <w:t>ный фактор, девушки и технология", "создание сетей", "равное обращение и улучшение положения женщин" и "образование для взрослых – женщины и н</w:t>
      </w:r>
      <w:r>
        <w:t>о</w:t>
      </w:r>
      <w:r>
        <w:t>вые технологии". В соответствии с принципом учета гендерного фактора этот План действий охватывает все министерство образования и отражает всеоб</w:t>
      </w:r>
      <w:r>
        <w:t>ъ</w:t>
      </w:r>
      <w:r>
        <w:t>емлющий подход к обеспечению равенства между мужчинами и женщинами, опирающийся на Декларацию и Платформу действий четвертой Всемирной конференции по положению женщин, состоявшейся в Пекине, а также межпр</w:t>
      </w:r>
      <w:r>
        <w:t>а</w:t>
      </w:r>
      <w:r>
        <w:t>вительственное соглашение (март 2003 года) и опыт, накопленный в процессе осущест</w:t>
      </w:r>
      <w:r>
        <w:t>в</w:t>
      </w:r>
      <w:r>
        <w:t>ления "Плана действий-2000".</w:t>
      </w:r>
      <w:r>
        <w:tab/>
      </w:r>
    </w:p>
    <w:p w:rsidR="00000000" w:rsidRDefault="00000000">
      <w:pPr>
        <w:pStyle w:val="SingleTxt"/>
      </w:pPr>
      <w:r>
        <w:tab/>
      </w:r>
      <w:r>
        <w:tab/>
        <w:t>Тема "</w:t>
      </w:r>
      <w:r>
        <w:rPr>
          <w:b/>
        </w:rPr>
        <w:t>профессиональная ориентация, учитывающая гендерный фа</w:t>
      </w:r>
      <w:r>
        <w:rPr>
          <w:b/>
        </w:rPr>
        <w:t>к</w:t>
      </w:r>
      <w:r>
        <w:rPr>
          <w:b/>
        </w:rPr>
        <w:t>тор, девушки и технология</w:t>
      </w:r>
      <w:r>
        <w:t>" легла в основу целого ряда важных инициатив. Женщины и девушки по-прежнему тяготеют к выбору традиционных, дикту</w:t>
      </w:r>
      <w:r>
        <w:t>е</w:t>
      </w:r>
      <w:r>
        <w:t>мых стереотипами видов профессиональной подготовки и профессий; при этом доля девушек в технических школах растет крайне медленными темпами и в настоящее время едва достигает 10 процентов. Разработаны многочисленные проекты, которые направлены на расширение спектра выбираемых профессий и стимулирование девушек к овладению нетрадиционными специал</w:t>
      </w:r>
      <w:r>
        <w:t>ь</w:t>
      </w:r>
      <w:r>
        <w:t>ностями.</w:t>
      </w:r>
    </w:p>
    <w:p w:rsidR="00000000" w:rsidRDefault="00000000">
      <w:pPr>
        <w:pStyle w:val="SingleTxt"/>
      </w:pPr>
      <w:r>
        <w:tab/>
      </w:r>
      <w:r>
        <w:tab/>
        <w:t>Кампания под названием "</w:t>
      </w:r>
      <w:r>
        <w:rPr>
          <w:b/>
          <w:lang w:val="en-US"/>
        </w:rPr>
        <w:t>MiT</w:t>
      </w:r>
      <w:r>
        <w:rPr>
          <w:b/>
        </w:rPr>
        <w:t> – Девушки/женщины в технических профессиях</w:t>
      </w:r>
      <w:r>
        <w:t>", которая проводится в средне-специальных школах и колледжах с 1998 года, преследует цель повысить информированность преподавательского состава, родителей и учащихся мужского и женского пола в вопросах генде</w:t>
      </w:r>
      <w:r>
        <w:t>р</w:t>
      </w:r>
      <w:r>
        <w:t>ного равенства, ликвидировать гендерные стереотипы и предрассудки и ус</w:t>
      </w:r>
      <w:r>
        <w:t>и</w:t>
      </w:r>
      <w:r>
        <w:t>лить позиции девушек (как меньшинства) в этих учебных заведениях. (Прин</w:t>
      </w:r>
      <w:r>
        <w:t>и</w:t>
      </w:r>
      <w:r>
        <w:t>маемые меры включают в себя информационные мероприятия, конкурсы пл</w:t>
      </w:r>
      <w:r>
        <w:t>а</w:t>
      </w:r>
      <w:r>
        <w:t>катов, информационные курсы, курсы по ораторскому мастерству и методам излож</w:t>
      </w:r>
      <w:r>
        <w:t>е</w:t>
      </w:r>
      <w:r>
        <w:t>ния материала и т.п.)</w:t>
      </w:r>
    </w:p>
    <w:p w:rsidR="00000000" w:rsidRDefault="00000000">
      <w:pPr>
        <w:pStyle w:val="SingleTxt"/>
      </w:pPr>
      <w:r>
        <w:tab/>
      </w:r>
      <w:r>
        <w:tab/>
        <w:t>Еще одним проектом, направленным на увеличение доли женщин среди представителей технических профессий, является проект "</w:t>
      </w:r>
      <w:r>
        <w:rPr>
          <w:b/>
          <w:lang w:val="en-US"/>
        </w:rPr>
        <w:t>FIT</w:t>
      </w:r>
      <w:r>
        <w:rPr>
          <w:b/>
        </w:rPr>
        <w:t> – женщины в технических профессиях</w:t>
      </w:r>
      <w:r>
        <w:t>" (информационно-просветительские курсы для 16-19-летних девушек). Этот проект в 2001 году был расширен и теперь осущес</w:t>
      </w:r>
      <w:r>
        <w:t>т</w:t>
      </w:r>
      <w:r>
        <w:t>вляется ежегодно в шести университетах. В рамках проекта консультационные услуги ежегодно оказываются 8-9 тысячам девушкам-учащимся средних школ. Цели проекта связаны с тем, чтобы информировать молодых женщин о техн</w:t>
      </w:r>
      <w:r>
        <w:t>и</w:t>
      </w:r>
      <w:r>
        <w:t>ческих курсах, открытых при высших учебных заведениях, привести для мол</w:t>
      </w:r>
      <w:r>
        <w:t>о</w:t>
      </w:r>
      <w:r>
        <w:t>дых женщин новые примеры для подражания с помощью контактов с женщ</w:t>
      </w:r>
      <w:r>
        <w:t>и</w:t>
      </w:r>
      <w:r>
        <w:t>нами, выбравшими для себя технические специальности, и помочь устранить барьеры, которые препятствуют приобретению девушками технических спец</w:t>
      </w:r>
      <w:r>
        <w:t>и</w:t>
      </w:r>
      <w:r>
        <w:t>альн</w:t>
      </w:r>
      <w:r>
        <w:t>о</w:t>
      </w:r>
      <w:r>
        <w:t>стей.</w:t>
      </w:r>
    </w:p>
    <w:p w:rsidR="00000000" w:rsidRDefault="00000000">
      <w:pPr>
        <w:pStyle w:val="SingleTxt"/>
      </w:pPr>
      <w:r>
        <w:tab/>
      </w:r>
      <w:r>
        <w:tab/>
        <w:t>Проект под названием "</w:t>
      </w:r>
      <w:r>
        <w:rPr>
          <w:b/>
          <w:lang w:val="en-US"/>
        </w:rPr>
        <w:t>READY</w:t>
      </w:r>
      <w:r>
        <w:t xml:space="preserve">" (предназначенный для девушек </w:t>
      </w:r>
      <w:r>
        <w:rPr>
          <w:lang w:val="en-US"/>
        </w:rPr>
        <w:t>VII</w:t>
      </w:r>
      <w:r>
        <w:t>-</w:t>
      </w:r>
      <w:r>
        <w:rPr>
          <w:lang w:val="en-US"/>
        </w:rPr>
        <w:t>IX</w:t>
      </w:r>
      <w:r>
        <w:t xml:space="preserve"> классов школы из сельских районах) включен в курс школьной професси</w:t>
      </w:r>
      <w:r>
        <w:t>о</w:t>
      </w:r>
      <w:r>
        <w:t>нальной ориентации и направлен на то, чтобы улучшить перспективы девушек на рынке труда, расширить спектр открытых для них профессий, помочь им в выборе б</w:t>
      </w:r>
      <w:r>
        <w:t>у</w:t>
      </w:r>
      <w:r>
        <w:t>дущей профессии и повысить их уверенность в собственных силах.</w:t>
      </w:r>
    </w:p>
    <w:p w:rsidR="00000000" w:rsidRDefault="00000000">
      <w:pPr>
        <w:pStyle w:val="SingleTxt"/>
      </w:pPr>
      <w:r>
        <w:tab/>
      </w:r>
      <w:r>
        <w:tab/>
        <w:t xml:space="preserve">Проект </w:t>
      </w:r>
      <w:r>
        <w:rPr>
          <w:b/>
        </w:rPr>
        <w:t>"</w:t>
      </w:r>
      <w:r>
        <w:rPr>
          <w:b/>
          <w:lang w:val="en-US"/>
        </w:rPr>
        <w:t>MUT</w:t>
      </w:r>
      <w:r>
        <w:rPr>
          <w:b/>
        </w:rPr>
        <w:t> – девушки и технология"</w:t>
      </w:r>
      <w:r>
        <w:t xml:space="preserve"> представляет собой крупн</w:t>
      </w:r>
      <w:r>
        <w:t>о</w:t>
      </w:r>
      <w:r>
        <w:t>масштабный проект, направленный на повышение шансов молодых женщин в перспективных профессиях (связанных с новой технологией или новыми сре</w:t>
      </w:r>
      <w:r>
        <w:t>д</w:t>
      </w:r>
      <w:r>
        <w:t>ствами информации) путем организации семинаров по ремесленному делу и использованию технологии. Меры, в частности, включают разработку новато</w:t>
      </w:r>
      <w:r>
        <w:t>р</w:t>
      </w:r>
      <w:r>
        <w:t>ских моделей, призванных стимулировать девушек к выбору технических пр</w:t>
      </w:r>
      <w:r>
        <w:t>о</w:t>
      </w:r>
      <w:r>
        <w:t>фессий, мероприятия по распространению информации среди сверстников, развитие сотрудничества с региональными общественными лидерами и пер</w:t>
      </w:r>
      <w:r>
        <w:t>е</w:t>
      </w:r>
      <w:r>
        <w:t>дачу технологии в процессе повышения квалификации учителей и в рамках школьного обучения. Долгосрочная цель состоит в том, чтобы повысить конк</w:t>
      </w:r>
      <w:r>
        <w:t>у</w:t>
      </w:r>
      <w:r>
        <w:t>рентоспособность австрийских предприятий за счет использования потенциала д</w:t>
      </w:r>
      <w:r>
        <w:t>е</w:t>
      </w:r>
      <w:r>
        <w:t>вушек и женщин.</w:t>
      </w:r>
    </w:p>
    <w:p w:rsidR="00000000" w:rsidRDefault="00000000">
      <w:pPr>
        <w:pStyle w:val="SingleTxt"/>
      </w:pPr>
      <w:r>
        <w:tab/>
      </w:r>
      <w:r>
        <w:tab/>
        <w:t>Другие мероприятия в области профессиональной ориентации включают оказание финансовой поддержки ассоциациям или инициативам, обеспеч</w:t>
      </w:r>
      <w:r>
        <w:t>и</w:t>
      </w:r>
      <w:r>
        <w:t>вающим услуги в сфере профессиональной ориентации с учетом половых ос</w:t>
      </w:r>
      <w:r>
        <w:t>о</w:t>
      </w:r>
      <w:r>
        <w:t>бенностей, курсы в области технологии, ремесленного дела или ИТ, и напра</w:t>
      </w:r>
      <w:r>
        <w:t>в</w:t>
      </w:r>
      <w:r>
        <w:t>лены на то, чтобы помешать девушкам выбирать профессию, диктуемую ге</w:t>
      </w:r>
      <w:r>
        <w:t>н</w:t>
      </w:r>
      <w:r>
        <w:t>дерными стереотипами и общественным мнением. С тем, чтобы проинформ</w:t>
      </w:r>
      <w:r>
        <w:t>и</w:t>
      </w:r>
      <w:r>
        <w:t>ровать как можно более широкие слои населения о данном проекте, соответс</w:t>
      </w:r>
      <w:r>
        <w:t>т</w:t>
      </w:r>
      <w:r>
        <w:t>вующие информационные материалы публикуются в печати, а для преподав</w:t>
      </w:r>
      <w:r>
        <w:t>а</w:t>
      </w:r>
      <w:r>
        <w:t>телей ежегодно проводятся учебные семинары.</w:t>
      </w:r>
    </w:p>
    <w:p w:rsidR="00000000" w:rsidRDefault="00000000">
      <w:pPr>
        <w:pStyle w:val="50"/>
      </w:pPr>
    </w:p>
    <w:p w:rsidR="00000000" w:rsidRDefault="00000000">
      <w:pPr>
        <w:pStyle w:val="50"/>
      </w:pPr>
    </w:p>
    <w:p w:rsidR="00000000" w:rsidRDefault="00000000">
      <w:pPr>
        <w:pStyle w:val="H4"/>
        <w:rPr>
          <w:b/>
          <w:i w:val="0"/>
        </w:rPr>
      </w:pPr>
      <w:r>
        <w:rPr>
          <w:b/>
          <w:i w:val="0"/>
        </w:rPr>
        <w:t>Инициативы провинций по улучшению положения девушек и женщин</w:t>
      </w:r>
    </w:p>
    <w:p w:rsidR="00000000" w:rsidRDefault="00000000">
      <w:pPr>
        <w:pStyle w:val="SingleTxt"/>
        <w:rPr>
          <w:u w:val="single"/>
        </w:rPr>
      </w:pPr>
      <w:r>
        <w:tab/>
      </w:r>
      <w:r>
        <w:tab/>
        <w:t xml:space="preserve">Проекты </w:t>
      </w:r>
      <w:r>
        <w:rPr>
          <w:lang w:val="en-US"/>
        </w:rPr>
        <w:t>MUT</w:t>
      </w:r>
      <w:r>
        <w:t xml:space="preserve">, </w:t>
      </w:r>
      <w:r>
        <w:rPr>
          <w:lang w:val="en-US"/>
        </w:rPr>
        <w:t>FIT</w:t>
      </w:r>
      <w:r>
        <w:t xml:space="preserve"> и </w:t>
      </w:r>
      <w:r>
        <w:rPr>
          <w:lang w:val="en-US"/>
        </w:rPr>
        <w:t>READY</w:t>
      </w:r>
      <w:r>
        <w:t xml:space="preserve"> также осуществляются в </w:t>
      </w:r>
      <w:r>
        <w:rPr>
          <w:b/>
        </w:rPr>
        <w:t>провинциях</w:t>
      </w:r>
      <w:r>
        <w:t xml:space="preserve">, и проект </w:t>
      </w:r>
      <w:r>
        <w:rPr>
          <w:lang w:val="en-US"/>
        </w:rPr>
        <w:t>MUT</w:t>
      </w:r>
      <w:r>
        <w:t xml:space="preserve"> координируется властями провинции Зальцбург. Кроме того, в провинциях ежегодно проводятся и будут и далее проводиться ежегодные дни под лозу</w:t>
      </w:r>
      <w:r>
        <w:t>н</w:t>
      </w:r>
      <w:r>
        <w:t>гом "Примите наших дочерей на работу" (</w:t>
      </w:r>
      <w:hyperlink r:id="rId23" w:history="1">
        <w:r>
          <w:rPr>
            <w:rStyle w:val="Hyperlink"/>
            <w:spacing w:val="-3"/>
            <w:lang w:val="en-US"/>
          </w:rPr>
          <w:t>www</w:t>
        </w:r>
        <w:r>
          <w:rPr>
            <w:rStyle w:val="Hyperlink"/>
            <w:spacing w:val="-3"/>
          </w:rPr>
          <w:t>.</w:t>
        </w:r>
        <w:r>
          <w:rPr>
            <w:rStyle w:val="Hyperlink"/>
            <w:spacing w:val="-3"/>
            <w:lang w:val="en-US"/>
          </w:rPr>
          <w:t>jobs</w:t>
        </w:r>
        <w:r>
          <w:rPr>
            <w:rStyle w:val="Hyperlink"/>
            <w:spacing w:val="-3"/>
          </w:rPr>
          <w:t>4</w:t>
        </w:r>
        <w:r>
          <w:rPr>
            <w:rStyle w:val="Hyperlink"/>
            <w:spacing w:val="-3"/>
            <w:lang w:val="en-US"/>
          </w:rPr>
          <w:t>girls</w:t>
        </w:r>
      </w:hyperlink>
      <w:r>
        <w:rPr>
          <w:u w:val="single"/>
        </w:rPr>
        <w:t xml:space="preserve">). </w:t>
      </w:r>
    </w:p>
    <w:p w:rsidR="00000000" w:rsidRDefault="00000000">
      <w:pPr>
        <w:pStyle w:val="50"/>
      </w:pPr>
    </w:p>
    <w:p w:rsidR="00000000" w:rsidRDefault="00000000">
      <w:pPr>
        <w:pStyle w:val="50"/>
      </w:pPr>
    </w:p>
    <w:p w:rsidR="00000000" w:rsidRDefault="00000000">
      <w:pPr>
        <w:pStyle w:val="H23"/>
      </w:pPr>
      <w:r>
        <w:tab/>
      </w:r>
      <w:bookmarkStart w:id="106" w:name="_Toc97786707"/>
      <w:r>
        <w:t>Принцип "целевого совместного обучения"</w:t>
      </w:r>
      <w:bookmarkEnd w:id="106"/>
    </w:p>
    <w:p w:rsidR="00000000" w:rsidRDefault="00000000">
      <w:pPr>
        <w:pStyle w:val="SingleTxt"/>
      </w:pPr>
      <w:r>
        <w:tab/>
      </w:r>
      <w:r>
        <w:tab/>
        <w:t xml:space="preserve">Принцип </w:t>
      </w:r>
      <w:r>
        <w:rPr>
          <w:b/>
        </w:rPr>
        <w:t>"целевого совместного обучения"</w:t>
      </w:r>
      <w:r>
        <w:t xml:space="preserve"> впервые был включен в программу обучения общеобразовательных средних школ (для </w:t>
      </w:r>
      <w:r>
        <w:rPr>
          <w:lang w:val="en-US"/>
        </w:rPr>
        <w:t>V</w:t>
      </w:r>
      <w:r>
        <w:t>-</w:t>
      </w:r>
      <w:r>
        <w:rPr>
          <w:lang w:val="en-US"/>
        </w:rPr>
        <w:t>VIII</w:t>
      </w:r>
      <w:r>
        <w:t xml:space="preserve"> классов) в 2000/2001 учебном году с целью побудить девочек и мальчиков отказаться от заранее предписанных им стереотипных ролей при планировании своей буд</w:t>
      </w:r>
      <w:r>
        <w:t>у</w:t>
      </w:r>
      <w:r>
        <w:t>щей жизни и картеры. Дидактические принципы этой новой программы обуч</w:t>
      </w:r>
      <w:r>
        <w:t>е</w:t>
      </w:r>
      <w:r>
        <w:t>ния построены на том, что "суть совместного обучения не ограничивается о</w:t>
      </w:r>
      <w:r>
        <w:t>д</w:t>
      </w:r>
      <w:r>
        <w:t>новременным обучением девочек и мальчиков. Такой вид обучения скорее по</w:t>
      </w:r>
      <w:r>
        <w:t>д</w:t>
      </w:r>
      <w:r>
        <w:t>разумевает сознательное преодоление гендерных стереотипов и предрассудков. Важно правильно выбрать предмет для изучения, который будет в равной мере интересен и для девочек, и для мальчиков, продумать уроки таким образом, чтобы они отвечали потребностям и девочек, и мальчиков, создать (учебную) среду взаимного уважения и подумать о результатах, которые хотел бы пол</w:t>
      </w:r>
      <w:r>
        <w:t>у</w:t>
      </w:r>
      <w:r>
        <w:t>чить учитель, и о его взаимодействии с девочками и мальчиками". В настоящее время перед школами поставлена задача активно содействовать обеспечению равных возможностей для девочек и мальчиков и разрабатывать соответству</w:t>
      </w:r>
      <w:r>
        <w:t>ю</w:t>
      </w:r>
      <w:r>
        <w:t>щие пр</w:t>
      </w:r>
      <w:r>
        <w:t>о</w:t>
      </w:r>
      <w:r>
        <w:t>граммы и курсы обучения.</w:t>
      </w:r>
    </w:p>
    <w:p w:rsidR="00000000" w:rsidRDefault="00000000">
      <w:pPr>
        <w:pStyle w:val="SingleTxt"/>
      </w:pPr>
      <w:r>
        <w:tab/>
      </w:r>
      <w:r>
        <w:tab/>
        <w:t xml:space="preserve">В качестве пособия по подготовке и оценке </w:t>
      </w:r>
      <w:r>
        <w:rPr>
          <w:b/>
        </w:rPr>
        <w:t>школьных учебников, уче</w:t>
      </w:r>
      <w:r>
        <w:rPr>
          <w:b/>
        </w:rPr>
        <w:t>б</w:t>
      </w:r>
      <w:r>
        <w:rPr>
          <w:b/>
        </w:rPr>
        <w:t>ных фильмов и других дидактических материалов</w:t>
      </w:r>
      <w:r>
        <w:t xml:space="preserve"> в 1999 году было опу</w:t>
      </w:r>
      <w:r>
        <w:t>б</w:t>
      </w:r>
      <w:r>
        <w:t>ликовано "Руководство по способам изображения женщин и мужчин в дида</w:t>
      </w:r>
      <w:r>
        <w:t>к</w:t>
      </w:r>
      <w:r>
        <w:t>тических материалах", которое было распространено среди авторов и изд</w:t>
      </w:r>
      <w:r>
        <w:t>а</w:t>
      </w:r>
      <w:r>
        <w:t>тельств. В настоящее время доля женщин в составе групп экспертов, которые занимаются оценкой содержания школьных учебников и регулярно обращают внимание на вопросы гендерного равенства, составляет 43 процента. Для того, чтобы ознакомить девушек с гендерной проблематикой и помочь им в выборе нетрадиционных профессий, были опубликованы специальные информацио</w:t>
      </w:r>
      <w:r>
        <w:t>н</w:t>
      </w:r>
      <w:r>
        <w:t>ные брош</w:t>
      </w:r>
      <w:r>
        <w:t>ю</w:t>
      </w:r>
      <w:r>
        <w:t>ры (см. приложение 1).</w:t>
      </w:r>
    </w:p>
    <w:p w:rsidR="00000000" w:rsidRDefault="00000000">
      <w:pPr>
        <w:pStyle w:val="50"/>
      </w:pPr>
    </w:p>
    <w:p w:rsidR="00000000" w:rsidRDefault="00000000">
      <w:pPr>
        <w:pStyle w:val="50"/>
      </w:pPr>
    </w:p>
    <w:p w:rsidR="00000000" w:rsidRDefault="00000000">
      <w:pPr>
        <w:pStyle w:val="H23"/>
      </w:pPr>
      <w:r>
        <w:tab/>
      </w:r>
      <w:bookmarkStart w:id="107" w:name="_Toc97786708"/>
      <w:r>
        <w:rPr>
          <w:lang w:val="en-US"/>
        </w:rPr>
        <w:t>FFORTE</w:t>
      </w:r>
      <w:r>
        <w:t> – Женщины в области исследований и технологии</w:t>
      </w:r>
      <w:bookmarkEnd w:id="107"/>
    </w:p>
    <w:p w:rsidR="00000000" w:rsidRDefault="00000000">
      <w:pPr>
        <w:pStyle w:val="SingleTxt"/>
      </w:pPr>
      <w:r>
        <w:tab/>
      </w:r>
      <w:r>
        <w:tab/>
        <w:t xml:space="preserve">В 2002 году особое внимание также было уделено сфере </w:t>
      </w:r>
      <w:r>
        <w:rPr>
          <w:b/>
        </w:rPr>
        <w:t>исследований и технологии</w:t>
      </w:r>
      <w:r>
        <w:t xml:space="preserve">. Женщины по-прежнему недостаточно широко представлены в этой важной и перспективной сфере трудовой деятельности. С этой целью по рекомендации Совета по научным исследованиям и техническим разработкам была организована программа </w:t>
      </w:r>
      <w:r>
        <w:rPr>
          <w:lang w:val="en-US"/>
        </w:rPr>
        <w:t>fFORTE</w:t>
      </w:r>
      <w:r>
        <w:t>, представляющая собой совместную инициативу Федерального министерства образования, науки и культуры и Ф</w:t>
      </w:r>
      <w:r>
        <w:t>е</w:t>
      </w:r>
      <w:r>
        <w:t>дерального министерства транспорта, инноваций и технологии, направленную на оказ</w:t>
      </w:r>
      <w:r>
        <w:t>а</w:t>
      </w:r>
      <w:r>
        <w:t>ние женщинам поддержки в области исследований и технологии.</w:t>
      </w:r>
    </w:p>
    <w:p w:rsidR="00000000" w:rsidRDefault="00000000">
      <w:pPr>
        <w:pStyle w:val="SingleTxt"/>
      </w:pPr>
      <w:r>
        <w:tab/>
      </w:r>
      <w:r>
        <w:tab/>
      </w:r>
      <w:r>
        <w:rPr>
          <w:lang w:val="en-US"/>
        </w:rPr>
        <w:t>fFORTE</w:t>
      </w:r>
      <w:r>
        <w:t xml:space="preserve"> является всеобъемлющей программой, которая обеспечивает женщинам поддержку в области естественных наук и техники и финансируется совместно с Европейским социальным фондом. Эта программа будет осущес</w:t>
      </w:r>
      <w:r>
        <w:t>т</w:t>
      </w:r>
      <w:r>
        <w:t>вляться с 2002 по 2006 год. Ее цель состоит в том, чтобы облегчить доступ женщин к обучению и подготовке в области естественных наук и технологии, помочь женщинам в выборе профессий, связанных с естественными науками и техникой, и расширить возможности женщин в продвижении по службе в о</w:t>
      </w:r>
      <w:r>
        <w:t>б</w:t>
      </w:r>
      <w:r>
        <w:t>ласти науки и технологии, сделать финансирование и инфраструктуру исслед</w:t>
      </w:r>
      <w:r>
        <w:t>о</w:t>
      </w:r>
      <w:r>
        <w:t>ваний более доступными для женщин, повысить осведомленность ключевых действующих лиц о гендерных вопросах и провести сопутствующие исслед</w:t>
      </w:r>
      <w:r>
        <w:t>о</w:t>
      </w:r>
      <w:r>
        <w:t>вания и осуществить программу междисциплинарных иссл</w:t>
      </w:r>
      <w:r>
        <w:t>е</w:t>
      </w:r>
      <w:r>
        <w:t>дований.</w:t>
      </w:r>
    </w:p>
    <w:p w:rsidR="00000000" w:rsidRDefault="00000000">
      <w:pPr>
        <w:pStyle w:val="SingleTxt"/>
      </w:pPr>
      <w:r>
        <w:tab/>
      </w:r>
      <w:r>
        <w:tab/>
        <w:t>Программа включает в себя проведение учебно-просветительских мер</w:t>
      </w:r>
      <w:r>
        <w:t>о</w:t>
      </w:r>
      <w:r>
        <w:t>приятий и предусматривает проведения связанных с этим исследований в ц</w:t>
      </w:r>
      <w:r>
        <w:t>е</w:t>
      </w:r>
      <w:r>
        <w:t>лях разработки устойчивой политики обеспечения равенства между мужчин</w:t>
      </w:r>
      <w:r>
        <w:t>а</w:t>
      </w:r>
      <w:r>
        <w:t>ми и женщинами, а также социальных и культурных научных исследований по проблемам равноправия и технологии ("Гендерные ИТ! – какова связь между технологией и гендерной проблематикой"). Кроме того, в рамках этой пр</w:t>
      </w:r>
      <w:r>
        <w:t>о</w:t>
      </w:r>
      <w:r>
        <w:t>граммы исследований будут проведены специальные учебные сессии и прис</w:t>
      </w:r>
      <w:r>
        <w:t>у</w:t>
      </w:r>
      <w:r>
        <w:t>ждены стипендии в различных областях для дальнейшего совершенствования навыков молодых ученых.</w:t>
      </w:r>
    </w:p>
    <w:p w:rsidR="00000000" w:rsidRDefault="00000000">
      <w:pPr>
        <w:pStyle w:val="50"/>
      </w:pPr>
    </w:p>
    <w:p w:rsidR="00000000" w:rsidRDefault="00000000">
      <w:pPr>
        <w:pStyle w:val="50"/>
      </w:pPr>
    </w:p>
    <w:p w:rsidR="00000000" w:rsidRDefault="00000000">
      <w:pPr>
        <w:pStyle w:val="H4"/>
        <w:ind w:left="1264" w:firstLine="0"/>
        <w:rPr>
          <w:b/>
          <w:i w:val="0"/>
        </w:rPr>
      </w:pPr>
      <w:r>
        <w:rPr>
          <w:b/>
          <w:i w:val="0"/>
        </w:rPr>
        <w:t>Пакет мер, образующих технологическую программу для женщин, которая осуществлялась в 1999 и 2000 годах, и последующий технологический проект для женщин</w:t>
      </w:r>
    </w:p>
    <w:p w:rsidR="00000000" w:rsidRDefault="00000000">
      <w:pPr>
        <w:pStyle w:val="SingleTxt"/>
      </w:pPr>
      <w:r>
        <w:tab/>
      </w:r>
      <w:r>
        <w:tab/>
        <w:t>"Технологическая программа для женщин" представляла собой экспер</w:t>
      </w:r>
      <w:r>
        <w:t>и</w:t>
      </w:r>
      <w:r>
        <w:t>ментальную программу, которая осуществлялась в 1999 году при содействии Федерального министерства по делам женщин, Федерального министерства по экономическим вопросам и вопросам труда, властей провинции Каринтия и муниципалитета города Виллаха. После ее завершения Центру научных иссл</w:t>
      </w:r>
      <w:r>
        <w:t>е</w:t>
      </w:r>
      <w:r>
        <w:t>дований в области технологии, труда и культуры и университету г. Граца было поручено провести исследование под названием "Пакет мер, образующих те</w:t>
      </w:r>
      <w:r>
        <w:t>х</w:t>
      </w:r>
      <w:r>
        <w:t>нологическую программу для женщин". В сотрудничестве с учебными завед</w:t>
      </w:r>
      <w:r>
        <w:t>е</w:t>
      </w:r>
      <w:r>
        <w:t>ниями и предприятиями в регионе Виллаха было проведено тематическое и</w:t>
      </w:r>
      <w:r>
        <w:t>с</w:t>
      </w:r>
      <w:r>
        <w:t>следование рамочных условий, в результате которого был подготовлен спр</w:t>
      </w:r>
      <w:r>
        <w:t>а</w:t>
      </w:r>
      <w:r>
        <w:t>вочник, в который были включены различные предложения и практические принципы осуществления мер, призванных повысить долю женщин в средних профессионально-технических училищах и технических колледжах, полите</w:t>
      </w:r>
      <w:r>
        <w:t>х</w:t>
      </w:r>
      <w:r>
        <w:t>нических колледжах и среди представителей высококвалифицированных те</w:t>
      </w:r>
      <w:r>
        <w:t>х</w:t>
      </w:r>
      <w:r>
        <w:t>нических профессий в других регионах Австрии. Результаты этого научного исследования были пре</w:t>
      </w:r>
      <w:r>
        <w:t>д</w:t>
      </w:r>
      <w:r>
        <w:t>ставлены весной 2000 года.</w:t>
      </w:r>
    </w:p>
    <w:p w:rsidR="00000000" w:rsidRDefault="00000000">
      <w:pPr>
        <w:pStyle w:val="SingleTxt"/>
      </w:pPr>
      <w:r>
        <w:tab/>
      </w:r>
      <w:r>
        <w:tab/>
        <w:t>В целях расширения и углубления данного проекта был организован п</w:t>
      </w:r>
      <w:r>
        <w:t>о</w:t>
      </w:r>
      <w:r>
        <w:t>следующий проект по теме "Женщины и новые технологии" (который заве</w:t>
      </w:r>
      <w:r>
        <w:t>р</w:t>
      </w:r>
      <w:r>
        <w:t>шился в декабре 2003 года). Этот проект был сосредоточен на разработке и реализации мер, направленных на повышение доли женщин в сфере новых технологий (в частности ИТ) с помощью ряда экспериментальных проектов, осуществляемых в сотрудничестве с отобранными предприятиями-партнерами. Женщины должны были получить возможность воспользоваться возможност</w:t>
      </w:r>
      <w:r>
        <w:t>я</w:t>
      </w:r>
      <w:r>
        <w:t>ми, предоставляемыми ИТ в плане увеличения доходов, повышения мобильн</w:t>
      </w:r>
      <w:r>
        <w:t>о</w:t>
      </w:r>
      <w:r>
        <w:t>сти и лучшего планирования своей карьеры.</w:t>
      </w:r>
    </w:p>
    <w:p w:rsidR="00000000" w:rsidRDefault="00000000">
      <w:pPr>
        <w:pStyle w:val="50"/>
      </w:pPr>
    </w:p>
    <w:p w:rsidR="00000000" w:rsidRDefault="00000000">
      <w:pPr>
        <w:pStyle w:val="50"/>
      </w:pPr>
    </w:p>
    <w:p w:rsidR="00000000" w:rsidRDefault="00000000">
      <w:pPr>
        <w:pStyle w:val="H23"/>
      </w:pPr>
      <w:r>
        <w:tab/>
      </w:r>
      <w:bookmarkStart w:id="108" w:name="_Toc97786709"/>
      <w:r>
        <w:t>Исследования гендерной проблематики</w:t>
      </w:r>
      <w:bookmarkEnd w:id="108"/>
    </w:p>
    <w:p w:rsidR="00000000" w:rsidRDefault="00000000">
      <w:pPr>
        <w:pStyle w:val="SingleTxt"/>
      </w:pPr>
      <w:r>
        <w:tab/>
      </w:r>
      <w:r>
        <w:tab/>
        <w:t>На основании Закона об университетском образовании 1997 года генде</w:t>
      </w:r>
      <w:r>
        <w:t>р</w:t>
      </w:r>
      <w:r>
        <w:t>ные исследования и/или исследования гендерной и женской проблематики б</w:t>
      </w:r>
      <w:r>
        <w:t>ы</w:t>
      </w:r>
      <w:r>
        <w:t>ли включены в программы обучения университетов по всей территории Авс</w:t>
      </w:r>
      <w:r>
        <w:t>т</w:t>
      </w:r>
      <w:r>
        <w:t>рии. В настоящее время гендерные исследования проводятся в качестве ф</w:t>
      </w:r>
      <w:r>
        <w:t>а</w:t>
      </w:r>
      <w:r>
        <w:t>культативного курса во всех университетах страны (за исключением "</w:t>
      </w:r>
      <w:r>
        <w:rPr>
          <w:lang w:val="en-US"/>
        </w:rPr>
        <w:t>Mont</w:t>
      </w:r>
      <w:r>
        <w:rPr>
          <w:lang w:val="en-US"/>
        </w:rPr>
        <w:t>a</w:t>
      </w:r>
      <w:r>
        <w:rPr>
          <w:lang w:val="en-US"/>
        </w:rPr>
        <w:t>nuniversit</w:t>
      </w:r>
      <w:r>
        <w:t>ä</w:t>
      </w:r>
      <w:r>
        <w:rPr>
          <w:lang w:val="en-US"/>
        </w:rPr>
        <w:t>t</w:t>
      </w:r>
      <w:r>
        <w:t xml:space="preserve"> </w:t>
      </w:r>
      <w:r>
        <w:rPr>
          <w:lang w:val="en-US"/>
        </w:rPr>
        <w:t>Leoben</w:t>
      </w:r>
      <w:r>
        <w:t>" – университета горного дела, металлургии и материалов, расположенного в Леобене). Координационные центры по проведению иссл</w:t>
      </w:r>
      <w:r>
        <w:t>е</w:t>
      </w:r>
      <w:r>
        <w:t>дований гендерной и женской проблематики в отдельных университетах зан</w:t>
      </w:r>
      <w:r>
        <w:t>и</w:t>
      </w:r>
      <w:r>
        <w:t>маются координацией и организацией конкретных курсов обучения и исслед</w:t>
      </w:r>
      <w:r>
        <w:t>о</w:t>
      </w:r>
      <w:r>
        <w:t>ваний по женской проблематике. В 2001 году при университете в Линце был открыт первый Институт исследований гендерной и женской проблематики. В 2002 году при Зальцбургском университете был образован Институт исслед</w:t>
      </w:r>
      <w:r>
        <w:t>о</w:t>
      </w:r>
      <w:r>
        <w:t>ваний гендерной и женской проблематики "</w:t>
      </w:r>
      <w:r>
        <w:rPr>
          <w:lang w:val="en-US"/>
        </w:rPr>
        <w:t>Gend</w:t>
      </w:r>
      <w:r>
        <w:t xml:space="preserve"> </w:t>
      </w:r>
      <w:r>
        <w:rPr>
          <w:lang w:val="en-US"/>
        </w:rPr>
        <w:t>up</w:t>
      </w:r>
      <w:r>
        <w:t>". Каждый семестр в инст</w:t>
      </w:r>
      <w:r>
        <w:t>и</w:t>
      </w:r>
      <w:r>
        <w:t>туте читается курс лекций по женской проблематике.</w:t>
      </w:r>
    </w:p>
    <w:p w:rsidR="00000000" w:rsidRDefault="00000000">
      <w:pPr>
        <w:pStyle w:val="SingleTxt"/>
      </w:pPr>
      <w:r>
        <w:tab/>
      </w:r>
      <w:r>
        <w:tab/>
        <w:t>Кроме того, в различных австрийских университетах силами приглаша</w:t>
      </w:r>
      <w:r>
        <w:t>е</w:t>
      </w:r>
      <w:r>
        <w:t>мых специалистов проводятся различные тематические исследования генде</w:t>
      </w:r>
      <w:r>
        <w:t>р</w:t>
      </w:r>
      <w:r>
        <w:t xml:space="preserve">ной и женской проблематики. </w:t>
      </w:r>
    </w:p>
    <w:p w:rsidR="00000000" w:rsidRDefault="00000000">
      <w:pPr>
        <w:pStyle w:val="SingleTxt"/>
      </w:pPr>
      <w:r>
        <w:tab/>
      </w:r>
      <w:r>
        <w:tab/>
        <w:t>В 2000 году в Венском университете был введен преддипломный курс по гендерным исследованиям, что положительно сказалось на проведении иссл</w:t>
      </w:r>
      <w:r>
        <w:t>е</w:t>
      </w:r>
      <w:r>
        <w:t>дований и подготовке специалистов по гендерной проблематике. Этот курс ч</w:t>
      </w:r>
      <w:r>
        <w:t>и</w:t>
      </w:r>
      <w:r>
        <w:t>тается отдельной кафедрой, занимающейся междисциплинарными вопросами, и его посещают студенты, которые пишут диссертации и курсовые работы по темам междисциплинарных исследований. Венский университет экономики включил в свою учебную программу новый предмет под названием "Гендерная пробл</w:t>
      </w:r>
      <w:r>
        <w:t>е</w:t>
      </w:r>
      <w:r>
        <w:t>матика и разнообразие в организациях".</w:t>
      </w:r>
    </w:p>
    <w:p w:rsidR="00000000" w:rsidRDefault="00000000">
      <w:pPr>
        <w:pStyle w:val="50"/>
      </w:pPr>
    </w:p>
    <w:p w:rsidR="00000000" w:rsidRDefault="00000000">
      <w:pPr>
        <w:pStyle w:val="50"/>
      </w:pPr>
    </w:p>
    <w:p w:rsidR="00000000" w:rsidRDefault="00000000">
      <w:pPr>
        <w:pStyle w:val="H23"/>
      </w:pPr>
      <w:r>
        <w:tab/>
      </w:r>
      <w:bookmarkStart w:id="109" w:name="_Toc97786710"/>
      <w:r>
        <w:t>Улучшение положения женщин в сфере научно-исследовательской деятельности</w:t>
      </w:r>
      <w:bookmarkEnd w:id="109"/>
    </w:p>
    <w:p w:rsidR="00000000" w:rsidRDefault="00000000">
      <w:pPr>
        <w:pStyle w:val="SingleTxt"/>
      </w:pPr>
      <w:r>
        <w:tab/>
      </w:r>
      <w:r>
        <w:tab/>
        <w:t>Опубликованная в 1999 году "Белая книга по улучшению положения женщин" представляет собой программный документ, который был подгото</w:t>
      </w:r>
      <w:r>
        <w:t>в</w:t>
      </w:r>
      <w:r>
        <w:t>лен федеральным министерством и включал в себя 25 предложений о конкре</w:t>
      </w:r>
      <w:r>
        <w:t>т</w:t>
      </w:r>
      <w:r>
        <w:t>ных мерах, касающихся научных исследований, улучшения положения женщин в области науки и искусства, так называемых смежных вопросов (таких как распределение средств в университетах и финансирование исследовательской деятельности), ухода за детьми, создание сетей, объединяющих университеты и неуниверситетские научные круги, улучшения качества обслуживания и, н</w:t>
      </w:r>
      <w:r>
        <w:t>а</w:t>
      </w:r>
      <w:r>
        <w:t>конец, содействия проведению исследований по гендерной и женской пробл</w:t>
      </w:r>
      <w:r>
        <w:t>е</w:t>
      </w:r>
      <w:r>
        <w:t>матике (см. также рекомендацию 240).</w:t>
      </w:r>
    </w:p>
    <w:p w:rsidR="00000000" w:rsidRDefault="00000000">
      <w:pPr>
        <w:pStyle w:val="SingleTxt"/>
      </w:pPr>
      <w:r>
        <w:tab/>
      </w:r>
      <w:r>
        <w:tab/>
        <w:t>Далее перечислены некоторые из основных мер, принятых за отчетный период.</w:t>
      </w:r>
    </w:p>
    <w:p w:rsidR="00000000" w:rsidRDefault="00000000">
      <w:pPr>
        <w:pStyle w:val="50"/>
      </w:pPr>
    </w:p>
    <w:p w:rsidR="00000000" w:rsidRDefault="00000000">
      <w:pPr>
        <w:pStyle w:val="50"/>
      </w:pPr>
    </w:p>
    <w:p w:rsidR="00000000" w:rsidRDefault="00000000">
      <w:pPr>
        <w:pStyle w:val="H4"/>
      </w:pPr>
      <w:r>
        <w:rPr>
          <w:b/>
          <w:i w:val="0"/>
        </w:rPr>
        <w:t>1</w:t>
      </w:r>
      <w:r>
        <w:t>.</w:t>
      </w:r>
      <w:r>
        <w:tab/>
      </w:r>
      <w:r>
        <w:rPr>
          <w:b/>
          <w:i w:val="0"/>
        </w:rPr>
        <w:t>Структурные меры</w:t>
      </w:r>
    </w:p>
    <w:p w:rsidR="00000000" w:rsidRDefault="00000000">
      <w:pPr>
        <w:pStyle w:val="SingleTxt"/>
      </w:pPr>
      <w:r>
        <w:tab/>
      </w:r>
      <w:r>
        <w:tab/>
        <w:t>За отчетный период при всех университетах были созданы координац</w:t>
      </w:r>
      <w:r>
        <w:t>и</w:t>
      </w:r>
      <w:r>
        <w:t>онные центры по исследованиям гендерной и женской проблематики, которые за это время превратились в стабильные высшие учебные заведения. На них возложены задачи, связанные с осуществлением работы в интересах женщин в университетах, координацией гендерных исследований и проведением ко</w:t>
      </w:r>
      <w:r>
        <w:t>н</w:t>
      </w:r>
      <w:r>
        <w:t>сультаций для студентов и женщин-ученых по всем вопросам исследований и обучения, касающимся женской пр</w:t>
      </w:r>
      <w:r>
        <w:t>о</w:t>
      </w:r>
      <w:r>
        <w:t>блематики.</w:t>
      </w:r>
    </w:p>
    <w:p w:rsidR="00000000" w:rsidRDefault="00000000">
      <w:pPr>
        <w:pStyle w:val="50"/>
      </w:pPr>
    </w:p>
    <w:p w:rsidR="00000000" w:rsidRDefault="00000000">
      <w:pPr>
        <w:pStyle w:val="50"/>
      </w:pPr>
    </w:p>
    <w:p w:rsidR="00000000" w:rsidRDefault="00000000">
      <w:pPr>
        <w:pStyle w:val="H4"/>
        <w:rPr>
          <w:b/>
          <w:i w:val="0"/>
        </w:rPr>
      </w:pPr>
      <w:r>
        <w:rPr>
          <w:b/>
          <w:i w:val="0"/>
        </w:rPr>
        <w:t>2.</w:t>
      </w:r>
      <w:r>
        <w:rPr>
          <w:b/>
          <w:i w:val="0"/>
        </w:rPr>
        <w:tab/>
        <w:t>Меры, способствующие совмещению производственных и семейных обязанностей</w:t>
      </w:r>
    </w:p>
    <w:p w:rsidR="00000000" w:rsidRDefault="00000000">
      <w:pPr>
        <w:pStyle w:val="SingleTxt"/>
      </w:pPr>
      <w:r>
        <w:tab/>
      </w:r>
      <w:r>
        <w:tab/>
        <w:t>За отчетный период в четырех австрийских университетах (в Граце, Вене, Линце и Зальцбурге) были открыты "контактные центры по уходу за детьми", которые занимаются оказанием информационных и консультационных услуг и ведут поиск свободных мест для ухода за детьми. Кроме того, был создан о</w:t>
      </w:r>
      <w:r>
        <w:t>б</w:t>
      </w:r>
      <w:r>
        <w:t xml:space="preserve">щенациональный веб-сайт по вопросам ухода за детьми по адресу </w:t>
      </w:r>
      <w:hyperlink r:id="rId24" w:history="1">
        <w:r>
          <w:rPr>
            <w:rStyle w:val="Hyperlink"/>
            <w:lang w:val="en-US"/>
          </w:rPr>
          <w:t>www</w:t>
        </w:r>
        <w:r>
          <w:rPr>
            <w:rStyle w:val="Hyperlink"/>
          </w:rPr>
          <w:t>.</w:t>
        </w:r>
        <w:r>
          <w:rPr>
            <w:rStyle w:val="Hyperlink"/>
            <w:lang w:val="en-US"/>
          </w:rPr>
          <w:t>unikid</w:t>
        </w:r>
        <w:r>
          <w:rPr>
            <w:rStyle w:val="Hyperlink"/>
          </w:rPr>
          <w:t>.</w:t>
        </w:r>
        <w:r>
          <w:rPr>
            <w:rStyle w:val="Hyperlink"/>
            <w:lang w:val="en-US"/>
          </w:rPr>
          <w:t>at</w:t>
        </w:r>
      </w:hyperlink>
      <w:r>
        <w:t xml:space="preserve">. </w:t>
      </w:r>
    </w:p>
    <w:p w:rsidR="00000000" w:rsidRDefault="00000000">
      <w:pPr>
        <w:pStyle w:val="50"/>
      </w:pPr>
    </w:p>
    <w:p w:rsidR="00000000" w:rsidRDefault="00000000">
      <w:pPr>
        <w:pStyle w:val="50"/>
      </w:pPr>
    </w:p>
    <w:p w:rsidR="00000000" w:rsidRDefault="00000000">
      <w:pPr>
        <w:pStyle w:val="H4"/>
        <w:rPr>
          <w:b/>
          <w:i w:val="0"/>
        </w:rPr>
      </w:pPr>
      <w:r>
        <w:rPr>
          <w:b/>
          <w:i w:val="0"/>
        </w:rPr>
        <w:t>3.</w:t>
      </w:r>
      <w:r>
        <w:rPr>
          <w:b/>
          <w:i w:val="0"/>
        </w:rPr>
        <w:tab/>
        <w:t>Меры по повышению квалификации</w:t>
      </w:r>
    </w:p>
    <w:p w:rsidR="00000000" w:rsidRDefault="00000000">
      <w:pPr>
        <w:pStyle w:val="SingleTxt"/>
      </w:pPr>
      <w:r>
        <w:tab/>
      </w:r>
      <w:r>
        <w:tab/>
        <w:t>За отчетный период существующие меры по повышению квалификации граждан, желающих продолжить научную карьеру, были расширены, и был принят ряд новых мер.</w:t>
      </w:r>
    </w:p>
    <w:p w:rsidR="00000000" w:rsidRDefault="00000000">
      <w:pPr>
        <w:pStyle w:val="SingleTxt"/>
      </w:pPr>
      <w:r>
        <w:tab/>
      </w:r>
      <w:r>
        <w:tab/>
        <w:t>В 1988 году была организована "</w:t>
      </w:r>
      <w:r>
        <w:rPr>
          <w:b/>
        </w:rPr>
        <w:t>программа им. Герты Фирнберг</w:t>
      </w:r>
      <w:r>
        <w:t>", н</w:t>
      </w:r>
      <w:r>
        <w:t>а</w:t>
      </w:r>
      <w:r>
        <w:t>правленная на включение квалифицированных женщин-ученых в научный и преподавательский штат университетов. В 2003 году Федеральное министерс</w:t>
      </w:r>
      <w:r>
        <w:t>т</w:t>
      </w:r>
      <w:r>
        <w:t>во образования, науки и культуры выделило средства для финансирования д</w:t>
      </w:r>
      <w:r>
        <w:t>е</w:t>
      </w:r>
      <w:r>
        <w:t>сяти новых должностей в год, каждая из которых будет субсидироваться в т</w:t>
      </w:r>
      <w:r>
        <w:t>е</w:t>
      </w:r>
      <w:r>
        <w:t>чение 3 лет (100-процентное увеличение). За отчетный период была учреждена в о</w:t>
      </w:r>
      <w:r>
        <w:t>б</w:t>
      </w:r>
      <w:r>
        <w:t xml:space="preserve">щей сложности 51 должность. </w:t>
      </w:r>
    </w:p>
    <w:p w:rsidR="00000000" w:rsidRDefault="00000000">
      <w:pPr>
        <w:pStyle w:val="SingleTxt"/>
      </w:pPr>
      <w:r>
        <w:tab/>
      </w:r>
      <w:r>
        <w:tab/>
        <w:t>"</w:t>
      </w:r>
      <w:r>
        <w:rPr>
          <w:b/>
        </w:rPr>
        <w:t>Программа им. Шарлотт Бюхлер</w:t>
      </w:r>
      <w:r>
        <w:t>" и пост-докторантская программа под названием"</w:t>
      </w:r>
      <w:r>
        <w:rPr>
          <w:b/>
          <w:lang w:val="en-US"/>
        </w:rPr>
        <w:t>APART</w:t>
      </w:r>
      <w:r>
        <w:rPr>
          <w:b/>
        </w:rPr>
        <w:t> – австрийская программа передовых исследований и технологии</w:t>
      </w:r>
      <w:r>
        <w:t>" направлены на содействие проведению пост-докторантских и</w:t>
      </w:r>
      <w:r>
        <w:t>с</w:t>
      </w:r>
      <w:r>
        <w:t xml:space="preserve">следований и действуют в течение десяти лет. За рассматриваемый период в рамках Программы им. Шарлотт Бюхлер была присуждена 51 стипендия, а в рамках программы </w:t>
      </w:r>
      <w:r>
        <w:rPr>
          <w:lang w:val="en-US"/>
        </w:rPr>
        <w:t>APART</w:t>
      </w:r>
      <w:r>
        <w:t xml:space="preserve"> женщ</w:t>
      </w:r>
      <w:r>
        <w:t>и</w:t>
      </w:r>
      <w:r>
        <w:t>нам была выделена 21 должность.</w:t>
      </w:r>
    </w:p>
    <w:p w:rsidR="00000000" w:rsidRDefault="00000000">
      <w:pPr>
        <w:pStyle w:val="SingleTxt"/>
      </w:pPr>
      <w:r>
        <w:tab/>
      </w:r>
      <w:r>
        <w:tab/>
        <w:t xml:space="preserve">В отчетный период была организована </w:t>
      </w:r>
      <w:r>
        <w:rPr>
          <w:b/>
        </w:rPr>
        <w:t xml:space="preserve">дополнительная программа </w:t>
      </w:r>
      <w:r>
        <w:rPr>
          <w:b/>
          <w:lang w:val="en-US"/>
        </w:rPr>
        <w:t>APART</w:t>
      </w:r>
      <w:r>
        <w:t>, предназначенная для женщин-ученых, имеющих степень докторов н</w:t>
      </w:r>
      <w:r>
        <w:t>а</w:t>
      </w:r>
      <w:r>
        <w:t>ук и опыт исследовательской деятельности, которые были вынуждены сделать перерыв в своей карьере для выполнения родительских функций, или для же</w:t>
      </w:r>
      <w:r>
        <w:t>н</w:t>
      </w:r>
      <w:r>
        <w:t>щин-ученых, занявшихся альтернативной преподавательской деятельностью. Конкретной целевой аудиторией данной программы являются женщины, не имеющие права на получение грантов на исследовательскую деятельность на обычных условиях (возрастной ценз для лиц, пишущих пост-докторантские диссертации, установлен на уровне 35 лет, а для лиц, обладающих пост-докторантской квалификацией – 40 лет) из-за того, что они создали семью и занимались воспитанием детей. Пока трехлетние гранты по этой программе были выделены пятерым гражданам, четверо из которых были женщинами.</w:t>
      </w:r>
    </w:p>
    <w:p w:rsidR="00000000" w:rsidRDefault="00000000">
      <w:pPr>
        <w:pStyle w:val="SingleTxt"/>
      </w:pPr>
      <w:r>
        <w:tab/>
      </w:r>
      <w:r>
        <w:tab/>
        <w:t>В 2003 году была организована новая программы "</w:t>
      </w:r>
      <w:r>
        <w:rPr>
          <w:b/>
          <w:lang w:val="en-US"/>
        </w:rPr>
        <w:t>DOC</w:t>
      </w:r>
      <w:r>
        <w:rPr>
          <w:b/>
        </w:rPr>
        <w:t>-</w:t>
      </w:r>
      <w:r>
        <w:rPr>
          <w:b/>
          <w:lang w:val="en-US"/>
        </w:rPr>
        <w:t>fFORTE</w:t>
      </w:r>
      <w:r>
        <w:t>", кот</w:t>
      </w:r>
      <w:r>
        <w:t>о</w:t>
      </w:r>
      <w:r>
        <w:t>рая была конкретно ориентирована на молодых ученых-женщин, занимающи</w:t>
      </w:r>
      <w:r>
        <w:t>х</w:t>
      </w:r>
      <w:r>
        <w:t xml:space="preserve">ся проблемами технологии, естественных наук, медицины, естествознания и математики (см. также программу </w:t>
      </w:r>
      <w:r>
        <w:rPr>
          <w:lang w:val="en-US"/>
        </w:rPr>
        <w:t>fFORTE</w:t>
      </w:r>
      <w:r>
        <w:t>). К целевой группе относятся выс</w:t>
      </w:r>
      <w:r>
        <w:t>о</w:t>
      </w:r>
      <w:r>
        <w:t>коквалифицированные выпускники, готовящие докторские диссертации по проблемам технологии и естественных наук, выпускники, готовящие диссерт</w:t>
      </w:r>
      <w:r>
        <w:t>а</w:t>
      </w:r>
      <w:r>
        <w:t>ции по вопросам естествознания и математики, а также студентки, получа</w:t>
      </w:r>
      <w:r>
        <w:t>ю</w:t>
      </w:r>
      <w:r>
        <w:t>щие гранты и достигшие третьего курса программы обучения по медицине. В настоящее время в ра</w:t>
      </w:r>
      <w:r>
        <w:t>м</w:t>
      </w:r>
      <w:r>
        <w:t>ках этой программы присуждается пять стипендий.</w:t>
      </w:r>
    </w:p>
    <w:p w:rsidR="00000000" w:rsidRDefault="00000000">
      <w:pPr>
        <w:pStyle w:val="50"/>
      </w:pPr>
    </w:p>
    <w:p w:rsidR="00000000" w:rsidRDefault="00000000">
      <w:pPr>
        <w:pStyle w:val="50"/>
      </w:pPr>
    </w:p>
    <w:p w:rsidR="00000000" w:rsidRDefault="00000000">
      <w:pPr>
        <w:pStyle w:val="H4"/>
        <w:rPr>
          <w:b/>
          <w:i w:val="0"/>
        </w:rPr>
      </w:pPr>
      <w:r>
        <w:rPr>
          <w:b/>
          <w:i w:val="0"/>
        </w:rPr>
        <w:t>4.</w:t>
      </w:r>
      <w:r>
        <w:rPr>
          <w:b/>
          <w:i w:val="0"/>
        </w:rPr>
        <w:tab/>
        <w:t>Информационно-пропагандистская работа</w:t>
      </w:r>
    </w:p>
    <w:p w:rsidR="00000000" w:rsidRDefault="00000000">
      <w:pPr>
        <w:pStyle w:val="SingleTxt"/>
      </w:pPr>
      <w:r>
        <w:rPr>
          <w:b/>
        </w:rPr>
        <w:tab/>
      </w:r>
      <w:r>
        <w:rPr>
          <w:b/>
        </w:rPr>
        <w:tab/>
        <w:t>Присуждение премий</w:t>
      </w:r>
      <w:r>
        <w:t>: с 1997 года раз в два года проводится церемония присуждения "Государственной премии им. Габриэль Поссаннер" и двух поо</w:t>
      </w:r>
      <w:r>
        <w:t>щ</w:t>
      </w:r>
      <w:r>
        <w:t>рительных премий, которые присуждаются за выдающие достижения в области обеспечения гендерного равенства. В 2003 году эта премия была присуждена в четвертый раз.</w:t>
      </w:r>
    </w:p>
    <w:p w:rsidR="00000000" w:rsidRDefault="00000000">
      <w:pPr>
        <w:pStyle w:val="SingleTxt"/>
      </w:pPr>
      <w:r>
        <w:rPr>
          <w:b/>
        </w:rPr>
        <w:tab/>
      </w:r>
      <w:r>
        <w:rPr>
          <w:b/>
        </w:rPr>
        <w:tab/>
        <w:t>Публикации, исследования</w:t>
      </w:r>
      <w:r>
        <w:t>: в 1992 году была выпущена серия публик</w:t>
      </w:r>
      <w:r>
        <w:t>а</w:t>
      </w:r>
      <w:r>
        <w:t>ций под названием " Материалы по улучшению положения женщин в области науки". Пока было опубликовано 16 выпусков, 6 из которых были изданы за отчетный период. Цель этой серии состоит в том, чтобы проинформировать о положении женщин в области науки и убедить общество в необходимости пр</w:t>
      </w:r>
      <w:r>
        <w:t>и</w:t>
      </w:r>
      <w:r>
        <w:t>нятия стратегич</w:t>
      </w:r>
      <w:r>
        <w:t>е</w:t>
      </w:r>
      <w:r>
        <w:t>ских решений.</w:t>
      </w:r>
    </w:p>
    <w:p w:rsidR="00000000" w:rsidRDefault="00000000">
      <w:pPr>
        <w:pStyle w:val="SingleTxt"/>
      </w:pPr>
      <w:r>
        <w:tab/>
      </w:r>
      <w:r>
        <w:tab/>
        <w:t xml:space="preserve">Кроме того, Федеральное министерство образования, науки и культуры открыло специальный </w:t>
      </w:r>
      <w:r>
        <w:rPr>
          <w:b/>
        </w:rPr>
        <w:t>веб-сайт</w:t>
      </w:r>
      <w:r>
        <w:t xml:space="preserve"> по адресу </w:t>
      </w:r>
      <w:hyperlink r:id="rId25" w:history="1">
        <w:r>
          <w:rPr>
            <w:rStyle w:val="Hyperlink"/>
            <w:lang w:val="en-US"/>
          </w:rPr>
          <w:t>www</w:t>
        </w:r>
        <w:r>
          <w:rPr>
            <w:rStyle w:val="Hyperlink"/>
          </w:rPr>
          <w:t>.</w:t>
        </w:r>
        <w:r>
          <w:rPr>
            <w:rStyle w:val="Hyperlink"/>
            <w:lang w:val="en-US"/>
          </w:rPr>
          <w:t>bmbwk</w:t>
        </w:r>
        <w:r>
          <w:rPr>
            <w:rStyle w:val="Hyperlink"/>
          </w:rPr>
          <w:t>.</w:t>
        </w:r>
        <w:r>
          <w:rPr>
            <w:rStyle w:val="Hyperlink"/>
            <w:lang w:val="en-US"/>
          </w:rPr>
          <w:t>gv</w:t>
        </w:r>
        <w:r>
          <w:rPr>
            <w:rStyle w:val="Hyperlink"/>
          </w:rPr>
          <w:t>.</w:t>
        </w:r>
        <w:r>
          <w:rPr>
            <w:rStyle w:val="Hyperlink"/>
            <w:lang w:val="en-US"/>
          </w:rPr>
          <w:t>at</w:t>
        </w:r>
        <w:r>
          <w:rPr>
            <w:rStyle w:val="Hyperlink"/>
          </w:rPr>
          <w:t>/</w:t>
        </w:r>
        <w:r>
          <w:rPr>
            <w:rStyle w:val="Hyperlink"/>
            <w:lang w:val="en-US"/>
          </w:rPr>
          <w:t>womenscience</w:t>
        </w:r>
      </w:hyperlink>
      <w:r>
        <w:rPr>
          <w:u w:val="single"/>
        </w:rPr>
        <w:t>,</w:t>
      </w:r>
      <w:r>
        <w:t xml:space="preserve"> на котором размещается информация о мерах по улучшению положения женщин в сфере научной и исследовательской деятельности.</w:t>
      </w:r>
    </w:p>
    <w:p w:rsidR="00000000" w:rsidRDefault="00000000">
      <w:pPr>
        <w:pStyle w:val="50"/>
      </w:pPr>
    </w:p>
    <w:p w:rsidR="00000000" w:rsidRDefault="00000000">
      <w:pPr>
        <w:pStyle w:val="50"/>
      </w:pPr>
    </w:p>
    <w:p w:rsidR="00000000" w:rsidRDefault="00000000">
      <w:pPr>
        <w:pStyle w:val="H4"/>
        <w:rPr>
          <w:b/>
          <w:i w:val="0"/>
        </w:rPr>
      </w:pPr>
      <w:r>
        <w:rPr>
          <w:b/>
          <w:i w:val="0"/>
        </w:rPr>
        <w:t>5.</w:t>
      </w:r>
      <w:r>
        <w:rPr>
          <w:b/>
          <w:i w:val="0"/>
        </w:rPr>
        <w:tab/>
      </w:r>
      <w:r>
        <w:rPr>
          <w:rStyle w:val="LineNumber"/>
          <w:b/>
          <w:i w:val="0"/>
          <w:sz w:val="20"/>
        </w:rPr>
        <w:t>Укрепление</w:t>
      </w:r>
      <w:r>
        <w:rPr>
          <w:b/>
          <w:i w:val="0"/>
        </w:rPr>
        <w:t xml:space="preserve"> профессионального статуса женщин в сфере научной и исследовательской деятел</w:t>
      </w:r>
      <w:r>
        <w:rPr>
          <w:b/>
          <w:i w:val="0"/>
        </w:rPr>
        <w:t>ь</w:t>
      </w:r>
      <w:r>
        <w:rPr>
          <w:b/>
          <w:i w:val="0"/>
        </w:rPr>
        <w:t>ности</w:t>
      </w:r>
    </w:p>
    <w:p w:rsidR="00000000" w:rsidRDefault="00000000">
      <w:pPr>
        <w:pStyle w:val="SingleTxt"/>
      </w:pPr>
      <w:r>
        <w:tab/>
      </w:r>
      <w:r>
        <w:tab/>
        <w:t>За отчетный период доля женщин среди профессоров, доцентов и другого преподавательского состава университетов повысилась на 1 процент (см. пр</w:t>
      </w:r>
      <w:r>
        <w:t>и</w:t>
      </w:r>
      <w:r>
        <w:t>ложение 2, Таблица: затраты времени (персонала) университетов и университ</w:t>
      </w:r>
      <w:r>
        <w:t>е</w:t>
      </w:r>
      <w:r>
        <w:t>тов искусств и консерваторий). С 1999 года Федеральное министерство образ</w:t>
      </w:r>
      <w:r>
        <w:t>о</w:t>
      </w:r>
      <w:r>
        <w:t>вания, науки и культуры активизировало свои усилия по реализации мер, н</w:t>
      </w:r>
      <w:r>
        <w:t>а</w:t>
      </w:r>
      <w:r>
        <w:t>правленных на укрепление профессионального статуса женщин в сфере нау</w:t>
      </w:r>
      <w:r>
        <w:t>ч</w:t>
      </w:r>
      <w:r>
        <w:t>ной и исследовательской деятельности. В 1999 году Европейский социальный фонд (Задача 3) включил в свою плановый документ программу под названием "Женщины и наука" и выделил на ее осуществление грант в размере 4,1 млн. евро.</w:t>
      </w:r>
    </w:p>
    <w:p w:rsidR="00000000" w:rsidRDefault="00000000">
      <w:pPr>
        <w:pStyle w:val="SingleTxt"/>
      </w:pPr>
      <w:r>
        <w:tab/>
      </w:r>
      <w:r>
        <w:tab/>
        <w:t>В рамках этой программы предусмотрено выделение ресурсов, необход</w:t>
      </w:r>
      <w:r>
        <w:t>и</w:t>
      </w:r>
      <w:r>
        <w:t>мых для осуществления мер по улучшению положения женщин в сфере нау</w:t>
      </w:r>
      <w:r>
        <w:t>ч</w:t>
      </w:r>
      <w:r>
        <w:t>ной и исследовательской деятельности в университетах, таких, например, как программа по решению проблемы недостаточно широкого представительства женщин и/или формированию симметричной гендерной культуры в универс</w:t>
      </w:r>
      <w:r>
        <w:t>и</w:t>
      </w:r>
      <w:r>
        <w:t>тете Граца; программа наставничества для женщин-выпускников, готовящих диссертации, и для женщин, пишущих пост-докторантские работы в Венском университете; а также программы развития людских ресурсов, известную как "Карьерные связи", в университетах Линца и Зальцбурга, призванные помочь молодым ученым в продвижении по службе и в том, чтобы планировать свою карьеру в соответствии с принципами учета гендерного фа</w:t>
      </w:r>
      <w:r>
        <w:t>к</w:t>
      </w:r>
      <w:r>
        <w:t>тора.</w:t>
      </w:r>
    </w:p>
    <w:p w:rsidR="00000000" w:rsidRDefault="00000000">
      <w:pPr>
        <w:pStyle w:val="SingleTxt"/>
      </w:pPr>
      <w:r>
        <w:tab/>
      </w:r>
      <w:r>
        <w:tab/>
        <w:t>В 2002 году в Венском технологическом университете был введен пят</w:t>
      </w:r>
      <w:r>
        <w:t>и</w:t>
      </w:r>
      <w:r>
        <w:t>летний аспирантский курс по технологиям сети Интернет, предназначенный для женщин-ученых. Он представляет собой единую диссертационную пр</w:t>
      </w:r>
      <w:r>
        <w:t>о</w:t>
      </w:r>
      <w:r>
        <w:t>грамму, которая сочетает передовые научные и технологические исследования с мерами, содействующими карьерному росту студенток и молодых женщин-ученых и обеспечивающими создание соответствующей коммуникационной инфрастру</w:t>
      </w:r>
      <w:r>
        <w:t>к</w:t>
      </w:r>
      <w:r>
        <w:t>туры.</w:t>
      </w:r>
    </w:p>
    <w:p w:rsidR="00000000" w:rsidRDefault="00000000">
      <w:pPr>
        <w:pStyle w:val="SingleTxt"/>
      </w:pPr>
      <w:r>
        <w:tab/>
      </w:r>
      <w:r>
        <w:tab/>
        <w:t>Другие меры, принимаемые в рамках этой программы, ориентированы на женщин-выпускников университетов искусств. К примеру, в рамках проекта "Премьера" помощь оказывается молодым женщинам-деятелям искусств, ж</w:t>
      </w:r>
      <w:r>
        <w:t>е</w:t>
      </w:r>
      <w:r>
        <w:t>лающим открыть собственное дело.</w:t>
      </w:r>
    </w:p>
    <w:p w:rsidR="00000000" w:rsidRDefault="00000000">
      <w:pPr>
        <w:pStyle w:val="50"/>
      </w:pPr>
    </w:p>
    <w:p w:rsidR="00000000" w:rsidRDefault="00000000">
      <w:pPr>
        <w:pStyle w:val="50"/>
      </w:pPr>
    </w:p>
    <w:p w:rsidR="00000000" w:rsidRDefault="00000000">
      <w:pPr>
        <w:pStyle w:val="H23"/>
      </w:pPr>
      <w:r>
        <w:tab/>
      </w:r>
      <w:bookmarkStart w:id="110" w:name="_Toc97786711"/>
      <w:r>
        <w:t>Юридические меры, направленные на обеспечение фактического равенства между женщинами и мужчинами в университетах</w:t>
      </w:r>
      <w:bookmarkEnd w:id="110"/>
    </w:p>
    <w:p w:rsidR="00000000" w:rsidRDefault="00000000">
      <w:pPr>
        <w:pStyle w:val="SingleTxt"/>
      </w:pPr>
      <w:r>
        <w:tab/>
      </w:r>
      <w:r>
        <w:tab/>
        <w:t>В начале 90-х годов прошлого века в Австрии была проведена реформа системы высшего образования. В последующие годы университеты страны п</w:t>
      </w:r>
      <w:r>
        <w:t>о</w:t>
      </w:r>
      <w:r>
        <w:t>степенно преобразовывались из государственных в автономные, самостоятел</w:t>
      </w:r>
      <w:r>
        <w:t>ь</w:t>
      </w:r>
      <w:r>
        <w:t>ные и эффективные учебные заведения. В 2002 году был принят Федеральный закон об организации университетов и университетских исследований (</w:t>
      </w:r>
      <w:r>
        <w:rPr>
          <w:b/>
        </w:rPr>
        <w:t>Закон об университетах 2002 года</w:t>
      </w:r>
      <w:r>
        <w:t>), который окончательно вступил в силу 1 января 2004 года.</w:t>
      </w:r>
    </w:p>
    <w:p w:rsidR="00000000" w:rsidRDefault="00000000">
      <w:pPr>
        <w:pStyle w:val="SingleTxt"/>
      </w:pPr>
      <w:r>
        <w:tab/>
      </w:r>
      <w:r>
        <w:tab/>
        <w:t>Если сравнить положения предыдущего закона с теми, которые вступили в силу 1 января 2004 года, необходимо учесть, что государственные учебные заведения находятся на пути к тому, чтобы стать полностью автономными пр</w:t>
      </w:r>
      <w:r>
        <w:t>а</w:t>
      </w:r>
      <w:r>
        <w:t>вовыми субъектами, в отношении которых некоторые положения предыдущего законодательства уже не действуют. В течение определенного времени (пред</w:t>
      </w:r>
      <w:r>
        <w:t>ы</w:t>
      </w:r>
      <w:r>
        <w:t>дущие) положения, направленные на содействие скорейшему достижению фа</w:t>
      </w:r>
      <w:r>
        <w:t>к</w:t>
      </w:r>
      <w:r>
        <w:t>тического равенства между женщинами и мужчинами, будут оставаться в силе. Вместе с тем предписывавшиеся процедуры скорректированы с учетом новых юридических положений, регулирующих порядок работы автономных униве</w:t>
      </w:r>
      <w:r>
        <w:t>р</w:t>
      </w:r>
      <w:r>
        <w:t>ситетов, но сохраняющих пред</w:t>
      </w:r>
      <w:r>
        <w:t>ы</w:t>
      </w:r>
      <w:r>
        <w:t>дущие нормы.</w:t>
      </w:r>
    </w:p>
    <w:p w:rsidR="00000000" w:rsidRDefault="00000000">
      <w:pPr>
        <w:pStyle w:val="SingleTxt"/>
      </w:pPr>
      <w:r>
        <w:tab/>
      </w:r>
      <w:r>
        <w:tab/>
        <w:t>Результаты анализа положения, сложившегося в университетах, показали, что женщины-ученые (или де</w:t>
      </w:r>
      <w:r>
        <w:t>я</w:t>
      </w:r>
      <w:r>
        <w:t>тели искусства) и женщины-преподаватели по-прежнему остаются в меньшинстве, особенно на руководящих должностях. Среди ученых и преподавателей продолжают преобладать мужчины. Поэтому задача обеспечения равенства между мужчинами и женщинами должна ост</w:t>
      </w:r>
      <w:r>
        <w:t>а</w:t>
      </w:r>
      <w:r>
        <w:t>ваться одним из главных пунктов повестки дня в рамках университетской р</w:t>
      </w:r>
      <w:r>
        <w:t>е</w:t>
      </w:r>
      <w:r>
        <w:t>формы. Конструктивные меры и принятие программы конструктивных мер тем самым по-прежнему являются приоритетной задачей для униве</w:t>
      </w:r>
      <w:r>
        <w:t>р</w:t>
      </w:r>
      <w:r>
        <w:t>ситетов.</w:t>
      </w:r>
    </w:p>
    <w:p w:rsidR="00000000" w:rsidRDefault="00000000">
      <w:pPr>
        <w:pStyle w:val="SingleTxt"/>
      </w:pPr>
      <w:r>
        <w:tab/>
      </w:r>
      <w:r>
        <w:tab/>
        <w:t>Важность этого вопроса находит свое отражение в правиле о последов</w:t>
      </w:r>
      <w:r>
        <w:t>а</w:t>
      </w:r>
      <w:r>
        <w:t>тельном использовании нейтральной с гендерной точки зрения лексики и в том, что в новый Закон об университетах 2002 года был впервые включен ра</w:t>
      </w:r>
      <w:r>
        <w:t>з</w:t>
      </w:r>
      <w:r>
        <w:t>дел, конкретно посвященный вопросам равенства между мужчинами и женщ</w:t>
      </w:r>
      <w:r>
        <w:t>и</w:t>
      </w:r>
      <w:r>
        <w:t xml:space="preserve">нами (часть </w:t>
      </w:r>
      <w:r>
        <w:rPr>
          <w:lang w:val="en-US"/>
        </w:rPr>
        <w:t>I</w:t>
      </w:r>
      <w:r>
        <w:t>, ра</w:t>
      </w:r>
      <w:r>
        <w:t>з</w:t>
      </w:r>
      <w:r>
        <w:t>дел № 3"Равенство женщин и мужчин").</w:t>
      </w:r>
    </w:p>
    <w:p w:rsidR="00000000" w:rsidRDefault="00000000">
      <w:pPr>
        <w:pStyle w:val="SingleTxt"/>
      </w:pPr>
      <w:r>
        <w:tab/>
      </w:r>
      <w:r>
        <w:tab/>
        <w:t>По аналогии с Законом об организации университетов 1993 года и Фед</w:t>
      </w:r>
      <w:r>
        <w:t>е</w:t>
      </w:r>
      <w:r>
        <w:t>ральным законом об организации университетов искусств в новом законе об университетах предусматривается создание рабочей группы по вопросам ра</w:t>
      </w:r>
      <w:r>
        <w:t>в</w:t>
      </w:r>
      <w:r>
        <w:t>ноправия, наделенной обширными правами на информацию, участие и мон</w:t>
      </w:r>
      <w:r>
        <w:t>и</w:t>
      </w:r>
      <w:r>
        <w:t>торинг равенства и вопросов частной жизни. Одна из главных задач этой раб</w:t>
      </w:r>
      <w:r>
        <w:t>о</w:t>
      </w:r>
      <w:r>
        <w:t>чей группы состоит в том, чтобы бороться с дискриминацией по признаку пола в университетских организациях и оказывать консультационную поддержку с</w:t>
      </w:r>
      <w:r>
        <w:t>о</w:t>
      </w:r>
      <w:r>
        <w:t>трудникам университетов и университетским организациям в вопросах, к</w:t>
      </w:r>
      <w:r>
        <w:t>а</w:t>
      </w:r>
      <w:r>
        <w:t>сающихся равенства мужчин и женщин и улучшения положения женщин, в с</w:t>
      </w:r>
      <w:r>
        <w:t>о</w:t>
      </w:r>
      <w:r>
        <w:t>ответствии с принципом учета гендерного фактора, который является одним из руководящих принципов (см. раздел 2, пункт 9) и одной из главных целей (см. раздел 3, пункт 9) работы университетов.</w:t>
      </w:r>
    </w:p>
    <w:p w:rsidR="00000000" w:rsidRDefault="00000000">
      <w:pPr>
        <w:pStyle w:val="SingleTxt"/>
      </w:pPr>
      <w:r>
        <w:tab/>
      </w:r>
      <w:r>
        <w:tab/>
        <w:t>В соответствии с полной автономией университетов окончательные реш</w:t>
      </w:r>
      <w:r>
        <w:t>е</w:t>
      </w:r>
      <w:r>
        <w:t>ния по жалобам на их работу теперь принимаются не на уровне федерального министра, а на уровне самих университетов. Более того, все серьезные ко</w:t>
      </w:r>
      <w:r>
        <w:t>н</w:t>
      </w:r>
      <w:r>
        <w:t>фликты в университетах должны прежде всего решаться с помощью механизма посредничества. С этой целью в разделе 43 Закона об университетах 2002 года предусматривается создание арбитражной комиссии при каждом университете. Эти комиссии являются коллегиальными органами, которые полномочны пр</w:t>
      </w:r>
      <w:r>
        <w:t>и</w:t>
      </w:r>
      <w:r>
        <w:t>нимать решения и не связаны никакими указаниями.</w:t>
      </w:r>
    </w:p>
    <w:p w:rsidR="00000000" w:rsidRDefault="00000000">
      <w:pPr>
        <w:pStyle w:val="SingleTxt"/>
      </w:pPr>
      <w:r>
        <w:tab/>
      </w:r>
      <w:r>
        <w:tab/>
        <w:t>Согласно разделу 44 Закона об университетах 2002 года, Закон о равном обращении на федеральной службе применяется ко всем сотрудникам униве</w:t>
      </w:r>
      <w:r>
        <w:t>р</w:t>
      </w:r>
      <w:r>
        <w:t>ситетов и к лицам, поступающим в университет на работу или на учебу. Что касается планов конструктивных мер в отношении женщин, то университеты должны включать в свои уставы соответствующие целевые задания, которые не должны быть ниже предыдущих стандартов. Планы конструктивных мер в и</w:t>
      </w:r>
      <w:r>
        <w:t>н</w:t>
      </w:r>
      <w:r>
        <w:t>тересах женщин, которые должны быть предусмотрены в университетских у</w:t>
      </w:r>
      <w:r>
        <w:t>с</w:t>
      </w:r>
      <w:r>
        <w:t>тавах, по сути являются исполнительными распоряжениями по смыслу раздела 41 Закона о равном обращении на федеральной службе и, соответственно, не могут устанавливать женские квоты на более низком, чем это предусмотрено в данном законе, уровне. С другой стороны, университеты вправе утверждать более благоприя</w:t>
      </w:r>
      <w:r>
        <w:t>т</w:t>
      </w:r>
      <w:r>
        <w:t>ные для женщин конструктивные меры.</w:t>
      </w:r>
    </w:p>
    <w:p w:rsidR="00000000" w:rsidRDefault="00000000">
      <w:pPr>
        <w:pStyle w:val="50"/>
      </w:pPr>
    </w:p>
    <w:p w:rsidR="00000000" w:rsidRDefault="00000000">
      <w:pPr>
        <w:pStyle w:val="50"/>
      </w:pPr>
    </w:p>
    <w:p w:rsidR="00000000" w:rsidRDefault="00000000">
      <w:pPr>
        <w:pStyle w:val="H4"/>
        <w:ind w:left="1264" w:firstLine="0"/>
        <w:rPr>
          <w:b/>
          <w:i w:val="0"/>
        </w:rPr>
      </w:pPr>
      <w:r>
        <w:rPr>
          <w:b/>
          <w:i w:val="0"/>
        </w:rPr>
        <w:t>Создание консультационного совета по вопросам женской политики для университетов</w:t>
      </w:r>
    </w:p>
    <w:p w:rsidR="00000000" w:rsidRDefault="00000000">
      <w:pPr>
        <w:pStyle w:val="SingleTxt"/>
      </w:pPr>
      <w:r>
        <w:tab/>
      </w:r>
      <w:r>
        <w:tab/>
        <w:t>Этот совет был создан в 2003 году с целью информировать федерального министра о выявленных структурных недостатках и консультировать министра в отношении возможных способов решения всех вопросов, касающихся улу</w:t>
      </w:r>
      <w:r>
        <w:t>ч</w:t>
      </w:r>
      <w:r>
        <w:t>шения положения женщин в университетах. Конечная цель состоит в том, чт</w:t>
      </w:r>
      <w:r>
        <w:t>о</w:t>
      </w:r>
      <w:r>
        <w:t>бы обеспечить соблюдение положений об улучшении положения женщин и о борьбе с дискриминацией в отношении женщин, закрепленных в Законе об универс</w:t>
      </w:r>
      <w:r>
        <w:t>и</w:t>
      </w:r>
      <w:r>
        <w:t>тетах 2002 года.</w:t>
      </w:r>
    </w:p>
    <w:p w:rsidR="00000000" w:rsidRDefault="00000000">
      <w:pPr>
        <w:pStyle w:val="50"/>
      </w:pPr>
    </w:p>
    <w:p w:rsidR="00000000" w:rsidRDefault="00000000">
      <w:pPr>
        <w:pStyle w:val="50"/>
      </w:pPr>
    </w:p>
    <w:p w:rsidR="00000000" w:rsidRDefault="00000000">
      <w:pPr>
        <w:pStyle w:val="H23"/>
      </w:pPr>
      <w:r>
        <w:tab/>
      </w:r>
      <w:bookmarkStart w:id="111" w:name="_Toc97786712"/>
      <w:r>
        <w:t>Система взрослого образования в Вене</w:t>
      </w:r>
      <w:bookmarkEnd w:id="111"/>
    </w:p>
    <w:p w:rsidR="00000000" w:rsidRDefault="00000000">
      <w:pPr>
        <w:pStyle w:val="SingleTxt"/>
      </w:pPr>
      <w:r>
        <w:tab/>
      </w:r>
      <w:r>
        <w:tab/>
        <w:t>В течение двух последних лет Венская ассоциация центров взрослого обучения начала учитывать гендерный фактор в своей работе: в 2002 году на конференции по теме "Центры обучения взрослых и учет гендерного фактора" был представлен проект, призванный обеспечить обязательный учет гендерн</w:t>
      </w:r>
      <w:r>
        <w:t>о</w:t>
      </w:r>
      <w:r>
        <w:t>го фактора в работе Государственной службы занятости. Помимо этого, асс</w:t>
      </w:r>
      <w:r>
        <w:t>о</w:t>
      </w:r>
      <w:r>
        <w:t>циация включила учет гендерного фактора в программу повышения квалиф</w:t>
      </w:r>
      <w:r>
        <w:t>и</w:t>
      </w:r>
      <w:r>
        <w:t>кации св</w:t>
      </w:r>
      <w:r>
        <w:t>о</w:t>
      </w:r>
      <w:r>
        <w:t>его персонала и директоров курсов.</w:t>
      </w:r>
    </w:p>
    <w:p w:rsidR="00000000" w:rsidRDefault="00000000">
      <w:pPr>
        <w:pStyle w:val="SingleTxt"/>
      </w:pPr>
      <w:r>
        <w:tab/>
      </w:r>
      <w:r>
        <w:tab/>
        <w:t>В 1999 году ассоциация открыла колледж им. Розы Мейредер – учебное заведение, возглавляемое женщинами и работающее для женщин. В этом ко</w:t>
      </w:r>
      <w:r>
        <w:t>л</w:t>
      </w:r>
      <w:r>
        <w:t>ледже открыты высшие курсы международной направленности по предметам иску</w:t>
      </w:r>
      <w:r>
        <w:t>с</w:t>
      </w:r>
      <w:r>
        <w:t>ства критики, науки и образования.</w:t>
      </w:r>
    </w:p>
    <w:p w:rsidR="00000000" w:rsidRDefault="00000000">
      <w:pPr>
        <w:pStyle w:val="50"/>
      </w:pPr>
    </w:p>
    <w:p w:rsidR="00000000" w:rsidRDefault="00000000">
      <w:pPr>
        <w:pStyle w:val="50"/>
      </w:pPr>
    </w:p>
    <w:p w:rsidR="00000000" w:rsidRDefault="00000000">
      <w:pPr>
        <w:pStyle w:val="H23"/>
        <w:rPr>
          <w:u w:val="single"/>
        </w:rPr>
      </w:pPr>
      <w:r>
        <w:tab/>
      </w:r>
      <w:bookmarkStart w:id="112" w:name="_Toc97786713"/>
      <w:r>
        <w:rPr>
          <w:u w:val="single"/>
        </w:rPr>
        <w:t>Статья 10, пункт е)</w:t>
      </w:r>
      <w:bookmarkEnd w:id="112"/>
    </w:p>
    <w:p w:rsidR="00000000" w:rsidRDefault="00000000">
      <w:pPr>
        <w:pStyle w:val="SingleTxt"/>
      </w:pPr>
      <w:r>
        <w:tab/>
      </w:r>
      <w:r>
        <w:tab/>
        <w:t>В рамках системы взрослого образования Федеральное министерство о</w:t>
      </w:r>
      <w:r>
        <w:t>б</w:t>
      </w:r>
      <w:r>
        <w:t>разования, науки и культуры поддерживает программы повышения функци</w:t>
      </w:r>
      <w:r>
        <w:t>о</w:t>
      </w:r>
      <w:r>
        <w:t xml:space="preserve">нальной </w:t>
      </w:r>
      <w:r>
        <w:rPr>
          <w:b/>
        </w:rPr>
        <w:t>грамотности</w:t>
      </w:r>
      <w:r>
        <w:t>. Эти программы в основном предназначены для мигра</w:t>
      </w:r>
      <w:r>
        <w:t>н</w:t>
      </w:r>
      <w:r>
        <w:t>тов, которые готовятся к поступлению на курсы для сдачи экзаменов по итогам младшей ступени средней школы. Эти курсы открыты как для женщин, так и для мужчин. Осенью 2003 года были открыты первые специальные курсы для подг</w:t>
      </w:r>
      <w:r>
        <w:t>о</w:t>
      </w:r>
      <w:r>
        <w:t xml:space="preserve">товки преподавателей по обучению грамотности. </w:t>
      </w:r>
    </w:p>
    <w:p w:rsidR="00000000" w:rsidRDefault="00000000">
      <w:pPr>
        <w:pStyle w:val="SingleTxt"/>
      </w:pPr>
      <w:r>
        <w:tab/>
      </w:r>
      <w:r>
        <w:tab/>
        <w:t>Еще одна важная задача связана с сокращением количества учащихся, не умеющих читать. Неумение читать мешает людям в полной мере участвовать в ключевых сферах жизни общества. В 2002 году была введена общенационал</w:t>
      </w:r>
      <w:r>
        <w:t>ь</w:t>
      </w:r>
      <w:r>
        <w:t>ная программа ("Учись читать"), которая, в частности, включает в себя школ</w:t>
      </w:r>
      <w:r>
        <w:t>ь</w:t>
      </w:r>
      <w:r>
        <w:t>ные и внешкольные программы вспомогательного обучения для учащихся, не умеющих читать, курсы подготовки для учителей без отрыва от работы, разр</w:t>
      </w:r>
      <w:r>
        <w:t>а</w:t>
      </w:r>
      <w:r>
        <w:t>ботку дидактических материалов, создание консультационного центра ("Чтение стало доступным") и процесс проверки навыков чтения. Все предлагаемые программы и курсы разрабатываются с учетом гендерного фактора.</w:t>
      </w:r>
    </w:p>
    <w:p w:rsidR="00000000" w:rsidRDefault="00000000">
      <w:pPr>
        <w:pStyle w:val="50"/>
      </w:pPr>
    </w:p>
    <w:p w:rsidR="00000000" w:rsidRDefault="00000000">
      <w:pPr>
        <w:pStyle w:val="50"/>
      </w:pPr>
    </w:p>
    <w:p w:rsidR="00000000" w:rsidRDefault="00000000">
      <w:pPr>
        <w:pStyle w:val="H23"/>
      </w:pPr>
      <w:r>
        <w:tab/>
      </w:r>
      <w:bookmarkStart w:id="113" w:name="_Toc97786714"/>
      <w:r>
        <w:t>Обеспечение образования для женщин-мигрантов</w:t>
      </w:r>
      <w:bookmarkEnd w:id="113"/>
    </w:p>
    <w:p w:rsidR="00000000" w:rsidRDefault="00000000">
      <w:pPr>
        <w:pStyle w:val="SingleTxt"/>
      </w:pPr>
      <w:r>
        <w:tab/>
      </w:r>
      <w:r>
        <w:tab/>
        <w:t>Женщины-мигранты уязвимы с самых разных точек зрения и рискуют п</w:t>
      </w:r>
      <w:r>
        <w:t>о</w:t>
      </w:r>
      <w:r>
        <w:t>пасть в маргинальные социальные группы. Традиционно предвзятое предста</w:t>
      </w:r>
      <w:r>
        <w:t>в</w:t>
      </w:r>
      <w:r>
        <w:t>ление об их роли, гендерные стереотипы, семейные обязанности и узкие во</w:t>
      </w:r>
      <w:r>
        <w:t>з</w:t>
      </w:r>
      <w:r>
        <w:t>можности в плане получения образования и профессиональной подготовки мешают их участию в жизни общества. Домашние хозяйства женщин-мигрантов рискуют оказаться за чертой бедности. Власти принимают меры, призванные облегчить доступ женщин-мигрантов к базовому и последующему образованию и профессиональной подготовке и расширить их возможности на рынке труда, помогая им сформировать необходимые навыки. Предпосылками для полной интеграции женщин-мигрантов, в первую очередь, являются знание языка, элементарные навыки обращения с ИТ и такие важные навыки, как ум</w:t>
      </w:r>
      <w:r>
        <w:t>е</w:t>
      </w:r>
      <w:r>
        <w:t>ние повышать свой уровень образования самостоятельно. Во всех этих обла</w:t>
      </w:r>
      <w:r>
        <w:t>с</w:t>
      </w:r>
      <w:r>
        <w:t>тях организуются курсы обучения. Открыты кабинеты школьного консультир</w:t>
      </w:r>
      <w:r>
        <w:t>о</w:t>
      </w:r>
      <w:r>
        <w:t>вания, а для учащихся, являющихся выходцами из семей мигрантов, во всех провинциях введен спец</w:t>
      </w:r>
      <w:r>
        <w:t>и</w:t>
      </w:r>
      <w:r>
        <w:t xml:space="preserve">альный коррективный курс по немецкому языку. </w:t>
      </w:r>
    </w:p>
    <w:p w:rsidR="00000000" w:rsidRDefault="00000000">
      <w:pPr>
        <w:pStyle w:val="50"/>
      </w:pPr>
    </w:p>
    <w:p w:rsidR="00000000" w:rsidRDefault="00000000">
      <w:pPr>
        <w:pStyle w:val="50"/>
      </w:pPr>
    </w:p>
    <w:p w:rsidR="00000000" w:rsidRDefault="00000000">
      <w:pPr>
        <w:pStyle w:val="H23"/>
        <w:rPr>
          <w:u w:val="single"/>
        </w:rPr>
      </w:pPr>
      <w:r>
        <w:tab/>
      </w:r>
      <w:bookmarkStart w:id="114" w:name="_Toc97786715"/>
      <w:r>
        <w:rPr>
          <w:u w:val="single"/>
        </w:rPr>
        <w:t xml:space="preserve">Статья 10, пункт </w:t>
      </w:r>
      <w:r>
        <w:rPr>
          <w:u w:val="single"/>
          <w:lang w:val="en-US"/>
        </w:rPr>
        <w:t>f</w:t>
      </w:r>
      <w:r>
        <w:rPr>
          <w:u w:val="single"/>
        </w:rPr>
        <w:t>)</w:t>
      </w:r>
      <w:bookmarkEnd w:id="114"/>
    </w:p>
    <w:p w:rsidR="00000000" w:rsidRDefault="00000000">
      <w:pPr>
        <w:pStyle w:val="H23"/>
      </w:pPr>
      <w:r>
        <w:tab/>
      </w:r>
    </w:p>
    <w:p w:rsidR="00000000" w:rsidRDefault="00000000">
      <w:pPr>
        <w:pStyle w:val="SingleTxt"/>
      </w:pPr>
      <w:r>
        <w:tab/>
      </w:r>
      <w:r>
        <w:tab/>
        <w:t>Одна из главных целей взрослого образования состоит в том, чтобы п</w:t>
      </w:r>
      <w:r>
        <w:t>о</w:t>
      </w:r>
      <w:r>
        <w:t xml:space="preserve">мочь взрослым </w:t>
      </w:r>
      <w:r>
        <w:rPr>
          <w:b/>
        </w:rPr>
        <w:t>все же получить свидетельство об окончании средней шк</w:t>
      </w:r>
      <w:r>
        <w:rPr>
          <w:b/>
        </w:rPr>
        <w:t>о</w:t>
      </w:r>
      <w:r>
        <w:rPr>
          <w:b/>
        </w:rPr>
        <w:t>лы</w:t>
      </w:r>
      <w:r>
        <w:t>. Преследуя эту цель, Федеральное министерство образования, науки и культуры приняло ряд мер для предоставления людям так называемого "втор</w:t>
      </w:r>
      <w:r>
        <w:t>о</w:t>
      </w:r>
      <w:r>
        <w:t>го шанса" на получение образования. Одним из элементов этой программы обучения являются курсы, дающие право на сдачу экзамена за младшую ст</w:t>
      </w:r>
      <w:r>
        <w:t>у</w:t>
      </w:r>
      <w:r>
        <w:t>пень средней школы (см. также раздел настоящего доклада, касающийся пун</w:t>
      </w:r>
      <w:r>
        <w:t>к</w:t>
      </w:r>
      <w:r>
        <w:t>та е) статьи 10). Что касается высшего образования, то учащиеся, воспольз</w:t>
      </w:r>
      <w:r>
        <w:t>о</w:t>
      </w:r>
      <w:r>
        <w:t>вавшиеся "вторым шансом" на получение образования, могут сдавать либо э</w:t>
      </w:r>
      <w:r>
        <w:t>к</w:t>
      </w:r>
      <w:r>
        <w:t>замены для поступления на конкретные курсы обучения, либо университетские вступительные экзамены для студентов-заочников и/или для людей, окончи</w:t>
      </w:r>
      <w:r>
        <w:t>в</w:t>
      </w:r>
      <w:r>
        <w:t>ших курсы профессионально-технического обучения, дающие право на пол</w:t>
      </w:r>
      <w:r>
        <w:t>у</w:t>
      </w:r>
      <w:r>
        <w:t>чение высшего образования в целом, т.е. доступ в университеты, учебные зав</w:t>
      </w:r>
      <w:r>
        <w:t>е</w:t>
      </w:r>
      <w:r>
        <w:t>дения университетского уровня, политехнические курсы, академии, дипломные курсы и т.п. В центрах взрослого обучения открыты специальные отделения для подготовки абитуриентов к сдаче таких экзаменов. (В соответствии с п</w:t>
      </w:r>
      <w:r>
        <w:t>о</w:t>
      </w:r>
      <w:r>
        <w:t>правкой к Закону о школьном обучении, учащиеся, которые не сдали экзамен об окончании младшей ступени средней школы или экзамен за последний курс в профессионально-техническом училище, с 2003/2004 учебного года беспла</w:t>
      </w:r>
      <w:r>
        <w:t>т</w:t>
      </w:r>
      <w:r>
        <w:t xml:space="preserve">но сдают выпускные школьные экзамены в </w:t>
      </w:r>
      <w:r>
        <w:rPr>
          <w:lang w:val="en-US"/>
        </w:rPr>
        <w:t>X</w:t>
      </w:r>
      <w:r>
        <w:t xml:space="preserve"> или </w:t>
      </w:r>
      <w:r>
        <w:rPr>
          <w:lang w:val="en-US"/>
        </w:rPr>
        <w:t>XI</w:t>
      </w:r>
      <w:r>
        <w:t xml:space="preserve"> классе школы. Число т</w:t>
      </w:r>
      <w:r>
        <w:t>а</w:t>
      </w:r>
      <w:r>
        <w:t>ких учащихся составл</w:t>
      </w:r>
      <w:r>
        <w:t>я</w:t>
      </w:r>
      <w:r>
        <w:t>ет приблизительно 300 человек в год.)</w:t>
      </w:r>
    </w:p>
    <w:p w:rsidR="00000000" w:rsidRDefault="00000000">
      <w:pPr>
        <w:pStyle w:val="SingleTxt"/>
      </w:pPr>
      <w:r>
        <w:tab/>
      </w:r>
      <w:r>
        <w:tab/>
        <w:t>Результаты межсекторальных исследований</w:t>
      </w:r>
      <w:r>
        <w:rPr>
          <w:rStyle w:val="FootnoteReference"/>
        </w:rPr>
        <w:footnoteReference w:id="9"/>
      </w:r>
      <w:r>
        <w:t xml:space="preserve"> показали, что в 1999/2000 году показатель успешности учащихся-женщин в плане получения образования в университетах и политехнических колледжах составлял 56 процентов, а учащихся-мужчин – 57 процентов. В 2000/2001 учебном году показатель успешности для женщин равнялся 64 процентам, а для мужчин – 62 процентам. Напротив, в 2001/2002 учебном году показатель успешности для женщин составлял 62 процентам, а для мужчин – 64 процентам. Эти величины колеблются в пределах стандартного диапазона и не могут служить свидетел</w:t>
      </w:r>
      <w:r>
        <w:t>ь</w:t>
      </w:r>
      <w:r>
        <w:t>ством снижения п</w:t>
      </w:r>
      <w:r>
        <w:t>о</w:t>
      </w:r>
      <w:r>
        <w:t>казателя успешности женщин.</w:t>
      </w:r>
    </w:p>
    <w:p w:rsidR="00000000" w:rsidRDefault="00000000">
      <w:pPr>
        <w:pStyle w:val="SingleTxt"/>
      </w:pPr>
      <w:r>
        <w:tab/>
      </w:r>
      <w:r>
        <w:tab/>
        <w:t xml:space="preserve">В рамках </w:t>
      </w:r>
      <w:r>
        <w:rPr>
          <w:b/>
        </w:rPr>
        <w:t>исследования под названием "Интернет как средство сове</w:t>
      </w:r>
      <w:r>
        <w:rPr>
          <w:b/>
        </w:rPr>
        <w:t>р</w:t>
      </w:r>
      <w:r>
        <w:rPr>
          <w:b/>
        </w:rPr>
        <w:t>шенствования навыков, представляющее особую важность для безрабо</w:t>
      </w:r>
      <w:r>
        <w:rPr>
          <w:b/>
        </w:rPr>
        <w:t>т</w:t>
      </w:r>
      <w:r>
        <w:rPr>
          <w:b/>
        </w:rPr>
        <w:t>ных молодых людей (и учитывающее гендерный фактор)"</w:t>
      </w:r>
      <w:r>
        <w:t xml:space="preserve"> были рассмотр</w:t>
      </w:r>
      <w:r>
        <w:t>е</w:t>
      </w:r>
      <w:r>
        <w:t>ны возможности, имеющиеся у крайне уязвимой в социальном отношении группы безработных подростков для вхождения в информационное сообщество с уделением особого внимание гендерной специфике. Идея заключалась в том, чтобы проанализировать потребности с учетом гендерного фактора с тем, чт</w:t>
      </w:r>
      <w:r>
        <w:t>о</w:t>
      </w:r>
      <w:r>
        <w:t>бы при распределении ресурсов и распространении знаний прекратить отд</w:t>
      </w:r>
      <w:r>
        <w:t>а</w:t>
      </w:r>
      <w:r>
        <w:t>вать традиционное пре</w:t>
      </w:r>
      <w:r>
        <w:t>д</w:t>
      </w:r>
      <w:r>
        <w:t>почтение мужчинам.</w:t>
      </w:r>
    </w:p>
    <w:p w:rsidR="00000000" w:rsidRDefault="00000000">
      <w:pPr>
        <w:pStyle w:val="50"/>
      </w:pPr>
    </w:p>
    <w:p w:rsidR="00000000" w:rsidRDefault="00000000">
      <w:pPr>
        <w:pStyle w:val="50"/>
      </w:pPr>
    </w:p>
    <w:p w:rsidR="00000000" w:rsidRDefault="00000000">
      <w:pPr>
        <w:pStyle w:val="H23"/>
        <w:rPr>
          <w:u w:val="single"/>
        </w:rPr>
      </w:pPr>
      <w:r>
        <w:tab/>
      </w:r>
      <w:bookmarkStart w:id="115" w:name="_Toc97786717"/>
      <w:r>
        <w:rPr>
          <w:u w:val="single"/>
        </w:rPr>
        <w:t xml:space="preserve">Статья 10, пункт </w:t>
      </w:r>
      <w:r>
        <w:rPr>
          <w:u w:val="single"/>
          <w:lang w:val="en-US"/>
        </w:rPr>
        <w:t>g</w:t>
      </w:r>
      <w:r>
        <w:rPr>
          <w:u w:val="single"/>
        </w:rPr>
        <w:t>)</w:t>
      </w:r>
      <w:bookmarkEnd w:id="115"/>
    </w:p>
    <w:p w:rsidR="00000000" w:rsidRDefault="00000000">
      <w:pPr>
        <w:pStyle w:val="H23"/>
      </w:pPr>
      <w:r>
        <w:tab/>
      </w:r>
    </w:p>
    <w:p w:rsidR="00000000" w:rsidRDefault="00000000">
      <w:pPr>
        <w:pStyle w:val="SingleTxt"/>
      </w:pPr>
      <w:r>
        <w:tab/>
      </w:r>
      <w:r>
        <w:tab/>
        <w:t>Обязательный предмет программы обучения "</w:t>
      </w:r>
      <w:r>
        <w:rPr>
          <w:b/>
        </w:rPr>
        <w:t>занятия физической кул</w:t>
      </w:r>
      <w:r>
        <w:rPr>
          <w:b/>
        </w:rPr>
        <w:t>ь</w:t>
      </w:r>
      <w:r>
        <w:rPr>
          <w:b/>
        </w:rPr>
        <w:t>турой и спортом</w:t>
      </w:r>
      <w:r>
        <w:t>" призван компенсировать недостающую физическую акти</w:t>
      </w:r>
      <w:r>
        <w:t>в</w:t>
      </w:r>
      <w:r>
        <w:t>ность и стимулировать физическую активность. Кроме того, 270 тысяч учен</w:t>
      </w:r>
      <w:r>
        <w:t>и</w:t>
      </w:r>
      <w:r>
        <w:t>ков проходят более интенсивную подготовку в кружках по летним и зимним видам спорта во время ежегодно организуемых школьно-спортивных лагерей, которые длятся одну неделю. В рамках системы физического воспитания ли</w:t>
      </w:r>
      <w:r>
        <w:t>к</w:t>
      </w:r>
      <w:r>
        <w:t>видация дискриминации в отношении женщин обеспечивается под соответс</w:t>
      </w:r>
      <w:r>
        <w:t>т</w:t>
      </w:r>
      <w:r>
        <w:t>вующими рубриками программы обучения, касающимися социальных аспе</w:t>
      </w:r>
      <w:r>
        <w:t>к</w:t>
      </w:r>
      <w:r>
        <w:t>тов, процесса с</w:t>
      </w:r>
      <w:r>
        <w:t>а</w:t>
      </w:r>
      <w:r>
        <w:t>мовоспитания и т.п.</w:t>
      </w:r>
    </w:p>
    <w:p w:rsidR="00000000" w:rsidRDefault="00000000">
      <w:pPr>
        <w:pStyle w:val="50"/>
      </w:pPr>
    </w:p>
    <w:p w:rsidR="00000000" w:rsidRDefault="00000000">
      <w:pPr>
        <w:pStyle w:val="50"/>
      </w:pPr>
    </w:p>
    <w:p w:rsidR="00000000" w:rsidRDefault="00000000">
      <w:pPr>
        <w:pStyle w:val="H23"/>
        <w:rPr>
          <w:u w:val="single"/>
        </w:rPr>
      </w:pPr>
      <w:r>
        <w:tab/>
      </w:r>
      <w:bookmarkStart w:id="116" w:name="_Toc97786719"/>
      <w:r>
        <w:rPr>
          <w:u w:val="single"/>
        </w:rPr>
        <w:t xml:space="preserve">Статья 10, пункт </w:t>
      </w:r>
      <w:r>
        <w:rPr>
          <w:u w:val="single"/>
          <w:lang w:val="en-US"/>
        </w:rPr>
        <w:t>h</w:t>
      </w:r>
      <w:r>
        <w:rPr>
          <w:u w:val="single"/>
        </w:rPr>
        <w:t>)</w:t>
      </w:r>
      <w:bookmarkEnd w:id="116"/>
    </w:p>
    <w:p w:rsidR="00000000" w:rsidRDefault="00000000">
      <w:pPr>
        <w:pStyle w:val="H23"/>
      </w:pPr>
      <w:r>
        <w:tab/>
      </w:r>
    </w:p>
    <w:p w:rsidR="00000000" w:rsidRDefault="00000000">
      <w:pPr>
        <w:pStyle w:val="SingleTxt"/>
      </w:pPr>
      <w:r>
        <w:tab/>
      </w:r>
      <w:r>
        <w:tab/>
      </w:r>
      <w:r>
        <w:rPr>
          <w:b/>
        </w:rPr>
        <w:t>Курсы медицинского обучения и полового воспитания</w:t>
      </w:r>
      <w:r>
        <w:t xml:space="preserve"> предусмотрены в программах учебных заведений различных типов в качестве так называемого "принципиально важного аспекта обучения". Идея при этом состоит в том, чтобы улучшить координацию этого междисциплинарного вопроса (такие как биология, ведение домашнего хозяйства и питание, занятие физической кул</w:t>
      </w:r>
      <w:r>
        <w:t>ь</w:t>
      </w:r>
      <w:r>
        <w:t>турой и спортом). Кроме того, факультативные предметы и факультативные практические курсы и проекты (например, видео- и радио-конкурсы для мол</w:t>
      </w:r>
      <w:r>
        <w:t>о</w:t>
      </w:r>
      <w:r>
        <w:t>дежи по ВИЧ/СПИДу, проведенные в 2000 году) повышают индивидуальные навыки учащихся, укрепляют коммуникационные структуры и сети школ с внешним миром.</w:t>
      </w:r>
    </w:p>
    <w:p w:rsidR="00000000" w:rsidRDefault="00000000">
      <w:pPr>
        <w:pStyle w:val="SingleTxt"/>
      </w:pPr>
      <w:r>
        <w:tab/>
      </w:r>
      <w:r>
        <w:tab/>
        <w:t>Информацию о правах человека – правах женщин см. в разделе настоящ</w:t>
      </w:r>
      <w:r>
        <w:t>е</w:t>
      </w:r>
      <w:r>
        <w:t>го доклада, касающемся рекоме</w:t>
      </w:r>
      <w:r>
        <w:t>н</w:t>
      </w:r>
      <w:r>
        <w:t>дации 241.</w:t>
      </w:r>
    </w:p>
    <w:p w:rsidR="00000000" w:rsidRDefault="00000000">
      <w:pPr>
        <w:pStyle w:val="50"/>
      </w:pPr>
    </w:p>
    <w:p w:rsidR="00000000" w:rsidRDefault="00000000">
      <w:pPr>
        <w:pStyle w:val="50"/>
      </w:pPr>
    </w:p>
    <w:p w:rsidR="00000000" w:rsidRDefault="00000000">
      <w:pPr>
        <w:pStyle w:val="H1"/>
      </w:pPr>
      <w:r>
        <w:tab/>
      </w:r>
      <w:bookmarkStart w:id="117" w:name="_Toc97786721"/>
      <w:r>
        <w:t>Статья 11</w:t>
      </w:r>
      <w:bookmarkEnd w:id="117"/>
    </w:p>
    <w:p w:rsidR="00000000" w:rsidRDefault="00000000">
      <w:pPr>
        <w:pStyle w:val="SingleTxt"/>
      </w:pPr>
      <w:r>
        <w:tab/>
      </w:r>
      <w:r>
        <w:tab/>
        <w:t>Результаты недавно проведенной переписи свидетельствуют о том, что с точки зрения их доли в составе рабочей силы женщины смогли вернуть бол</w:t>
      </w:r>
      <w:r>
        <w:t>ь</w:t>
      </w:r>
      <w:r>
        <w:t>шинство позиций, утраченных за последние десятилетия. В период с 1971 по 2001 год число женщин, занятых оплачиваемым трудом, исключая маргинал</w:t>
      </w:r>
      <w:r>
        <w:t>ь</w:t>
      </w:r>
      <w:r>
        <w:t>ные слои, работающие неполный рабочий день, увеличилось почти ровно на одну треть: а с 1991 года – на 10 процентов (для мужчин увеличение за период с 1971 по 2001 год составило 6 процентов). В 2001 году к числу активной р</w:t>
      </w:r>
      <w:r>
        <w:t>а</w:t>
      </w:r>
      <w:r>
        <w:t>бочей силы относились 61,8 процента женщин и 80,0 процента мужчин (и</w:t>
      </w:r>
      <w:r>
        <w:t>с</w:t>
      </w:r>
      <w:r>
        <w:t>ключая маргинальные слои, работающие на условиях неполного рабочего дня и в общей сложности менее 11 часов в неделю). В 2003 году рост числа женщин, занятых оплачиваемым трудом, продолжился, будучи при этом относительно резким в относительном выражении. Число женщин, работающих по найму, в период с 1999 по 2003 год продолжало расти, причем наибольший рост был з</w:t>
      </w:r>
      <w:r>
        <w:t>а</w:t>
      </w:r>
      <w:r>
        <w:t>фиксирован в том, что касается числа занятых на условиях неполного рабочего дня. В 2003 году женщины составляли 44 процента рабочей силы, производ</w:t>
      </w:r>
      <w:r>
        <w:t>я</w:t>
      </w:r>
      <w:r>
        <w:t>щей отчисления в фонды социального страхования, или стандартной рабочей силы (1 352 784 женщины и 1 717 585 мужчин, исключая лиц, находящихся в отпуске по уходу за детьми или призванных на действительную военную службу). По международным меркам, уровень женской занятости является о</w:t>
      </w:r>
      <w:r>
        <w:t>т</w:t>
      </w:r>
      <w:r>
        <w:t>носительно низким, несмотря на то, что с 2001 года он несколько повысился. Согласно усредненным показателям в 2003 году было зарегистрировано 100 362 безработные женщины и 139 717 безработных мужчин. В настоящее время свыше одной трети женщин трудятся неполный рабочий день, в то время как для мужчин этот показатель не превышает 5 процентов (1 – 35 часов в н</w:t>
      </w:r>
      <w:r>
        <w:t>е</w:t>
      </w:r>
      <w:r>
        <w:t>делю, данные за 2002 год). Более подробные сведения о доходах, получаемых женщинами, о мерах, направленных на расширение их профессиональных во</w:t>
      </w:r>
      <w:r>
        <w:t>з</w:t>
      </w:r>
      <w:r>
        <w:t>можностей, и о мерах по обеспечению равенства, принимаемых Государстве</w:t>
      </w:r>
      <w:r>
        <w:t>н</w:t>
      </w:r>
      <w:r>
        <w:t>ной службой занятости, см. в разделах настоящего доклада, касающихся рек</w:t>
      </w:r>
      <w:r>
        <w:t>о</w:t>
      </w:r>
      <w:r>
        <w:t>мендаций 233 и 234. Обеспечение равенства между мужчинами и женщинами является одной из приоритетных задач Национального плана действий в обла</w:t>
      </w:r>
      <w:r>
        <w:t>с</w:t>
      </w:r>
      <w:r>
        <w:t>ти занятости и одним из важнейших направлений осуществления Европейской стратегии в о</w:t>
      </w:r>
      <w:r>
        <w:t>б</w:t>
      </w:r>
      <w:r>
        <w:t>ласти занятости (</w:t>
      </w:r>
      <w:hyperlink r:id="rId26" w:history="1">
        <w:r>
          <w:rPr>
            <w:rStyle w:val="Hyperlink"/>
            <w:lang w:val="en-US"/>
          </w:rPr>
          <w:t>http</w:t>
        </w:r>
        <w:r>
          <w:rPr>
            <w:rStyle w:val="Hyperlink"/>
          </w:rPr>
          <w:t>://</w:t>
        </w:r>
        <w:r>
          <w:rPr>
            <w:rStyle w:val="Hyperlink"/>
            <w:lang w:val="en-US"/>
          </w:rPr>
          <w:t>bmwa</w:t>
        </w:r>
        <w:r>
          <w:rPr>
            <w:rStyle w:val="Hyperlink"/>
          </w:rPr>
          <w:t>.</w:t>
        </w:r>
        <w:r>
          <w:rPr>
            <w:rStyle w:val="Hyperlink"/>
            <w:lang w:val="en-US"/>
          </w:rPr>
          <w:t>gv</w:t>
        </w:r>
        <w:r>
          <w:rPr>
            <w:rStyle w:val="Hyperlink"/>
          </w:rPr>
          <w:t>.</w:t>
        </w:r>
        <w:r>
          <w:rPr>
            <w:rStyle w:val="Hyperlink"/>
            <w:lang w:val="en-US"/>
          </w:rPr>
          <w:t>at</w:t>
        </w:r>
        <w:r>
          <w:rPr>
            <w:rStyle w:val="Hyperlink"/>
          </w:rPr>
          <w:t>/</w:t>
        </w:r>
        <w:r>
          <w:rPr>
            <w:rStyle w:val="Hyperlink"/>
            <w:lang w:val="en-US"/>
          </w:rPr>
          <w:t>BMWA</w:t>
        </w:r>
        <w:r>
          <w:rPr>
            <w:rStyle w:val="Hyperlink"/>
          </w:rPr>
          <w:t>/</w:t>
        </w:r>
        <w:r>
          <w:rPr>
            <w:rStyle w:val="Hyperlink"/>
            <w:lang w:val="en-US"/>
          </w:rPr>
          <w:t>default</w:t>
        </w:r>
        <w:r>
          <w:rPr>
            <w:rStyle w:val="Hyperlink"/>
          </w:rPr>
          <w:t>.</w:t>
        </w:r>
        <w:r>
          <w:rPr>
            <w:rStyle w:val="Hyperlink"/>
            <w:lang w:val="en-US"/>
          </w:rPr>
          <w:t>htm</w:t>
        </w:r>
      </w:hyperlink>
      <w:r>
        <w:t xml:space="preserve">). </w:t>
      </w:r>
    </w:p>
    <w:p w:rsidR="00000000" w:rsidRDefault="00000000">
      <w:pPr>
        <w:pStyle w:val="50"/>
      </w:pPr>
    </w:p>
    <w:p w:rsidR="00000000" w:rsidRDefault="00000000">
      <w:pPr>
        <w:pStyle w:val="50"/>
      </w:pPr>
    </w:p>
    <w:p w:rsidR="00000000" w:rsidRDefault="00000000">
      <w:pPr>
        <w:pStyle w:val="H23"/>
        <w:rPr>
          <w:u w:val="single"/>
        </w:rPr>
      </w:pPr>
      <w:r>
        <w:tab/>
      </w:r>
      <w:bookmarkStart w:id="118" w:name="_Toc97786722"/>
      <w:r>
        <w:rPr>
          <w:u w:val="single"/>
        </w:rPr>
        <w:t>Статья 11, пункт 1, подпункт а)</w:t>
      </w:r>
      <w:bookmarkEnd w:id="118"/>
    </w:p>
    <w:p w:rsidR="00000000" w:rsidRDefault="00000000">
      <w:pPr>
        <w:pStyle w:val="50"/>
        <w:keepNext/>
      </w:pPr>
    </w:p>
    <w:p w:rsidR="00000000" w:rsidRDefault="00000000">
      <w:pPr>
        <w:pStyle w:val="50"/>
        <w:keepNext/>
      </w:pPr>
    </w:p>
    <w:p w:rsidR="00000000" w:rsidRDefault="00000000">
      <w:pPr>
        <w:pStyle w:val="H23"/>
      </w:pPr>
      <w:r>
        <w:tab/>
      </w:r>
      <w:bookmarkStart w:id="119" w:name="_Toc97786723"/>
      <w:r>
        <w:t>Обеспечение права женщин на труд</w:t>
      </w:r>
      <w:bookmarkEnd w:id="119"/>
    </w:p>
    <w:p w:rsidR="00000000" w:rsidRDefault="00000000">
      <w:pPr>
        <w:pStyle w:val="SingleTxt"/>
      </w:pPr>
      <w:r>
        <w:tab/>
      </w:r>
      <w:r>
        <w:tab/>
        <w:t>Концентрация и сегрегация на рынке труда ведут к тому, что женщины оказываются недостаточно широко представлены на некоторых должностях и постах, а также в некоторых профессиональных группах и секторах (которые, в среднем, как раз и приносят более высокий доход). Доступ женщин к таким должностям особенно затруднен, что обусловливает необходимость принятия всеобъемлющих мер, направленных на то, чтобы изменить сложившуюся с</w:t>
      </w:r>
      <w:r>
        <w:t>и</w:t>
      </w:r>
      <w:r>
        <w:t>туацию.</w:t>
      </w:r>
    </w:p>
    <w:p w:rsidR="00000000" w:rsidRDefault="00000000">
      <w:pPr>
        <w:pStyle w:val="SingleTxt"/>
      </w:pPr>
      <w:r>
        <w:tab/>
      </w:r>
      <w:r>
        <w:tab/>
        <w:t>В этой связи необходимо сделать ссылку на замечания к статье 10 и рек</w:t>
      </w:r>
      <w:r>
        <w:t>о</w:t>
      </w:r>
      <w:r>
        <w:t>мендации 232, в которых, в частности, говорится о мерах по улучшению пол</w:t>
      </w:r>
      <w:r>
        <w:t>о</w:t>
      </w:r>
      <w:r>
        <w:t>жения женщин в нетрадиционных профессиях, в области технологии и естес</w:t>
      </w:r>
      <w:r>
        <w:t>т</w:t>
      </w:r>
      <w:r>
        <w:t xml:space="preserve">венных наук. Другие примеры: </w:t>
      </w:r>
      <w:r>
        <w:rPr>
          <w:b/>
        </w:rPr>
        <w:t>проект "</w:t>
      </w:r>
      <w:r>
        <w:rPr>
          <w:b/>
          <w:lang w:val="en-US"/>
        </w:rPr>
        <w:t>femtech</w:t>
      </w:r>
      <w:r>
        <w:rPr>
          <w:b/>
        </w:rPr>
        <w:t>"</w:t>
      </w:r>
      <w:r>
        <w:t xml:space="preserve"> направлен на то, чтобы с</w:t>
      </w:r>
      <w:r>
        <w:t>у</w:t>
      </w:r>
      <w:r>
        <w:t>щественно повысить количество женщин, участвующих в осуществлении, р</w:t>
      </w:r>
      <w:r>
        <w:t>у</w:t>
      </w:r>
      <w:r>
        <w:t>ководстве и оценке связанных с технологией программ, организованных Фед</w:t>
      </w:r>
      <w:r>
        <w:t>е</w:t>
      </w:r>
      <w:r>
        <w:t>ральным министерством транспорта, инн</w:t>
      </w:r>
      <w:r>
        <w:t>о</w:t>
      </w:r>
      <w:r>
        <w:t>ваций и технологии.</w:t>
      </w:r>
    </w:p>
    <w:p w:rsidR="00000000" w:rsidRDefault="00000000">
      <w:pPr>
        <w:pStyle w:val="SingleTxt"/>
      </w:pPr>
      <w:r>
        <w:tab/>
      </w:r>
      <w:r>
        <w:tab/>
        <w:t xml:space="preserve">В ходе </w:t>
      </w:r>
      <w:r>
        <w:rPr>
          <w:b/>
        </w:rPr>
        <w:t>исследования "Женщины и технология"</w:t>
      </w:r>
      <w:r>
        <w:t xml:space="preserve"> было рассмотрено п</w:t>
      </w:r>
      <w:r>
        <w:t>о</w:t>
      </w:r>
      <w:r>
        <w:t>ложение женщин в получающих крупные субсидии программах исследований и разработок и предложены меры (такие как программы наставничества, со</w:t>
      </w:r>
      <w:r>
        <w:t>з</w:t>
      </w:r>
      <w:r>
        <w:t>дание условий, отвечающих интересам семьи), призванные увеличить число участвующих женщин, повысить их доходы, расширить возможности продв</w:t>
      </w:r>
      <w:r>
        <w:t>и</w:t>
      </w:r>
      <w:r>
        <w:t>жения по службе и поддержать их участие (прежде всего в качестве работников руководящего звена, например координаторов) в планировании исследований и разр</w:t>
      </w:r>
      <w:r>
        <w:t>а</w:t>
      </w:r>
      <w:r>
        <w:t xml:space="preserve">боток. </w:t>
      </w:r>
    </w:p>
    <w:p w:rsidR="00000000" w:rsidRDefault="00000000">
      <w:pPr>
        <w:pStyle w:val="SingleTxt"/>
      </w:pPr>
      <w:r>
        <w:tab/>
      </w:r>
      <w:r>
        <w:tab/>
      </w:r>
      <w:r>
        <w:rPr>
          <w:b/>
        </w:rPr>
        <w:t>"Женщины в программах исследований и разработок"</w:t>
      </w:r>
      <w:r>
        <w:t xml:space="preserve"> является ин</w:t>
      </w:r>
      <w:r>
        <w:t>и</w:t>
      </w:r>
      <w:r>
        <w:t>циативой по реализации выводов вышеуказанного исследования. Общая цель состоит в том, чтобы усилить присутствие женщин на исполнительных и о</w:t>
      </w:r>
      <w:r>
        <w:t>т</w:t>
      </w:r>
      <w:r>
        <w:t>ветственных должностях в области науки и технологии, а также в корпорати</w:t>
      </w:r>
      <w:r>
        <w:t>в</w:t>
      </w:r>
      <w:r>
        <w:t>ном секторе и в сфере неуниверситетских исследований. Разработаны планы по созданию целевой группы и платформы в составе видных деятелей госуда</w:t>
      </w:r>
      <w:r>
        <w:t>р</w:t>
      </w:r>
      <w:r>
        <w:t>ственной администрации, научно-исследовательских учреждений, деловых кругов и Государственной службы занятости, а также учреждений, занима</w:t>
      </w:r>
      <w:r>
        <w:t>ю</w:t>
      </w:r>
      <w:r>
        <w:t>щихся вопросами профессиональной подготовки и повышения квалификации. Прогресс в деле достижения этой цели будет оцениваться и обеспечиваться м</w:t>
      </w:r>
      <w:r>
        <w:t>е</w:t>
      </w:r>
      <w:r>
        <w:t>ханизмом внутреннего контроля; оперативной работой будет руководить центр передового опыта.</w:t>
      </w:r>
    </w:p>
    <w:p w:rsidR="00000000" w:rsidRDefault="00000000">
      <w:pPr>
        <w:pStyle w:val="SingleTxt"/>
      </w:pPr>
      <w:r>
        <w:tab/>
      </w:r>
      <w:r>
        <w:tab/>
        <w:t xml:space="preserve">Премия под названием </w:t>
      </w:r>
      <w:r>
        <w:rPr>
          <w:b/>
        </w:rPr>
        <w:t>"Женщины, работающие с технологиями охр</w:t>
      </w:r>
      <w:r>
        <w:rPr>
          <w:b/>
        </w:rPr>
        <w:t>а</w:t>
      </w:r>
      <w:r>
        <w:rPr>
          <w:b/>
        </w:rPr>
        <w:t>ны окружающей среды"</w:t>
      </w:r>
      <w:r>
        <w:t xml:space="preserve"> присуждается Австрийским обществом по окр</w:t>
      </w:r>
      <w:r>
        <w:t>у</w:t>
      </w:r>
      <w:r>
        <w:t>жающей среде и технологии. Спонсором этой премии является Министерство транспорта, инноваций и технологии, и эта премия присуждается с 2001 года женщинам за выдающиеся достижения в области технологии охраны окр</w:t>
      </w:r>
      <w:r>
        <w:t>у</w:t>
      </w:r>
      <w:r>
        <w:t>жающей среды.</w:t>
      </w:r>
    </w:p>
    <w:p w:rsidR="00000000" w:rsidRDefault="00000000">
      <w:pPr>
        <w:pStyle w:val="SingleTxt"/>
      </w:pPr>
      <w:r>
        <w:tab/>
      </w:r>
      <w:r>
        <w:tab/>
        <w:t>Что касается мер, перечисленных в пятом периодическом докладе Авс</w:t>
      </w:r>
      <w:r>
        <w:t>т</w:t>
      </w:r>
      <w:r>
        <w:t xml:space="preserve">рии и касающихся поощрения занятости на условиях неполного рабочего дня в государственном секторе, то следует отметить, что теперь все </w:t>
      </w:r>
      <w:r>
        <w:rPr>
          <w:b/>
        </w:rPr>
        <w:t>работники гос</w:t>
      </w:r>
      <w:r>
        <w:rPr>
          <w:b/>
        </w:rPr>
        <w:t>у</w:t>
      </w:r>
      <w:r>
        <w:rPr>
          <w:b/>
        </w:rPr>
        <w:t>дарственного сектора</w:t>
      </w:r>
      <w:r>
        <w:t xml:space="preserve"> (а ранее – только государственные служащие) по закону имеют право работать неполный рабочий день до тех пор, пока их дети не по</w:t>
      </w:r>
      <w:r>
        <w:t>й</w:t>
      </w:r>
      <w:r>
        <w:t>дут в школу.</w:t>
      </w:r>
    </w:p>
    <w:p w:rsidR="00000000" w:rsidRDefault="00000000">
      <w:pPr>
        <w:pStyle w:val="H23"/>
      </w:pPr>
      <w:r>
        <w:tab/>
      </w:r>
    </w:p>
    <w:p w:rsidR="00000000" w:rsidRDefault="00000000">
      <w:pPr>
        <w:pStyle w:val="SingleTxt"/>
        <w:rPr>
          <w:spacing w:val="-3"/>
        </w:rPr>
      </w:pPr>
      <w:r>
        <w:tab/>
        <w:t xml:space="preserve">В соответствии с </w:t>
      </w:r>
      <w:r>
        <w:rPr>
          <w:b/>
        </w:rPr>
        <w:t>поправкой, внесенной в раздел 50 </w:t>
      </w:r>
      <w:r>
        <w:rPr>
          <w:b/>
          <w:lang w:val="en-US"/>
        </w:rPr>
        <w:t>b</w:t>
      </w:r>
      <w:r>
        <w:rPr>
          <w:b/>
        </w:rPr>
        <w:t>) Закона о государс</w:t>
      </w:r>
      <w:r>
        <w:rPr>
          <w:b/>
        </w:rPr>
        <w:t>т</w:t>
      </w:r>
      <w:r>
        <w:rPr>
          <w:b/>
        </w:rPr>
        <w:t xml:space="preserve">венной службе </w:t>
      </w:r>
      <w:r>
        <w:t xml:space="preserve">1979 года, которая вступила в силу 1 января 2004 года </w:t>
      </w:r>
      <w:r>
        <w:rPr>
          <w:spacing w:val="-3"/>
        </w:rPr>
        <w:t>(Бюлл</w:t>
      </w:r>
      <w:r>
        <w:rPr>
          <w:spacing w:val="-3"/>
        </w:rPr>
        <w:t>е</w:t>
      </w:r>
      <w:r>
        <w:rPr>
          <w:spacing w:val="-3"/>
        </w:rPr>
        <w:t xml:space="preserve">тень официальных законов, часть </w:t>
      </w:r>
      <w:r>
        <w:rPr>
          <w:spacing w:val="-3"/>
          <w:lang w:val="en-US"/>
        </w:rPr>
        <w:t>I</w:t>
      </w:r>
      <w:r>
        <w:rPr>
          <w:spacing w:val="-3"/>
        </w:rPr>
        <w:t>, № 130/2003), гражданские служащие, которые подали заявление и получают пособие по уходу за детьми в течение всего периода получения пособия, но только до тех пор, пока ребенку не исполнится 3 лет, имеют право на сокращенный рабочий день, даже если продолжительность их рабочего дня составляет менее половины стандартной продолжительности полного рабочего дня. В трудовых соглашениях с частными компаниями, заключаемых по Закону о труд</w:t>
      </w:r>
      <w:r>
        <w:rPr>
          <w:spacing w:val="-3"/>
        </w:rPr>
        <w:t>о</w:t>
      </w:r>
      <w:r>
        <w:rPr>
          <w:spacing w:val="-3"/>
        </w:rPr>
        <w:t>вых соглашениях с персоналом 1948 года, продолжительность рабочего времени м</w:t>
      </w:r>
      <w:r>
        <w:rPr>
          <w:spacing w:val="-3"/>
        </w:rPr>
        <w:t>о</w:t>
      </w:r>
      <w:r>
        <w:rPr>
          <w:spacing w:val="-3"/>
        </w:rPr>
        <w:t>жет определяться по договоренности сторон. Однако этот закон распространяется на такие соглашения только в том случае, если количество проработанного времени превышает одну треть от стандартной продолжител</w:t>
      </w:r>
      <w:r>
        <w:rPr>
          <w:spacing w:val="-3"/>
        </w:rPr>
        <w:t>ь</w:t>
      </w:r>
      <w:r>
        <w:rPr>
          <w:spacing w:val="-3"/>
        </w:rPr>
        <w:t xml:space="preserve">ности полного рабочего дня </w:t>
      </w:r>
    </w:p>
    <w:p w:rsidR="00000000" w:rsidRDefault="00000000">
      <w:pPr>
        <w:pStyle w:val="50"/>
      </w:pPr>
    </w:p>
    <w:p w:rsidR="00000000" w:rsidRDefault="00000000">
      <w:pPr>
        <w:pStyle w:val="50"/>
      </w:pPr>
    </w:p>
    <w:p w:rsidR="00000000" w:rsidRDefault="00000000">
      <w:pPr>
        <w:pStyle w:val="H23"/>
      </w:pPr>
      <w:r>
        <w:tab/>
      </w:r>
      <w:bookmarkStart w:id="120" w:name="_Toc97786726"/>
      <w:r>
        <w:t>Проект, касающийся коллективных помощников</w:t>
      </w:r>
      <w:bookmarkEnd w:id="120"/>
    </w:p>
    <w:p w:rsidR="00000000" w:rsidRDefault="00000000">
      <w:pPr>
        <w:pStyle w:val="SingleTxt"/>
      </w:pPr>
      <w:r>
        <w:tab/>
      </w:r>
      <w:r>
        <w:tab/>
        <w:t>Введение "электронных файлов" и корректировка национальной системы бухгалтерского учета повлекли за собой серьезные изменения в должностных функциях канцелярских работников. В 2002 году в Федеральной канцелярии была разработана должностная инструкция для "коллективных помощников", которые были включены в штатное расписание учреждений гражданской службы. Коллективные помощники исполняют роль координирующего и св</w:t>
      </w:r>
      <w:r>
        <w:t>я</w:t>
      </w:r>
      <w:r>
        <w:t>зующего звена между руководителями и сотрудниками, отвечающими за ко</w:t>
      </w:r>
      <w:r>
        <w:t>н</w:t>
      </w:r>
      <w:r>
        <w:t>кретные направления деятельности. По сравнению с должностной инструкцией для обычного служащего, должностная инструкция для коллективного помо</w:t>
      </w:r>
      <w:r>
        <w:t>щ</w:t>
      </w:r>
      <w:r>
        <w:t>ника включает в себя новые, специализированные виды деятельности в допо</w:t>
      </w:r>
      <w:r>
        <w:t>л</w:t>
      </w:r>
      <w:r>
        <w:t>нение к выполнению машинописных работ, обработке корреспонденции, с</w:t>
      </w:r>
      <w:r>
        <w:t>о</w:t>
      </w:r>
      <w:r>
        <w:t>ставлению расписаний и т.п. Данный проект поможет канцелярским работн</w:t>
      </w:r>
      <w:r>
        <w:t>и</w:t>
      </w:r>
      <w:r>
        <w:t>кам, подавляющая часть которых – женщины, достичь более высокого и орие</w:t>
      </w:r>
      <w:r>
        <w:t>н</w:t>
      </w:r>
      <w:r>
        <w:t>тированного на будущее уровня профессиональной подготовки, научиться в</w:t>
      </w:r>
      <w:r>
        <w:t>ы</w:t>
      </w:r>
      <w:r>
        <w:t>полнять гораздо более широкий круг обязанностей, приобрести более высокий уровень мотивации в условиях постоянно меняющихся задач и проблем в их повседневной трудовой деятельности и, в конечном итоге, повысить свой пр</w:t>
      </w:r>
      <w:r>
        <w:t>о</w:t>
      </w:r>
      <w:r>
        <w:t>фессиональный ст</w:t>
      </w:r>
      <w:r>
        <w:t>а</w:t>
      </w:r>
      <w:r>
        <w:t>тус и уровень дохода.</w:t>
      </w:r>
    </w:p>
    <w:p w:rsidR="00000000" w:rsidRDefault="00000000">
      <w:pPr>
        <w:pStyle w:val="SingleTxt"/>
      </w:pPr>
      <w:r>
        <w:tab/>
      </w:r>
      <w:r>
        <w:tab/>
        <w:t>С момента начала осуществления этого проекта в ноябре 2002 года подг</w:t>
      </w:r>
      <w:r>
        <w:t>о</w:t>
      </w:r>
      <w:r>
        <w:t>товку в качестве коллективных помощников прошли 30 женщин. В результате 29 из них были повышены в должности и стали получать более высокую зар</w:t>
      </w:r>
      <w:r>
        <w:t>а</w:t>
      </w:r>
      <w:r>
        <w:t>ботную плату. В 2003 году подготовку прошли еще 14 женщин, которые теперь работают на более высоко оплачиваемых должностях. Этот проект планируется распростр</w:t>
      </w:r>
      <w:r>
        <w:t>а</w:t>
      </w:r>
      <w:r>
        <w:t xml:space="preserve">нить и на другие министерства. </w:t>
      </w:r>
    </w:p>
    <w:p w:rsidR="00000000" w:rsidRDefault="00000000">
      <w:pPr>
        <w:pStyle w:val="SingleTxt"/>
        <w:rPr>
          <w:spacing w:val="-3"/>
        </w:rPr>
      </w:pPr>
      <w:r>
        <w:tab/>
      </w:r>
      <w:r>
        <w:tab/>
        <w:t xml:space="preserve">Федеральная канцелярия включила задачу обеспечения учета гендерного фактора в свое Распоряжение о начальной подготовке 2003 года </w:t>
      </w:r>
      <w:r>
        <w:rPr>
          <w:spacing w:val="-3"/>
        </w:rPr>
        <w:t xml:space="preserve">(Бюллетень официальных законов, часть </w:t>
      </w:r>
      <w:r>
        <w:rPr>
          <w:spacing w:val="-3"/>
          <w:lang w:val="en-US"/>
        </w:rPr>
        <w:t>I</w:t>
      </w:r>
      <w:r>
        <w:rPr>
          <w:spacing w:val="-3"/>
        </w:rPr>
        <w:t>, № 7/2003) в качестве самосто</w:t>
      </w:r>
      <w:r>
        <w:rPr>
          <w:spacing w:val="-3"/>
        </w:rPr>
        <w:t>я</w:t>
      </w:r>
      <w:r>
        <w:rPr>
          <w:spacing w:val="-3"/>
        </w:rPr>
        <w:t>тельного раздела.</w:t>
      </w:r>
    </w:p>
    <w:p w:rsidR="00000000" w:rsidRDefault="00000000">
      <w:pPr>
        <w:pStyle w:val="50"/>
      </w:pPr>
    </w:p>
    <w:p w:rsidR="00000000" w:rsidRDefault="00000000">
      <w:pPr>
        <w:pStyle w:val="50"/>
      </w:pPr>
    </w:p>
    <w:p w:rsidR="00000000" w:rsidRDefault="00000000">
      <w:pPr>
        <w:pStyle w:val="H23"/>
      </w:pPr>
      <w:r>
        <w:tab/>
      </w:r>
      <w:bookmarkStart w:id="121" w:name="_Toc97786727"/>
      <w:r>
        <w:t>Положение женщин-инвалидов на рынке труда</w:t>
      </w:r>
      <w:bookmarkEnd w:id="121"/>
    </w:p>
    <w:p w:rsidR="00000000" w:rsidRDefault="00000000">
      <w:pPr>
        <w:pStyle w:val="SingleTxt"/>
      </w:pPr>
      <w:r>
        <w:tab/>
      </w:r>
      <w:r>
        <w:tab/>
        <w:t xml:space="preserve">В </w:t>
      </w:r>
      <w:r>
        <w:rPr>
          <w:b/>
        </w:rPr>
        <w:t>общенациональной программе для инвалидов</w:t>
      </w:r>
      <w:r>
        <w:t xml:space="preserve">, </w:t>
      </w:r>
      <w:r>
        <w:rPr>
          <w:b/>
        </w:rPr>
        <w:t>касающейся</w:t>
      </w:r>
      <w:r>
        <w:t xml:space="preserve"> </w:t>
      </w:r>
      <w:r>
        <w:rPr>
          <w:b/>
        </w:rPr>
        <w:t xml:space="preserve">рынка труда, </w:t>
      </w:r>
      <w:r>
        <w:t>предусмотрены целенаправленные меры по облегчению положения женщин-инвалидов на р</w:t>
      </w:r>
      <w:r>
        <w:t>ы</w:t>
      </w:r>
      <w:r>
        <w:t>нке труда.</w:t>
      </w:r>
    </w:p>
    <w:p w:rsidR="00000000" w:rsidRDefault="00000000">
      <w:pPr>
        <w:pStyle w:val="SingleTxt"/>
      </w:pPr>
      <w:r>
        <w:tab/>
      </w:r>
      <w:r>
        <w:tab/>
        <w:t xml:space="preserve">В рамках проводимой правительством кампании по содействию занятости были выделены целевые средства (так называемый </w:t>
      </w:r>
      <w:r>
        <w:rPr>
          <w:b/>
        </w:rPr>
        <w:t>"миллиард для инвал</w:t>
      </w:r>
      <w:r>
        <w:rPr>
          <w:b/>
        </w:rPr>
        <w:t>и</w:t>
      </w:r>
      <w:r>
        <w:rPr>
          <w:b/>
        </w:rPr>
        <w:t>дов"</w:t>
      </w:r>
      <w:r>
        <w:t>) на осуществление мер в области повышения квалификации (например, на ремесленное обучение, подготовку без отрыва от производства и т.п.) и м</w:t>
      </w:r>
      <w:r>
        <w:t>е</w:t>
      </w:r>
      <w:r>
        <w:t>ры по расширению найма (например, в ресторанах и предприятиях обществе</w:t>
      </w:r>
      <w:r>
        <w:t>н</w:t>
      </w:r>
      <w:r>
        <w:t>ного питания, в сфере услуг и т.п.) в целях долгосрочного трудоустройства женщин-инвалидов на рынке труда. В тесном сотрудничестве с организациями, осуществляющими конкретные проекты, будут приложены усилия по орган</w:t>
      </w:r>
      <w:r>
        <w:t>и</w:t>
      </w:r>
      <w:r>
        <w:t>зации профессиональной подготовки и профессионального обучения, в частн</w:t>
      </w:r>
      <w:r>
        <w:t>о</w:t>
      </w:r>
      <w:r>
        <w:t>сти для молодежи. Женщины-инвалиды более пожилого возраста должны пройти переподготовку, с тем чтобы получить работу, открывающую более ш</w:t>
      </w:r>
      <w:r>
        <w:t>и</w:t>
      </w:r>
      <w:r>
        <w:t>рокие пе</w:t>
      </w:r>
      <w:r>
        <w:t>р</w:t>
      </w:r>
      <w:r>
        <w:t>спективы (например, должности в секторе ИТ).</w:t>
      </w:r>
    </w:p>
    <w:p w:rsidR="00000000" w:rsidRDefault="00000000">
      <w:pPr>
        <w:pStyle w:val="SingleTxt"/>
      </w:pPr>
      <w:r>
        <w:tab/>
      </w:r>
      <w:r>
        <w:tab/>
        <w:t>В 2002 году было организовано исследование под названием "Быть же</w:t>
      </w:r>
      <w:r>
        <w:t>н</w:t>
      </w:r>
      <w:r>
        <w:t>щиной – и не сталкиваться с барьерами", призванное лучше согласовать меры, принимаемые в интересах женщин-инвалидов, с их реальными потребностями. После того, как это исследование будет завершено, его выводы будут использ</w:t>
      </w:r>
      <w:r>
        <w:t>о</w:t>
      </w:r>
      <w:r>
        <w:t>ваны в процессе обеспечения профессиональной интегр</w:t>
      </w:r>
      <w:r>
        <w:t>а</w:t>
      </w:r>
      <w:r>
        <w:t>ции инвалидов.</w:t>
      </w:r>
    </w:p>
    <w:p w:rsidR="00000000" w:rsidRDefault="00000000">
      <w:pPr>
        <w:pStyle w:val="SingleTxt"/>
      </w:pPr>
      <w:r>
        <w:tab/>
      </w:r>
      <w:r>
        <w:tab/>
        <w:t>В рамках своей кампании в поддержку занятости, проводившейся в 2001 и 2002 годах, федеральное правительство оказало поддержку инвалидам по всей территории Австрии, среди которых женщины составляли около 40 процентов. Доля женщин, получивших материальные выгоды от этой кампании, ежегодно равнялась 38 процентам.</w:t>
      </w:r>
    </w:p>
    <w:p w:rsidR="00000000" w:rsidRDefault="00000000">
      <w:pPr>
        <w:pStyle w:val="50"/>
      </w:pPr>
    </w:p>
    <w:p w:rsidR="00000000" w:rsidRDefault="00000000">
      <w:pPr>
        <w:pStyle w:val="50"/>
      </w:pPr>
    </w:p>
    <w:p w:rsidR="00000000" w:rsidRDefault="00000000">
      <w:pPr>
        <w:pStyle w:val="H23"/>
      </w:pPr>
      <w:r>
        <w:tab/>
      </w:r>
      <w:bookmarkStart w:id="122" w:name="_Toc97786728"/>
      <w:r>
        <w:t>Участие в проектах ЕС</w:t>
      </w:r>
      <w:bookmarkEnd w:id="122"/>
    </w:p>
    <w:p w:rsidR="00000000" w:rsidRDefault="00000000">
      <w:pPr>
        <w:pStyle w:val="SingleTxt"/>
      </w:pPr>
      <w:r>
        <w:tab/>
      </w:r>
      <w:r>
        <w:tab/>
        <w:t>Проект "</w:t>
      </w:r>
      <w:r>
        <w:rPr>
          <w:lang w:val="en-US"/>
        </w:rPr>
        <w:t>EQUAL</w:t>
      </w:r>
      <w:r>
        <w:t>" представляет собой инициативу Сообщества, выдвин</w:t>
      </w:r>
      <w:r>
        <w:t>у</w:t>
      </w:r>
      <w:r>
        <w:t>тую для изыскания путей и средств осуществления политики в области занят</w:t>
      </w:r>
      <w:r>
        <w:t>о</w:t>
      </w:r>
      <w:r>
        <w:t xml:space="preserve">сти и борьбы с дискриминацией, неравенством и изоляцией. </w:t>
      </w:r>
    </w:p>
    <w:p w:rsidR="00000000" w:rsidRDefault="00000000">
      <w:pPr>
        <w:pStyle w:val="SingleTxt"/>
      </w:pPr>
      <w:r>
        <w:rPr>
          <w:b/>
        </w:rPr>
        <w:tab/>
      </w:r>
      <w:r>
        <w:rPr>
          <w:b/>
        </w:rPr>
        <w:tab/>
        <w:t>Власти Бургенланда</w:t>
      </w:r>
      <w:r>
        <w:t xml:space="preserve"> создали в рамках инициативы "</w:t>
      </w:r>
      <w:r>
        <w:rPr>
          <w:lang w:val="en-US"/>
        </w:rPr>
        <w:t>EQUAL</w:t>
      </w:r>
      <w:r>
        <w:t>" два пар</w:t>
      </w:r>
      <w:r>
        <w:t>т</w:t>
      </w:r>
      <w:r>
        <w:t>нерства для разработки и принятия мер, которые помогут уменьшить сегрег</w:t>
      </w:r>
      <w:r>
        <w:t>а</w:t>
      </w:r>
      <w:r>
        <w:t>цию рынка труда по признаку пола.</w:t>
      </w:r>
    </w:p>
    <w:p w:rsidR="00000000" w:rsidRDefault="00000000">
      <w:pPr>
        <w:pStyle w:val="SingleTxt"/>
      </w:pPr>
      <w:r>
        <w:tab/>
      </w:r>
      <w:r>
        <w:tab/>
        <w:t>Партнерство в области развития под названием "Улучшение положения женщин и обеспечение учета гендерного фактора" в первую очередь занимае</w:t>
      </w:r>
      <w:r>
        <w:t>т</w:t>
      </w:r>
      <w:r>
        <w:t>ся развитием навыков и обеспечением непрерывного образования, а также ра</w:t>
      </w:r>
      <w:r>
        <w:t>с</w:t>
      </w:r>
      <w:r>
        <w:t>пространением специализированной информации по вопросам учета гендерн</w:t>
      </w:r>
      <w:r>
        <w:t>о</w:t>
      </w:r>
      <w:r>
        <w:t>го фактора. Второе партнерство в области развития, именуемое "Женщины и новые информационно-коммуникационные технологии в Бургенланде", зан</w:t>
      </w:r>
      <w:r>
        <w:t>и</w:t>
      </w:r>
      <w:r>
        <w:t>мается разработкой и осуществлением стратегий, которые, с одной стороны, обеспечат женщинам доступ к новым технологиям, а, с другой стороны, пом</w:t>
      </w:r>
      <w:r>
        <w:t>о</w:t>
      </w:r>
      <w:r>
        <w:t>гут им правильно воспользоваться таким доступом. Другая цель состоит в том, чтобы вызвать коренное изменение отношения женщин и девушек к нетрад</w:t>
      </w:r>
      <w:r>
        <w:t>и</w:t>
      </w:r>
      <w:r>
        <w:t>ционным профессиям.</w:t>
      </w:r>
    </w:p>
    <w:p w:rsidR="00000000" w:rsidRDefault="00000000">
      <w:pPr>
        <w:pStyle w:val="SingleTxt"/>
      </w:pPr>
      <w:r>
        <w:tab/>
      </w:r>
      <w:r>
        <w:tab/>
        <w:t>Уполномоченный по делам женщин провинции Зальцбург участвует в осуществлении целого ряда проектов и программ ЕС, направленных на умен</w:t>
      </w:r>
      <w:r>
        <w:t>ь</w:t>
      </w:r>
      <w:r>
        <w:t>шение дискриминации в отношении женщин и поощрение равных возможн</w:t>
      </w:r>
      <w:r>
        <w:t>о</w:t>
      </w:r>
      <w:r>
        <w:t>стей в сфере труда. В качестве примеров подобных проектов и программ мо</w:t>
      </w:r>
      <w:r>
        <w:t>ж</w:t>
      </w:r>
      <w:r>
        <w:t xml:space="preserve">но привести партнерство по обеспечению равных возможностей "Равноправие в Зальцбурге" (2002-2005 годы); проект </w:t>
      </w:r>
      <w:r>
        <w:rPr>
          <w:lang w:val="en-US"/>
        </w:rPr>
        <w:t>MAP</w:t>
      </w:r>
      <w:r>
        <w:t>, касающийся института наста</w:t>
      </w:r>
      <w:r>
        <w:t>в</w:t>
      </w:r>
      <w:r>
        <w:t>ничества как инструмента развития людских ресурсов; межрегиональный пр</w:t>
      </w:r>
      <w:r>
        <w:t>о</w:t>
      </w:r>
      <w:r>
        <w:t xml:space="preserve">ект в рамках "Интерег </w:t>
      </w:r>
      <w:r>
        <w:rPr>
          <w:lang w:val="en-US"/>
        </w:rPr>
        <w:t>III</w:t>
      </w:r>
      <w:r>
        <w:t xml:space="preserve"> </w:t>
      </w:r>
      <w:r>
        <w:rPr>
          <w:lang w:val="en-US"/>
        </w:rPr>
        <w:t>A</w:t>
      </w:r>
      <w:r>
        <w:t>" для женщин и малых и средних предприятий в районах Австрии, граничащих с Германией, Швейцарией и Чешской Республ</w:t>
      </w:r>
      <w:r>
        <w:t>и</w:t>
      </w:r>
      <w:r>
        <w:t>кой, направленный на содействие созданию равных возможностей для раб</w:t>
      </w:r>
      <w:r>
        <w:t>о</w:t>
      </w:r>
      <w:r>
        <w:t>тающих женщин с помощью программ повышения квалификации и наставн</w:t>
      </w:r>
      <w:r>
        <w:t>и</w:t>
      </w:r>
      <w:r>
        <w:t>чества и поощрение р</w:t>
      </w:r>
      <w:r>
        <w:t>е</w:t>
      </w:r>
      <w:r>
        <w:t xml:space="preserve">гионального развития. </w:t>
      </w:r>
    </w:p>
    <w:p w:rsidR="00000000" w:rsidRDefault="00000000">
      <w:pPr>
        <w:pStyle w:val="SingleTxt"/>
      </w:pPr>
      <w:r>
        <w:tab/>
      </w:r>
      <w:r>
        <w:tab/>
        <w:t>Информация о других проектах приведена в Приложении 1.</w:t>
      </w:r>
    </w:p>
    <w:p w:rsidR="00000000" w:rsidRDefault="00000000">
      <w:pPr>
        <w:pStyle w:val="50"/>
      </w:pPr>
    </w:p>
    <w:p w:rsidR="00000000" w:rsidRDefault="00000000">
      <w:pPr>
        <w:pStyle w:val="50"/>
      </w:pPr>
    </w:p>
    <w:p w:rsidR="00000000" w:rsidRDefault="00000000">
      <w:pPr>
        <w:pStyle w:val="H23"/>
        <w:rPr>
          <w:u w:val="single"/>
        </w:rPr>
      </w:pPr>
      <w:r>
        <w:tab/>
      </w:r>
      <w:bookmarkStart w:id="123" w:name="_Toc97786729"/>
      <w:r>
        <w:rPr>
          <w:u w:val="single"/>
        </w:rPr>
        <w:t xml:space="preserve">Статья 11, пункт 1, подпункт </w:t>
      </w:r>
      <w:r>
        <w:rPr>
          <w:u w:val="single"/>
          <w:lang w:val="en-US"/>
        </w:rPr>
        <w:t>b</w:t>
      </w:r>
      <w:r>
        <w:rPr>
          <w:u w:val="single"/>
        </w:rPr>
        <w:t>)</w:t>
      </w:r>
      <w:bookmarkEnd w:id="123"/>
    </w:p>
    <w:p w:rsidR="00000000" w:rsidRDefault="00000000">
      <w:pPr>
        <w:pStyle w:val="50"/>
      </w:pPr>
    </w:p>
    <w:p w:rsidR="00000000" w:rsidRDefault="00000000">
      <w:pPr>
        <w:pStyle w:val="H23"/>
      </w:pPr>
      <w:r>
        <w:tab/>
      </w:r>
      <w:bookmarkStart w:id="124" w:name="_Toc97786730"/>
      <w:r>
        <w:t>Поправка к Закону о равном обращении 2001 года</w:t>
      </w:r>
      <w:bookmarkEnd w:id="124"/>
    </w:p>
    <w:p w:rsidR="00000000" w:rsidRDefault="00000000">
      <w:pPr>
        <w:pStyle w:val="SingleTxt"/>
        <w:rPr>
          <w:spacing w:val="-3"/>
        </w:rPr>
      </w:pPr>
      <w:r>
        <w:tab/>
      </w:r>
      <w:r>
        <w:tab/>
        <w:t xml:space="preserve">За отчетный период поправки в Закон о равном обращении вносились дважды. Изменения, касающиеся Конвенции, содержатся в поправке, которая изложена в </w:t>
      </w:r>
      <w:r>
        <w:rPr>
          <w:spacing w:val="-3"/>
        </w:rPr>
        <w:t xml:space="preserve">Бюллетене официальных законов, часть </w:t>
      </w:r>
      <w:r>
        <w:rPr>
          <w:spacing w:val="-3"/>
          <w:lang w:val="en-US"/>
        </w:rPr>
        <w:t>I</w:t>
      </w:r>
      <w:r>
        <w:rPr>
          <w:spacing w:val="-3"/>
        </w:rPr>
        <w:t>, № 129/2001 (см. замечания, касающиеся рекомендации 235). Речь о поправке и новых положениях Закона о ра</w:t>
      </w:r>
      <w:r>
        <w:rPr>
          <w:spacing w:val="-3"/>
        </w:rPr>
        <w:t>в</w:t>
      </w:r>
      <w:r>
        <w:rPr>
          <w:spacing w:val="-3"/>
        </w:rPr>
        <w:t>ном обращении идет в разделе настоящего доклада, касающемся рекомендации 235.</w:t>
      </w:r>
    </w:p>
    <w:p w:rsidR="00000000" w:rsidRDefault="00000000">
      <w:pPr>
        <w:pStyle w:val="50"/>
      </w:pPr>
    </w:p>
    <w:p w:rsidR="00000000" w:rsidRDefault="00000000">
      <w:pPr>
        <w:pStyle w:val="50"/>
      </w:pPr>
    </w:p>
    <w:p w:rsidR="00000000" w:rsidRDefault="00000000">
      <w:pPr>
        <w:pStyle w:val="H23"/>
        <w:rPr>
          <w:u w:val="single"/>
        </w:rPr>
      </w:pPr>
      <w:r>
        <w:tab/>
      </w:r>
      <w:bookmarkStart w:id="125" w:name="_Toc97786731"/>
      <w:r>
        <w:rPr>
          <w:u w:val="single"/>
        </w:rPr>
        <w:t>Статья 11, пункт 1, подпункт с)</w:t>
      </w:r>
      <w:bookmarkEnd w:id="125"/>
    </w:p>
    <w:p w:rsidR="00000000" w:rsidRDefault="00000000">
      <w:pPr>
        <w:pStyle w:val="50"/>
      </w:pPr>
    </w:p>
    <w:p w:rsidR="00000000" w:rsidRDefault="00000000">
      <w:pPr>
        <w:pStyle w:val="50"/>
      </w:pPr>
    </w:p>
    <w:p w:rsidR="00000000" w:rsidRDefault="00000000">
      <w:pPr>
        <w:pStyle w:val="H23"/>
      </w:pPr>
      <w:r>
        <w:tab/>
      </w:r>
      <w:bookmarkStart w:id="126" w:name="_Toc97786732"/>
      <w:r>
        <w:t>Учебный отпуск</w:t>
      </w:r>
      <w:bookmarkEnd w:id="126"/>
    </w:p>
    <w:p w:rsidR="00000000" w:rsidRDefault="00000000">
      <w:pPr>
        <w:pStyle w:val="SingleTxt"/>
      </w:pPr>
      <w:r>
        <w:tab/>
      </w:r>
      <w:r>
        <w:tab/>
        <w:t>В соответствии с поправкой, изложенной в Бюллетене официальных зак</w:t>
      </w:r>
      <w:r>
        <w:t>о</w:t>
      </w:r>
      <w:r>
        <w:t xml:space="preserve">нов, часть </w:t>
      </w:r>
      <w:r>
        <w:rPr>
          <w:lang w:val="en-US"/>
        </w:rPr>
        <w:t>I</w:t>
      </w:r>
      <w:r>
        <w:t>, № 179/1999, положение раздела 11 Закона о корректировке труд</w:t>
      </w:r>
      <w:r>
        <w:t>о</w:t>
      </w:r>
      <w:r>
        <w:t>вых соглашений о минимальной продолжительности учебного отпуска было изменено, и минимальный срок такого отпуска с шести месяцев был сокращен до трех. Ожидается, что эта поправка сподвигнет работодателей к тому, чтобы более охотно предоставлять учебный отпуск своим работникам, поскольку, как правило, договориться о более коротких периодах отсутствия гораздо проще. Это положение распространяется как на мужчин, так и на женщин и при этом создает косвенные стимулы для повышения квалификации работающих же</w:t>
      </w:r>
      <w:r>
        <w:t>н</w:t>
      </w:r>
      <w:r>
        <w:t>щин.</w:t>
      </w:r>
    </w:p>
    <w:p w:rsidR="00000000" w:rsidRDefault="00000000">
      <w:pPr>
        <w:pStyle w:val="50"/>
      </w:pPr>
    </w:p>
    <w:p w:rsidR="00000000" w:rsidRDefault="00000000">
      <w:pPr>
        <w:pStyle w:val="50"/>
      </w:pPr>
    </w:p>
    <w:p w:rsidR="00000000" w:rsidRDefault="00000000">
      <w:pPr>
        <w:pStyle w:val="H4"/>
        <w:rPr>
          <w:b/>
          <w:i w:val="0"/>
        </w:rPr>
      </w:pPr>
      <w:r>
        <w:rPr>
          <w:b/>
          <w:i w:val="0"/>
        </w:rPr>
        <w:t>Инициативы провинций</w:t>
      </w:r>
    </w:p>
    <w:p w:rsidR="00000000" w:rsidRDefault="00000000">
      <w:pPr>
        <w:pStyle w:val="SingleTxt"/>
      </w:pPr>
      <w:r>
        <w:tab/>
      </w:r>
      <w:r>
        <w:tab/>
        <w:t>Власти провинций выступают с самыми различными инициативами по улучшению положения женщин на рынке труда: проекты в области наставн</w:t>
      </w:r>
      <w:r>
        <w:t>и</w:t>
      </w:r>
      <w:r>
        <w:t>чества, проекты по изменению отношения девушек к технологии и совмещ</w:t>
      </w:r>
      <w:r>
        <w:t>е</w:t>
      </w:r>
      <w:r>
        <w:t>нию производственных и семейных обязанностей, новые курсы подготовки, дни девушек и мероприятия по распространению информации о сексуальных домогательствах на производстве. В качестве примеров можно привести сл</w:t>
      </w:r>
      <w:r>
        <w:t>е</w:t>
      </w:r>
      <w:r>
        <w:t>дующие инициат</w:t>
      </w:r>
      <w:r>
        <w:t>и</w:t>
      </w:r>
      <w:r>
        <w:t>вы.</w:t>
      </w:r>
    </w:p>
    <w:p w:rsidR="00000000" w:rsidRDefault="00000000">
      <w:pPr>
        <w:pStyle w:val="SingleTxt"/>
      </w:pPr>
      <w:r>
        <w:tab/>
      </w:r>
      <w:r>
        <w:tab/>
        <w:t xml:space="preserve">В </w:t>
      </w:r>
      <w:r>
        <w:rPr>
          <w:b/>
        </w:rPr>
        <w:t>Зальцбурге</w:t>
      </w:r>
      <w:r>
        <w:t xml:space="preserve"> женщины впервые получили доступ к профессии машин</w:t>
      </w:r>
      <w:r>
        <w:t>и</w:t>
      </w:r>
      <w:r>
        <w:t xml:space="preserve">ста электропоезда; в </w:t>
      </w:r>
      <w:r>
        <w:rPr>
          <w:b/>
        </w:rPr>
        <w:t>Каринтии</w:t>
      </w:r>
      <w:r>
        <w:t xml:space="preserve"> для сельских женщин были открыты курсы п</w:t>
      </w:r>
      <w:r>
        <w:t>о</w:t>
      </w:r>
      <w:r>
        <w:t>вышения компьютерной грамотности в сочетании с услугами по дневному ух</w:t>
      </w:r>
      <w:r>
        <w:t>о</w:t>
      </w:r>
      <w:r>
        <w:t xml:space="preserve">ду за детьми; в </w:t>
      </w:r>
      <w:r>
        <w:rPr>
          <w:b/>
        </w:rPr>
        <w:t>Нижней Австрии</w:t>
      </w:r>
      <w:r>
        <w:t xml:space="preserve"> был организован проект "НОЕЛ" по созд</w:t>
      </w:r>
      <w:r>
        <w:t>а</w:t>
      </w:r>
      <w:r>
        <w:t xml:space="preserve">нию равных возможностей на рынке труда в будущем; в </w:t>
      </w:r>
      <w:r>
        <w:rPr>
          <w:b/>
        </w:rPr>
        <w:t>Верхней Австрии</w:t>
      </w:r>
      <w:r>
        <w:t xml:space="preserve"> б</w:t>
      </w:r>
      <w:r>
        <w:t>ы</w:t>
      </w:r>
      <w:r>
        <w:t>ли приняты меры в целях повышения квалификации женщин в регионах пр</w:t>
      </w:r>
      <w:r>
        <w:t>о</w:t>
      </w:r>
      <w:r>
        <w:t xml:space="preserve">винции; в </w:t>
      </w:r>
      <w:r>
        <w:rPr>
          <w:b/>
        </w:rPr>
        <w:t>Форарльберге</w:t>
      </w:r>
      <w:r>
        <w:t xml:space="preserve"> была введена функциональная система оплаты труда в целях улучшения положения женщин, работающих в административных о</w:t>
      </w:r>
      <w:r>
        <w:t>р</w:t>
      </w:r>
      <w:r>
        <w:t xml:space="preserve">ганах провинции; в </w:t>
      </w:r>
      <w:r>
        <w:rPr>
          <w:b/>
        </w:rPr>
        <w:t>Тироле</w:t>
      </w:r>
      <w:r>
        <w:t xml:space="preserve"> для работников государственной службы был орг</w:t>
      </w:r>
      <w:r>
        <w:t>а</w:t>
      </w:r>
      <w:r>
        <w:t xml:space="preserve">низован проект в области наставничества; в </w:t>
      </w:r>
      <w:r>
        <w:rPr>
          <w:b/>
        </w:rPr>
        <w:t>Вене</w:t>
      </w:r>
      <w:r>
        <w:t xml:space="preserve"> была инициирована пр</w:t>
      </w:r>
      <w:r>
        <w:t>о</w:t>
      </w:r>
      <w:r>
        <w:t>грамма "ДАРИНГ", предназначенная для женщин с низким уровнем квалиф</w:t>
      </w:r>
      <w:r>
        <w:t>и</w:t>
      </w:r>
      <w:r>
        <w:t>кации и женщин старше 40 лет, желающих или вынужденных сменить работу, и программа "</w:t>
      </w:r>
      <w:r>
        <w:rPr>
          <w:lang w:val="en-US"/>
        </w:rPr>
        <w:t>GO</w:t>
      </w:r>
      <w:r>
        <w:t xml:space="preserve"> </w:t>
      </w:r>
      <w:r>
        <w:rPr>
          <w:lang w:val="en-US"/>
        </w:rPr>
        <w:t>UP</w:t>
      </w:r>
      <w:r>
        <w:t>" – одногодичная кампания, преследующая цель проп</w:t>
      </w:r>
      <w:r>
        <w:t>а</w:t>
      </w:r>
      <w:r>
        <w:t>гандировать на частных предприятиях в Вене идею управления, обеспечива</w:t>
      </w:r>
      <w:r>
        <w:t>ю</w:t>
      </w:r>
      <w:r>
        <w:t xml:space="preserve">щего равенство (см. руководство "Семь шагов к равенству" и веб-сайт </w:t>
      </w:r>
      <w:hyperlink r:id="rId27" w:history="1">
        <w:r>
          <w:rPr>
            <w:rStyle w:val="Hyperlink"/>
            <w:lang w:val="en-US"/>
          </w:rPr>
          <w:t>www</w:t>
        </w:r>
        <w:r>
          <w:rPr>
            <w:rStyle w:val="Hyperlink"/>
          </w:rPr>
          <w:t>.</w:t>
        </w:r>
        <w:r>
          <w:rPr>
            <w:rStyle w:val="Hyperlink"/>
            <w:lang w:val="en-US"/>
          </w:rPr>
          <w:t>gleichstellung</w:t>
        </w:r>
        <w:r>
          <w:rPr>
            <w:rStyle w:val="Hyperlink"/>
          </w:rPr>
          <w:t>.</w:t>
        </w:r>
        <w:r>
          <w:rPr>
            <w:rStyle w:val="Hyperlink"/>
            <w:lang w:val="en-US"/>
          </w:rPr>
          <w:t>info</w:t>
        </w:r>
      </w:hyperlink>
      <w:r>
        <w:t>).</w:t>
      </w:r>
    </w:p>
    <w:p w:rsidR="00000000" w:rsidRDefault="00000000">
      <w:pPr>
        <w:pStyle w:val="SingleTxt"/>
      </w:pPr>
      <w:r>
        <w:tab/>
      </w:r>
      <w:r>
        <w:tab/>
        <w:t>(См. также разделы настоящего доклада, касающиеся рекомендаций 233 и 234.)</w:t>
      </w:r>
    </w:p>
    <w:p w:rsidR="00000000" w:rsidRDefault="00000000">
      <w:pPr>
        <w:pStyle w:val="50"/>
      </w:pPr>
    </w:p>
    <w:p w:rsidR="00000000" w:rsidRDefault="00000000">
      <w:pPr>
        <w:pStyle w:val="50"/>
      </w:pPr>
    </w:p>
    <w:p w:rsidR="00000000" w:rsidRDefault="00000000">
      <w:pPr>
        <w:pStyle w:val="H23"/>
        <w:rPr>
          <w:u w:val="single"/>
        </w:rPr>
      </w:pPr>
      <w:r>
        <w:tab/>
      </w:r>
      <w:bookmarkStart w:id="127" w:name="_Toc97786733"/>
      <w:r>
        <w:rPr>
          <w:u w:val="single"/>
        </w:rPr>
        <w:t xml:space="preserve">Статья 11, пункт 1, подпункт </w:t>
      </w:r>
      <w:r>
        <w:rPr>
          <w:u w:val="single"/>
          <w:lang w:val="en-US"/>
        </w:rPr>
        <w:t>d</w:t>
      </w:r>
      <w:r>
        <w:rPr>
          <w:u w:val="single"/>
        </w:rPr>
        <w:t>)</w:t>
      </w:r>
      <w:bookmarkEnd w:id="127"/>
    </w:p>
    <w:p w:rsidR="00000000" w:rsidRDefault="00000000">
      <w:pPr>
        <w:pStyle w:val="SingleTxt"/>
      </w:pPr>
      <w:r>
        <w:tab/>
      </w:r>
      <w:r>
        <w:tab/>
        <w:t>См. замечания, касающиеся рекомендаций 233 и 234.</w:t>
      </w:r>
    </w:p>
    <w:p w:rsidR="00000000" w:rsidRDefault="00000000">
      <w:pPr>
        <w:pStyle w:val="50"/>
      </w:pPr>
    </w:p>
    <w:p w:rsidR="00000000" w:rsidRDefault="00000000">
      <w:pPr>
        <w:pStyle w:val="50"/>
      </w:pPr>
    </w:p>
    <w:p w:rsidR="00000000" w:rsidRDefault="00000000">
      <w:pPr>
        <w:pStyle w:val="H23"/>
        <w:rPr>
          <w:u w:val="single"/>
        </w:rPr>
      </w:pPr>
      <w:r>
        <w:tab/>
      </w:r>
      <w:bookmarkStart w:id="128" w:name="_Toc97786734"/>
      <w:r>
        <w:rPr>
          <w:u w:val="single"/>
        </w:rPr>
        <w:t>Статья 11, пункт 1, подпункт е)</w:t>
      </w:r>
      <w:bookmarkEnd w:id="128"/>
    </w:p>
    <w:p w:rsidR="00000000" w:rsidRDefault="00000000">
      <w:pPr>
        <w:pStyle w:val="50"/>
        <w:keepNext/>
      </w:pPr>
    </w:p>
    <w:p w:rsidR="00000000" w:rsidRDefault="00000000">
      <w:pPr>
        <w:pStyle w:val="50"/>
        <w:keepNext/>
      </w:pPr>
    </w:p>
    <w:p w:rsidR="00000000" w:rsidRDefault="00000000">
      <w:pPr>
        <w:pStyle w:val="H23"/>
      </w:pPr>
      <w:r>
        <w:tab/>
      </w:r>
      <w:bookmarkStart w:id="129" w:name="_Toc97786735"/>
      <w:r>
        <w:t>Пенсии</w:t>
      </w:r>
      <w:bookmarkEnd w:id="129"/>
    </w:p>
    <w:p w:rsidR="00000000" w:rsidRDefault="00000000">
      <w:pPr>
        <w:pStyle w:val="SingleTxt"/>
      </w:pPr>
      <w:r>
        <w:tab/>
      </w:r>
      <w:r>
        <w:tab/>
        <w:t>В рамках официальной программы пенсионного обеспечения среднем</w:t>
      </w:r>
      <w:r>
        <w:t>е</w:t>
      </w:r>
      <w:r>
        <w:t>сячный размер пенсии (по старости и инвалидности) вместе с уравнительными надбавками, полученными пенсионерами, недавно вышедшими на пенсию, в 2002 году составлял 1 400 евро для мужчин и всего лишь 655 евро для женщин (за исключением пенсий, частично выплачиваемых по международным согл</w:t>
      </w:r>
      <w:r>
        <w:t>а</w:t>
      </w:r>
      <w:r>
        <w:t>шениям). Уравнительные надбавки доводят размер пенсий до минимальной б</w:t>
      </w:r>
      <w:r>
        <w:t>а</w:t>
      </w:r>
      <w:r>
        <w:t>зисной ставки в зависимости от других доходов, получаемых пенсионером или ее или его партнером. В 2003 году базисные ставки были установлены на уро</w:t>
      </w:r>
      <w:r>
        <w:t>в</w:t>
      </w:r>
      <w:r>
        <w:t>не 643,54 евро для одиноких граждан и 965,53 для супружеских пар. Женщины получают приблизительно 70 процентов уравнительных надбавок. В 2002 году размер среднемесячного пособия по безработице равнялся 625 евро для же</w:t>
      </w:r>
      <w:r>
        <w:t>н</w:t>
      </w:r>
      <w:r>
        <w:t>щин и 734 евро для мужчин (включая семейные надбавки).</w:t>
      </w:r>
    </w:p>
    <w:p w:rsidR="00000000" w:rsidRDefault="00000000">
      <w:pPr>
        <w:pStyle w:val="SingleTxt"/>
      </w:pPr>
      <w:r>
        <w:tab/>
      </w:r>
      <w:r>
        <w:tab/>
        <w:t>Из-за перерывов в трудовом стаже (в основном по семейным причинам) женщины-пенсионерки обычно имеют менее продолжительный стаж страхов</w:t>
      </w:r>
      <w:r>
        <w:t>а</w:t>
      </w:r>
      <w:r>
        <w:t>ния по сравнению с мужчинами. Теперь, когда в общий стаж стали засчит</w:t>
      </w:r>
      <w:r>
        <w:t>ы</w:t>
      </w:r>
      <w:r>
        <w:t>ваться периоды ухода за детьми, этот разрыв до некоторой степени сократился. Однако пенсионная система не в состоянии компенсировать более низкие зар</w:t>
      </w:r>
      <w:r>
        <w:t>а</w:t>
      </w:r>
      <w:r>
        <w:t>ботки, которые женщины получали в течение своей активной трудовой жизни.</w:t>
      </w:r>
    </w:p>
    <w:p w:rsidR="00000000" w:rsidRDefault="00000000">
      <w:pPr>
        <w:pStyle w:val="SingleTxt"/>
      </w:pPr>
      <w:r>
        <w:tab/>
      </w:r>
      <w:r>
        <w:tab/>
        <w:t>Более подробную информацию о пенсиях см. в замечаниях, касающихся рекомендации 236. В связи с медицинским страхованием следует отметить, что в соответствии с новыми положениями о совместном и не предусматривающем взносов страховании, которые вступили в силу с 1 января 2001 года, родстве</w:t>
      </w:r>
      <w:r>
        <w:t>н</w:t>
      </w:r>
      <w:r>
        <w:t>ники, получающие пособие по долговременному уходу как минимум четверт</w:t>
      </w:r>
      <w:r>
        <w:t>о</w:t>
      </w:r>
      <w:r>
        <w:t>го класса, или родственники, ухаживающие за лицом, получающим такое пос</w:t>
      </w:r>
      <w:r>
        <w:t>о</w:t>
      </w:r>
      <w:r>
        <w:t>бие, будут оставаться участниками совместного и не предусматривающего взносов стр</w:t>
      </w:r>
      <w:r>
        <w:t>а</w:t>
      </w:r>
      <w:r>
        <w:t xml:space="preserve">ховании. </w:t>
      </w:r>
    </w:p>
    <w:p w:rsidR="00000000" w:rsidRDefault="00000000">
      <w:pPr>
        <w:pStyle w:val="50"/>
      </w:pPr>
    </w:p>
    <w:p w:rsidR="00000000" w:rsidRDefault="00000000">
      <w:pPr>
        <w:pStyle w:val="50"/>
      </w:pPr>
    </w:p>
    <w:p w:rsidR="00000000" w:rsidRDefault="00000000">
      <w:pPr>
        <w:pStyle w:val="H23"/>
        <w:rPr>
          <w:u w:val="single"/>
        </w:rPr>
      </w:pPr>
      <w:r>
        <w:tab/>
      </w:r>
      <w:bookmarkStart w:id="130" w:name="_Toc97786736"/>
      <w:r>
        <w:rPr>
          <w:u w:val="single"/>
        </w:rPr>
        <w:t xml:space="preserve">Статья 11, пункт 1, подпункт </w:t>
      </w:r>
      <w:r>
        <w:rPr>
          <w:u w:val="single"/>
          <w:lang w:val="en-US"/>
        </w:rPr>
        <w:t>f</w:t>
      </w:r>
      <w:r>
        <w:rPr>
          <w:u w:val="single"/>
        </w:rPr>
        <w:t>)</w:t>
      </w:r>
      <w:bookmarkEnd w:id="130"/>
    </w:p>
    <w:p w:rsidR="00000000" w:rsidRDefault="00000000">
      <w:pPr>
        <w:pStyle w:val="H23"/>
      </w:pPr>
      <w:r>
        <w:tab/>
      </w:r>
    </w:p>
    <w:p w:rsidR="00000000" w:rsidRDefault="00000000">
      <w:pPr>
        <w:pStyle w:val="SingleTxt"/>
      </w:pPr>
      <w:r>
        <w:tab/>
      </w:r>
      <w:r>
        <w:tab/>
        <w:t>В соответствии с поправкой, внесенной в постановление о запрете и/или ограничении практики использования женщин на некоторых видах работ, в с</w:t>
      </w:r>
      <w:r>
        <w:t>и</w:t>
      </w:r>
      <w:r>
        <w:t>ле будут оставаться только те правила, которые вытекают из половых особе</w:t>
      </w:r>
      <w:r>
        <w:t>н</w:t>
      </w:r>
      <w:r>
        <w:t>ностей и подкрепляются научными данными. Речь идет о подземных работах (за некоторыми исключениями), облучении свинцом, превышающем допуст</w:t>
      </w:r>
      <w:r>
        <w:t>и</w:t>
      </w:r>
      <w:r>
        <w:t>мый предел в 0,02 мг/куб. м, и видах работ, требующих особой физической с</w:t>
      </w:r>
      <w:r>
        <w:t>и</w:t>
      </w:r>
      <w:r>
        <w:t>лы.</w:t>
      </w:r>
    </w:p>
    <w:p w:rsidR="00000000" w:rsidRDefault="00000000">
      <w:pPr>
        <w:pStyle w:val="SingleTxt"/>
      </w:pPr>
      <w:r>
        <w:tab/>
      </w:r>
      <w:r>
        <w:tab/>
        <w:t>Некоторые правительственные министерства и ведомства принимают профилактические меры, дополняющие меры, предписываемые законом для охраны здоровья их работников. К примеру, департамент кадров Федеральной канцелярии сообщает о случаях беременности сотрудников не только в и</w:t>
      </w:r>
      <w:r>
        <w:t>н</w:t>
      </w:r>
      <w:r>
        <w:t>спекции труда, но и сотрудникам, отвечающим за охрану здоровья на прои</w:t>
      </w:r>
      <w:r>
        <w:t>з</w:t>
      </w:r>
      <w:r>
        <w:t>водстве. По получении такого уведомления рабочее место беременной женщ</w:t>
      </w:r>
      <w:r>
        <w:t>и</w:t>
      </w:r>
      <w:r>
        <w:t>ны будет осмотрено для выяснения его пригодности и/или необходимости к</w:t>
      </w:r>
      <w:r>
        <w:t>а</w:t>
      </w:r>
      <w:r>
        <w:t>ких-либо изменений. В программах поощрения здорового образа жизни (н</w:t>
      </w:r>
      <w:r>
        <w:t>а</w:t>
      </w:r>
      <w:r>
        <w:t>пример, программы избавления от никотиновой зависимости, лечебного гол</w:t>
      </w:r>
      <w:r>
        <w:t>о</w:t>
      </w:r>
      <w:r>
        <w:t>дания, здорового питание на производстве), организуемых для работников в координации с сотрудником, отвечающим за охрану здоровья на производстве, в основном участвуют женщины.</w:t>
      </w:r>
    </w:p>
    <w:p w:rsidR="00000000" w:rsidRDefault="00000000">
      <w:pPr>
        <w:pStyle w:val="50"/>
      </w:pPr>
    </w:p>
    <w:p w:rsidR="00000000" w:rsidRDefault="00000000">
      <w:pPr>
        <w:pStyle w:val="50"/>
      </w:pPr>
    </w:p>
    <w:p w:rsidR="00000000" w:rsidRDefault="00000000">
      <w:pPr>
        <w:pStyle w:val="H23"/>
        <w:rPr>
          <w:u w:val="single"/>
        </w:rPr>
      </w:pPr>
      <w:r>
        <w:tab/>
      </w:r>
      <w:bookmarkStart w:id="131" w:name="_Toc97786738"/>
      <w:r>
        <w:rPr>
          <w:u w:val="single"/>
        </w:rPr>
        <w:t>Статья 11, пункт 2</w:t>
      </w:r>
      <w:bookmarkEnd w:id="131"/>
    </w:p>
    <w:p w:rsidR="00000000" w:rsidRDefault="00000000">
      <w:pPr>
        <w:pStyle w:val="50"/>
      </w:pPr>
    </w:p>
    <w:p w:rsidR="00000000" w:rsidRDefault="00000000">
      <w:pPr>
        <w:pStyle w:val="50"/>
      </w:pPr>
    </w:p>
    <w:p w:rsidR="00000000" w:rsidRDefault="00000000">
      <w:pPr>
        <w:pStyle w:val="H23"/>
      </w:pPr>
      <w:r>
        <w:tab/>
      </w:r>
      <w:bookmarkStart w:id="132" w:name="_Toc97786739"/>
      <w:r>
        <w:t>Закон об охране материнства и Закон об отпуске по уходу за детьми (бывший Закон о родительском отпуске)</w:t>
      </w:r>
      <w:bookmarkEnd w:id="132"/>
    </w:p>
    <w:p w:rsidR="00000000" w:rsidRDefault="00000000">
      <w:pPr>
        <w:pStyle w:val="SingleTxt"/>
      </w:pPr>
      <w:r>
        <w:tab/>
      </w:r>
      <w:r>
        <w:tab/>
        <w:t>За отчетный период были приняты две важные поправки: поправка к З</w:t>
      </w:r>
      <w:r>
        <w:t>а</w:t>
      </w:r>
      <w:r>
        <w:t>кону об охране материнства и к Закону о родительском отпуске (</w:t>
      </w:r>
      <w:r>
        <w:rPr>
          <w:spacing w:val="-3"/>
        </w:rPr>
        <w:t xml:space="preserve">Бюллетень официальных законов, часть </w:t>
      </w:r>
      <w:r>
        <w:rPr>
          <w:spacing w:val="-3"/>
          <w:lang w:val="en-US"/>
        </w:rPr>
        <w:t>I</w:t>
      </w:r>
      <w:r>
        <w:rPr>
          <w:spacing w:val="-3"/>
        </w:rPr>
        <w:t>, № 153/1999) преследовала цель привести австрийское законодательство в соответствие с Директивой ЕС 96/34/ЕС о родительском отпуске и предусма</w:t>
      </w:r>
      <w:r>
        <w:rPr>
          <w:spacing w:val="-3"/>
        </w:rPr>
        <w:t>т</w:t>
      </w:r>
      <w:r>
        <w:rPr>
          <w:spacing w:val="-3"/>
        </w:rPr>
        <w:t xml:space="preserve">ривала </w:t>
      </w:r>
      <w:r>
        <w:rPr>
          <w:b/>
          <w:spacing w:val="-3"/>
        </w:rPr>
        <w:t>более гибкую систему предоставления льгот работникам</w:t>
      </w:r>
      <w:r>
        <w:rPr>
          <w:spacing w:val="-3"/>
        </w:rPr>
        <w:t>:</w:t>
      </w:r>
    </w:p>
    <w:p w:rsidR="00000000" w:rsidRDefault="00000000">
      <w:pPr>
        <w:pStyle w:val="dot"/>
      </w:pPr>
      <w:r>
        <w:sym w:font="Symbol" w:char="F0B7"/>
      </w:r>
      <w:r>
        <w:tab/>
        <w:t>сроки уведомления о желании взять отпуск стали более гибкими;</w:t>
      </w:r>
    </w:p>
    <w:p w:rsidR="00000000" w:rsidRDefault="00000000">
      <w:pPr>
        <w:pStyle w:val="dot"/>
      </w:pPr>
      <w:r>
        <w:sym w:font="Symbol" w:char="F0B7"/>
      </w:r>
      <w:r>
        <w:tab/>
        <w:t>родительский отпуск можно разделить пополам между матерью и отцом;</w:t>
      </w:r>
    </w:p>
    <w:p w:rsidR="00000000" w:rsidRDefault="00000000">
      <w:pPr>
        <w:pStyle w:val="dot"/>
      </w:pPr>
      <w:r>
        <w:sym w:font="Symbol" w:char="F0B7"/>
      </w:r>
      <w:r>
        <w:tab/>
        <w:t>когда обязанности по уходу за ребенком пересекаются впервые, мать и отец имеют право взять совместный отпуск продолжительностью один месяц;</w:t>
      </w:r>
    </w:p>
    <w:p w:rsidR="00000000" w:rsidRDefault="00000000">
      <w:pPr>
        <w:pStyle w:val="dot"/>
      </w:pPr>
      <w:r>
        <w:sym w:font="Symbol" w:char="F0B7"/>
      </w:r>
      <w:r>
        <w:tab/>
        <w:t>три месяца из общей продолжительности родительского отпуска м</w:t>
      </w:r>
      <w:r>
        <w:t>о</w:t>
      </w:r>
      <w:r>
        <w:t>гут переноситься на более поздний срок и могут быть взяты в любое время до тех пор, пока ребенку не исполнится 7 лет, или даже после этой даты, если ребенок начинает ходить в школу с опозданием;</w:t>
      </w:r>
    </w:p>
    <w:p w:rsidR="00000000" w:rsidRDefault="00000000">
      <w:pPr>
        <w:pStyle w:val="dot"/>
      </w:pPr>
      <w:r>
        <w:sym w:font="Symbol" w:char="F0B7"/>
      </w:r>
      <w:r>
        <w:tab/>
        <w:t>правила, регулирующие работу на условиях неполного рабочего дня в связи с рождением ребенка, стали более ги</w:t>
      </w:r>
      <w:r>
        <w:t>б</w:t>
      </w:r>
      <w:r>
        <w:t>кими;</w:t>
      </w:r>
    </w:p>
    <w:p w:rsidR="00000000" w:rsidRDefault="00000000">
      <w:pPr>
        <w:pStyle w:val="dot"/>
      </w:pPr>
      <w:r>
        <w:sym w:font="Symbol" w:char="F0B7"/>
      </w:r>
      <w:r>
        <w:tab/>
        <w:t>отцы имеют право брать родительский отпуск независимо от нал</w:t>
      </w:r>
      <w:r>
        <w:t>и</w:t>
      </w:r>
      <w:r>
        <w:t>чия такого права у матери.</w:t>
      </w:r>
    </w:p>
    <w:p w:rsidR="00000000" w:rsidRDefault="00000000">
      <w:pPr>
        <w:pStyle w:val="SingleTxt"/>
      </w:pPr>
      <w:r>
        <w:tab/>
      </w:r>
      <w:r>
        <w:tab/>
        <w:t>Кроме того, эта поправка предусматривает право матери или отца, нах</w:t>
      </w:r>
      <w:r>
        <w:t>о</w:t>
      </w:r>
      <w:r>
        <w:t>дящихся в родительском отпуске, получать информацию от своих работодат</w:t>
      </w:r>
      <w:r>
        <w:t>е</w:t>
      </w:r>
      <w:r>
        <w:t>лей обо всех крупных событиях в их компании, таких как реорганизация и м</w:t>
      </w:r>
      <w:r>
        <w:t>е</w:t>
      </w:r>
      <w:r>
        <w:t>ры по п</w:t>
      </w:r>
      <w:r>
        <w:t>о</w:t>
      </w:r>
      <w:r>
        <w:t>вышению квалификации.</w:t>
      </w:r>
    </w:p>
    <w:p w:rsidR="00000000" w:rsidRDefault="00000000">
      <w:pPr>
        <w:pStyle w:val="SingleTxt"/>
      </w:pPr>
      <w:r>
        <w:tab/>
      </w:r>
      <w:r>
        <w:tab/>
        <w:t>Эти новые правила распространяются на родителей детей, родившихся 1 января 2000 года или после этой даты. Они поощряют разделение обязанн</w:t>
      </w:r>
      <w:r>
        <w:t>о</w:t>
      </w:r>
      <w:r>
        <w:t>стей по уходу за детьми в духе партнерства и облегчают положение работа</w:t>
      </w:r>
      <w:r>
        <w:t>ю</w:t>
      </w:r>
      <w:r>
        <w:t>щих женщин.</w:t>
      </w:r>
    </w:p>
    <w:p w:rsidR="00000000" w:rsidRDefault="00000000">
      <w:pPr>
        <w:pStyle w:val="SingleTxt"/>
      </w:pPr>
      <w:r>
        <w:tab/>
      </w:r>
      <w:r>
        <w:tab/>
        <w:t>Аналогичным образом, власти провинции Вена ввели положение о ра</w:t>
      </w:r>
      <w:r>
        <w:t>з</w:t>
      </w:r>
      <w:r>
        <w:t xml:space="preserve">бивке и отсрочке использования родительского отпуска, а также более гибкий график занятости в течение неполного рабочего дня для своих работников (Бюллетень официальных законов провинции Вена, № 51/2000). </w:t>
      </w:r>
      <w:r>
        <w:tab/>
      </w:r>
    </w:p>
    <w:p w:rsidR="00000000" w:rsidRDefault="00000000">
      <w:pPr>
        <w:pStyle w:val="SingleTxt"/>
        <w:rPr>
          <w:spacing w:val="-3"/>
        </w:rPr>
      </w:pPr>
      <w:r>
        <w:tab/>
      </w:r>
      <w:r>
        <w:tab/>
        <w:t>Принятие поправки к Закону об охране материнства и/или к Закону о р</w:t>
      </w:r>
      <w:r>
        <w:t>о</w:t>
      </w:r>
      <w:r>
        <w:t xml:space="preserve">дительском отпуске, переименованному в Закон о предоставлении отпуска по уходу за детьми, по срокам совпало с введением </w:t>
      </w:r>
      <w:r>
        <w:rPr>
          <w:b/>
        </w:rPr>
        <w:t>пособия по уходу за детьми</w:t>
      </w:r>
      <w:r>
        <w:t xml:space="preserve"> 1 января 2002 года, главная цель которого заключалась в том, чтобы улучшить условия для совмещения производственных и семейных обязанностей (см. </w:t>
      </w:r>
      <w:r>
        <w:rPr>
          <w:spacing w:val="-3"/>
        </w:rPr>
        <w:t xml:space="preserve">Бюллетень официальных законов, часть </w:t>
      </w:r>
      <w:r>
        <w:rPr>
          <w:spacing w:val="-3"/>
          <w:lang w:val="en-US"/>
        </w:rPr>
        <w:t>I</w:t>
      </w:r>
      <w:r>
        <w:rPr>
          <w:spacing w:val="-3"/>
        </w:rPr>
        <w:t>, № 103/2001). Помимо этого были приняты и дополнительные меры, в частности направленные на обеспечение непрерывного контакта с компанией и содействие возвращению в коллектив по окончании отпуска по бер</w:t>
      </w:r>
      <w:r>
        <w:rPr>
          <w:spacing w:val="-3"/>
        </w:rPr>
        <w:t>е</w:t>
      </w:r>
      <w:r>
        <w:rPr>
          <w:spacing w:val="-3"/>
        </w:rPr>
        <w:t>менности и родам или отпуска по уходу за детьми.</w:t>
      </w:r>
    </w:p>
    <w:p w:rsidR="00000000" w:rsidRDefault="00000000">
      <w:pPr>
        <w:pStyle w:val="SingleTxt"/>
        <w:rPr>
          <w:spacing w:val="-3"/>
        </w:rPr>
      </w:pPr>
      <w:r>
        <w:rPr>
          <w:spacing w:val="-3"/>
        </w:rPr>
        <w:tab/>
      </w:r>
      <w:r>
        <w:rPr>
          <w:spacing w:val="-3"/>
        </w:rPr>
        <w:tab/>
        <w:t xml:space="preserve">Во время своего отпуска матери и отцы теперь могут выполнять </w:t>
      </w:r>
      <w:r>
        <w:rPr>
          <w:b/>
          <w:spacing w:val="-3"/>
        </w:rPr>
        <w:t>небольшой объем работы на условиях неполного рабочего дня</w:t>
      </w:r>
      <w:r>
        <w:rPr>
          <w:spacing w:val="-3"/>
        </w:rPr>
        <w:t>, действуя на основании труд</w:t>
      </w:r>
      <w:r>
        <w:rPr>
          <w:spacing w:val="-3"/>
        </w:rPr>
        <w:t>о</w:t>
      </w:r>
      <w:r>
        <w:rPr>
          <w:spacing w:val="-3"/>
        </w:rPr>
        <w:t>вого соглашения, регулирующего их право на получение отпуска по беременности и родам или отпуска по уходу за детьми, или работая на другого работодателя. Ежем</w:t>
      </w:r>
      <w:r>
        <w:rPr>
          <w:spacing w:val="-3"/>
        </w:rPr>
        <w:t>е</w:t>
      </w:r>
      <w:r>
        <w:rPr>
          <w:spacing w:val="-3"/>
        </w:rPr>
        <w:t xml:space="preserve">сячная оплата труда не должна превышать </w:t>
      </w:r>
      <w:r>
        <w:rPr>
          <w:b/>
          <w:spacing w:val="-3"/>
        </w:rPr>
        <w:t>предельной суммы оплаты, устано</w:t>
      </w:r>
      <w:r>
        <w:rPr>
          <w:b/>
          <w:spacing w:val="-3"/>
        </w:rPr>
        <w:t>в</w:t>
      </w:r>
      <w:r>
        <w:rPr>
          <w:b/>
          <w:spacing w:val="-3"/>
        </w:rPr>
        <w:t>ленной для небольшого объема работы на условиях неполного рабочего дня</w:t>
      </w:r>
      <w:r>
        <w:rPr>
          <w:spacing w:val="-3"/>
        </w:rPr>
        <w:t xml:space="preserve"> (2003 год – 309,38 евро). По трудовому соглашению, определяющему порядок пр</w:t>
      </w:r>
      <w:r>
        <w:rPr>
          <w:spacing w:val="-3"/>
        </w:rPr>
        <w:t>е</w:t>
      </w:r>
      <w:r>
        <w:rPr>
          <w:spacing w:val="-3"/>
        </w:rPr>
        <w:t>доставления отпуска по беременности и родам или отпуска по уходу за детьми, они также могут выполнять работу сверх этого предела в течение не более чем 13 недель за один календарный год (например, подмена других работников в выходные дни или на время их болезни). Как и любой другой вид работы небольшого объема на услов</w:t>
      </w:r>
      <w:r>
        <w:rPr>
          <w:spacing w:val="-3"/>
        </w:rPr>
        <w:t>и</w:t>
      </w:r>
      <w:r>
        <w:rPr>
          <w:spacing w:val="-3"/>
        </w:rPr>
        <w:t>ях неполного рабочего дня, такая работа выполняется на основании отдельного с</w:t>
      </w:r>
      <w:r>
        <w:rPr>
          <w:spacing w:val="-3"/>
        </w:rPr>
        <w:t>о</w:t>
      </w:r>
      <w:r>
        <w:rPr>
          <w:spacing w:val="-3"/>
        </w:rPr>
        <w:t>глашения. Если отпуск по беременности и родам или отпуск по уходу за детьми в т</w:t>
      </w:r>
      <w:r>
        <w:rPr>
          <w:spacing w:val="-3"/>
        </w:rPr>
        <w:t>е</w:t>
      </w:r>
      <w:r>
        <w:rPr>
          <w:spacing w:val="-3"/>
        </w:rPr>
        <w:t>чение календарного года не берется ни разу, такая работа может выполняться только на пропорциональной основе. По договоренности с работодателем, который является одной из сторон соглашения, предусматривающего предоставление права на отпуск по беременности и родам или отпуск по уходу за детьми, сверхлимитная работа н</w:t>
      </w:r>
      <w:r>
        <w:rPr>
          <w:spacing w:val="-3"/>
        </w:rPr>
        <w:t>е</w:t>
      </w:r>
      <w:r>
        <w:rPr>
          <w:spacing w:val="-3"/>
        </w:rPr>
        <w:t>большого объема на условиях неполного рабочего дня может также выполняться для другого р</w:t>
      </w:r>
      <w:r>
        <w:rPr>
          <w:spacing w:val="-3"/>
        </w:rPr>
        <w:t>а</w:t>
      </w:r>
      <w:r>
        <w:rPr>
          <w:spacing w:val="-3"/>
        </w:rPr>
        <w:t>ботодателя.</w:t>
      </w:r>
    </w:p>
    <w:p w:rsidR="00000000" w:rsidRDefault="00000000">
      <w:pPr>
        <w:pStyle w:val="SingleTxt"/>
      </w:pPr>
      <w:r>
        <w:rPr>
          <w:b/>
        </w:rPr>
        <w:tab/>
      </w:r>
      <w:r>
        <w:rPr>
          <w:b/>
        </w:rPr>
        <w:tab/>
        <w:t>Другие поправки</w:t>
      </w:r>
      <w:r>
        <w:t>, о которых следует упомянуть: термин "</w:t>
      </w:r>
      <w:r>
        <w:rPr>
          <w:lang w:val="en-US"/>
        </w:rPr>
        <w:t>Karenzurlaub</w:t>
      </w:r>
      <w:r>
        <w:t>" был заменен словом "</w:t>
      </w:r>
      <w:r>
        <w:rPr>
          <w:lang w:val="en-US"/>
        </w:rPr>
        <w:t>Karenz</w:t>
      </w:r>
      <w:r>
        <w:t>"; элемент, который связан с "несением главной ответственности по уходу за ребенком", перестал быть условием для предо</w:t>
      </w:r>
      <w:r>
        <w:t>с</w:t>
      </w:r>
      <w:r>
        <w:t>тавления отпуска по беременности и родам или отпуска по уходу за детьми. Все другие положения трудового законодательства о порядке предоставления отпуска по беременности и родам или отпуска по уходу за детьми, в частности касающиеся начала и продолжительности отпуска, сроков уведомления, разд</w:t>
      </w:r>
      <w:r>
        <w:t>е</w:t>
      </w:r>
      <w:r>
        <w:t xml:space="preserve">ления отпуска и права на условиях неполного рабочего день после рождения ребенка, </w:t>
      </w:r>
      <w:r>
        <w:rPr>
          <w:b/>
        </w:rPr>
        <w:t>остались без и</w:t>
      </w:r>
      <w:r>
        <w:rPr>
          <w:b/>
        </w:rPr>
        <w:t>з</w:t>
      </w:r>
      <w:r>
        <w:rPr>
          <w:b/>
        </w:rPr>
        <w:t>менений</w:t>
      </w:r>
      <w:r>
        <w:t>.</w:t>
      </w:r>
    </w:p>
    <w:p w:rsidR="00000000" w:rsidRDefault="00000000">
      <w:pPr>
        <w:pStyle w:val="50"/>
      </w:pPr>
    </w:p>
    <w:p w:rsidR="00000000" w:rsidRDefault="00000000">
      <w:pPr>
        <w:pStyle w:val="50"/>
      </w:pPr>
    </w:p>
    <w:p w:rsidR="00000000" w:rsidRDefault="00000000">
      <w:pPr>
        <w:pStyle w:val="H23"/>
      </w:pPr>
      <w:r>
        <w:tab/>
      </w:r>
      <w:bookmarkStart w:id="133" w:name="_Toc97786741"/>
      <w:r>
        <w:t>Работа родителей на условиях неполного рабочего дня</w:t>
      </w:r>
      <w:bookmarkEnd w:id="133"/>
    </w:p>
    <w:p w:rsidR="00000000" w:rsidRDefault="00000000">
      <w:pPr>
        <w:pStyle w:val="SingleTxt"/>
      </w:pPr>
      <w:r>
        <w:tab/>
      </w:r>
      <w:r>
        <w:tab/>
      </w:r>
      <w:r>
        <w:rPr>
          <w:b/>
        </w:rPr>
        <w:t>Право родителей на работу на условиях неполного рабочего дня з</w:t>
      </w:r>
      <w:r>
        <w:rPr>
          <w:b/>
        </w:rPr>
        <w:t>а</w:t>
      </w:r>
      <w:r>
        <w:rPr>
          <w:b/>
        </w:rPr>
        <w:t>креплено в Законе о работе родителей на условиях неполного рабочего дня</w:t>
      </w:r>
      <w:r>
        <w:t>, что способствует совмещению производственных и семейных обязанностей. Этот закон вст</w:t>
      </w:r>
      <w:r>
        <w:t>у</w:t>
      </w:r>
      <w:r>
        <w:t>пил в силу с 1 июля 2004 года.</w:t>
      </w:r>
    </w:p>
    <w:p w:rsidR="00000000" w:rsidRDefault="00000000">
      <w:pPr>
        <w:pStyle w:val="SingleTxt"/>
      </w:pPr>
      <w:r>
        <w:tab/>
      </w:r>
      <w:r>
        <w:tab/>
        <w:t>Закон в принципе разрешает родителям работать неполный рабочий день до тех пор, пока ребенку не исполнится 7 лет, или до тех пор, пока он не начнет ходить в школу. Это положение распространяется на родителей, имеющих, по меньшей мере, трехлетний стаж работы на предприятии, на котором трудятся не менее 20 человек. Конкретные условия перевода работника на неполный график работы, т.е. начало и продолжительность работы, часы работы и расп</w:t>
      </w:r>
      <w:r>
        <w:t>и</w:t>
      </w:r>
      <w:r>
        <w:t>сание работы, определяются по договоренности с работодателем. Если нет ни соглашения, ни решения, принятого в судебном порядке, работодатель должен передать дело на рассмотрение суда по трудовым и социальным спорам, по</w:t>
      </w:r>
      <w:r>
        <w:t>л</w:t>
      </w:r>
      <w:r>
        <w:t>номочного заниматься этим вопросом; в противном случае работник может приступать к работе по неполному графику, как это им и планировалось. В к</w:t>
      </w:r>
      <w:r>
        <w:t>о</w:t>
      </w:r>
      <w:r>
        <w:t>нечном итоге суд должен будет примирить интересы сторон и издать оконч</w:t>
      </w:r>
      <w:r>
        <w:t>а</w:t>
      </w:r>
      <w:r>
        <w:t>тельное решение об условиях работы по сокращенному граф</w:t>
      </w:r>
      <w:r>
        <w:t>и</w:t>
      </w:r>
      <w:r>
        <w:t>ку.</w:t>
      </w:r>
    </w:p>
    <w:p w:rsidR="00000000" w:rsidRDefault="00000000">
      <w:pPr>
        <w:pStyle w:val="SingleTxt"/>
      </w:pPr>
      <w:r>
        <w:tab/>
      </w:r>
      <w:r>
        <w:tab/>
        <w:t>В принципе режим специальной защиты от увольнения/сокращения вст</w:t>
      </w:r>
      <w:r>
        <w:t>у</w:t>
      </w:r>
      <w:r>
        <w:t>пает в действие в тот момент, когда работодатель получает уведомление о том, что работник намерен воспользоваться своим правом на работу по сокраще</w:t>
      </w:r>
      <w:r>
        <w:t>н</w:t>
      </w:r>
      <w:r>
        <w:t>ному графику, но не позднее чем за четыре месяца до начала работы по сокр</w:t>
      </w:r>
      <w:r>
        <w:t>а</w:t>
      </w:r>
      <w:r>
        <w:t>щенному рабочему графику. Защита от увольнения прекращает действовать по меньшей мере через четыре недели после достижения ребенком возраста 4 лет, после чего этот режим заменяется режимом защиты от увольнения/сокращения по причине того, что работник воспользовался своим правом на работу по с</w:t>
      </w:r>
      <w:r>
        <w:t>о</w:t>
      </w:r>
      <w:r>
        <w:t xml:space="preserve">кращенному рабочему графику. </w:t>
      </w:r>
    </w:p>
    <w:p w:rsidR="00000000" w:rsidRDefault="00000000">
      <w:pPr>
        <w:pStyle w:val="SingleTxt"/>
      </w:pPr>
      <w:r>
        <w:tab/>
      </w:r>
      <w:r>
        <w:tab/>
        <w:t>В случае с более мелкими предприятиями или если работник не отвечает критерию наличия трехлетнего непрерывного стажа работы, переход на работу на условиях неполного рабочего дня осуществляется с согласия работодателя. Продолжать работать по сокращенному рабочему графику по достижении р</w:t>
      </w:r>
      <w:r>
        <w:t>е</w:t>
      </w:r>
      <w:r>
        <w:t>бенком возраста 4 лет не разрешается. Если договоренности на этот счет до</w:t>
      </w:r>
      <w:r>
        <w:t>с</w:t>
      </w:r>
      <w:r>
        <w:t>тичь не удается, работник может подать на работодателя в суд для получения разрешения на р</w:t>
      </w:r>
      <w:r>
        <w:t>а</w:t>
      </w:r>
      <w:r>
        <w:t>боту по сокращенному графику.</w:t>
      </w:r>
    </w:p>
    <w:p w:rsidR="00000000" w:rsidRDefault="00000000">
      <w:pPr>
        <w:pStyle w:val="SingleTxt"/>
      </w:pPr>
      <w:r>
        <w:tab/>
      </w:r>
      <w:r>
        <w:tab/>
        <w:t>Новая субсидия, предоставляемая в рамках системы поддержки рынка труда, призвана служить стимулом для малых предприятий, на которых трудя</w:t>
      </w:r>
      <w:r>
        <w:t>т</w:t>
      </w:r>
      <w:r>
        <w:t>ся не более 20 человек, давая родителям малолетних детей возможность тр</w:t>
      </w:r>
      <w:r>
        <w:t>у</w:t>
      </w:r>
      <w:r>
        <w:t>диться по сокращенному рабочему графику. Эта субсидия призвана компенс</w:t>
      </w:r>
      <w:r>
        <w:t>и</w:t>
      </w:r>
      <w:r>
        <w:t>ровать дополнительные затраты, связанные с введением сокращенного графика раб</w:t>
      </w:r>
      <w:r>
        <w:t>о</w:t>
      </w:r>
      <w:r>
        <w:t>ты.</w:t>
      </w:r>
    </w:p>
    <w:p w:rsidR="00000000" w:rsidRDefault="00000000">
      <w:pPr>
        <w:pStyle w:val="50"/>
      </w:pPr>
    </w:p>
    <w:p w:rsidR="00000000" w:rsidRDefault="00000000">
      <w:pPr>
        <w:pStyle w:val="50"/>
      </w:pPr>
    </w:p>
    <w:p w:rsidR="00000000" w:rsidRDefault="00000000">
      <w:pPr>
        <w:pStyle w:val="H23"/>
      </w:pPr>
      <w:r>
        <w:tab/>
      </w:r>
      <w:bookmarkStart w:id="134" w:name="_Toc97786742"/>
      <w:r>
        <w:t>Отпуск по уходу за больными членами семьи</w:t>
      </w:r>
      <w:bookmarkEnd w:id="134"/>
    </w:p>
    <w:p w:rsidR="00000000" w:rsidRDefault="00000000">
      <w:pPr>
        <w:pStyle w:val="SingleTxt"/>
        <w:rPr>
          <w:spacing w:val="-3"/>
        </w:rPr>
      </w:pPr>
      <w:r>
        <w:tab/>
      </w:r>
      <w:r>
        <w:tab/>
        <w:t>С 1 июля 2002 года поправки к Закону о корректировке трудовых согл</w:t>
      </w:r>
      <w:r>
        <w:t>а</w:t>
      </w:r>
      <w:r>
        <w:t>шений, Закону об оплачиваемых выходных днях и Закону о страховании зан</w:t>
      </w:r>
      <w:r>
        <w:t>я</w:t>
      </w:r>
      <w:r>
        <w:t>тости 1977 года (</w:t>
      </w:r>
      <w:r>
        <w:rPr>
          <w:spacing w:val="-3"/>
        </w:rPr>
        <w:t xml:space="preserve">Бюллетень официальных законов, часть </w:t>
      </w:r>
      <w:r>
        <w:rPr>
          <w:spacing w:val="-3"/>
          <w:lang w:val="en-US"/>
        </w:rPr>
        <w:t>I</w:t>
      </w:r>
      <w:r>
        <w:rPr>
          <w:spacing w:val="-3"/>
        </w:rPr>
        <w:t xml:space="preserve">, № 89/2002) </w:t>
      </w:r>
      <w:r>
        <w:rPr>
          <w:b/>
          <w:spacing w:val="-3"/>
        </w:rPr>
        <w:t>обеспеч</w:t>
      </w:r>
      <w:r>
        <w:rPr>
          <w:b/>
          <w:spacing w:val="-3"/>
        </w:rPr>
        <w:t>и</w:t>
      </w:r>
      <w:r>
        <w:rPr>
          <w:b/>
          <w:spacing w:val="-3"/>
        </w:rPr>
        <w:t xml:space="preserve">вают страхование </w:t>
      </w:r>
      <w:r>
        <w:rPr>
          <w:spacing w:val="-3"/>
        </w:rPr>
        <w:t>лиц</w:t>
      </w:r>
      <w:r>
        <w:rPr>
          <w:b/>
          <w:spacing w:val="-3"/>
        </w:rPr>
        <w:t>, ухаживающих за больными родственниками и тяжело больными детьми, на основе трудового и социального законодательства</w:t>
      </w:r>
      <w:r>
        <w:rPr>
          <w:spacing w:val="-3"/>
        </w:rPr>
        <w:t xml:space="preserve">. </w:t>
      </w:r>
    </w:p>
    <w:p w:rsidR="00000000" w:rsidRDefault="00000000">
      <w:pPr>
        <w:pStyle w:val="SingleTxt"/>
        <w:rPr>
          <w:spacing w:val="-3"/>
        </w:rPr>
      </w:pPr>
      <w:r>
        <w:rPr>
          <w:spacing w:val="-3"/>
        </w:rPr>
        <w:tab/>
      </w:r>
      <w:r>
        <w:rPr>
          <w:spacing w:val="-3"/>
        </w:rPr>
        <w:tab/>
        <w:t>Работники вправе менять свой график работы или брать отпуск по уходу за своими находящимися при смерти родственниками (присмотру за неизлечимо бол</w:t>
      </w:r>
      <w:r>
        <w:rPr>
          <w:spacing w:val="-3"/>
        </w:rPr>
        <w:t>ь</w:t>
      </w:r>
      <w:r>
        <w:rPr>
          <w:spacing w:val="-3"/>
        </w:rPr>
        <w:t>ными) или уходу за своими тяжело больными детьми. В течение этого времени они пользуются защитой от увольнения. В тот период, когда работники ухаживают за своими находящимися при смерти родственниками или тяжело больными детьми, их взносы в системы медицинского и пенсионного страхования выплачиваются из фо</w:t>
      </w:r>
      <w:r>
        <w:rPr>
          <w:spacing w:val="-3"/>
        </w:rPr>
        <w:t>н</w:t>
      </w:r>
      <w:r>
        <w:rPr>
          <w:spacing w:val="-3"/>
        </w:rPr>
        <w:t>да страхования от безработицы. Дополнительные меры, предусматриваемые Законом о пособиях по уходу и законом о помощи нуждающимся семьям, призваны обесп</w:t>
      </w:r>
      <w:r>
        <w:rPr>
          <w:spacing w:val="-3"/>
        </w:rPr>
        <w:t>е</w:t>
      </w:r>
      <w:r>
        <w:rPr>
          <w:spacing w:val="-3"/>
        </w:rPr>
        <w:t>чить, чтобы члены семьи, которые берут отпуск по уходу за больными родственн</w:t>
      </w:r>
      <w:r>
        <w:rPr>
          <w:spacing w:val="-3"/>
        </w:rPr>
        <w:t>и</w:t>
      </w:r>
      <w:r>
        <w:rPr>
          <w:spacing w:val="-3"/>
        </w:rPr>
        <w:t>ками и тяжело больными детьми, не оказались в сложном финансовом положении или за чертой бедности. Эти положения трудового и социального законодательства представляют собой еще один шаг вперед в деле содействия совмещению произво</w:t>
      </w:r>
      <w:r>
        <w:rPr>
          <w:spacing w:val="-3"/>
        </w:rPr>
        <w:t>д</w:t>
      </w:r>
      <w:r>
        <w:rPr>
          <w:spacing w:val="-3"/>
        </w:rPr>
        <w:t>ственных и семейных обязанностей, поскольку благодаря им женщины, частности, получают возможность ухаживать за своими близкими родственниками в течение о</w:t>
      </w:r>
      <w:r>
        <w:rPr>
          <w:spacing w:val="-3"/>
        </w:rPr>
        <w:t>п</w:t>
      </w:r>
      <w:r>
        <w:rPr>
          <w:spacing w:val="-3"/>
        </w:rPr>
        <w:t>ределенного периода времени, не опасаясь потерять работу или медицинскую или пенс</w:t>
      </w:r>
      <w:r>
        <w:rPr>
          <w:spacing w:val="-3"/>
        </w:rPr>
        <w:t>и</w:t>
      </w:r>
      <w:r>
        <w:rPr>
          <w:spacing w:val="-3"/>
        </w:rPr>
        <w:t>онную страховку.</w:t>
      </w:r>
    </w:p>
    <w:p w:rsidR="00000000" w:rsidRDefault="00000000">
      <w:pPr>
        <w:pStyle w:val="SingleTxt"/>
        <w:rPr>
          <w:spacing w:val="-3"/>
        </w:rPr>
      </w:pPr>
      <w:r>
        <w:tab/>
      </w:r>
      <w:r>
        <w:tab/>
        <w:t>Отпуск по уходу за больными членами семьи также предоставляется р</w:t>
      </w:r>
      <w:r>
        <w:t>а</w:t>
      </w:r>
      <w:r>
        <w:t>ботникам, находящимся на федеральной службе (</w:t>
      </w:r>
      <w:r>
        <w:rPr>
          <w:spacing w:val="-3"/>
        </w:rPr>
        <w:t>Бюллетень официальных зак</w:t>
      </w:r>
      <w:r>
        <w:rPr>
          <w:spacing w:val="-3"/>
        </w:rPr>
        <w:t>о</w:t>
      </w:r>
      <w:r>
        <w:rPr>
          <w:spacing w:val="-3"/>
        </w:rPr>
        <w:t xml:space="preserve">нов, часть </w:t>
      </w:r>
      <w:r>
        <w:rPr>
          <w:spacing w:val="-3"/>
          <w:lang w:val="en-US"/>
        </w:rPr>
        <w:t>I</w:t>
      </w:r>
      <w:r>
        <w:rPr>
          <w:spacing w:val="-3"/>
        </w:rPr>
        <w:t>, № 87/2002), и на службе провинций.</w:t>
      </w:r>
    </w:p>
    <w:p w:rsidR="00000000" w:rsidRDefault="00000000">
      <w:pPr>
        <w:pStyle w:val="SingleTxt"/>
        <w:rPr>
          <w:spacing w:val="-3"/>
        </w:rPr>
      </w:pPr>
      <w:r>
        <w:rPr>
          <w:spacing w:val="-3"/>
        </w:rPr>
        <w:tab/>
      </w:r>
      <w:r>
        <w:rPr>
          <w:spacing w:val="-3"/>
        </w:rPr>
        <w:tab/>
        <w:t>Более подробная информация о родственниках, осуществляющих уход, прив</w:t>
      </w:r>
      <w:r>
        <w:rPr>
          <w:spacing w:val="-3"/>
        </w:rPr>
        <w:t>е</w:t>
      </w:r>
      <w:r>
        <w:rPr>
          <w:spacing w:val="-3"/>
        </w:rPr>
        <w:t>дена в разделе настоящего доклада, касающегося рек</w:t>
      </w:r>
      <w:r>
        <w:rPr>
          <w:spacing w:val="-3"/>
        </w:rPr>
        <w:t>о</w:t>
      </w:r>
      <w:r>
        <w:rPr>
          <w:spacing w:val="-3"/>
        </w:rPr>
        <w:t>мендации 236.</w:t>
      </w:r>
    </w:p>
    <w:p w:rsidR="00000000" w:rsidRDefault="00000000">
      <w:pPr>
        <w:pStyle w:val="50"/>
      </w:pPr>
    </w:p>
    <w:p w:rsidR="00000000" w:rsidRDefault="00000000">
      <w:pPr>
        <w:pStyle w:val="50"/>
      </w:pPr>
    </w:p>
    <w:p w:rsidR="00000000" w:rsidRDefault="00000000">
      <w:pPr>
        <w:pStyle w:val="H23"/>
      </w:pPr>
      <w:r>
        <w:tab/>
      </w:r>
      <w:bookmarkStart w:id="135" w:name="_Toc97786743"/>
      <w:r>
        <w:t>Новый порядок выплаты выходного пособия</w:t>
      </w:r>
      <w:bookmarkEnd w:id="135"/>
    </w:p>
    <w:p w:rsidR="00000000" w:rsidRDefault="00000000">
      <w:pPr>
        <w:pStyle w:val="SingleTxt"/>
      </w:pPr>
      <w:r>
        <w:tab/>
      </w:r>
      <w:r>
        <w:tab/>
        <w:t xml:space="preserve">Закон о порядке выплаты пенсионного и выходного пособия работникам (Бюллетень официальных законов, часть </w:t>
      </w:r>
      <w:r>
        <w:rPr>
          <w:lang w:val="en-US"/>
        </w:rPr>
        <w:t>I</w:t>
      </w:r>
      <w:r>
        <w:t>, № 100/2002): выплата взносов в те периоды, когда оклады или заработная плата не выплачивались несмотря на то, что трудовые отношения сохранялись: в периоды получения пособия по уходу за детьми работники, согласно пунктам 4 и 5 раздела 7 Закона о порядке в</w:t>
      </w:r>
      <w:r>
        <w:t>ы</w:t>
      </w:r>
      <w:r>
        <w:t>платы пенсионного и выходного пособия работникам, имеют право выплач</w:t>
      </w:r>
      <w:r>
        <w:t>и</w:t>
      </w:r>
      <w:r>
        <w:t>вать взносы в размере 1,53 процента от суммы пособия по уходу за детьми в Фонд выплаты пенсионного и выходного пособия работникам. Официальные учреждения медицинского страхования, которые распределяют взносы, пол</w:t>
      </w:r>
      <w:r>
        <w:t>у</w:t>
      </w:r>
      <w:r>
        <w:t>чают компенсацию из Фонда помощи нуждающимся семьям. Этот новый пор</w:t>
      </w:r>
      <w:r>
        <w:t>я</w:t>
      </w:r>
      <w:r>
        <w:t>док выплаты выходного пособия обеспечивает, чтобы периоды отпусков по б</w:t>
      </w:r>
      <w:r>
        <w:t>е</w:t>
      </w:r>
      <w:r>
        <w:t>ременности и родам и отпусков по уходу за детьми также учитывались при расчете величины выходного пособия. Такой же порядок действует в отнош</w:t>
      </w:r>
      <w:r>
        <w:t>е</w:t>
      </w:r>
      <w:r>
        <w:t>нии работников, которые берут отпуск по уходу за больными членами семьи.</w:t>
      </w:r>
    </w:p>
    <w:p w:rsidR="00000000" w:rsidRDefault="00000000">
      <w:pPr>
        <w:pStyle w:val="SingleTxt"/>
      </w:pPr>
      <w:r>
        <w:tab/>
      </w:r>
      <w:r>
        <w:tab/>
        <w:t>В отличие от действовавшего ранее порядка выплаты выходного пособия теперь периоды пребывания работников в отпусках по беременности и родам и по уходу за детьми, в течение которых они получают пособие на детей по З</w:t>
      </w:r>
      <w:r>
        <w:t>а</w:t>
      </w:r>
      <w:r>
        <w:t>кону об охране материнства (и/или Закону о предоставлении отпуска по уходу за детьми), засчитываются в трехлетний стаж, дающий право на получение в</w:t>
      </w:r>
      <w:r>
        <w:t>ы</w:t>
      </w:r>
      <w:r>
        <w:t>ходного пособия на основании Закона о порядке выплаты пенсионного и в</w:t>
      </w:r>
      <w:r>
        <w:t>ы</w:t>
      </w:r>
      <w:r>
        <w:t>ходного пособия работникам. В результате женщины, которые берут отпуск по беременности и родам, уже не оказываются ущемленными с точки зрения пр</w:t>
      </w:r>
      <w:r>
        <w:t>а</w:t>
      </w:r>
      <w:r>
        <w:t>ва на получ</w:t>
      </w:r>
      <w:r>
        <w:t>е</w:t>
      </w:r>
      <w:r>
        <w:t>ние выходного пособия.</w:t>
      </w:r>
    </w:p>
    <w:p w:rsidR="00000000" w:rsidRDefault="00000000">
      <w:pPr>
        <w:pStyle w:val="50"/>
      </w:pPr>
    </w:p>
    <w:p w:rsidR="00000000" w:rsidRDefault="00000000">
      <w:pPr>
        <w:pStyle w:val="50"/>
      </w:pPr>
    </w:p>
    <w:p w:rsidR="00000000" w:rsidRDefault="00000000">
      <w:pPr>
        <w:pStyle w:val="H23"/>
        <w:rPr>
          <w:u w:val="single"/>
        </w:rPr>
      </w:pPr>
      <w:r>
        <w:tab/>
      </w:r>
      <w:bookmarkStart w:id="136" w:name="_Toc97786744"/>
      <w:r>
        <w:rPr>
          <w:u w:val="single"/>
        </w:rPr>
        <w:t>Статья 11, пункт 2, подпункт с)</w:t>
      </w:r>
      <w:bookmarkEnd w:id="136"/>
    </w:p>
    <w:p w:rsidR="00000000" w:rsidRDefault="00000000">
      <w:pPr>
        <w:pStyle w:val="50"/>
        <w:keepNext/>
      </w:pPr>
    </w:p>
    <w:p w:rsidR="00000000" w:rsidRDefault="00000000">
      <w:pPr>
        <w:pStyle w:val="50"/>
        <w:keepNext/>
      </w:pPr>
    </w:p>
    <w:p w:rsidR="00000000" w:rsidRDefault="00000000">
      <w:pPr>
        <w:pStyle w:val="H23"/>
      </w:pPr>
      <w:r>
        <w:tab/>
      </w:r>
      <w:bookmarkStart w:id="137" w:name="_Toc97786745"/>
      <w:r>
        <w:t>Система социальных услуг и учреждения по уходу за детьми</w:t>
      </w:r>
      <w:bookmarkEnd w:id="137"/>
    </w:p>
    <w:p w:rsidR="00000000" w:rsidRDefault="00000000">
      <w:pPr>
        <w:pStyle w:val="SingleTxt"/>
      </w:pPr>
      <w:r>
        <w:tab/>
      </w:r>
      <w:r>
        <w:tab/>
        <w:t xml:space="preserve">Ответственность за работу учреждений по уходу за детьми возложена на провинции. Вместе с тем, за отчетный период на </w:t>
      </w:r>
      <w:r>
        <w:rPr>
          <w:b/>
        </w:rPr>
        <w:t>федеральном уровне</w:t>
      </w:r>
      <w:r>
        <w:t xml:space="preserve"> был выдвинут целый ряд </w:t>
      </w:r>
      <w:r>
        <w:rPr>
          <w:b/>
        </w:rPr>
        <w:t>инициатив</w:t>
      </w:r>
      <w:r>
        <w:t>, включая экспериментальный проект по со</w:t>
      </w:r>
      <w:r>
        <w:t>з</w:t>
      </w:r>
      <w:r>
        <w:t>данию межобщинных учреждений по уходу за детьми, отвечающих регионал</w:t>
      </w:r>
      <w:r>
        <w:t>ь</w:t>
      </w:r>
      <w:r>
        <w:t>ным потребностям трех австрийских провинций. Благодаря этому экспериме</w:t>
      </w:r>
      <w:r>
        <w:t>н</w:t>
      </w:r>
      <w:r>
        <w:t>тальному проекту финансирование межобщинных учреждений по уходу за детьми было включено в число приоритетных направлений деятельности на 1999/2000 год, определенных в 1997 году в соответствии с подпунктом 3 пункта 1 раздела 22 Закона о перераспределении доходов (который, в частн</w:t>
      </w:r>
      <w:r>
        <w:t>о</w:t>
      </w:r>
      <w:r>
        <w:t>сти, регулирует систему распределения доходов между различными уровнями государственной власти – федеральными органами, органами провинций и м</w:t>
      </w:r>
      <w:r>
        <w:t>у</w:t>
      </w:r>
      <w:r>
        <w:t>ниципалитетами – и определяет порядок использования доходов этими орган</w:t>
      </w:r>
      <w:r>
        <w:t>а</w:t>
      </w:r>
      <w:r>
        <w:t>ми). Цель проекта состояла в том, чтобы проанализировать нынешнее полож</w:t>
      </w:r>
      <w:r>
        <w:t>е</w:t>
      </w:r>
      <w:r>
        <w:t>ние дел и использовать полученные выводы в планировании и работе учрежд</w:t>
      </w:r>
      <w:r>
        <w:t>е</w:t>
      </w:r>
      <w:r>
        <w:t>ний по уходу за детьми в соответствующих общинах, которые будут финанс</w:t>
      </w:r>
      <w:r>
        <w:t>и</w:t>
      </w:r>
      <w:r>
        <w:t>роваться местными органами власти или органами власти пр</w:t>
      </w:r>
      <w:r>
        <w:t>о</w:t>
      </w:r>
      <w:r>
        <w:t>винций.</w:t>
      </w:r>
    </w:p>
    <w:p w:rsidR="00000000" w:rsidRDefault="00000000">
      <w:pPr>
        <w:pStyle w:val="50"/>
      </w:pPr>
    </w:p>
    <w:p w:rsidR="00000000" w:rsidRDefault="00000000">
      <w:pPr>
        <w:pStyle w:val="50"/>
      </w:pPr>
    </w:p>
    <w:p w:rsidR="00000000" w:rsidRDefault="00000000">
      <w:pPr>
        <w:pStyle w:val="H4"/>
        <w:ind w:left="1264" w:firstLine="0"/>
        <w:rPr>
          <w:b/>
          <w:i w:val="0"/>
        </w:rPr>
      </w:pPr>
      <w:r>
        <w:rPr>
          <w:b/>
          <w:i w:val="0"/>
        </w:rPr>
        <w:t>Наиболее удачные примеры работы учреждений по уходу за детьми в провинциях</w:t>
      </w:r>
    </w:p>
    <w:p w:rsidR="00000000" w:rsidRDefault="00000000">
      <w:pPr>
        <w:pStyle w:val="SingleTxt"/>
      </w:pPr>
      <w:r>
        <w:tab/>
      </w:r>
      <w:r>
        <w:tab/>
        <w:t xml:space="preserve">В настоящее время в провинции </w:t>
      </w:r>
      <w:r>
        <w:rPr>
          <w:b/>
        </w:rPr>
        <w:t>Бургенланд</w:t>
      </w:r>
      <w:r>
        <w:t xml:space="preserve"> действует 191 детский сад. По сравнению с 1999 годом в 2000 и 2001 годах их число снизилось, но при этом снизилось и количество детей. В провинции Бургенланд отмечается на</w:t>
      </w:r>
      <w:r>
        <w:t>и</w:t>
      </w:r>
      <w:r>
        <w:t>высшая посещаемость детских садов детьми в возрасте от 3 до 6 лет среди всех авс</w:t>
      </w:r>
      <w:r>
        <w:t>т</w:t>
      </w:r>
      <w:r>
        <w:t>рийских провинций.</w:t>
      </w:r>
    </w:p>
    <w:p w:rsidR="00000000" w:rsidRDefault="00000000">
      <w:pPr>
        <w:pStyle w:val="SingleTxt"/>
      </w:pPr>
      <w:r>
        <w:tab/>
      </w:r>
      <w:r>
        <w:tab/>
        <w:t xml:space="preserve">С 2002 года власти провинции </w:t>
      </w:r>
      <w:r>
        <w:rPr>
          <w:b/>
        </w:rPr>
        <w:t>Форарльберг</w:t>
      </w:r>
      <w:r>
        <w:t xml:space="preserve"> содействуют росту женской занятости с помощью мер, ориентированных на рынок труда и сектор школ</w:t>
      </w:r>
      <w:r>
        <w:t>ь</w:t>
      </w:r>
      <w:r>
        <w:t>ного образования и способствующих совмещению производственных и семе</w:t>
      </w:r>
      <w:r>
        <w:t>й</w:t>
      </w:r>
      <w:r>
        <w:t>ных обязанностей. Это партнерство в целях развития действует на трех уро</w:t>
      </w:r>
      <w:r>
        <w:t>в</w:t>
      </w:r>
      <w:r>
        <w:t>нях: на уровне компаний, на индивидуальном уровне (семинары, курсы для женщин и мужчин, находящихся в отпуске по уходу за детьми, программа н</w:t>
      </w:r>
      <w:r>
        <w:t>а</w:t>
      </w:r>
      <w:r>
        <w:t>ставничества) и на региональном уровне, где усилия связаны с формированием общественного мнения. В 2003 году объем средств, выделяемых учреждениям по уходу за детьми в провинции, был увеличен до 50 процентов ассигнований, выделяемых на персонал, занимающийся уходом за детьми. Кроме того, учр</w:t>
      </w:r>
      <w:r>
        <w:t>е</w:t>
      </w:r>
      <w:r>
        <w:t>ждения по уходу за детьми получают инвестиционные субсидии. С сентября 2003 года власти провинции выделили гранты школам, покрывающие 50 процентов расходов их персонала, обеспечивающего услуги по уходу за учащимися. В январе 2003 года для родителей, местных органов власти, учр</w:t>
      </w:r>
      <w:r>
        <w:t>е</w:t>
      </w:r>
      <w:r>
        <w:t>ждений по уходу за детьми и компаний была открыта служба информации и услуг ("семейный пункт").</w:t>
      </w:r>
    </w:p>
    <w:p w:rsidR="00000000" w:rsidRDefault="00000000">
      <w:pPr>
        <w:pStyle w:val="SingleTxt"/>
      </w:pPr>
      <w:r>
        <w:tab/>
      </w:r>
      <w:r>
        <w:tab/>
        <w:t xml:space="preserve">В провинции </w:t>
      </w:r>
      <w:r>
        <w:rPr>
          <w:b/>
        </w:rPr>
        <w:t>Нижняя Австрия</w:t>
      </w:r>
      <w:r>
        <w:t xml:space="preserve"> действует хорошо развитая сеть прови</w:t>
      </w:r>
      <w:r>
        <w:t>н</w:t>
      </w:r>
      <w:r>
        <w:t>циальных детских садов, рассчитанных приблизительно на 43 тыс. детей. Кр</w:t>
      </w:r>
      <w:r>
        <w:t>о</w:t>
      </w:r>
      <w:r>
        <w:t>ме того, власти провинции поддерживают усилия, направленные на обеспеч</w:t>
      </w:r>
      <w:r>
        <w:t>е</w:t>
      </w:r>
      <w:r>
        <w:t>ние гибкого совмещения производственных и семейных обязанностей. В н</w:t>
      </w:r>
      <w:r>
        <w:t>а</w:t>
      </w:r>
      <w:r>
        <w:t>стоящее время 1 500 детских воспитателей присматривают примерно за 5 500 детьми; центры дневного ухода посещают приблизительно 2 200 детей, а школы пр</w:t>
      </w:r>
      <w:r>
        <w:t>о</w:t>
      </w:r>
      <w:r>
        <w:t>дленного дня охватывают около 6 550 детей.</w:t>
      </w:r>
    </w:p>
    <w:p w:rsidR="00000000" w:rsidRDefault="00000000">
      <w:pPr>
        <w:pStyle w:val="SingleTxt"/>
      </w:pPr>
      <w:r>
        <w:tab/>
      </w:r>
      <w:r>
        <w:tab/>
        <w:t xml:space="preserve">Власти провинции </w:t>
      </w:r>
      <w:r>
        <w:rPr>
          <w:b/>
        </w:rPr>
        <w:t>Верхняя Австрия</w:t>
      </w:r>
      <w:r>
        <w:t xml:space="preserve"> оказывают финансовую поддержку в части, касающейся организации летних детских садов (см. также приложение 1). Дополнительные сведения см. в разделах настоящего доклада, касающихся р</w:t>
      </w:r>
      <w:r>
        <w:t>е</w:t>
      </w:r>
      <w:r>
        <w:t xml:space="preserve">комендаций 233 и 234. </w:t>
      </w:r>
    </w:p>
    <w:p w:rsidR="00000000" w:rsidRDefault="00000000">
      <w:pPr>
        <w:pStyle w:val="50"/>
      </w:pPr>
    </w:p>
    <w:p w:rsidR="00000000" w:rsidRDefault="00000000">
      <w:pPr>
        <w:pStyle w:val="50"/>
      </w:pPr>
    </w:p>
    <w:p w:rsidR="00000000" w:rsidRDefault="00000000">
      <w:pPr>
        <w:pStyle w:val="H1"/>
      </w:pPr>
      <w:r>
        <w:tab/>
      </w:r>
      <w:bookmarkStart w:id="138" w:name="_Toc97786746"/>
      <w:r>
        <w:t>Статья 12</w:t>
      </w:r>
      <w:bookmarkEnd w:id="138"/>
    </w:p>
    <w:p w:rsidR="00000000" w:rsidRDefault="00000000">
      <w:pPr>
        <w:pStyle w:val="SingleTxt"/>
      </w:pPr>
      <w:r>
        <w:t>Обеспечение высококачественной медицинской помощи всем гражданам нез</w:t>
      </w:r>
      <w:r>
        <w:t>а</w:t>
      </w:r>
      <w:r>
        <w:t>висимо от уровня их доходов, возраста и пола является одной из основных ц</w:t>
      </w:r>
      <w:r>
        <w:t>е</w:t>
      </w:r>
      <w:r>
        <w:t>лей программы нынешнего правительства. Доступ женщин к медицинскому обслуживанию обеспечивается на одинаковых с мужчинами услов</w:t>
      </w:r>
      <w:r>
        <w:t>и</w:t>
      </w:r>
      <w:r>
        <w:t>ях.</w:t>
      </w:r>
    </w:p>
    <w:p w:rsidR="00000000" w:rsidRDefault="00000000">
      <w:pPr>
        <w:pStyle w:val="50"/>
      </w:pPr>
    </w:p>
    <w:p w:rsidR="00000000" w:rsidRDefault="00000000">
      <w:pPr>
        <w:pStyle w:val="50"/>
      </w:pPr>
    </w:p>
    <w:p w:rsidR="00000000" w:rsidRDefault="00000000">
      <w:pPr>
        <w:pStyle w:val="H23"/>
      </w:pPr>
      <w:r>
        <w:tab/>
      </w:r>
      <w:bookmarkStart w:id="139" w:name="_Toc97786747"/>
      <w:r>
        <w:t>Специалисты-медики – совмещение производственных и семейных обязанностей</w:t>
      </w:r>
      <w:bookmarkEnd w:id="139"/>
    </w:p>
    <w:p w:rsidR="00000000" w:rsidRDefault="00000000">
      <w:pPr>
        <w:pStyle w:val="SingleTxt"/>
        <w:rPr>
          <w:spacing w:val="-3"/>
        </w:rPr>
      </w:pPr>
      <w:r>
        <w:tab/>
      </w:r>
      <w:r>
        <w:tab/>
        <w:t>В соответствии с положениями, регулирующими порядок работы по с</w:t>
      </w:r>
      <w:r>
        <w:t>о</w:t>
      </w:r>
      <w:r>
        <w:t>кращенному графику и изложенными в Директиве 2001/19/ЕС пятая поправка к Закону о медицинских специальностях 1998 года (пункт 7 раздела 9, пункт 8 раздела 10, пункт 7 раздела 11, пункт 4 раздела 12, пункт 6 раздела 12а и пункт 7 раздела 13) (</w:t>
      </w:r>
      <w:r>
        <w:rPr>
          <w:spacing w:val="-3"/>
        </w:rPr>
        <w:t xml:space="preserve">Бюллетень официальных законов, часть </w:t>
      </w:r>
      <w:r>
        <w:rPr>
          <w:spacing w:val="-3"/>
          <w:lang w:val="en-US"/>
        </w:rPr>
        <w:t>I</w:t>
      </w:r>
      <w:r>
        <w:rPr>
          <w:spacing w:val="-3"/>
        </w:rPr>
        <w:t>, № 140/2003) предо</w:t>
      </w:r>
      <w:r>
        <w:rPr>
          <w:spacing w:val="-3"/>
        </w:rPr>
        <w:t>с</w:t>
      </w:r>
      <w:r>
        <w:rPr>
          <w:spacing w:val="-3"/>
        </w:rPr>
        <w:t>тавила возможность работы по сокращенному графику врачам, которые готовятся стать практикующими медицинскими специалистами общего профиля или проходят специализированную подготовку. Раньше право работать неполный рабочий день предоставлялось только тем лицам, которым необходимо было осуществлять уход за детьми; теперь же в качестве основания для перехода на сокращенный график работы можно привести практически любую причину. Однако лица, готовящиеся стать вр</w:t>
      </w:r>
      <w:r>
        <w:rPr>
          <w:spacing w:val="-3"/>
        </w:rPr>
        <w:t>а</w:t>
      </w:r>
      <w:r>
        <w:rPr>
          <w:spacing w:val="-3"/>
        </w:rPr>
        <w:t>чами, должны заключать соответствующие соглашения с руководством больницы, владельцем отделения учебной хирургии или руководством поликлиники амбулато</w:t>
      </w:r>
      <w:r>
        <w:rPr>
          <w:spacing w:val="-3"/>
        </w:rPr>
        <w:t>р</w:t>
      </w:r>
      <w:r>
        <w:rPr>
          <w:spacing w:val="-3"/>
        </w:rPr>
        <w:t>ного типа. Врачи, которые проходят специализированную подготовку, должны пред</w:t>
      </w:r>
      <w:r>
        <w:rPr>
          <w:spacing w:val="-3"/>
        </w:rPr>
        <w:t>ъ</w:t>
      </w:r>
      <w:r>
        <w:rPr>
          <w:spacing w:val="-3"/>
        </w:rPr>
        <w:t>являть доказательства того, что они не могут проходить обучение в течение полного рабоч</w:t>
      </w:r>
      <w:r>
        <w:rPr>
          <w:spacing w:val="-3"/>
        </w:rPr>
        <w:t>е</w:t>
      </w:r>
      <w:r>
        <w:rPr>
          <w:spacing w:val="-3"/>
        </w:rPr>
        <w:t>го дня.</w:t>
      </w:r>
    </w:p>
    <w:p w:rsidR="00000000" w:rsidRDefault="00000000">
      <w:pPr>
        <w:pStyle w:val="SingleTxt"/>
      </w:pPr>
      <w:r>
        <w:tab/>
      </w:r>
      <w:r>
        <w:tab/>
        <w:t xml:space="preserve">В этом контексте в качестве одного из главных предлогов используется ссылка на необходимость </w:t>
      </w:r>
      <w:r>
        <w:rPr>
          <w:b/>
        </w:rPr>
        <w:t>ухода за недееспособными родственниками</w:t>
      </w:r>
      <w:r>
        <w:t xml:space="preserve"> или тяжело больными детьми. Фраза "необходимость ухода за ребенком" была из</w:t>
      </w:r>
      <w:r>
        <w:t>ъ</w:t>
      </w:r>
      <w:r>
        <w:t>ята без ущерба для каких-либо прав, предусмотренных Законом об охране м</w:t>
      </w:r>
      <w:r>
        <w:t>а</w:t>
      </w:r>
      <w:r>
        <w:t>теринства и Законом об отпуске по уходу за детьми или положениям законод</w:t>
      </w:r>
      <w:r>
        <w:t>а</w:t>
      </w:r>
      <w:r>
        <w:t>тельства о порядке подготовки врачей (см. раздел настоящего доклада, каса</w:t>
      </w:r>
      <w:r>
        <w:t>ю</w:t>
      </w:r>
      <w:r>
        <w:t>щийся пункта 2 статьи 11).</w:t>
      </w:r>
    </w:p>
    <w:p w:rsidR="00000000" w:rsidRDefault="00000000">
      <w:pPr>
        <w:pStyle w:val="SingleTxt"/>
      </w:pPr>
      <w:r>
        <w:tab/>
      </w:r>
      <w:r>
        <w:tab/>
        <w:t xml:space="preserve">В соответствии с </w:t>
      </w:r>
      <w:r>
        <w:rPr>
          <w:b/>
        </w:rPr>
        <w:t>пятьдесят восьмой поправкой к Закону о всеобщем социальном обеспечении</w:t>
      </w:r>
      <w:r>
        <w:t xml:space="preserve"> (Бюллетень официальных законов, часть </w:t>
      </w:r>
      <w:r>
        <w:rPr>
          <w:lang w:val="en-US"/>
        </w:rPr>
        <w:t>I</w:t>
      </w:r>
      <w:r>
        <w:t>, № 99/2001) положение, определяющее условия соглашений между врачами и р</w:t>
      </w:r>
      <w:r>
        <w:t>у</w:t>
      </w:r>
      <w:r>
        <w:t>ководством медицинских страховых компаний, было дополнено постановлен</w:t>
      </w:r>
      <w:r>
        <w:t>и</w:t>
      </w:r>
      <w:r>
        <w:t>ем о делегировании федеральному министру полномочий издавать юридич</w:t>
      </w:r>
      <w:r>
        <w:t>е</w:t>
      </w:r>
      <w:r>
        <w:t>ские документы. Согласно пункту 1 раздела 343 этого закона, выбор коллект</w:t>
      </w:r>
      <w:r>
        <w:t>и</w:t>
      </w:r>
      <w:r>
        <w:t>вов врачей и медицинских центров и порядок заключения индивидуальных с</w:t>
      </w:r>
      <w:r>
        <w:t>о</w:t>
      </w:r>
      <w:r>
        <w:t>глашений между официальными медицинскими страховыми компаниями и врачом или медицинским центром регулируется положениями соответству</w:t>
      </w:r>
      <w:r>
        <w:t>ю</w:t>
      </w:r>
      <w:r>
        <w:t>щего соглашения и осуществляется в координации с соответствующим мед</w:t>
      </w:r>
      <w:r>
        <w:t>и</w:t>
      </w:r>
      <w:r>
        <w:t>цинским советом. С этой целью ответственный федеральный министр по пре</w:t>
      </w:r>
      <w:r>
        <w:t>д</w:t>
      </w:r>
      <w:r>
        <w:t>ложению медицинского совета издает постановление, в котором будут излож</w:t>
      </w:r>
      <w:r>
        <w:t>е</w:t>
      </w:r>
      <w:r>
        <w:t>ны обязательные критерии для определения порядка очередности претендентов на индивидуальные контракты. В процессе отбора учитываются такие крит</w:t>
      </w:r>
      <w:r>
        <w:t>е</w:t>
      </w:r>
      <w:r>
        <w:t>рии, как квалификация и способности претендентов и хронологический пор</w:t>
      </w:r>
      <w:r>
        <w:t>я</w:t>
      </w:r>
      <w:r>
        <w:t>док подачи заявок; кроме того, критерии определения очередности должны с</w:t>
      </w:r>
      <w:r>
        <w:t>о</w:t>
      </w:r>
      <w:r>
        <w:t>ответствовать принципам свободы осуществления доходной деятельностью и свободы заключения коллективных договоров, а также соответствующему з</w:t>
      </w:r>
      <w:r>
        <w:t>а</w:t>
      </w:r>
      <w:r>
        <w:t>конодательству ЕС. До принятия такого постановления необходимо проко</w:t>
      </w:r>
      <w:r>
        <w:t>н</w:t>
      </w:r>
      <w:r>
        <w:t>сультироваться с представителями Ассоциации учреждений по вопросам соц</w:t>
      </w:r>
      <w:r>
        <w:t>и</w:t>
      </w:r>
      <w:r>
        <w:t>ального страх</w:t>
      </w:r>
      <w:r>
        <w:t>о</w:t>
      </w:r>
      <w:r>
        <w:t>вания.</w:t>
      </w:r>
    </w:p>
    <w:p w:rsidR="00000000" w:rsidRDefault="00000000">
      <w:pPr>
        <w:pStyle w:val="SingleTxt"/>
        <w:rPr>
          <w:spacing w:val="-3"/>
        </w:rPr>
      </w:pPr>
      <w:r>
        <w:tab/>
      </w:r>
      <w:r>
        <w:tab/>
        <w:t xml:space="preserve">20 декабря 2002 года было принято и опубликовано </w:t>
      </w:r>
      <w:r>
        <w:rPr>
          <w:b/>
        </w:rPr>
        <w:t>Постановление о критериях определения очередности</w:t>
      </w:r>
      <w:r>
        <w:t xml:space="preserve"> (</w:t>
      </w:r>
      <w:r>
        <w:rPr>
          <w:spacing w:val="-3"/>
        </w:rPr>
        <w:t xml:space="preserve">Бюллетень официальных законов, часть </w:t>
      </w:r>
      <w:r>
        <w:rPr>
          <w:spacing w:val="-3"/>
          <w:lang w:val="en-US"/>
        </w:rPr>
        <w:t>I</w:t>
      </w:r>
      <w:r>
        <w:rPr>
          <w:spacing w:val="-3"/>
        </w:rPr>
        <w:t>, № 487/2002). В этом постановлении, в котором последовательно используются не</w:t>
      </w:r>
      <w:r>
        <w:rPr>
          <w:spacing w:val="-3"/>
        </w:rPr>
        <w:t>й</w:t>
      </w:r>
      <w:r>
        <w:rPr>
          <w:spacing w:val="-3"/>
        </w:rPr>
        <w:t>тральные с гендерной точки зрения формулировки и учитывается особое положение женщин, в ч</w:t>
      </w:r>
      <w:r>
        <w:rPr>
          <w:spacing w:val="-3"/>
        </w:rPr>
        <w:t>а</w:t>
      </w:r>
      <w:r>
        <w:rPr>
          <w:spacing w:val="-3"/>
        </w:rPr>
        <w:t>стности предусматривается:</w:t>
      </w:r>
    </w:p>
    <w:p w:rsidR="00000000" w:rsidRDefault="00000000">
      <w:pPr>
        <w:pStyle w:val="dot"/>
      </w:pPr>
      <w:r>
        <w:t>1.</w:t>
      </w:r>
      <w:r>
        <w:tab/>
        <w:t>В соответствии с пунктом 2 раздела 2 этого постановления "заве</w:t>
      </w:r>
      <w:r>
        <w:t>р</w:t>
      </w:r>
      <w:r>
        <w:t>шение периодов охраны материнства по смыслу закона об охране материнства 1979 года и периодов отпусков по беременности и р</w:t>
      </w:r>
      <w:r>
        <w:t>о</w:t>
      </w:r>
      <w:r>
        <w:t>дам и уходу за детьми" являются критериями, которые должны уч</w:t>
      </w:r>
      <w:r>
        <w:t>и</w:t>
      </w:r>
      <w:r>
        <w:t>тыват</w:t>
      </w:r>
      <w:r>
        <w:t>ь</w:t>
      </w:r>
      <w:r>
        <w:t>ся при определении очередности.</w:t>
      </w:r>
    </w:p>
    <w:p w:rsidR="00000000" w:rsidRDefault="00000000">
      <w:pPr>
        <w:pStyle w:val="dot"/>
      </w:pPr>
      <w:r>
        <w:t>2.</w:t>
      </w:r>
      <w:r>
        <w:tab/>
        <w:t>В соответствии с пунктом 3 раздела 3 постановления выбор между претендентами одинаковой степени очередности делается на основе квалификационного критерия. Если претенденты обладают одинак</w:t>
      </w:r>
      <w:r>
        <w:t>о</w:t>
      </w:r>
      <w:r>
        <w:t>вым уровнем квалификации, проводится слушание для определения их порядка очередности. При этом также следует учитывать долю женщин, обслуж</w:t>
      </w:r>
      <w:r>
        <w:t>и</w:t>
      </w:r>
      <w:r>
        <w:t>ваемых в данном географическом районе.</w:t>
      </w:r>
    </w:p>
    <w:p w:rsidR="00000000" w:rsidRDefault="00000000">
      <w:pPr>
        <w:pStyle w:val="SingleTxt"/>
      </w:pPr>
      <w:r>
        <w:tab/>
      </w:r>
      <w:r>
        <w:tab/>
        <w:t>Поскольку в качестве конечного срока для осуществления данного пост</w:t>
      </w:r>
      <w:r>
        <w:t>а</w:t>
      </w:r>
      <w:r>
        <w:t>новления, в который должны уложиться стороны страхового соглашения, опр</w:t>
      </w:r>
      <w:r>
        <w:t>е</w:t>
      </w:r>
      <w:r>
        <w:t>делено 31 декабря 2005 года, пока невозможно сообщить никакой информации об эффекте положений этого постановления.</w:t>
      </w:r>
    </w:p>
    <w:p w:rsidR="00000000" w:rsidRDefault="00000000">
      <w:pPr>
        <w:pStyle w:val="50"/>
      </w:pPr>
    </w:p>
    <w:p w:rsidR="00000000" w:rsidRDefault="00000000">
      <w:pPr>
        <w:pStyle w:val="50"/>
      </w:pPr>
    </w:p>
    <w:p w:rsidR="00000000" w:rsidRDefault="00000000">
      <w:pPr>
        <w:pStyle w:val="H23"/>
      </w:pPr>
      <w:r>
        <w:tab/>
      </w:r>
      <w:bookmarkStart w:id="140" w:name="_Toc97786749"/>
      <w:r>
        <w:t>Услуги в области охраны здоровья матери и ребенка</w:t>
      </w:r>
      <w:bookmarkEnd w:id="140"/>
    </w:p>
    <w:p w:rsidR="00000000" w:rsidRDefault="00000000">
      <w:pPr>
        <w:pStyle w:val="SingleTxt"/>
      </w:pPr>
      <w:r>
        <w:tab/>
      </w:r>
      <w:r>
        <w:tab/>
        <w:t>С 1 января 2002 году система обязательных медицинских осмотров в ра</w:t>
      </w:r>
      <w:r>
        <w:t>м</w:t>
      </w:r>
      <w:r>
        <w:t>ках программы охраны здоровья матери и ребенка была расширена. Стимул в виде выплаты надбавки за прохождение медицинских осмотров по карточке матери и ребенка был заменен пособием по охране здоровья ребенка (более подробную информацию о пособии по охране здоровья ребенка см. в разделе н</w:t>
      </w:r>
      <w:r>
        <w:t>а</w:t>
      </w:r>
      <w:r>
        <w:t>стоящего доклада, посвященном статье 13).</w:t>
      </w:r>
    </w:p>
    <w:p w:rsidR="00000000" w:rsidRDefault="00000000">
      <w:pPr>
        <w:pStyle w:val="50"/>
      </w:pPr>
    </w:p>
    <w:p w:rsidR="00000000" w:rsidRDefault="00000000">
      <w:pPr>
        <w:pStyle w:val="50"/>
      </w:pPr>
    </w:p>
    <w:p w:rsidR="00000000" w:rsidRDefault="00000000">
      <w:pPr>
        <w:pStyle w:val="H23"/>
      </w:pPr>
      <w:r>
        <w:tab/>
      </w:r>
      <w:bookmarkStart w:id="141" w:name="_Toc97786750"/>
      <w:r>
        <w:t xml:space="preserve">Искусственное оплодотворение </w:t>
      </w:r>
      <w:r>
        <w:rPr>
          <w:lang w:val="en-US"/>
        </w:rPr>
        <w:t>in</w:t>
      </w:r>
      <w:r>
        <w:t xml:space="preserve"> </w:t>
      </w:r>
      <w:r>
        <w:rPr>
          <w:lang w:val="en-US"/>
        </w:rPr>
        <w:t>vitro</w:t>
      </w:r>
      <w:bookmarkEnd w:id="141"/>
    </w:p>
    <w:p w:rsidR="00000000" w:rsidRDefault="00000000">
      <w:pPr>
        <w:pStyle w:val="SingleTxt"/>
      </w:pPr>
      <w:r>
        <w:tab/>
      </w:r>
      <w:r>
        <w:tab/>
        <w:t>С 1992 года применение медицинских методов зачатия регулируется З</w:t>
      </w:r>
      <w:r>
        <w:t>а</w:t>
      </w:r>
      <w:r>
        <w:t>коном о репродуктивной медицине. Закон о долевом участии в финансиров</w:t>
      </w:r>
      <w:r>
        <w:t>а</w:t>
      </w:r>
      <w:r>
        <w:t>нии, вступивший в силу с 1 января 2000 года, предусматривает, что 70 процентов медицинских расходов будут покрываться за счет общественного фонда. Поправка, принятая к этому закону, расширила круг лиц, имеющих пр</w:t>
      </w:r>
      <w:r>
        <w:t>а</w:t>
      </w:r>
      <w:r>
        <w:t>во пользоваться его усл</w:t>
      </w:r>
      <w:r>
        <w:t>у</w:t>
      </w:r>
      <w:r>
        <w:t>гами.</w:t>
      </w:r>
    </w:p>
    <w:p w:rsidR="00000000" w:rsidRDefault="00000000">
      <w:pPr>
        <w:pStyle w:val="SingleTxt"/>
      </w:pPr>
      <w:r>
        <w:tab/>
      </w:r>
      <w:r>
        <w:tab/>
        <w:t>Ниже приводятся некоторые примеры различных инициатив по охране здоровья женщин, выдвинутых провинциями (см. также раздел настоящего доклада, касающийся р</w:t>
      </w:r>
      <w:r>
        <w:t>е</w:t>
      </w:r>
      <w:r>
        <w:t>комендации 237).</w:t>
      </w:r>
    </w:p>
    <w:p w:rsidR="00000000" w:rsidRDefault="00000000">
      <w:pPr>
        <w:pStyle w:val="50"/>
      </w:pPr>
    </w:p>
    <w:p w:rsidR="00000000" w:rsidRDefault="00000000">
      <w:pPr>
        <w:pStyle w:val="50"/>
      </w:pPr>
    </w:p>
    <w:p w:rsidR="00000000" w:rsidRDefault="00000000">
      <w:pPr>
        <w:pStyle w:val="H4"/>
        <w:rPr>
          <w:b/>
          <w:i w:val="0"/>
        </w:rPr>
      </w:pPr>
      <w:r>
        <w:rPr>
          <w:b/>
          <w:i w:val="0"/>
        </w:rPr>
        <w:t>Вена</w:t>
      </w:r>
    </w:p>
    <w:p w:rsidR="00000000" w:rsidRDefault="00000000">
      <w:pPr>
        <w:pStyle w:val="SingleTxt"/>
      </w:pPr>
      <w:r>
        <w:tab/>
      </w:r>
      <w:r>
        <w:tab/>
        <w:t>Женщины-мигранты: женщины-мигранты, которые оказываются незащ</w:t>
      </w:r>
      <w:r>
        <w:t>и</w:t>
      </w:r>
      <w:r>
        <w:t>щенными с самых различных точек зрения, должны иметь равный доступ ко всем медицинским учреждениям, и необходимо принять меры по решению проблемы, связанной с отсутствием у них необходимой информации, а также языковыми трудностями. Для достижения этих целей принимаются следующие м</w:t>
      </w:r>
      <w:r>
        <w:t>е</w:t>
      </w:r>
      <w:r>
        <w:t>ры:</w:t>
      </w:r>
    </w:p>
    <w:p w:rsidR="00000000" w:rsidRDefault="00000000">
      <w:pPr>
        <w:pStyle w:val="SingleTxt"/>
      </w:pPr>
      <w:r>
        <w:tab/>
      </w:r>
      <w:r>
        <w:tab/>
        <w:t>Информационные беседы на их родных языках были организованы по проблемам риска онкологических заболеваний, сердечных приступов, инфе</w:t>
      </w:r>
      <w:r>
        <w:t>к</w:t>
      </w:r>
      <w:r>
        <w:t>ционных заболеваний (гепатита В, БППП и СПИДа) и контрацепции, и на н</w:t>
      </w:r>
      <w:r>
        <w:t>е</w:t>
      </w:r>
      <w:r>
        <w:t>скольких языках были изданы брошюры по вопросам, касающимся охраны здоровья женщин.</w:t>
      </w:r>
    </w:p>
    <w:p w:rsidR="00000000" w:rsidRDefault="00000000">
      <w:pPr>
        <w:pStyle w:val="SingleTxt"/>
      </w:pPr>
      <w:r>
        <w:tab/>
      </w:r>
      <w:r>
        <w:tab/>
        <w:t>Работа медицинского центра ("</w:t>
      </w:r>
      <w:r>
        <w:rPr>
          <w:lang w:val="en-US"/>
        </w:rPr>
        <w:t>FEM</w:t>
      </w:r>
      <w:r>
        <w:t>-</w:t>
      </w:r>
      <w:r>
        <w:rPr>
          <w:lang w:val="en-US"/>
        </w:rPr>
        <w:t>S</w:t>
      </w:r>
      <w:r>
        <w:t>ü</w:t>
      </w:r>
      <w:r>
        <w:rPr>
          <w:lang w:val="en-US"/>
        </w:rPr>
        <w:t>d</w:t>
      </w:r>
      <w:r>
        <w:t>"), открытого в округе, в котором проживает большое количество женщин-мигрантов, сосредоточена на мерах по поощрению охраны здоровья среди женщин-мигрантов.</w:t>
      </w:r>
    </w:p>
    <w:p w:rsidR="00000000" w:rsidRDefault="00000000">
      <w:pPr>
        <w:pStyle w:val="SingleTxt"/>
      </w:pPr>
      <w:r>
        <w:tab/>
      </w:r>
      <w:r>
        <w:tab/>
        <w:t>В хирургическом отделении одной женской гинекологической консульт</w:t>
      </w:r>
      <w:r>
        <w:t>а</w:t>
      </w:r>
      <w:r>
        <w:t>ции открыта специальная служба по проблеме причинения увечий женским половым органам, которая изучает культурные и медицинские причины такой практики.</w:t>
      </w:r>
    </w:p>
    <w:p w:rsidR="00000000" w:rsidRDefault="00000000">
      <w:pPr>
        <w:pStyle w:val="SingleTxt"/>
      </w:pPr>
      <w:r>
        <w:tab/>
      </w:r>
      <w:r>
        <w:tab/>
        <w:t>Женщины-инвалиды: упрощенный доступ к гинекологическим осмотрам: цель проекта под названием "нет барьерам!" направлен на то, чтобы улучшить систему гинекологических осмотров и охраны здоровья женщин-инвалидов. Проект сосредоточен на выявлении условий и мер, призванных сделать доступ таких женщин к гинекологическим осмотрам и медицинским услугам всео</w:t>
      </w:r>
      <w:r>
        <w:t>б</w:t>
      </w:r>
      <w:r>
        <w:t>щим, "привлекательным" и упрощенным. Были проведены два обследования, первое из которых было направлено на изучение сложившегося положения в</w:t>
      </w:r>
      <w:r>
        <w:t>е</w:t>
      </w:r>
      <w:r>
        <w:t>щей и оценку предыдущего опыта и нынешних потребностей в гинекологич</w:t>
      </w:r>
      <w:r>
        <w:t>е</w:t>
      </w:r>
      <w:r>
        <w:t>ских и медицинских услугах с позиций женщин-инвалидов, а второе было п</w:t>
      </w:r>
      <w:r>
        <w:t>о</w:t>
      </w:r>
      <w:r>
        <w:t>священо изучению предоставленных медицинских услуг с точки зрения самих гинекологов. Полученные данные и информация будут проанализированы и использованы в процессе составления перечня преобразований, которые отв</w:t>
      </w:r>
      <w:r>
        <w:t>е</w:t>
      </w:r>
      <w:r>
        <w:t>чают интересам о</w:t>
      </w:r>
      <w:r>
        <w:t>б</w:t>
      </w:r>
      <w:r>
        <w:t>служиваемого контингента.</w:t>
      </w:r>
    </w:p>
    <w:p w:rsidR="00000000" w:rsidRDefault="00000000">
      <w:pPr>
        <w:pStyle w:val="SingleTxt"/>
      </w:pPr>
      <w:r>
        <w:tab/>
      </w:r>
      <w:r>
        <w:tab/>
        <w:t>Венские дни по охране здоровья женщин "</w:t>
      </w:r>
      <w:r>
        <w:rPr>
          <w:lang w:val="en-US"/>
        </w:rPr>
        <w:t>Fem</w:t>
      </w:r>
      <w:r>
        <w:t xml:space="preserve"> </w:t>
      </w:r>
      <w:r>
        <w:rPr>
          <w:lang w:val="en-US"/>
        </w:rPr>
        <w:t>Vital</w:t>
      </w:r>
      <w:r>
        <w:t>" были организованы вот уже в четвертый раз и были направлены на решение широкого спектра в</w:t>
      </w:r>
      <w:r>
        <w:t>о</w:t>
      </w:r>
      <w:r>
        <w:t>просов, касающихся охраны здоровья, благосостояния и образа жизни. (В ра</w:t>
      </w:r>
      <w:r>
        <w:t>м</w:t>
      </w:r>
      <w:r>
        <w:t>ках этих мероприятий действуют "медпункты", которые проводят бесплатные медицинские осмотры и оказывают различные консультационные услуги, н</w:t>
      </w:r>
      <w:r>
        <w:t>а</w:t>
      </w:r>
      <w:r>
        <w:t>чиная от вопросов контрацепции и половой жизни и заканчивая психологич</w:t>
      </w:r>
      <w:r>
        <w:t>е</w:t>
      </w:r>
      <w:r>
        <w:t>скими и юридическими вопросами, и проводятся специальные лекции.)</w:t>
      </w:r>
    </w:p>
    <w:p w:rsidR="00000000" w:rsidRDefault="00000000">
      <w:pPr>
        <w:pStyle w:val="SingleTxt"/>
      </w:pPr>
      <w:r>
        <w:tab/>
      </w:r>
      <w:r>
        <w:tab/>
        <w:t xml:space="preserve">В 2000 году был опубликован всеобъемлющий доклад </w:t>
      </w:r>
      <w:r>
        <w:rPr>
          <w:b/>
        </w:rPr>
        <w:t>провинции Заль</w:t>
      </w:r>
      <w:r>
        <w:rPr>
          <w:b/>
        </w:rPr>
        <w:t>ц</w:t>
      </w:r>
      <w:r>
        <w:rPr>
          <w:b/>
        </w:rPr>
        <w:t>бург</w:t>
      </w:r>
      <w:r>
        <w:t>, в котором содержится отчет об услугах по охране здоровья женщин, пр</w:t>
      </w:r>
      <w:r>
        <w:t>е</w:t>
      </w:r>
      <w:r>
        <w:t>доставляемых в провинции, и рекомендации об улучшении качества этих услуг. В нем также речь идет о профилактических медицинских мероприятиях, орг</w:t>
      </w:r>
      <w:r>
        <w:t>а</w:t>
      </w:r>
      <w:r>
        <w:t>низуемых медицинским центром ИСИС, амбулаторных клиниках, действу</w:t>
      </w:r>
      <w:r>
        <w:t>ю</w:t>
      </w:r>
      <w:r>
        <w:t>щих на р</w:t>
      </w:r>
      <w:r>
        <w:t>е</w:t>
      </w:r>
      <w:r>
        <w:t>гиональном уровне.</w:t>
      </w:r>
    </w:p>
    <w:p w:rsidR="00000000" w:rsidRDefault="00000000">
      <w:pPr>
        <w:pStyle w:val="SingleTxt"/>
      </w:pPr>
      <w:r>
        <w:tab/>
      </w:r>
      <w:r>
        <w:tab/>
        <w:t>С 2000 года насилие в отношении женщин является одной из тем пр</w:t>
      </w:r>
      <w:r>
        <w:t>о</w:t>
      </w:r>
      <w:r>
        <w:t xml:space="preserve">граммы подготовки медицинских работников без отрыва от работы по всей территории провинции </w:t>
      </w:r>
      <w:r>
        <w:rPr>
          <w:b/>
        </w:rPr>
        <w:t>Нижняя Австрия</w:t>
      </w:r>
      <w:r>
        <w:t>. Этой теме был посвящен доклад провинции Нижняя Австрия по вопросам охраны здоровья женщин, опублик</w:t>
      </w:r>
      <w:r>
        <w:t>о</w:t>
      </w:r>
      <w:r>
        <w:t>ванный в 1999 году. В провинции</w:t>
      </w:r>
      <w:r>
        <w:rPr>
          <w:b/>
        </w:rPr>
        <w:t xml:space="preserve"> Тироль</w:t>
      </w:r>
      <w:r>
        <w:t xml:space="preserve"> проекты в области охраны здоровья женщин осуществляются с 1995 года. В 2002 году служба круглосуточной п</w:t>
      </w:r>
      <w:r>
        <w:t>о</w:t>
      </w:r>
      <w:r>
        <w:t>мощи была открыта в гинекологическом отделении больницы г. Дорнбирн в провинции</w:t>
      </w:r>
      <w:r>
        <w:rPr>
          <w:b/>
        </w:rPr>
        <w:t xml:space="preserve"> Форарльберг</w:t>
      </w:r>
      <w:r>
        <w:t>, куда могут обращаться женщины, пострадавшие от насилия, и в которой их осматривают женщины-гинекологи. В провинции</w:t>
      </w:r>
      <w:r>
        <w:rPr>
          <w:b/>
        </w:rPr>
        <w:t xml:space="preserve"> Верхняя Австрия</w:t>
      </w:r>
      <w:r>
        <w:t xml:space="preserve"> проводятся семинары по проблемам снижения числа стре</w:t>
      </w:r>
      <w:r>
        <w:t>с</w:t>
      </w:r>
      <w:r>
        <w:t>сов (более подробную и</w:t>
      </w:r>
      <w:r>
        <w:t>н</w:t>
      </w:r>
      <w:r>
        <w:t>формацию см. в приложении 1).</w:t>
      </w:r>
    </w:p>
    <w:p w:rsidR="00000000" w:rsidRDefault="00000000">
      <w:pPr>
        <w:pStyle w:val="50"/>
      </w:pPr>
    </w:p>
    <w:p w:rsidR="00000000" w:rsidRDefault="00000000">
      <w:pPr>
        <w:pStyle w:val="50"/>
      </w:pPr>
    </w:p>
    <w:p w:rsidR="00000000" w:rsidRDefault="00000000">
      <w:pPr>
        <w:pStyle w:val="H1"/>
      </w:pPr>
      <w:r>
        <w:tab/>
      </w:r>
      <w:bookmarkStart w:id="142" w:name="_Toc97786751"/>
      <w:r>
        <w:t>Статья 13</w:t>
      </w:r>
      <w:bookmarkEnd w:id="142"/>
    </w:p>
    <w:p w:rsidR="00000000" w:rsidRDefault="00000000">
      <w:pPr>
        <w:pStyle w:val="50"/>
        <w:keepNext/>
      </w:pPr>
    </w:p>
    <w:p w:rsidR="00000000" w:rsidRDefault="00000000">
      <w:pPr>
        <w:pStyle w:val="50"/>
        <w:keepNext/>
      </w:pPr>
    </w:p>
    <w:p w:rsidR="00000000" w:rsidRDefault="00000000">
      <w:pPr>
        <w:pStyle w:val="H23"/>
        <w:rPr>
          <w:u w:val="single"/>
        </w:rPr>
      </w:pPr>
      <w:r>
        <w:tab/>
      </w:r>
      <w:bookmarkStart w:id="143" w:name="_Toc97786752"/>
      <w:r>
        <w:rPr>
          <w:u w:val="single"/>
        </w:rPr>
        <w:t>Статья 13, пункт а)</w:t>
      </w:r>
      <w:bookmarkEnd w:id="143"/>
    </w:p>
    <w:p w:rsidR="00000000" w:rsidRDefault="00000000">
      <w:pPr>
        <w:pStyle w:val="50"/>
        <w:keepNext/>
      </w:pPr>
    </w:p>
    <w:p w:rsidR="00000000" w:rsidRDefault="00000000">
      <w:pPr>
        <w:pStyle w:val="50"/>
        <w:keepNext/>
      </w:pPr>
    </w:p>
    <w:p w:rsidR="00000000" w:rsidRDefault="00000000">
      <w:pPr>
        <w:pStyle w:val="H23"/>
      </w:pPr>
      <w:r>
        <w:tab/>
      </w:r>
      <w:bookmarkStart w:id="144" w:name="_Toc97786753"/>
      <w:r>
        <w:t>Семейные пособия</w:t>
      </w:r>
      <w:bookmarkEnd w:id="144"/>
    </w:p>
    <w:p w:rsidR="00000000" w:rsidRDefault="00000000">
      <w:pPr>
        <w:pStyle w:val="SingleTxt"/>
      </w:pPr>
      <w:r>
        <w:tab/>
      </w:r>
      <w:r>
        <w:tab/>
        <w:t>Мать ребенка имеет приоритетное право на получение пособия.</w:t>
      </w:r>
    </w:p>
    <w:p w:rsidR="00000000" w:rsidRDefault="00000000">
      <w:pPr>
        <w:pStyle w:val="SingleTxt"/>
      </w:pPr>
      <w:r>
        <w:tab/>
      </w:r>
      <w:r>
        <w:tab/>
        <w:t>За отчетный период размер семейного пособия, пособия многодетным семьям и пособия на детей-инвалидов неоднократно повышался. Благодаря введению дополнительной надбавки, выплачиваемой по достижении ребенком трехлетнего возраста (возрастная надбавка), в одном только 2003 году удалось увеличить доходы семей примерно на 130 млн. евро в год. С увеличением ра</w:t>
      </w:r>
      <w:r>
        <w:t>з</w:t>
      </w:r>
      <w:r>
        <w:t>мера пособия на детей с тяжелой формой инвалидности ежегодный доход с</w:t>
      </w:r>
      <w:r>
        <w:t>е</w:t>
      </w:r>
      <w:r>
        <w:t>мей с такими детьми повысился приблизительно еще на 5 млн. евро. С 1 января 2003 года размер семейного пособия, выплачиваемого в связи с рождением р</w:t>
      </w:r>
      <w:r>
        <w:t>е</w:t>
      </w:r>
      <w:r>
        <w:t>бенка, составляет 105,40 евро; после достижения ребенком трехлетнего возра</w:t>
      </w:r>
      <w:r>
        <w:t>с</w:t>
      </w:r>
      <w:r>
        <w:t>та – 112,70 евро; после достижения ребенком десятилетнего возраста – 130,90 евро; а после достижения им девятнадцатилетнего возраста – 152,70 евро; при этом надбавка за каждого ребенка с тяжелой формой инвали</w:t>
      </w:r>
      <w:r>
        <w:t>д</w:t>
      </w:r>
      <w:r>
        <w:t>ности составляет 138,30 евро. Если семейное пособие предоставляется на двух детей, его ежемесячная общая сумма увеличивается на 12,80 евро; для семей, имеющих более трех детей, ежемесячная надбавка на каждого ребенка соста</w:t>
      </w:r>
      <w:r>
        <w:t>в</w:t>
      </w:r>
      <w:r>
        <w:t>ляет 25,50 евро.</w:t>
      </w:r>
    </w:p>
    <w:p w:rsidR="00000000" w:rsidRDefault="00000000">
      <w:pPr>
        <w:pStyle w:val="SingleTxt"/>
      </w:pPr>
      <w:r>
        <w:tab/>
      </w:r>
      <w:r>
        <w:tab/>
        <w:t>Каждый налогоплательщик, получающий семейное пособие, имеет право на налоговые скидки на детей. Это является еще одним инструментом, пр</w:t>
      </w:r>
      <w:r>
        <w:t>и</w:t>
      </w:r>
      <w:r>
        <w:t>званным уменьшить бремя содержания детей; это пособие выплачивается в в</w:t>
      </w:r>
      <w:r>
        <w:t>и</w:t>
      </w:r>
      <w:r>
        <w:t>де денежной суммы лицам, которые платят небольшой налог или вообще осв</w:t>
      </w:r>
      <w:r>
        <w:t>о</w:t>
      </w:r>
      <w:r>
        <w:t>бождены от налога. Право на получение налоговой скидки имеет родитель, к</w:t>
      </w:r>
      <w:r>
        <w:t>о</w:t>
      </w:r>
      <w:r>
        <w:t>торый получает семейное пособие и к</w:t>
      </w:r>
      <w:r>
        <w:t>о</w:t>
      </w:r>
      <w:r>
        <w:t>торым обычно является мать ребенка.</w:t>
      </w:r>
    </w:p>
    <w:p w:rsidR="00000000" w:rsidRDefault="00000000">
      <w:pPr>
        <w:pStyle w:val="SingleTxt"/>
      </w:pPr>
      <w:r>
        <w:tab/>
      </w:r>
      <w:r>
        <w:tab/>
        <w:t>Провинции выплачивают различные надбавки нуждающимся семьям.</w:t>
      </w:r>
    </w:p>
    <w:p w:rsidR="00000000" w:rsidRDefault="00000000">
      <w:pPr>
        <w:pStyle w:val="50"/>
      </w:pPr>
    </w:p>
    <w:p w:rsidR="00000000" w:rsidRDefault="00000000">
      <w:pPr>
        <w:pStyle w:val="50"/>
      </w:pPr>
    </w:p>
    <w:p w:rsidR="00000000" w:rsidRDefault="00000000">
      <w:pPr>
        <w:pStyle w:val="H23"/>
      </w:pPr>
      <w:r>
        <w:tab/>
      </w:r>
      <w:bookmarkStart w:id="145" w:name="_Toc97786754"/>
      <w:r>
        <w:t>Пособие по уходу за ребенком</w:t>
      </w:r>
      <w:bookmarkEnd w:id="145"/>
    </w:p>
    <w:p w:rsidR="00000000" w:rsidRDefault="00000000">
      <w:pPr>
        <w:pStyle w:val="50"/>
        <w:keepNext/>
      </w:pPr>
    </w:p>
    <w:p w:rsidR="00000000" w:rsidRDefault="00000000">
      <w:pPr>
        <w:pStyle w:val="50"/>
        <w:keepNext/>
      </w:pPr>
    </w:p>
    <w:p w:rsidR="00000000" w:rsidRDefault="00000000">
      <w:pPr>
        <w:pStyle w:val="H4"/>
        <w:rPr>
          <w:b/>
          <w:i w:val="0"/>
        </w:rPr>
      </w:pPr>
      <w:r>
        <w:rPr>
          <w:b/>
          <w:i w:val="0"/>
        </w:rPr>
        <w:t>1.</w:t>
      </w:r>
      <w:r>
        <w:rPr>
          <w:b/>
          <w:i w:val="0"/>
        </w:rPr>
        <w:tab/>
        <w:t>Общие замечания</w:t>
      </w:r>
    </w:p>
    <w:p w:rsidR="00000000" w:rsidRDefault="00000000">
      <w:pPr>
        <w:pStyle w:val="SingleTxt"/>
      </w:pPr>
      <w:r>
        <w:tab/>
      </w:r>
      <w:r>
        <w:tab/>
        <w:t>В случае с детьми, родившимися до 31 декабря 2001 года, право на пол</w:t>
      </w:r>
      <w:r>
        <w:t>у</w:t>
      </w:r>
      <w:r>
        <w:t>чение родительского отпуска в Австрии зависело от самостоятельной занят</w:t>
      </w:r>
      <w:r>
        <w:t>о</w:t>
      </w:r>
      <w:r>
        <w:t>сти и приобретения соответствующих прав и обязанностей. После введения в 1961 году положения об отпускном пособии по беременности и родам выплата такого пособия производилась из фонда страхования от безработицы для во</w:t>
      </w:r>
      <w:r>
        <w:t>з</w:t>
      </w:r>
      <w:r>
        <w:t>мещения убытков, понесенных в периоды ухода за детьми. С 1974 года сумма пособия уже не зависела от заработанного дохода, а выплачивалась по единой ставке. Женщины, работающие на фермах, и женщины, работающие не по найму, имели право на частичную поддержку, сумма которой составляла пол</w:t>
      </w:r>
      <w:r>
        <w:t>о</w:t>
      </w:r>
      <w:r>
        <w:t>вину от суммы обычного родительского отпускного пособия. По истечении н</w:t>
      </w:r>
      <w:r>
        <w:t>е</w:t>
      </w:r>
      <w:r>
        <w:t>скольких лет родительские отпускные пособия стали в основном выплачиват</w:t>
      </w:r>
      <w:r>
        <w:t>ь</w:t>
      </w:r>
      <w:r>
        <w:t>ся из Фо</w:t>
      </w:r>
      <w:r>
        <w:t>н</w:t>
      </w:r>
      <w:r>
        <w:t>да помощи нуждающимся семьям.</w:t>
      </w:r>
    </w:p>
    <w:p w:rsidR="00000000" w:rsidRDefault="00000000">
      <w:pPr>
        <w:pStyle w:val="SingleTxt"/>
      </w:pPr>
      <w:r>
        <w:tab/>
      </w:r>
      <w:r>
        <w:tab/>
        <w:t>В случае с детьми, родившимися 1 января 2002 года или позднее, выпл</w:t>
      </w:r>
      <w:r>
        <w:t>а</w:t>
      </w:r>
      <w:r>
        <w:t>чивавшееся ранее родительское отпускное пособие и/или частичная поддержка (</w:t>
      </w:r>
      <w:r>
        <w:rPr>
          <w:spacing w:val="-3"/>
        </w:rPr>
        <w:t xml:space="preserve">Бюллетень официальных законов, часть </w:t>
      </w:r>
      <w:r>
        <w:rPr>
          <w:spacing w:val="-3"/>
          <w:lang w:val="en-US"/>
        </w:rPr>
        <w:t>I</w:t>
      </w:r>
      <w:r>
        <w:rPr>
          <w:spacing w:val="-3"/>
        </w:rPr>
        <w:t>, № 103/2001) были заменены пособием по уходу за детьми. Пособие по уходу за детьми выплачивается всем родителям незав</w:t>
      </w:r>
      <w:r>
        <w:rPr>
          <w:spacing w:val="-3"/>
        </w:rPr>
        <w:t>и</w:t>
      </w:r>
      <w:r>
        <w:rPr>
          <w:spacing w:val="-3"/>
        </w:rPr>
        <w:t>симо от наличия стажа предыдущей приносившей доход деятельности или обяз</w:t>
      </w:r>
      <w:r>
        <w:rPr>
          <w:spacing w:val="-3"/>
        </w:rPr>
        <w:t>а</w:t>
      </w:r>
      <w:r>
        <w:rPr>
          <w:spacing w:val="-3"/>
        </w:rPr>
        <w:t>тельной страховки. В результате круг лиц, имеющих право на получение такого п</w:t>
      </w:r>
      <w:r>
        <w:rPr>
          <w:spacing w:val="-3"/>
        </w:rPr>
        <w:t>о</w:t>
      </w:r>
      <w:r>
        <w:rPr>
          <w:spacing w:val="-3"/>
        </w:rPr>
        <w:t>собия, был расширен и в него были включены домашние хозяйки, студенты, лица, работающие не по найму, женщины, работающие на фермах, а также фермеры, ма</w:t>
      </w:r>
      <w:r>
        <w:rPr>
          <w:spacing w:val="-3"/>
        </w:rPr>
        <w:t>р</w:t>
      </w:r>
      <w:r>
        <w:rPr>
          <w:spacing w:val="-3"/>
        </w:rPr>
        <w:t>гинальные работники, занятые неполный рабочий день, и квазивнештатные работн</w:t>
      </w:r>
      <w:r>
        <w:rPr>
          <w:spacing w:val="-3"/>
        </w:rPr>
        <w:t>и</w:t>
      </w:r>
      <w:r>
        <w:rPr>
          <w:spacing w:val="-3"/>
        </w:rPr>
        <w:t xml:space="preserve">ки. Пособие по уходу за ребенком является свидетельством признания и частичной оплаты услуг по уходу за детьми, предоставляемых родителями ребенка. Пособия по уходу за детьми финансируются из </w:t>
      </w:r>
      <w:r>
        <w:t>Фонда помощи нуждающимся семьям. Еж</w:t>
      </w:r>
      <w:r>
        <w:t>е</w:t>
      </w:r>
      <w:r>
        <w:t>дневная сумма пособия составляет 14,53 евро (по состоянию на 2003 год), и эти средства распределяются соответствующим фондом медицинского страх</w:t>
      </w:r>
      <w:r>
        <w:t>о</w:t>
      </w:r>
      <w:r>
        <w:t>вания. Пособие по уходу за ребенком выплачивается только на младшего р</w:t>
      </w:r>
      <w:r>
        <w:t>е</w:t>
      </w:r>
      <w:r>
        <w:t>бенка в семье, а также предоставляется на приемных и усыно</w:t>
      </w:r>
      <w:r>
        <w:t>в</w:t>
      </w:r>
      <w:r>
        <w:t>ленных детей.</w:t>
      </w:r>
    </w:p>
    <w:p w:rsidR="00000000" w:rsidRDefault="00000000">
      <w:pPr>
        <w:pStyle w:val="SingleTxt"/>
      </w:pPr>
      <w:r>
        <w:tab/>
      </w:r>
      <w:r>
        <w:tab/>
        <w:t>Одинокие родители и семьи с низким доходом имеют право на надбавку в размере 6,06 евро в день, которая должны быть возвращена, как только доход получателя превысит определенный установленный ур</w:t>
      </w:r>
      <w:r>
        <w:t>о</w:t>
      </w:r>
      <w:r>
        <w:t>вень.</w:t>
      </w:r>
    </w:p>
    <w:p w:rsidR="00000000" w:rsidRDefault="00000000">
      <w:pPr>
        <w:pStyle w:val="SingleTxt"/>
      </w:pPr>
      <w:r>
        <w:tab/>
      </w:r>
      <w:r>
        <w:tab/>
        <w:t>С 1 января 2004 года размер пособия по уходу за ребенком был увеличен на 50 процентов в случае одновременного рождения нескольких детей, начиная со второго близнеца.</w:t>
      </w:r>
    </w:p>
    <w:p w:rsidR="00000000" w:rsidRDefault="00000000">
      <w:pPr>
        <w:pStyle w:val="SingleTxt"/>
      </w:pPr>
      <w:r>
        <w:tab/>
      </w:r>
      <w:r>
        <w:tab/>
        <w:t>Это положение распространяется на детей, родившихся 1 января 2004 года или позднее, и будет также распространяться на родителей, у кот</w:t>
      </w:r>
      <w:r>
        <w:t>о</w:t>
      </w:r>
      <w:r>
        <w:t xml:space="preserve">рых </w:t>
      </w:r>
      <w:r>
        <w:rPr>
          <w:b/>
        </w:rPr>
        <w:t>близнецы</w:t>
      </w:r>
      <w:r>
        <w:t xml:space="preserve"> родились в период с 31 декабря 2001 года по 1 января 2004 года и которые получали только стандартное пособие по уходу за ребенком. С 1 января 2004 года они будут получать повышенную сумму за оставшийся срок получ</w:t>
      </w:r>
      <w:r>
        <w:t>е</w:t>
      </w:r>
      <w:r>
        <w:t>ния данного пособия.</w:t>
      </w:r>
    </w:p>
    <w:p w:rsidR="00000000" w:rsidRDefault="00000000">
      <w:pPr>
        <w:pStyle w:val="SingleTxt"/>
      </w:pPr>
      <w:r>
        <w:tab/>
      </w:r>
      <w:r>
        <w:tab/>
        <w:t xml:space="preserve">Пособие по уходу за ребенком является </w:t>
      </w:r>
      <w:r>
        <w:rPr>
          <w:b/>
        </w:rPr>
        <w:t>семейным пособием</w:t>
      </w:r>
      <w:r>
        <w:t xml:space="preserve"> по смыслу Положения (ЕЭС) № 1408/71.</w:t>
      </w:r>
    </w:p>
    <w:p w:rsidR="00000000" w:rsidRDefault="00000000">
      <w:pPr>
        <w:pStyle w:val="50"/>
      </w:pPr>
    </w:p>
    <w:p w:rsidR="00000000" w:rsidRDefault="00000000">
      <w:pPr>
        <w:pStyle w:val="50"/>
      </w:pPr>
    </w:p>
    <w:p w:rsidR="00000000" w:rsidRDefault="00000000">
      <w:pPr>
        <w:pStyle w:val="H4"/>
        <w:rPr>
          <w:b/>
          <w:i w:val="0"/>
        </w:rPr>
      </w:pPr>
      <w:r>
        <w:rPr>
          <w:b/>
          <w:i w:val="0"/>
        </w:rPr>
        <w:t>2.</w:t>
      </w:r>
      <w:r>
        <w:rPr>
          <w:b/>
          <w:i w:val="0"/>
        </w:rPr>
        <w:tab/>
        <w:t>Право на получение пособия</w:t>
      </w:r>
    </w:p>
    <w:p w:rsidR="00000000" w:rsidRDefault="00000000">
      <w:pPr>
        <w:pStyle w:val="SingleTxt"/>
      </w:pPr>
      <w:r>
        <w:tab/>
      </w:r>
      <w:r>
        <w:tab/>
        <w:t>В принципе выплата пособий по уходу за детьми зависит от наличия у одного или обоих родителей права на получение семейного пособия и факта ведения общего хозяйства с ребенком. Если ни один из родителей не имеет права на получение семейного пособия, родители все равно получают пособие по уходу за ребенком, если в течение определенного периода времени они в</w:t>
      </w:r>
      <w:r>
        <w:t>ы</w:t>
      </w:r>
      <w:r>
        <w:t>плачивали взносы в страховой фонд в результате приносящей доход деятельн</w:t>
      </w:r>
      <w:r>
        <w:t>о</w:t>
      </w:r>
      <w:r>
        <w:t xml:space="preserve">сти. </w:t>
      </w:r>
    </w:p>
    <w:p w:rsidR="00000000" w:rsidRDefault="00000000">
      <w:pPr>
        <w:pStyle w:val="SingleTxt"/>
      </w:pPr>
      <w:r>
        <w:tab/>
      </w:r>
      <w:r>
        <w:tab/>
        <w:t>Для того, чтобы получать пособие по уходу за ребенком в полном объеме и в течение всего периода предоставления данного пособия, матери необход</w:t>
      </w:r>
      <w:r>
        <w:t>и</w:t>
      </w:r>
      <w:r>
        <w:t>мо пройти десять (бесплатных) медицинских осмотров по карточке матери и ребенка (пять во время беременности и пять после родов). В случае несобл</w:t>
      </w:r>
      <w:r>
        <w:t>ю</w:t>
      </w:r>
      <w:r>
        <w:t>дения условий этой программы до истечения 18 месяцев со дня рождения р</w:t>
      </w:r>
      <w:r>
        <w:t>е</w:t>
      </w:r>
      <w:r>
        <w:t>бенка, ежедневная сумма пособия (с первого дня 21 месяца со дня рождения ребенка) урезается вдвое (7,27 евро).</w:t>
      </w:r>
    </w:p>
    <w:p w:rsidR="00000000" w:rsidRDefault="00000000">
      <w:pPr>
        <w:pStyle w:val="SingleTxt"/>
      </w:pPr>
      <w:r>
        <w:tab/>
      </w:r>
      <w:r>
        <w:tab/>
        <w:t>Еще одним критерием является общий доход семьи в период получения пособия по уходу за ребенком (подробности см. ниже в разделе, посвященном уровню доходов).</w:t>
      </w:r>
    </w:p>
    <w:p w:rsidR="00000000" w:rsidRDefault="00000000">
      <w:pPr>
        <w:pStyle w:val="50"/>
      </w:pPr>
    </w:p>
    <w:p w:rsidR="00000000" w:rsidRDefault="00000000">
      <w:pPr>
        <w:pStyle w:val="50"/>
      </w:pPr>
    </w:p>
    <w:p w:rsidR="00000000" w:rsidRDefault="00000000">
      <w:pPr>
        <w:pStyle w:val="H4"/>
        <w:rPr>
          <w:b/>
          <w:i w:val="0"/>
        </w:rPr>
      </w:pPr>
      <w:r>
        <w:rPr>
          <w:b/>
          <w:i w:val="0"/>
        </w:rPr>
        <w:t>3.</w:t>
      </w:r>
      <w:r>
        <w:rPr>
          <w:b/>
          <w:i w:val="0"/>
        </w:rPr>
        <w:tab/>
        <w:t>Срок получения пособия</w:t>
      </w:r>
    </w:p>
    <w:p w:rsidR="00000000" w:rsidRDefault="00000000">
      <w:pPr>
        <w:pStyle w:val="SingleTxt"/>
      </w:pPr>
      <w:r>
        <w:tab/>
      </w:r>
      <w:r>
        <w:tab/>
        <w:t>Один из родителей имеет право на получение пособия по уходу за ребе</w:t>
      </w:r>
      <w:r>
        <w:t>н</w:t>
      </w:r>
      <w:r>
        <w:t>ком до истечения 30 месяцев со дня рождения ребенка. Если родители пооч</w:t>
      </w:r>
      <w:r>
        <w:t>е</w:t>
      </w:r>
      <w:r>
        <w:t>редно получают пособие по уходу за ребенком, срок получения пособия может быть продлен до истечения 36 месяцев со дня рождения ребенка. Родители м</w:t>
      </w:r>
      <w:r>
        <w:t>о</w:t>
      </w:r>
      <w:r>
        <w:t>гут подменять друг друга дважды, с тем чтобы весь срок можно было разд</w:t>
      </w:r>
      <w:r>
        <w:t>е</w:t>
      </w:r>
      <w:r>
        <w:t>лить на три периода с минимальной продолжительностью по три месяца ка</w:t>
      </w:r>
      <w:r>
        <w:t>ж</w:t>
      </w:r>
      <w:r>
        <w:t>дый. Пособие по уходу за ребенком можно получать только на младшего р</w:t>
      </w:r>
      <w:r>
        <w:t>е</w:t>
      </w:r>
      <w:r>
        <w:t>бенка. В случае рождения близнецов пособие все равно выплачивается только на одного р</w:t>
      </w:r>
      <w:r>
        <w:t>е</w:t>
      </w:r>
      <w:r>
        <w:t>бенка.</w:t>
      </w:r>
    </w:p>
    <w:p w:rsidR="00000000" w:rsidRDefault="00000000">
      <w:pPr>
        <w:pStyle w:val="50"/>
      </w:pPr>
    </w:p>
    <w:p w:rsidR="00000000" w:rsidRDefault="00000000">
      <w:pPr>
        <w:pStyle w:val="50"/>
      </w:pPr>
    </w:p>
    <w:p w:rsidR="00000000" w:rsidRDefault="00000000">
      <w:pPr>
        <w:pStyle w:val="H4"/>
        <w:rPr>
          <w:b/>
          <w:i w:val="0"/>
        </w:rPr>
      </w:pPr>
      <w:r>
        <w:rPr>
          <w:b/>
          <w:i w:val="0"/>
        </w:rPr>
        <w:t>4.</w:t>
      </w:r>
      <w:r>
        <w:rPr>
          <w:b/>
          <w:i w:val="0"/>
        </w:rPr>
        <w:tab/>
        <w:t>Уровень доходов</w:t>
      </w:r>
    </w:p>
    <w:p w:rsidR="00000000" w:rsidRDefault="00000000">
      <w:pPr>
        <w:pStyle w:val="SingleTxt"/>
      </w:pPr>
      <w:r>
        <w:tab/>
      </w:r>
      <w:r>
        <w:tab/>
        <w:t>"Дополнительный потолок доходов" для родителя, получающего пособие по уходу за ребенком, установлен на уровне 14 600 евро за один календарный год. Доход другого родителя при этом не учитывается. В принципе эта сумма рассчитывается с учетом всех видов доходов по смыслу Закона о подходном налоге (включая доход от капитала, доход в виде ренты и т.п.) Если совокупная сумма дохода превышает установленный предел в любом конкретном году, п</w:t>
      </w:r>
      <w:r>
        <w:t>о</w:t>
      </w:r>
      <w:r>
        <w:t>собие по уходу за ребенком, выплачивавшееся в этом году, должно быть во</w:t>
      </w:r>
      <w:r>
        <w:t>з</w:t>
      </w:r>
      <w:r>
        <w:t>вращено. В особенно сложных ситуациях эту сумму разрешается не возвр</w:t>
      </w:r>
      <w:r>
        <w:t>а</w:t>
      </w:r>
      <w:r>
        <w:t>щать, или же получателю предоставляется отсрочка платежа или разрешается в качестве альтернативного варианта вернуть эту сумму по частям. От получения пособия по уходу за ребенком в некоторые календарные месяцы можно заранее отказаться, и тогда доход, полученный за эти периоды, не будут приниматься во внимание.</w:t>
      </w:r>
    </w:p>
    <w:p w:rsidR="00000000" w:rsidRDefault="00000000">
      <w:pPr>
        <w:pStyle w:val="50"/>
      </w:pPr>
    </w:p>
    <w:p w:rsidR="00000000" w:rsidRDefault="00000000">
      <w:pPr>
        <w:pStyle w:val="50"/>
      </w:pPr>
    </w:p>
    <w:p w:rsidR="00000000" w:rsidRDefault="00000000">
      <w:pPr>
        <w:pStyle w:val="H4"/>
        <w:rPr>
          <w:b/>
          <w:i w:val="0"/>
        </w:rPr>
      </w:pPr>
      <w:r>
        <w:rPr>
          <w:b/>
          <w:i w:val="0"/>
        </w:rPr>
        <w:t>5.</w:t>
      </w:r>
      <w:r>
        <w:rPr>
          <w:b/>
          <w:i w:val="0"/>
        </w:rPr>
        <w:tab/>
        <w:t>Базовое социальное законодательство</w:t>
      </w:r>
    </w:p>
    <w:p w:rsidR="00000000" w:rsidRDefault="00000000">
      <w:pPr>
        <w:pStyle w:val="SingleTxt"/>
      </w:pPr>
      <w:r>
        <w:tab/>
      </w:r>
      <w:r>
        <w:tab/>
        <w:t>Медицинское страхование: любое лицо, получающее пособие по уходу за ребенком, участвует в пр</w:t>
      </w:r>
      <w:r>
        <w:t>о</w:t>
      </w:r>
      <w:r>
        <w:t xml:space="preserve">грамме медицинского страхования. </w:t>
      </w:r>
    </w:p>
    <w:p w:rsidR="00000000" w:rsidRDefault="00000000">
      <w:pPr>
        <w:pStyle w:val="SingleTxt"/>
      </w:pPr>
      <w:r>
        <w:tab/>
      </w:r>
      <w:r>
        <w:tab/>
        <w:t>Пенсионное страхование: раньше периоды ухода за детьми рассматрив</w:t>
      </w:r>
      <w:r>
        <w:t>а</w:t>
      </w:r>
      <w:r>
        <w:t>лись как фиктивные квалификационные периоды. Согласно новым положен</w:t>
      </w:r>
      <w:r>
        <w:t>и</w:t>
      </w:r>
      <w:r>
        <w:t>ям, период получения пособия по уходу за ребенком, родившимся 1 января 2002 года или позднее, считается периодом реальной выплаты взносов в пе</w:t>
      </w:r>
      <w:r>
        <w:t>н</w:t>
      </w:r>
      <w:r>
        <w:t>сионные фонды. С 1 января 2004 года этот период был увеличен до 24 месяцев. Месяцы, оставшиеся до достижения ребенком четырехлетнего возраста, сч</w:t>
      </w:r>
      <w:r>
        <w:t>и</w:t>
      </w:r>
      <w:r>
        <w:t>таются фиктивными квалификацио</w:t>
      </w:r>
      <w:r>
        <w:t>н</w:t>
      </w:r>
      <w:r>
        <w:t xml:space="preserve">ными периодами. </w:t>
      </w:r>
    </w:p>
    <w:p w:rsidR="00000000" w:rsidRDefault="00000000">
      <w:pPr>
        <w:pStyle w:val="SingleTxt"/>
      </w:pPr>
      <w:r>
        <w:tab/>
      </w:r>
      <w:r>
        <w:tab/>
        <w:t>Страхование от безработицы: пособие по безработице и помощь по безр</w:t>
      </w:r>
      <w:r>
        <w:t>а</w:t>
      </w:r>
      <w:r>
        <w:t>ботице можно получать после получения пособия по уходу за ребенком, а та</w:t>
      </w:r>
      <w:r>
        <w:t>к</w:t>
      </w:r>
      <w:r>
        <w:t>же в период получения этого пособия, если соответствующее лицо отвечает у</w:t>
      </w:r>
      <w:r>
        <w:t>с</w:t>
      </w:r>
      <w:r>
        <w:t>тановленным критериям (безработица, трудоспособность, желание трудиться). Право на получение этого пособия ограничено лицами, "которые могут тр</w:t>
      </w:r>
      <w:r>
        <w:t>у</w:t>
      </w:r>
      <w:r>
        <w:t>диться без каких-либо серьезных ограничений", которые действовали бы в о</w:t>
      </w:r>
      <w:r>
        <w:t>т</w:t>
      </w:r>
      <w:r>
        <w:t>ношении лиц, получающих пособие по уходу за ребенком и способных пре</w:t>
      </w:r>
      <w:r>
        <w:t>д</w:t>
      </w:r>
      <w:r>
        <w:t>ставить доказательства того, что уход за ребенком будет осуществляться кем-либо из родственников, учреждением по уходу за детьми (в яслях, детском с</w:t>
      </w:r>
      <w:r>
        <w:t>а</w:t>
      </w:r>
      <w:r>
        <w:t xml:space="preserve">ду) или воспитателем. </w:t>
      </w:r>
    </w:p>
    <w:p w:rsidR="00000000" w:rsidRDefault="00000000">
      <w:pPr>
        <w:pStyle w:val="50"/>
      </w:pPr>
    </w:p>
    <w:p w:rsidR="00000000" w:rsidRDefault="00000000">
      <w:pPr>
        <w:pStyle w:val="50"/>
      </w:pPr>
    </w:p>
    <w:p w:rsidR="00000000" w:rsidRDefault="00000000">
      <w:pPr>
        <w:pStyle w:val="H23"/>
        <w:rPr>
          <w:u w:val="single"/>
        </w:rPr>
      </w:pPr>
      <w:r>
        <w:tab/>
      </w:r>
      <w:bookmarkStart w:id="146" w:name="_Toc97786755"/>
      <w:r>
        <w:rPr>
          <w:u w:val="single"/>
        </w:rPr>
        <w:t>Статья 13, пункт с)</w:t>
      </w:r>
      <w:bookmarkEnd w:id="146"/>
    </w:p>
    <w:p w:rsidR="00000000" w:rsidRDefault="00000000">
      <w:pPr>
        <w:pStyle w:val="50"/>
        <w:keepNext/>
      </w:pPr>
    </w:p>
    <w:p w:rsidR="00000000" w:rsidRDefault="00000000">
      <w:pPr>
        <w:pStyle w:val="50"/>
        <w:keepNext/>
      </w:pPr>
    </w:p>
    <w:p w:rsidR="00000000" w:rsidRDefault="00000000">
      <w:pPr>
        <w:pStyle w:val="H23"/>
      </w:pPr>
      <w:r>
        <w:tab/>
      </w:r>
      <w:bookmarkStart w:id="147" w:name="_Toc97786756"/>
      <w:r>
        <w:t>Занятия спортом</w:t>
      </w:r>
      <w:bookmarkEnd w:id="147"/>
    </w:p>
    <w:p w:rsidR="00000000" w:rsidRDefault="00000000">
      <w:pPr>
        <w:pStyle w:val="H4"/>
        <w:ind w:left="1276" w:hanging="12"/>
        <w:rPr>
          <w:b/>
          <w:i w:val="0"/>
        </w:rPr>
      </w:pPr>
      <w:r>
        <w:rPr>
          <w:b/>
          <w:i w:val="0"/>
        </w:rPr>
        <w:t>Улучшение положения женщин в тех видах спорта, в которых они добиваются высоких достиж</w:t>
      </w:r>
      <w:r>
        <w:rPr>
          <w:b/>
          <w:i w:val="0"/>
        </w:rPr>
        <w:t>е</w:t>
      </w:r>
      <w:r>
        <w:rPr>
          <w:b/>
          <w:i w:val="0"/>
        </w:rPr>
        <w:t>ний</w:t>
      </w:r>
    </w:p>
    <w:p w:rsidR="00000000" w:rsidRDefault="00000000">
      <w:pPr>
        <w:pStyle w:val="SingleTxt"/>
      </w:pPr>
      <w:r>
        <w:tab/>
      </w:r>
      <w:r>
        <w:tab/>
        <w:t>С середины 90-х годов прошлого столетия ассигнования, выделяемые на занятия спортом, включают в себя статью, озаглавленную "Улучшение полож</w:t>
      </w:r>
      <w:r>
        <w:t>е</w:t>
      </w:r>
      <w:r>
        <w:t>ния женщин", по которой пяти-восьми ведущим спортсменкам, представля</w:t>
      </w:r>
      <w:r>
        <w:t>ю</w:t>
      </w:r>
      <w:r>
        <w:t>щим различные спортивные дисциплины, ежегодно выделяется 218 000 евро. Кроме того, Австрийское общество по улучшению положения спортсменов, возглавляемое министром спорта, выделяет женщинам-спортсменам специал</w:t>
      </w:r>
      <w:r>
        <w:t>ь</w:t>
      </w:r>
      <w:r>
        <w:t xml:space="preserve">ные гранты. </w:t>
      </w:r>
    </w:p>
    <w:p w:rsidR="00000000" w:rsidRDefault="00000000">
      <w:pPr>
        <w:pStyle w:val="SingleTxt"/>
      </w:pPr>
      <w:r>
        <w:tab/>
      </w:r>
      <w:r>
        <w:tab/>
        <w:t xml:space="preserve">В ноябре 2002 года федеральная спортивная ассамблея </w:t>
      </w:r>
      <w:r>
        <w:rPr>
          <w:b/>
        </w:rPr>
        <w:t>Федеральной спортивной организации</w:t>
      </w:r>
      <w:r>
        <w:t xml:space="preserve">, которая получает дотации из государственного бюджета, обязалась </w:t>
      </w:r>
      <w:r>
        <w:rPr>
          <w:b/>
        </w:rPr>
        <w:t>добиться учета гендерного фактора</w:t>
      </w:r>
      <w:r>
        <w:t xml:space="preserve"> в области спорта. Цель состоит в обеспечении того, чтобы женщины и мужчины участвовали в занятиях спортом на равноправной основе. В настоящее время Рабочая группа по делам женщин разрабатывает меры по выполнению этой з</w:t>
      </w:r>
      <w:r>
        <w:t>а</w:t>
      </w:r>
      <w:r>
        <w:t>дачи.</w:t>
      </w:r>
    </w:p>
    <w:p w:rsidR="00000000" w:rsidRDefault="00000000">
      <w:pPr>
        <w:pStyle w:val="SingleTxt"/>
      </w:pPr>
      <w:r>
        <w:tab/>
      </w:r>
      <w:r>
        <w:tab/>
        <w:t>В качестве основы для разработки для политики в области спорта в Авс</w:t>
      </w:r>
      <w:r>
        <w:t>т</w:t>
      </w:r>
      <w:r>
        <w:t xml:space="preserve">рии по поручению Федеральной канцелярии были подготовлены два </w:t>
      </w:r>
      <w:r>
        <w:rPr>
          <w:b/>
        </w:rPr>
        <w:t>исслед</w:t>
      </w:r>
      <w:r>
        <w:rPr>
          <w:b/>
        </w:rPr>
        <w:t>о</w:t>
      </w:r>
      <w:r>
        <w:rPr>
          <w:b/>
        </w:rPr>
        <w:t>вания</w:t>
      </w:r>
      <w:r>
        <w:t>: "Жизнь ведущих женщин-спортсменов" и "Девушки и спорт – мех</w:t>
      </w:r>
      <w:r>
        <w:t>а</w:t>
      </w:r>
      <w:r>
        <w:t>низмы пр</w:t>
      </w:r>
      <w:r>
        <w:t>и</w:t>
      </w:r>
      <w:r>
        <w:t>влечения девушек к занятию спортом".</w:t>
      </w:r>
    </w:p>
    <w:p w:rsidR="00000000" w:rsidRDefault="00000000">
      <w:pPr>
        <w:pStyle w:val="50"/>
      </w:pPr>
    </w:p>
    <w:p w:rsidR="00000000" w:rsidRDefault="00000000">
      <w:pPr>
        <w:pStyle w:val="50"/>
      </w:pPr>
    </w:p>
    <w:p w:rsidR="00000000" w:rsidRDefault="00000000">
      <w:pPr>
        <w:pStyle w:val="H4"/>
        <w:rPr>
          <w:b/>
          <w:i w:val="0"/>
        </w:rPr>
      </w:pPr>
      <w:r>
        <w:rPr>
          <w:b/>
          <w:i w:val="0"/>
        </w:rPr>
        <w:t>Мероприятия/совещания</w:t>
      </w:r>
    </w:p>
    <w:p w:rsidR="00000000" w:rsidRDefault="00000000">
      <w:pPr>
        <w:pStyle w:val="SingleTxt"/>
      </w:pPr>
      <w:r>
        <w:rPr>
          <w:b/>
        </w:rPr>
        <w:tab/>
      </w:r>
      <w:r>
        <w:rPr>
          <w:b/>
        </w:rPr>
        <w:tab/>
        <w:t>Рабочее совещание по теме "Женщины и спорт"</w:t>
      </w:r>
      <w:r>
        <w:t xml:space="preserve"> (1999 год) было п</w:t>
      </w:r>
      <w:r>
        <w:t>о</w:t>
      </w:r>
      <w:r>
        <w:t>священо изучению положения женщин в области спорта и определению пр</w:t>
      </w:r>
      <w:r>
        <w:t>о</w:t>
      </w:r>
      <w:r>
        <w:t>центной доли спортивных функционеров-женщин. В 1997 году Австрийская спортивная федерация приняла решение о создании женского департамента, а в 1999 году ее примеру последовала еще одна массовая спортивная ассоциация – Рабочая группа по вопросам спорта и физического воспитания. В октябре 2000 года Рабочая группа по делам женщин Федеральной спортивной орган</w:t>
      </w:r>
      <w:r>
        <w:t>и</w:t>
      </w:r>
      <w:r>
        <w:t>зации и Федеральная канцелярия под девизом "Жизнь ради спорта – жизнь п</w:t>
      </w:r>
      <w:r>
        <w:t>о</w:t>
      </w:r>
      <w:r>
        <w:t>сле завершения спортивной карьеры" организовали совместное совещание, н</w:t>
      </w:r>
      <w:r>
        <w:t>а</w:t>
      </w:r>
      <w:r>
        <w:t>правленное на привлечение большего числа женщин в ряды спортивных фун</w:t>
      </w:r>
      <w:r>
        <w:t>к</w:t>
      </w:r>
      <w:r>
        <w:t xml:space="preserve">ционеров. В рамках </w:t>
      </w:r>
      <w:r>
        <w:rPr>
          <w:b/>
        </w:rPr>
        <w:t>проекта наставничества</w:t>
      </w:r>
      <w:r>
        <w:t>, который был организован в н</w:t>
      </w:r>
      <w:r>
        <w:t>а</w:t>
      </w:r>
      <w:r>
        <w:t>чале 2003 года и завершился в марте 2004 года, шесть женщин, занимающих ведущие позиции в процессе разработки политики в области спорта, взяли шефство над восьмью подопечными, с тем чтобы помочь им влиться в стру</w:t>
      </w:r>
      <w:r>
        <w:t>к</w:t>
      </w:r>
      <w:r>
        <w:t>туры, руководящие спортом.</w:t>
      </w:r>
    </w:p>
    <w:p w:rsidR="00000000" w:rsidRDefault="00000000">
      <w:pPr>
        <w:pStyle w:val="SingleTxt"/>
      </w:pPr>
      <w:r>
        <w:tab/>
      </w:r>
      <w:r>
        <w:tab/>
        <w:t xml:space="preserve">Независимая инициативная организация под названием </w:t>
      </w:r>
      <w:r>
        <w:rPr>
          <w:b/>
        </w:rPr>
        <w:t>"Платформа для женщин в области спорта"</w:t>
      </w:r>
      <w:r>
        <w:t>, не поддерживающая никаких связей с партиями или клубами, посвятила конференцию, созванную по случаю ее пятой годо</w:t>
      </w:r>
      <w:r>
        <w:t>в</w:t>
      </w:r>
      <w:r>
        <w:t>щины, изучению проблем, с которыми женщины сталкиваются в области спо</w:t>
      </w:r>
      <w:r>
        <w:t>р</w:t>
      </w:r>
      <w:r>
        <w:t>та, с тем чтобы найти им решения вместе с представителями спортивной о</w:t>
      </w:r>
      <w:r>
        <w:t>б</w:t>
      </w:r>
      <w:r>
        <w:t>щественности.</w:t>
      </w:r>
    </w:p>
    <w:p w:rsidR="00000000" w:rsidRDefault="00000000">
      <w:pPr>
        <w:pStyle w:val="SingleTxt"/>
      </w:pPr>
      <w:r>
        <w:tab/>
      </w:r>
      <w:r>
        <w:tab/>
        <w:t xml:space="preserve">В ходе семинара </w:t>
      </w:r>
      <w:r>
        <w:rPr>
          <w:b/>
        </w:rPr>
        <w:t>"Девушки, занимающиеся спортом"</w:t>
      </w:r>
      <w:r>
        <w:t xml:space="preserve"> (2001 год) учас</w:t>
      </w:r>
      <w:r>
        <w:t>т</w:t>
      </w:r>
      <w:r>
        <w:t>ники из Германии, Соединенного Королевства, Словении, Швеции и Испании обменялись своим опытом по вопросам охраны здоровья (анорексия и бул</w:t>
      </w:r>
      <w:r>
        <w:t>и</w:t>
      </w:r>
      <w:r>
        <w:t>мия), участия в политической жизни, сексуального насилия, организации о</w:t>
      </w:r>
      <w:r>
        <w:t>т</w:t>
      </w:r>
      <w:r>
        <w:t>дыха и дос</w:t>
      </w:r>
      <w:r>
        <w:t>у</w:t>
      </w:r>
      <w:r>
        <w:t>га и активного образа жизни.</w:t>
      </w:r>
    </w:p>
    <w:p w:rsidR="00000000" w:rsidRDefault="00000000">
      <w:pPr>
        <w:pStyle w:val="SingleTxt"/>
      </w:pPr>
      <w:r>
        <w:tab/>
      </w:r>
      <w:r>
        <w:tab/>
        <w:t>На спортивной церемонии, которая проводится Федеральной спортивной организацией</w:t>
      </w:r>
      <w:r>
        <w:rPr>
          <w:rStyle w:val="FootnoteReference"/>
        </w:rPr>
        <w:footnoteReference w:id="10"/>
      </w:r>
      <w:r>
        <w:t xml:space="preserve"> для чествования видных деятелей из мира спорта, в 2003 году премия "Женщины года" была присуждена женщине, которая боролась за ув</w:t>
      </w:r>
      <w:r>
        <w:t>е</w:t>
      </w:r>
      <w:r>
        <w:t>личение числа девушек и женщин в мире спорта.</w:t>
      </w:r>
    </w:p>
    <w:p w:rsidR="00000000" w:rsidRDefault="00000000">
      <w:pPr>
        <w:pStyle w:val="SingleTxt"/>
      </w:pPr>
      <w:r>
        <w:tab/>
      </w:r>
      <w:r>
        <w:tab/>
        <w:t xml:space="preserve">Состоявшаяся в 2001 году конференция по теме </w:t>
      </w:r>
      <w:r>
        <w:rPr>
          <w:b/>
        </w:rPr>
        <w:t>"Учет гендерного фа</w:t>
      </w:r>
      <w:r>
        <w:rPr>
          <w:b/>
        </w:rPr>
        <w:t>к</w:t>
      </w:r>
      <w:r>
        <w:rPr>
          <w:b/>
        </w:rPr>
        <w:t>тора – более широкие возможности для женщин в области спорта"</w:t>
      </w:r>
      <w:r>
        <w:t xml:space="preserve"> ознам</w:t>
      </w:r>
      <w:r>
        <w:t>е</w:t>
      </w:r>
      <w:r>
        <w:t>новала собой начало применения принципа учета гендерного фактора в мире организованн</w:t>
      </w:r>
      <w:r>
        <w:t>о</w:t>
      </w:r>
      <w:r>
        <w:t>го клубного спорта.</w:t>
      </w:r>
    </w:p>
    <w:p w:rsidR="00000000" w:rsidRDefault="00000000">
      <w:pPr>
        <w:pStyle w:val="SingleTxt"/>
      </w:pPr>
      <w:r>
        <w:tab/>
      </w:r>
      <w:r>
        <w:tab/>
        <w:t xml:space="preserve">Организованная в 2003 году конференция под названием </w:t>
      </w:r>
      <w:r>
        <w:rPr>
          <w:b/>
        </w:rPr>
        <w:t>"Женщины, спорт и культура: открывая новые пути"</w:t>
      </w:r>
      <w:r>
        <w:t xml:space="preserve"> преследовала цель поощрять д</w:t>
      </w:r>
      <w:r>
        <w:t>е</w:t>
      </w:r>
      <w:r>
        <w:t>вушек и женщин к более активному занятию спо</w:t>
      </w:r>
      <w:r>
        <w:t>р</w:t>
      </w:r>
      <w:r>
        <w:t>том.</w:t>
      </w:r>
    </w:p>
    <w:p w:rsidR="00000000" w:rsidRDefault="00000000">
      <w:pPr>
        <w:pStyle w:val="50"/>
      </w:pPr>
    </w:p>
    <w:p w:rsidR="00000000" w:rsidRDefault="00000000">
      <w:pPr>
        <w:pStyle w:val="50"/>
      </w:pPr>
    </w:p>
    <w:p w:rsidR="00000000" w:rsidRDefault="00000000">
      <w:pPr>
        <w:pStyle w:val="H1"/>
      </w:pPr>
      <w:r>
        <w:tab/>
      </w:r>
      <w:bookmarkStart w:id="148" w:name="_Toc97786757"/>
      <w:r>
        <w:t>Статья 14</w:t>
      </w:r>
      <w:bookmarkEnd w:id="148"/>
    </w:p>
    <w:p w:rsidR="00000000" w:rsidRDefault="00000000">
      <w:pPr>
        <w:pStyle w:val="50"/>
        <w:keepNext/>
      </w:pPr>
    </w:p>
    <w:p w:rsidR="00000000" w:rsidRDefault="00000000">
      <w:pPr>
        <w:pStyle w:val="50"/>
        <w:keepNext/>
      </w:pPr>
    </w:p>
    <w:p w:rsidR="00000000" w:rsidRDefault="00000000">
      <w:pPr>
        <w:pStyle w:val="H23"/>
        <w:rPr>
          <w:u w:val="single"/>
        </w:rPr>
      </w:pPr>
      <w:r>
        <w:tab/>
      </w:r>
      <w:bookmarkStart w:id="149" w:name="_Toc97786758"/>
      <w:r>
        <w:rPr>
          <w:u w:val="single"/>
        </w:rPr>
        <w:t>Статья 14, пункт 2, подпункт а)</w:t>
      </w:r>
      <w:bookmarkEnd w:id="149"/>
    </w:p>
    <w:p w:rsidR="00000000" w:rsidRDefault="00000000">
      <w:pPr>
        <w:pStyle w:val="SingleTxt"/>
      </w:pPr>
      <w:r>
        <w:tab/>
      </w:r>
      <w:r>
        <w:tab/>
        <w:t>В процессе подготовки Австрийской программы развития сельских ра</w:t>
      </w:r>
      <w:r>
        <w:t>й</w:t>
      </w:r>
      <w:r>
        <w:t>онов повышенное внимание было уделено роли женщин в этих районах и была разработана концепция создания равных возмо</w:t>
      </w:r>
      <w:r>
        <w:t>ж</w:t>
      </w:r>
      <w:r>
        <w:t>ностей.</w:t>
      </w:r>
    </w:p>
    <w:p w:rsidR="00000000" w:rsidRDefault="00000000">
      <w:pPr>
        <w:pStyle w:val="SingleTxt"/>
      </w:pPr>
      <w:r>
        <w:tab/>
      </w:r>
      <w:r>
        <w:tab/>
        <w:t>Программа ЕС под названием "Деятельность в интересах сельских о</w:t>
      </w:r>
      <w:r>
        <w:t>б</w:t>
      </w:r>
      <w:r>
        <w:t>щин" и австрийская программа ЛИДЕР+ также сосредоточены на основных а</w:t>
      </w:r>
      <w:r>
        <w:t>с</w:t>
      </w:r>
      <w:r>
        <w:t>пектах обеспечения учета гендерного фактора и создания равных возможн</w:t>
      </w:r>
      <w:r>
        <w:t>о</w:t>
      </w:r>
      <w:r>
        <w:t>стей для женщин и мужчин. В рамках подготовки программы "ЛИДЕР+регионы" различные регионы должны были составить собственные планы развития; соблюдение принципов учета гендерного фактора являлось важнейшей предпосылкой для составления таких планов. Проверка соблюд</w:t>
      </w:r>
      <w:r>
        <w:t>е</w:t>
      </w:r>
      <w:r>
        <w:t>ния принципов не только проводилась в процессе отбора кандидатов на уч</w:t>
      </w:r>
      <w:r>
        <w:t>а</w:t>
      </w:r>
      <w:r>
        <w:t>стие в программе "ЛИДЕР+регионы", но и непрерывно обеспечивалось в ходе финансовых ревизий. Раз в два года глава, озаглавленная "Женщины в сельском хозяйстве" и отражающая конкретные данные, включается в доклад о состо</w:t>
      </w:r>
      <w:r>
        <w:t>я</w:t>
      </w:r>
      <w:r>
        <w:t>нии сельского хозяйства ("зеленый доклад"), который утверждается парламе</w:t>
      </w:r>
      <w:r>
        <w:t>н</w:t>
      </w:r>
      <w:r>
        <w:t>том.</w:t>
      </w:r>
    </w:p>
    <w:p w:rsidR="00000000" w:rsidRDefault="00000000">
      <w:pPr>
        <w:pStyle w:val="50"/>
      </w:pPr>
    </w:p>
    <w:p w:rsidR="00000000" w:rsidRDefault="00000000">
      <w:pPr>
        <w:pStyle w:val="50"/>
      </w:pPr>
    </w:p>
    <w:p w:rsidR="00000000" w:rsidRDefault="00000000">
      <w:pPr>
        <w:pStyle w:val="H23"/>
      </w:pPr>
      <w:r>
        <w:tab/>
      </w:r>
      <w:bookmarkStart w:id="150" w:name="_Toc97786759"/>
      <w:r>
        <w:t>Специальные мероприятия, осуществляемые в провинциях</w:t>
      </w:r>
      <w:bookmarkEnd w:id="150"/>
    </w:p>
    <w:p w:rsidR="00000000" w:rsidRDefault="00000000">
      <w:pPr>
        <w:pStyle w:val="SingleTxt"/>
      </w:pPr>
      <w:r>
        <w:tab/>
      </w:r>
      <w:r>
        <w:tab/>
        <w:t>В долине Грубеш-Вальсер (</w:t>
      </w:r>
      <w:r>
        <w:rPr>
          <w:b/>
        </w:rPr>
        <w:t>Форарльберг</w:t>
      </w:r>
      <w:r>
        <w:t>) в 2003 году был разработан план по улучшению положения женщин, который направлен на ликвидацию дискриминации в отношении женщин в сельских районах. С 1999 года в ра</w:t>
      </w:r>
      <w:r>
        <w:t>з</w:t>
      </w:r>
      <w:r>
        <w:t>личных регионах создаются женские сети, деятельность которых координир</w:t>
      </w:r>
      <w:r>
        <w:t>у</w:t>
      </w:r>
      <w:r>
        <w:t>ется общенациональной сетью представителей регионов. Вместе с регионал</w:t>
      </w:r>
      <w:r>
        <w:t>ь</w:t>
      </w:r>
      <w:r>
        <w:t>ными органами женщины разрабатывают стратегии решения проблем, неп</w:t>
      </w:r>
      <w:r>
        <w:t>о</w:t>
      </w:r>
      <w:r>
        <w:t>средственно касающихся женщин.</w:t>
      </w:r>
    </w:p>
    <w:p w:rsidR="00000000" w:rsidRDefault="00000000">
      <w:pPr>
        <w:pStyle w:val="SingleTxt"/>
      </w:pPr>
      <w:r>
        <w:tab/>
      </w:r>
      <w:r>
        <w:tab/>
        <w:t xml:space="preserve">Всемирный день сельских женщин: Женский департамент провинции </w:t>
      </w:r>
      <w:r>
        <w:rPr>
          <w:b/>
        </w:rPr>
        <w:t>Нижняя Австрия</w:t>
      </w:r>
      <w:r>
        <w:t xml:space="preserve"> принимает участие в проведении информационной камп</w:t>
      </w:r>
      <w:r>
        <w:t>а</w:t>
      </w:r>
      <w:r>
        <w:t xml:space="preserve">нии Организации Объединенных Наций. Ежегодно по случаю Всемирного дня сельских женщин проводится совещание с участием гостей из других стран; веб-сайт </w:t>
      </w:r>
      <w:hyperlink r:id="rId28" w:history="1">
        <w:r>
          <w:rPr>
            <w:rStyle w:val="Hyperlink"/>
            <w:lang w:val="en-US"/>
          </w:rPr>
          <w:t>www</w:t>
        </w:r>
        <w:r>
          <w:rPr>
            <w:rStyle w:val="Hyperlink"/>
          </w:rPr>
          <w:t>.</w:t>
        </w:r>
        <w:r>
          <w:rPr>
            <w:rStyle w:val="Hyperlink"/>
            <w:lang w:val="en-US"/>
          </w:rPr>
          <w:t>landfrauen</w:t>
        </w:r>
        <w:r>
          <w:rPr>
            <w:rStyle w:val="Hyperlink"/>
          </w:rPr>
          <w:t>.</w:t>
        </w:r>
        <w:r>
          <w:rPr>
            <w:rStyle w:val="Hyperlink"/>
            <w:lang w:val="en-US"/>
          </w:rPr>
          <w:t>at</w:t>
        </w:r>
      </w:hyperlink>
      <w:r>
        <w:t xml:space="preserve"> объединяет в единую сеть инициативы женщин Нижней Австрии и инициативы международного сообщества сельских женщин и обесп</w:t>
      </w:r>
      <w:r>
        <w:t>е</w:t>
      </w:r>
      <w:r>
        <w:t>чивает возможность виртуального обмена информацией.</w:t>
      </w:r>
    </w:p>
    <w:p w:rsidR="00000000" w:rsidRDefault="00000000">
      <w:pPr>
        <w:pStyle w:val="SingleTxt"/>
      </w:pPr>
      <w:r>
        <w:tab/>
      </w:r>
      <w:r>
        <w:tab/>
        <w:t>Проект под названием "Трансграничное сотрудничество, учитывающее гендерный фактор" направлен на улучшение среды, в которой живут и работ</w:t>
      </w:r>
      <w:r>
        <w:t>а</w:t>
      </w:r>
      <w:r>
        <w:t>ют жители приграничных регионов Нижней Австрии, и конкретно ориентир</w:t>
      </w:r>
      <w:r>
        <w:t>о</w:t>
      </w:r>
      <w:r>
        <w:t>ван на женщин. Этот проект также нацелен на более широкое привлечение женщин к процессу принятия решений, а также реализацию принципа учета гендерного фактора в региональном и трансграничном контексте.</w:t>
      </w:r>
    </w:p>
    <w:p w:rsidR="00000000" w:rsidRDefault="00000000">
      <w:pPr>
        <w:pStyle w:val="SingleTxt"/>
      </w:pPr>
      <w:r>
        <w:tab/>
      </w:r>
      <w:r>
        <w:tab/>
        <w:t xml:space="preserve">Власти провинции </w:t>
      </w:r>
      <w:r>
        <w:rPr>
          <w:b/>
        </w:rPr>
        <w:t>Верхняя Австрия</w:t>
      </w:r>
      <w:r>
        <w:t xml:space="preserve"> в сотрудничестве с женскими асс</w:t>
      </w:r>
      <w:r>
        <w:t>о</w:t>
      </w:r>
      <w:r>
        <w:t>циациями провели ряд исследований, посвященных положению женщин в сельских районах, и организовали несколько программ подготовки и повыш</w:t>
      </w:r>
      <w:r>
        <w:t>е</w:t>
      </w:r>
      <w:r>
        <w:t>ния квалификации.</w:t>
      </w:r>
    </w:p>
    <w:p w:rsidR="00000000" w:rsidRDefault="00000000">
      <w:pPr>
        <w:pStyle w:val="SingleTxt"/>
      </w:pPr>
      <w:r>
        <w:tab/>
      </w:r>
      <w:r>
        <w:tab/>
        <w:t xml:space="preserve">Власти провинции </w:t>
      </w:r>
      <w:r>
        <w:rPr>
          <w:b/>
        </w:rPr>
        <w:t>Тироль</w:t>
      </w:r>
      <w:r>
        <w:t xml:space="preserve"> оказали содействие в организации и провед</w:t>
      </w:r>
      <w:r>
        <w:t>е</w:t>
      </w:r>
      <w:r>
        <w:t>нии курсов и семинаров, например курса для политиков в Восточном Тироле, а также курс по вопросам трансграничного сотрудничества между Ауберферном и Баварией, и организовали и оказали поддержку в проведении ряда исслед</w:t>
      </w:r>
      <w:r>
        <w:t>о</w:t>
      </w:r>
      <w:r>
        <w:t>ваний (см. приложение 1).</w:t>
      </w:r>
    </w:p>
    <w:p w:rsidR="00000000" w:rsidRDefault="00000000">
      <w:pPr>
        <w:pStyle w:val="SingleTxt"/>
      </w:pPr>
      <w:r>
        <w:tab/>
      </w:r>
      <w:r>
        <w:tab/>
        <w:t xml:space="preserve">В контексте мероприятий по улучшению положения женщин в сельских районах власти провинции </w:t>
      </w:r>
      <w:r>
        <w:rPr>
          <w:b/>
        </w:rPr>
        <w:t>Зальцбург</w:t>
      </w:r>
      <w:r>
        <w:t xml:space="preserve"> открыли центры для руководителей женских проектов по обеспечению равных возможностей в округах Пинцгау и Лунгау и принимали участие в осуществлении ряда проектов ЕС.</w:t>
      </w:r>
    </w:p>
    <w:p w:rsidR="00000000" w:rsidRDefault="00000000">
      <w:pPr>
        <w:pStyle w:val="50"/>
      </w:pPr>
    </w:p>
    <w:p w:rsidR="00000000" w:rsidRDefault="00000000">
      <w:pPr>
        <w:pStyle w:val="50"/>
      </w:pPr>
    </w:p>
    <w:p w:rsidR="00000000" w:rsidRDefault="00000000">
      <w:pPr>
        <w:pStyle w:val="H23"/>
        <w:rPr>
          <w:u w:val="single"/>
        </w:rPr>
      </w:pPr>
      <w:r>
        <w:tab/>
      </w:r>
      <w:bookmarkStart w:id="151" w:name="_Toc97786760"/>
      <w:r>
        <w:rPr>
          <w:u w:val="single"/>
        </w:rPr>
        <w:t>Статья 14, пункт 2, подпункт с)</w:t>
      </w:r>
      <w:bookmarkEnd w:id="151"/>
    </w:p>
    <w:p w:rsidR="00000000" w:rsidRDefault="00000000">
      <w:pPr>
        <w:pStyle w:val="SingleTxt"/>
      </w:pPr>
      <w:r>
        <w:tab/>
      </w:r>
      <w:r>
        <w:tab/>
        <w:t>Более подробную информацию о пособиях по уходу за детьми см. в ра</w:t>
      </w:r>
      <w:r>
        <w:t>з</w:t>
      </w:r>
      <w:r>
        <w:t>деле настоящего доклада, касающемся статьи 13.</w:t>
      </w:r>
    </w:p>
    <w:p w:rsidR="00000000" w:rsidRDefault="00000000">
      <w:pPr>
        <w:pStyle w:val="50"/>
      </w:pPr>
    </w:p>
    <w:p w:rsidR="00000000" w:rsidRDefault="00000000">
      <w:pPr>
        <w:pStyle w:val="50"/>
      </w:pPr>
    </w:p>
    <w:p w:rsidR="00000000" w:rsidRDefault="00000000">
      <w:pPr>
        <w:pStyle w:val="H23"/>
        <w:rPr>
          <w:u w:val="single"/>
        </w:rPr>
      </w:pPr>
      <w:r>
        <w:tab/>
      </w:r>
      <w:bookmarkStart w:id="152" w:name="_Toc97786761"/>
      <w:r>
        <w:rPr>
          <w:u w:val="single"/>
        </w:rPr>
        <w:t xml:space="preserve">Статья 14, пункт 2, подпункт </w:t>
      </w:r>
      <w:r>
        <w:rPr>
          <w:u w:val="single"/>
          <w:lang w:val="en-US"/>
        </w:rPr>
        <w:t>d</w:t>
      </w:r>
      <w:r>
        <w:rPr>
          <w:u w:val="single"/>
        </w:rPr>
        <w:t>)</w:t>
      </w:r>
      <w:bookmarkEnd w:id="152"/>
    </w:p>
    <w:p w:rsidR="00000000" w:rsidRDefault="00000000">
      <w:pPr>
        <w:pStyle w:val="H23"/>
      </w:pPr>
      <w:r>
        <w:tab/>
      </w:r>
    </w:p>
    <w:p w:rsidR="00000000" w:rsidRDefault="00000000">
      <w:pPr>
        <w:pStyle w:val="SingleTxt"/>
      </w:pPr>
      <w:r>
        <w:tab/>
      </w:r>
      <w:r>
        <w:tab/>
        <w:t xml:space="preserve">В настоящее время по поручению Министерства сельского хозяйства и лесоводства, окружающей среды и управления водными ресурсами проводится исследование, посвященное </w:t>
      </w:r>
      <w:r>
        <w:rPr>
          <w:b/>
        </w:rPr>
        <w:t>положению</w:t>
      </w:r>
      <w:r>
        <w:t xml:space="preserve"> сельских женщин </w:t>
      </w:r>
      <w:r>
        <w:rPr>
          <w:b/>
        </w:rPr>
        <w:t>в области образ</w:t>
      </w:r>
      <w:r>
        <w:rPr>
          <w:b/>
        </w:rPr>
        <w:t>о</w:t>
      </w:r>
      <w:r>
        <w:rPr>
          <w:b/>
        </w:rPr>
        <w:t>вания</w:t>
      </w:r>
      <w:r>
        <w:t>. В 2000 году на немецком и английском языках была опубликована бр</w:t>
      </w:r>
      <w:r>
        <w:t>о</w:t>
      </w:r>
      <w:r>
        <w:t xml:space="preserve">шюра для женщин-фермеров и фермерских жен. Финансируется или совместно финансируется ряд </w:t>
      </w:r>
      <w:r>
        <w:rPr>
          <w:b/>
        </w:rPr>
        <w:t>научно-исследовательских проектов</w:t>
      </w:r>
      <w:r>
        <w:t>, посвященных роли женщин в сельских районах и посвященных таким темам, как разработка и и</w:t>
      </w:r>
      <w:r>
        <w:t>с</w:t>
      </w:r>
      <w:r>
        <w:t>пытание новаторских программ повышения квалификации для женщин, зан</w:t>
      </w:r>
      <w:r>
        <w:t>и</w:t>
      </w:r>
      <w:r>
        <w:t>мающих руководящие должности на сельскохозяйственных или садоводческих предприятиях, в виде вклада в процесс приведения системы образования в с</w:t>
      </w:r>
      <w:r>
        <w:t>о</w:t>
      </w:r>
      <w:r>
        <w:t>ответствие с нормами ЕС (с целью оказания поддержки женщинам, занима</w:t>
      </w:r>
      <w:r>
        <w:t>ю</w:t>
      </w:r>
      <w:r>
        <w:t>щим административные или руководящие должности); мероприятия в области образования и профессиональной подготовки и сельские женщины (обследов</w:t>
      </w:r>
      <w:r>
        <w:t>а</w:t>
      </w:r>
      <w:r>
        <w:t>ние предлагаемых программ обучение и участия женщин в таких программах); возможности облегчения женского труда (с целью определения всех факторов стресса и усталости, которым женщины подвергаются на лесных работах, для улучшения условий труда женщин-лесников и обеспечения возможности для совмещения ими свой работы и семейных обязанн</w:t>
      </w:r>
      <w:r>
        <w:t>о</w:t>
      </w:r>
      <w:r>
        <w:t>стей).</w:t>
      </w:r>
    </w:p>
    <w:p w:rsidR="00000000" w:rsidRDefault="00000000">
      <w:pPr>
        <w:pStyle w:val="SingleTxt"/>
      </w:pPr>
      <w:r>
        <w:tab/>
      </w:r>
      <w:r>
        <w:tab/>
        <w:t xml:space="preserve">Кроме того, был организован ряд </w:t>
      </w:r>
      <w:r>
        <w:rPr>
          <w:b/>
        </w:rPr>
        <w:t>программ дополнительного обучения и повышения квалификации</w:t>
      </w:r>
      <w:r>
        <w:t>, такие как, например "Сем</w:t>
      </w:r>
      <w:r>
        <w:t>и</w:t>
      </w:r>
      <w:r>
        <w:t>нар для женщин-фермеров и фермерских жен"; "Школа и ферма"; компьютерные курсы; "Ферма как семейное предприятие – сообща можно достичь большего". Совместно с Институтом дополнительного сельского образования провинции осуществляют различные программы обучения и профессиональной подготовки. Женщины-фермеры и жены фермеров имеют доступ ко всем программам обучения, пр</w:t>
      </w:r>
      <w:r>
        <w:t>и</w:t>
      </w:r>
      <w:r>
        <w:t>званным дать им возможность овладеть новыми и самыми различными видами деятельности, которые, как предполагается, окажут положительное воздейс</w:t>
      </w:r>
      <w:r>
        <w:t>т</w:t>
      </w:r>
      <w:r>
        <w:t>вие на уровень доходов фермерских семей. Образование рассматривается как ключ</w:t>
      </w:r>
      <w:r>
        <w:t>е</w:t>
      </w:r>
      <w:r>
        <w:t>вой фактор успеха.</w:t>
      </w:r>
    </w:p>
    <w:p w:rsidR="00000000" w:rsidRDefault="00000000">
      <w:pPr>
        <w:pStyle w:val="SingleTxt"/>
      </w:pPr>
      <w:r>
        <w:tab/>
      </w:r>
      <w:r>
        <w:tab/>
      </w:r>
      <w:r>
        <w:rPr>
          <w:b/>
        </w:rPr>
        <w:t>Курсы обучения ИТ для сельских женщин</w:t>
      </w:r>
      <w:r>
        <w:t>. В контексте кампании по дальнейшему овладению ИТ, которая проводится Федеральным министерством образования, науки и культуры, для сельских женщин, организованы разли</w:t>
      </w:r>
      <w:r>
        <w:t>ч</w:t>
      </w:r>
      <w:r>
        <w:t>ные учебные программы и курсы, преследующие цель облегчить доступ же</w:t>
      </w:r>
      <w:r>
        <w:t>н</w:t>
      </w:r>
      <w:r>
        <w:t>щин из периферийных районов к базовому и дальнейшему образованию. Пр</w:t>
      </w:r>
      <w:r>
        <w:t>о</w:t>
      </w:r>
      <w:r>
        <w:t>грамма обучения привязана к конкретным потребностям женщин и направлена на то, чтобы снизить барьеры, мешающие свободному доступу сельских же</w:t>
      </w:r>
      <w:r>
        <w:t>н</w:t>
      </w:r>
      <w:r>
        <w:t>щин к информационным и коммуникационным технологиям. В соответствии с концепцией обучения в течении всей жизни ведется обучение важнейшим н</w:t>
      </w:r>
      <w:r>
        <w:t>а</w:t>
      </w:r>
      <w:r>
        <w:t>выкам и умению правильно пользоваться ИТ, что существенно расширяет во</w:t>
      </w:r>
      <w:r>
        <w:t>з</w:t>
      </w:r>
      <w:r>
        <w:t>можности же</w:t>
      </w:r>
      <w:r>
        <w:t>н</w:t>
      </w:r>
      <w:r>
        <w:t>щин на рынке труда.</w:t>
      </w:r>
    </w:p>
    <w:p w:rsidR="00000000" w:rsidRDefault="00000000">
      <w:pPr>
        <w:pStyle w:val="50"/>
      </w:pPr>
    </w:p>
    <w:p w:rsidR="00000000" w:rsidRDefault="00000000">
      <w:pPr>
        <w:pStyle w:val="50"/>
      </w:pPr>
    </w:p>
    <w:p w:rsidR="00000000" w:rsidRDefault="00000000">
      <w:pPr>
        <w:pStyle w:val="H23"/>
        <w:rPr>
          <w:u w:val="single"/>
        </w:rPr>
      </w:pPr>
      <w:r>
        <w:tab/>
      </w:r>
      <w:bookmarkStart w:id="153" w:name="_Toc97786763"/>
      <w:r>
        <w:rPr>
          <w:u w:val="single"/>
        </w:rPr>
        <w:t>Статья 14, пункт 2, подпункт е)</w:t>
      </w:r>
      <w:bookmarkEnd w:id="153"/>
    </w:p>
    <w:p w:rsidR="00000000" w:rsidRDefault="00000000">
      <w:pPr>
        <w:pStyle w:val="SingleTxt"/>
      </w:pPr>
      <w:r>
        <w:tab/>
      </w:r>
      <w:r>
        <w:tab/>
        <w:t>Создание групп самопомощи и образование сетей осуществляется в ра</w:t>
      </w:r>
      <w:r>
        <w:t>м</w:t>
      </w:r>
      <w:r>
        <w:t>ках Австрийской программы развития сельских районов (особенно в рамках усилий по перестройке и развитию сельских районов) и программы "ЛИДЕР+". В рамках сети "ЛИДЕР+" была учреждена рабочая группа по обеспечению уч</w:t>
      </w:r>
      <w:r>
        <w:t>е</w:t>
      </w:r>
      <w:r>
        <w:t>та гендерного фактора, которую в качестве руководителя проекта возглавляет женщина, являющаяся экспертом по проблемам учета гендерного фактора. В контексте программы "ЛИДЕР+" обеспечивается активная поддержка создания инновационных рабочих мест. Кроме того, сетевой центр обслуживания пр</w:t>
      </w:r>
      <w:r>
        <w:t>о</w:t>
      </w:r>
      <w:r>
        <w:t>граммы "ЛИДЕР+" бесплатно предоставляет заинтересованным лицам ко</w:t>
      </w:r>
      <w:r>
        <w:t>н</w:t>
      </w:r>
      <w:r>
        <w:t>сультационные услуги по вопросам учета гендерного фактора, которые наряду с консультациями по общим вопросам обеспечивают основу для разработки руководящих принципов по выработке новых концепций проектов, учитыва</w:t>
      </w:r>
      <w:r>
        <w:t>ю</w:t>
      </w:r>
      <w:r>
        <w:t>щих гендерный фактор.</w:t>
      </w:r>
    </w:p>
    <w:p w:rsidR="00000000" w:rsidRDefault="00000000">
      <w:pPr>
        <w:pStyle w:val="50"/>
      </w:pPr>
    </w:p>
    <w:p w:rsidR="00000000" w:rsidRDefault="00000000">
      <w:pPr>
        <w:pStyle w:val="50"/>
      </w:pPr>
    </w:p>
    <w:p w:rsidR="00000000" w:rsidRDefault="00000000">
      <w:pPr>
        <w:pStyle w:val="H23"/>
        <w:rPr>
          <w:u w:val="single"/>
        </w:rPr>
      </w:pPr>
      <w:r>
        <w:tab/>
      </w:r>
      <w:bookmarkStart w:id="154" w:name="_Toc97786764"/>
      <w:r>
        <w:rPr>
          <w:u w:val="single"/>
        </w:rPr>
        <w:t xml:space="preserve">Статья 14, пункт 2, подпункт </w:t>
      </w:r>
      <w:r>
        <w:rPr>
          <w:u w:val="single"/>
          <w:lang w:val="en-US"/>
        </w:rPr>
        <w:t>g</w:t>
      </w:r>
      <w:r>
        <w:rPr>
          <w:u w:val="single"/>
        </w:rPr>
        <w:t>)</w:t>
      </w:r>
      <w:bookmarkEnd w:id="154"/>
    </w:p>
    <w:p w:rsidR="00000000" w:rsidRDefault="00000000">
      <w:pPr>
        <w:pStyle w:val="SingleTxt"/>
      </w:pPr>
      <w:r>
        <w:tab/>
      </w:r>
      <w:r>
        <w:tab/>
        <w:t>Сегодня около 41 процента сельскохозяйственных холдингов в Австрии (принадлежащих физическим лицам) возглавляют женщины. Отчасти такой высокий процент ферм, возглавляемых женщинами, можно объяснить тем, что инвестиционные субсидии предоставляются исключительно фермерам, уд</w:t>
      </w:r>
      <w:r>
        <w:t>е</w:t>
      </w:r>
      <w:r>
        <w:t>ляющим все свое время своему хозяйству. Поэтому все большее число женщин становятся управляющими фермерскими хозяйствами, что на практике отраж</w:t>
      </w:r>
      <w:r>
        <w:t>а</w:t>
      </w:r>
      <w:r>
        <w:t>ет фактическое разделение труда на фермах. Благодаря этому, с одной стороны, труд женщин на фермах становится более заметным, а с другой стороны, такая должность управляющего придает сельским женщинам важный юридический статус.</w:t>
      </w:r>
    </w:p>
    <w:p w:rsidR="00000000" w:rsidRDefault="00000000">
      <w:pPr>
        <w:pStyle w:val="SingleTxt"/>
      </w:pPr>
      <w:r>
        <w:tab/>
      </w:r>
      <w:r>
        <w:tab/>
        <w:t>Статистические данные свидетельствуют о том, что подавляющее бол</w:t>
      </w:r>
      <w:r>
        <w:t>ь</w:t>
      </w:r>
      <w:r>
        <w:t>шинство мелких ферм возглавляют женщины. В хозяйствах площадью менее 20 гектаров доля женщин-управляющих достигает 40 процентов, в то время как в хозяйствах площадью более 100 гектаров доля женщин-управляющих соста</w:t>
      </w:r>
      <w:r>
        <w:t>в</w:t>
      </w:r>
      <w:r>
        <w:t>ляет лишь 16 процентов. Женщины управляют 37 процентами хозяйств, расп</w:t>
      </w:r>
      <w:r>
        <w:t>о</w:t>
      </w:r>
      <w:r>
        <w:t>ложенных на альпийских склонах, и хозяйств, занимающихся выращиванием органической продукции. Хозяйствам, которыми управляют женщины, выдел</w:t>
      </w:r>
      <w:r>
        <w:t>я</w:t>
      </w:r>
      <w:r>
        <w:t>ется приблизительно одна треть от общей суммы инвестиционных субсидий. На долю женщин приходится примерно 19 процентов от общей суммы надб</w:t>
      </w:r>
      <w:r>
        <w:t>а</w:t>
      </w:r>
      <w:r>
        <w:t>вок, выплачиваемых молодым фермерам для создания собственного хозяйства (так называемые пособия на обустройство). На курсах профессиональной по</w:t>
      </w:r>
      <w:r>
        <w:t>д</w:t>
      </w:r>
      <w:r>
        <w:t>готовки 40 процентов участников составляют женщины, работающие упра</w:t>
      </w:r>
      <w:r>
        <w:t>в</w:t>
      </w:r>
      <w:r>
        <w:t>ляющими ферм, которые образуют крупнейшую отдельную категорию учас</w:t>
      </w:r>
      <w:r>
        <w:t>т</w:t>
      </w:r>
      <w:r>
        <w:t>ников. Все это свидетельствует о том, что меры по повышению уровня подг</w:t>
      </w:r>
      <w:r>
        <w:t>о</w:t>
      </w:r>
      <w:r>
        <w:t>товки и обучения женщин пользуются большим спросом. Программы подг</w:t>
      </w:r>
      <w:r>
        <w:t>о</w:t>
      </w:r>
      <w:r>
        <w:t>товки для улучшения положения женщин рассматриваются как создание во</w:t>
      </w:r>
      <w:r>
        <w:t>з</w:t>
      </w:r>
      <w:r>
        <w:t>можностей для развития женщин в сельских районах. Инициаторами усилий в области диверсификации и расширения профиля деятельности хозяйств чаще всего в</w:t>
      </w:r>
      <w:r>
        <w:t>ы</w:t>
      </w:r>
      <w:r>
        <w:t>ступают женщины (см. приложение 2).</w:t>
      </w:r>
    </w:p>
    <w:p w:rsidR="00000000" w:rsidRDefault="00000000">
      <w:pPr>
        <w:pStyle w:val="SingleTxt"/>
      </w:pPr>
      <w:r>
        <w:tab/>
      </w:r>
      <w:r>
        <w:tab/>
        <w:t>В процессе выделения субсидий на конкретные проекты (мониторинг) данные, там где это возможно, собираются в разбивке по полу. В принципе п</w:t>
      </w:r>
      <w:r>
        <w:t>о</w:t>
      </w:r>
      <w:r>
        <w:t>лучатели субсидий должны соблюдать положения Закона о равном обращении. Несоблюдение этих положений приводит к прекращению выплаты субсидий. Оценка воздействия конкретных проектов на создание равных возможностей для женщин и мужчин проводится по каждому отдельному проекту, в частн</w:t>
      </w:r>
      <w:r>
        <w:t>о</w:t>
      </w:r>
      <w:r>
        <w:t>сти, в рамках Общинной инициативы "ЛИДЕР+". Негативные результаты оце</w:t>
      </w:r>
      <w:r>
        <w:t>н</w:t>
      </w:r>
      <w:r>
        <w:t>ки приводят к прекращ</w:t>
      </w:r>
      <w:r>
        <w:t>е</w:t>
      </w:r>
      <w:r>
        <w:t>нию выплаты субсидий.</w:t>
      </w:r>
    </w:p>
    <w:p w:rsidR="00000000" w:rsidRDefault="00000000">
      <w:pPr>
        <w:pStyle w:val="50"/>
      </w:pPr>
    </w:p>
    <w:p w:rsidR="00000000" w:rsidRDefault="00000000">
      <w:pPr>
        <w:pStyle w:val="50"/>
      </w:pPr>
    </w:p>
    <w:p w:rsidR="00000000" w:rsidRDefault="00000000">
      <w:pPr>
        <w:pStyle w:val="H23"/>
        <w:rPr>
          <w:u w:val="single"/>
        </w:rPr>
      </w:pPr>
      <w:r>
        <w:tab/>
      </w:r>
      <w:bookmarkStart w:id="155" w:name="_Toc97786765"/>
      <w:r>
        <w:rPr>
          <w:u w:val="single"/>
        </w:rPr>
        <w:t xml:space="preserve">Статья 14, пункт 2, подпункт </w:t>
      </w:r>
      <w:r>
        <w:rPr>
          <w:u w:val="single"/>
          <w:lang w:val="en-US"/>
        </w:rPr>
        <w:t>h</w:t>
      </w:r>
      <w:r>
        <w:rPr>
          <w:u w:val="single"/>
        </w:rPr>
        <w:t>)</w:t>
      </w:r>
      <w:bookmarkEnd w:id="155"/>
    </w:p>
    <w:p w:rsidR="00000000" w:rsidRDefault="00000000">
      <w:pPr>
        <w:pStyle w:val="50"/>
      </w:pPr>
    </w:p>
    <w:p w:rsidR="00000000" w:rsidRDefault="00000000">
      <w:pPr>
        <w:pStyle w:val="50"/>
      </w:pPr>
    </w:p>
    <w:p w:rsidR="00000000" w:rsidRDefault="00000000">
      <w:pPr>
        <w:pStyle w:val="H23"/>
      </w:pPr>
      <w:r>
        <w:tab/>
      </w:r>
      <w:bookmarkStart w:id="156" w:name="_Toc97786766"/>
      <w:r>
        <w:t>Общинный проект автобусного сообщения "</w:t>
      </w:r>
      <w:r>
        <w:rPr>
          <w:lang w:val="en-US"/>
        </w:rPr>
        <w:t>P</w:t>
      </w:r>
      <w:r>
        <w:t>ö</w:t>
      </w:r>
      <w:r>
        <w:rPr>
          <w:lang w:val="en-US"/>
        </w:rPr>
        <w:t>tshing</w:t>
      </w:r>
      <w:r>
        <w:t>"</w:t>
      </w:r>
      <w:bookmarkEnd w:id="156"/>
    </w:p>
    <w:p w:rsidR="00000000" w:rsidRDefault="00000000">
      <w:pPr>
        <w:pStyle w:val="SingleTxt"/>
      </w:pPr>
      <w:r>
        <w:rPr>
          <w:b/>
        </w:rPr>
        <w:tab/>
      </w:r>
      <w:r>
        <w:rPr>
          <w:b/>
        </w:rPr>
        <w:tab/>
      </w:r>
      <w:r>
        <w:t>В рамках этого проекта был проведен анализ явления "вспомогательных транспортных потоков" и на основе проведенного анализа были приняты пра</w:t>
      </w:r>
      <w:r>
        <w:t>к</w:t>
      </w:r>
      <w:r>
        <w:t>тические меры. Можно отметить, что благодаря конкретным мерам (повыш</w:t>
      </w:r>
      <w:r>
        <w:t>е</w:t>
      </w:r>
      <w:r>
        <w:t>ние привлекательности системы общественного пассажирского транспорта ближнего сообщения путем ее реформирования с четом требований основных категорий пользователей) удалось не только улучшить показатели использов</w:t>
      </w:r>
      <w:r>
        <w:t>а</w:t>
      </w:r>
      <w:r>
        <w:t>ния системы общественного транспорта ближнего сообщения (и тем самым решить одну из главных задач дорожной политики), но и улучшить качество сообщения для женщин и тем самым облегчить им возможность совмещения производственных и семейных обязанностей. Этот пилотный проект был уд</w:t>
      </w:r>
      <w:r>
        <w:t>о</w:t>
      </w:r>
      <w:r>
        <w:t>стоен австрийской премии по окр</w:t>
      </w:r>
      <w:r>
        <w:t>у</w:t>
      </w:r>
      <w:r>
        <w:t>жающей среде.</w:t>
      </w:r>
    </w:p>
    <w:p w:rsidR="00000000" w:rsidRDefault="00000000">
      <w:pPr>
        <w:pStyle w:val="H23"/>
      </w:pPr>
      <w:r>
        <w:tab/>
      </w:r>
      <w:bookmarkStart w:id="157" w:name="_Toc97786767"/>
      <w:r>
        <w:t>Создание женского консультативного совета экспертов по вопросам транспортной политики</w:t>
      </w:r>
      <w:bookmarkEnd w:id="157"/>
    </w:p>
    <w:p w:rsidR="00000000" w:rsidRDefault="00000000">
      <w:pPr>
        <w:pStyle w:val="SingleTxt"/>
      </w:pPr>
      <w:r>
        <w:tab/>
      </w:r>
      <w:r>
        <w:tab/>
        <w:t>Этому Совету поручено освещать потребности женщин в сфере тран</w:t>
      </w:r>
      <w:r>
        <w:t>с</w:t>
      </w:r>
      <w:r>
        <w:t>портной политики и учитывать идеи и практические предложения женщин во всех проектах в области транспорта. Цель состоит в том, чтобы информировать общественность о необходимости решения женских проблем в различных о</w:t>
      </w:r>
      <w:r>
        <w:t>б</w:t>
      </w:r>
      <w:r>
        <w:t>ластях политики, поскольку это является важной предпосылкой подлинного социального и политического равенства женщин и му</w:t>
      </w:r>
      <w:r>
        <w:t>ж</w:t>
      </w:r>
      <w:r>
        <w:t>чин.</w:t>
      </w:r>
    </w:p>
    <w:p w:rsidR="00000000" w:rsidRDefault="00000000">
      <w:pPr>
        <w:pStyle w:val="50"/>
      </w:pPr>
    </w:p>
    <w:p w:rsidR="00000000" w:rsidRDefault="00000000">
      <w:pPr>
        <w:pStyle w:val="50"/>
      </w:pPr>
    </w:p>
    <w:p w:rsidR="00000000" w:rsidRDefault="00000000">
      <w:pPr>
        <w:pStyle w:val="H1"/>
      </w:pPr>
      <w:r>
        <w:tab/>
      </w:r>
      <w:bookmarkStart w:id="158" w:name="_Toc97786768"/>
      <w:r>
        <w:t>Статья 15</w:t>
      </w:r>
      <w:bookmarkEnd w:id="158"/>
    </w:p>
    <w:p w:rsidR="00000000" w:rsidRDefault="00000000">
      <w:pPr>
        <w:pStyle w:val="SingleTxt"/>
      </w:pPr>
      <w:r>
        <w:tab/>
      </w:r>
      <w:r>
        <w:tab/>
        <w:t>См. раздел настоящего доклада, касающийся рекомендации 227.</w:t>
      </w:r>
    </w:p>
    <w:p w:rsidR="00000000" w:rsidRDefault="00000000">
      <w:pPr>
        <w:pStyle w:val="50"/>
      </w:pPr>
    </w:p>
    <w:p w:rsidR="00000000" w:rsidRDefault="00000000">
      <w:pPr>
        <w:pStyle w:val="50"/>
      </w:pPr>
    </w:p>
    <w:p w:rsidR="00000000" w:rsidRDefault="00000000">
      <w:pPr>
        <w:pStyle w:val="H1"/>
      </w:pPr>
      <w:r>
        <w:tab/>
      </w:r>
      <w:bookmarkStart w:id="159" w:name="_Toc97786769"/>
      <w:r>
        <w:t>Статья 16</w:t>
      </w:r>
      <w:bookmarkEnd w:id="159"/>
    </w:p>
    <w:p w:rsidR="00000000" w:rsidRDefault="00000000">
      <w:pPr>
        <w:pStyle w:val="SingleTxt"/>
      </w:pPr>
      <w:r>
        <w:tab/>
      </w:r>
      <w:r>
        <w:tab/>
        <w:t>В 1999 году Управление по делам женщина и вопросам равенства пр</w:t>
      </w:r>
      <w:r>
        <w:t>о</w:t>
      </w:r>
      <w:r>
        <w:t>винции</w:t>
      </w:r>
      <w:r>
        <w:rPr>
          <w:b/>
        </w:rPr>
        <w:t xml:space="preserve"> Зальцбург</w:t>
      </w:r>
      <w:r>
        <w:t xml:space="preserve"> открыло консультационный центр для женщин, который предоставляет свои услуги бесплатно и в настоящее время обслуживает все о</w:t>
      </w:r>
      <w:r>
        <w:t>к</w:t>
      </w:r>
      <w:r>
        <w:t>руга. Ежемесячно в течение одного-двух дней группа из четырех экспертов по правовым вопросам проводит консультации в Зальцбурге. Кроме того, была о</w:t>
      </w:r>
      <w:r>
        <w:t>т</w:t>
      </w:r>
      <w:r>
        <w:t>крыта "горячая консультационная линия", по которой женщина-эксперт по пр</w:t>
      </w:r>
      <w:r>
        <w:t>а</w:t>
      </w:r>
      <w:r>
        <w:t>вовым вопросам дает консультации два часа в неделю. Помимо этого совмес</w:t>
      </w:r>
      <w:r>
        <w:t>т</w:t>
      </w:r>
      <w:r>
        <w:t>но с Зальцбургским университетом раз в год проводится дискуссионный форум под названием "Форум – женщины и право", на котором обсуждаются после</w:t>
      </w:r>
      <w:r>
        <w:t>д</w:t>
      </w:r>
      <w:r>
        <w:t>ние поправки, принимаемые к законодательству о браке и семье. Среди насел</w:t>
      </w:r>
      <w:r>
        <w:t>е</w:t>
      </w:r>
      <w:r>
        <w:t>ния распространяются написанные доступным языком брошюры по вопросам брачного и с</w:t>
      </w:r>
      <w:r>
        <w:t>е</w:t>
      </w:r>
      <w:r>
        <w:t>мейного законодательства.</w:t>
      </w:r>
    </w:p>
    <w:p w:rsidR="00000000" w:rsidRDefault="00000000">
      <w:pPr>
        <w:pStyle w:val="SingleTxt"/>
      </w:pPr>
      <w:r>
        <w:tab/>
      </w:r>
      <w:r>
        <w:tab/>
        <w:t>Кроме того, мы хотели бы сослаться на предыдущие доклады для КЛДЖ, представленные Австрийской Республикой. В отношении возможности совм</w:t>
      </w:r>
      <w:r>
        <w:t>е</w:t>
      </w:r>
      <w:r>
        <w:t>стной опеки над детьми после расторжения брака см. раздел настоящего до</w:t>
      </w:r>
      <w:r>
        <w:t>к</w:t>
      </w:r>
      <w:r>
        <w:t xml:space="preserve">лада, касающийся пункта </w:t>
      </w:r>
      <w:r>
        <w:rPr>
          <w:lang w:val="en-US"/>
        </w:rPr>
        <w:t>b</w:t>
      </w:r>
      <w:r>
        <w:t>) ст</w:t>
      </w:r>
      <w:r>
        <w:t>а</w:t>
      </w:r>
      <w:r>
        <w:t>тьи 5.</w:t>
      </w:r>
    </w:p>
    <w:p w:rsidR="00000000" w:rsidRDefault="00000000">
      <w:pPr>
        <w:pStyle w:val="HCh"/>
        <w:rPr>
          <w:sz w:val="24"/>
        </w:rPr>
      </w:pPr>
      <w:r>
        <w:br w:type="page"/>
      </w:r>
      <w:bookmarkStart w:id="160" w:name="_Toc97786770"/>
      <w:r>
        <w:t>Приложение</w:t>
      </w:r>
      <w:r>
        <w:rPr>
          <w:sz w:val="24"/>
        </w:rPr>
        <w:t xml:space="preserve"> 1</w:t>
      </w:r>
      <w:bookmarkEnd w:id="160"/>
    </w:p>
    <w:p w:rsidR="00000000" w:rsidRDefault="00000000">
      <w:pPr>
        <w:pStyle w:val="SingleTxt"/>
      </w:pPr>
      <w:r>
        <w:t>Проекты/программы/научные исследования/публикации</w:t>
      </w:r>
    </w:p>
    <w:p w:rsidR="00000000" w:rsidRDefault="00000000">
      <w:pPr>
        <w:pStyle w:val="SingleTxt"/>
      </w:pPr>
      <w:r>
        <w:t xml:space="preserve">Примечание: приложение </w:t>
      </w:r>
      <w:r>
        <w:rPr>
          <w:lang w:val="en-US"/>
        </w:rPr>
        <w:t>I</w:t>
      </w:r>
      <w:r>
        <w:t xml:space="preserve"> будет представлено членам Комитета на том языке, на котором оно было подготовлено.</w:t>
      </w:r>
    </w:p>
    <w:p w:rsidR="00000000" w:rsidRDefault="00000000">
      <w:pPr>
        <w:pStyle w:val="CommentText"/>
      </w:pPr>
    </w:p>
    <w:p w:rsidR="00000000" w:rsidRDefault="00000000"/>
    <w:p w:rsidR="00000000" w:rsidRDefault="00000000">
      <w:pPr>
        <w:sectPr w:rsidR="00000000">
          <w:endnotePr>
            <w:numFmt w:val="decimal"/>
          </w:endnotePr>
          <w:pgSz w:w="12240" w:h="15840" w:code="1"/>
          <w:pgMar w:top="1741" w:right="1196" w:bottom="1899" w:left="1196" w:header="578" w:footer="1032" w:gutter="0"/>
          <w:cols w:space="720"/>
          <w:noEndnote/>
        </w:sectPr>
      </w:pPr>
    </w:p>
    <w:p w:rsidR="00000000" w:rsidRDefault="00000000">
      <w:pPr>
        <w:pStyle w:val="HCh"/>
        <w:ind w:left="794" w:firstLine="0"/>
        <w:rPr>
          <w:lang w:eastAsia="de-DE"/>
        </w:rPr>
      </w:pPr>
      <w:bookmarkStart w:id="161" w:name="_Toc97786771"/>
      <w:r>
        <w:rPr>
          <w:lang w:eastAsia="de-DE"/>
        </w:rPr>
        <w:t>Приложение 2</w:t>
      </w:r>
      <w:r>
        <w:rPr>
          <w:lang w:eastAsia="de-DE"/>
        </w:rPr>
        <w:br/>
        <w:t>Статистические данные</w:t>
      </w:r>
      <w:bookmarkEnd w:id="161"/>
    </w:p>
    <w:p w:rsidR="00000000" w:rsidRDefault="00000000">
      <w:pPr>
        <w:keepNext/>
        <w:tabs>
          <w:tab w:val="left" w:pos="13467"/>
        </w:tabs>
        <w:autoSpaceDE w:val="0"/>
        <w:autoSpaceDN w:val="0"/>
        <w:jc w:val="center"/>
        <w:outlineLvl w:val="2"/>
        <w:rPr>
          <w:b/>
          <w:lang w:eastAsia="de-DE"/>
        </w:rPr>
      </w:pPr>
    </w:p>
    <w:p w:rsidR="00000000" w:rsidRDefault="00000000">
      <w:pPr>
        <w:pStyle w:val="SingleTxt"/>
        <w:tabs>
          <w:tab w:val="clear" w:pos="1267"/>
        </w:tabs>
        <w:ind w:left="0" w:right="9"/>
        <w:rPr>
          <w:lang w:eastAsia="de-DE"/>
        </w:rPr>
      </w:pPr>
      <w:r>
        <w:rPr>
          <w:lang w:eastAsia="de-DE"/>
        </w:rPr>
        <w:t>Участие женщин и мужчин в политике: федеральное правительство, парламент, правительство и парламенты провинций, декабрь 2003 года</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3686"/>
        </w:tabs>
        <w:spacing w:after="0"/>
        <w:ind w:left="0"/>
        <w:rPr>
          <w:sz w:val="17"/>
          <w:lang w:eastAsia="de-DE"/>
        </w:rPr>
      </w:pPr>
      <w:r>
        <w:rPr>
          <w:b/>
          <w:sz w:val="17"/>
          <w:lang w:eastAsia="de-DE"/>
        </w:rPr>
        <w:t>Федеральное правител</w:t>
      </w:r>
      <w:r>
        <w:rPr>
          <w:b/>
          <w:sz w:val="17"/>
          <w:lang w:eastAsia="de-DE"/>
        </w:rPr>
        <w:t>ь</w:t>
      </w:r>
      <w:r>
        <w:rPr>
          <w:b/>
          <w:sz w:val="17"/>
          <w:lang w:eastAsia="de-DE"/>
        </w:rPr>
        <w:t>ство</w:t>
      </w:r>
      <w:r>
        <w:rPr>
          <w:b/>
          <w:sz w:val="17"/>
        </w:rPr>
        <w:tab/>
        <w:t>Парламент</w:t>
      </w:r>
    </w:p>
    <w:tbl>
      <w:tblPr>
        <w:tblW w:w="0" w:type="auto"/>
        <w:tblInd w:w="2" w:type="dxa"/>
        <w:tblLayout w:type="fixed"/>
        <w:tblCellMar>
          <w:left w:w="0" w:type="dxa"/>
          <w:right w:w="0" w:type="dxa"/>
        </w:tblCellMar>
        <w:tblLook w:val="0000" w:firstRow="0" w:lastRow="0" w:firstColumn="0" w:lastColumn="0" w:noHBand="0" w:noVBand="0"/>
      </w:tblPr>
      <w:tblGrid>
        <w:gridCol w:w="1147"/>
        <w:gridCol w:w="982"/>
        <w:gridCol w:w="168"/>
        <w:gridCol w:w="1151"/>
        <w:gridCol w:w="205"/>
        <w:gridCol w:w="880"/>
        <w:gridCol w:w="766"/>
        <w:gridCol w:w="766"/>
        <w:gridCol w:w="766"/>
        <w:gridCol w:w="766"/>
        <w:gridCol w:w="766"/>
        <w:gridCol w:w="766"/>
        <w:gridCol w:w="766"/>
        <w:gridCol w:w="766"/>
        <w:gridCol w:w="766"/>
        <w:gridCol w:w="763"/>
      </w:tblGrid>
      <w:tr w:rsidR="00000000">
        <w:tblPrEx>
          <w:tblCellMar>
            <w:top w:w="0" w:type="dxa"/>
            <w:left w:w="0" w:type="dxa"/>
            <w:bottom w:w="0" w:type="dxa"/>
            <w:right w:w="0" w:type="dxa"/>
          </w:tblCellMar>
        </w:tblPrEx>
        <w:trPr>
          <w:trHeight w:val="300"/>
        </w:trPr>
        <w:tc>
          <w:tcPr>
            <w:tcW w:w="2129" w:type="dxa"/>
            <w:gridSpan w:val="2"/>
            <w:tcBorders>
              <w:top w:val="nil"/>
              <w:left w:val="nil"/>
              <w:bottom w:val="nil"/>
              <w:right w:val="nil"/>
            </w:tcBorders>
            <w:vAlign w:val="bottom"/>
          </w:tcPr>
          <w:p w:rsidR="00000000" w:rsidRDefault="00000000">
            <w:pPr>
              <w:tabs>
                <w:tab w:val="left" w:pos="13467"/>
              </w:tabs>
              <w:autoSpaceDE w:val="0"/>
              <w:autoSpaceDN w:val="0"/>
              <w:rPr>
                <w:rFonts w:eastAsia="Arial Unicode MS"/>
                <w:b/>
                <w:sz w:val="17"/>
                <w:lang w:eastAsia="de-DE"/>
              </w:rPr>
            </w:pPr>
          </w:p>
        </w:tc>
        <w:tc>
          <w:tcPr>
            <w:tcW w:w="1319" w:type="dxa"/>
            <w:gridSpan w:val="2"/>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80"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jc w:val="center"/>
              <w:rPr>
                <w:rFonts w:eastAsia="Arial Unicode MS"/>
                <w:sz w:val="17"/>
                <w:lang w:eastAsia="de-DE"/>
              </w:rPr>
            </w:pPr>
          </w:p>
        </w:tc>
        <w:tc>
          <w:tcPr>
            <w:tcW w:w="766" w:type="dxa"/>
            <w:tcBorders>
              <w:top w:val="single" w:sz="8" w:space="0" w:color="auto"/>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СП</w:t>
            </w:r>
            <w:r>
              <w:rPr>
                <w:sz w:val="17"/>
                <w:vertAlign w:val="superscript"/>
                <w:lang w:val="en-GB" w:eastAsia="de-DE"/>
              </w:rPr>
              <w:footnoteReference w:id="11"/>
            </w:r>
          </w:p>
        </w:tc>
        <w:tc>
          <w:tcPr>
            <w:tcW w:w="766"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6"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НП</w:t>
            </w:r>
            <w:r>
              <w:rPr>
                <w:sz w:val="17"/>
                <w:vertAlign w:val="superscript"/>
                <w:lang w:eastAsia="de-DE"/>
              </w:rPr>
              <w:t>2</w:t>
            </w:r>
          </w:p>
        </w:tc>
        <w:tc>
          <w:tcPr>
            <w:tcW w:w="766"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6"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ПС</w:t>
            </w:r>
            <w:r>
              <w:rPr>
                <w:sz w:val="17"/>
                <w:vertAlign w:val="superscript"/>
                <w:lang w:eastAsia="de-DE"/>
              </w:rPr>
              <w:t>3</w:t>
            </w:r>
          </w:p>
        </w:tc>
        <w:tc>
          <w:tcPr>
            <w:tcW w:w="766"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6"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Зеленые</w:t>
            </w:r>
          </w:p>
        </w:tc>
        <w:tc>
          <w:tcPr>
            <w:tcW w:w="766"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6"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b/>
                <w:sz w:val="17"/>
                <w:lang w:eastAsia="de-DE"/>
              </w:rPr>
            </w:pPr>
            <w:r>
              <w:rPr>
                <w:b/>
                <w:sz w:val="17"/>
                <w:lang w:eastAsia="de-DE"/>
              </w:rPr>
              <w:t>Всего</w:t>
            </w:r>
          </w:p>
        </w:tc>
        <w:tc>
          <w:tcPr>
            <w:tcW w:w="763"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w:t>
            </w:r>
          </w:p>
        </w:tc>
      </w:tr>
      <w:tr w:rsidR="00000000">
        <w:tblPrEx>
          <w:tblCellMar>
            <w:top w:w="0" w:type="dxa"/>
            <w:left w:w="0" w:type="dxa"/>
            <w:bottom w:w="0" w:type="dxa"/>
            <w:right w:w="0" w:type="dxa"/>
          </w:tblCellMar>
        </w:tblPrEx>
        <w:trPr>
          <w:trHeight w:val="255"/>
        </w:trPr>
        <w:tc>
          <w:tcPr>
            <w:tcW w:w="114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1150"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70"/>
              <w:jc w:val="right"/>
              <w:rPr>
                <w:rFonts w:eastAsia="Arial Unicode MS"/>
                <w:sz w:val="17"/>
                <w:lang w:eastAsia="de-DE"/>
              </w:rPr>
            </w:pPr>
            <w:r>
              <w:rPr>
                <w:sz w:val="17"/>
                <w:lang w:eastAsia="de-DE"/>
              </w:rPr>
              <w:t>14</w:t>
            </w:r>
          </w:p>
        </w:tc>
        <w:tc>
          <w:tcPr>
            <w:tcW w:w="1151"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70"/>
              <w:jc w:val="right"/>
              <w:rPr>
                <w:rFonts w:eastAsia="Arial Unicode MS"/>
                <w:sz w:val="17"/>
                <w:lang w:eastAsia="de-DE"/>
              </w:rPr>
            </w:pPr>
            <w:r>
              <w:rPr>
                <w:sz w:val="17"/>
                <w:lang w:eastAsia="de-DE"/>
              </w:rPr>
              <w:t>77,78%</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80" w:type="dxa"/>
            <w:tcBorders>
              <w:top w:val="nil"/>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766" w:type="dxa"/>
            <w:tcBorders>
              <w:top w:val="nil"/>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24</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34,78</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23</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29,11</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27,78</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58,82</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62</w:t>
            </w:r>
          </w:p>
        </w:tc>
        <w:tc>
          <w:tcPr>
            <w:tcW w:w="763"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33,88</w:t>
            </w:r>
          </w:p>
        </w:tc>
      </w:tr>
      <w:tr w:rsidR="00000000">
        <w:tblPrEx>
          <w:tblCellMar>
            <w:top w:w="0" w:type="dxa"/>
            <w:left w:w="0" w:type="dxa"/>
            <w:bottom w:w="0" w:type="dxa"/>
            <w:right w:w="0" w:type="dxa"/>
          </w:tblCellMar>
        </w:tblPrEx>
        <w:trPr>
          <w:trHeight w:val="255"/>
        </w:trPr>
        <w:tc>
          <w:tcPr>
            <w:tcW w:w="1147" w:type="dxa"/>
            <w:tcBorders>
              <w:top w:val="nil"/>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1150" w:type="dxa"/>
            <w:gridSpan w:val="2"/>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70"/>
              <w:jc w:val="right"/>
              <w:rPr>
                <w:rFonts w:eastAsia="Arial Unicode MS"/>
                <w:sz w:val="17"/>
                <w:lang w:eastAsia="de-DE"/>
              </w:rPr>
            </w:pPr>
            <w:r>
              <w:rPr>
                <w:sz w:val="17"/>
                <w:lang w:eastAsia="de-DE"/>
              </w:rPr>
              <w:t>4</w:t>
            </w:r>
          </w:p>
        </w:tc>
        <w:tc>
          <w:tcPr>
            <w:tcW w:w="1151"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70"/>
              <w:jc w:val="right"/>
              <w:rPr>
                <w:rFonts w:eastAsia="Arial Unicode MS"/>
                <w:sz w:val="17"/>
                <w:lang w:eastAsia="de-DE"/>
              </w:rPr>
            </w:pPr>
            <w:r>
              <w:rPr>
                <w:sz w:val="17"/>
                <w:lang w:eastAsia="de-DE"/>
              </w:rPr>
              <w:t>22,22%</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80" w:type="dxa"/>
            <w:tcBorders>
              <w:top w:val="nil"/>
              <w:left w:val="single" w:sz="4" w:space="0" w:color="auto"/>
              <w:bottom w:val="nil"/>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766" w:type="dxa"/>
            <w:tcBorders>
              <w:top w:val="nil"/>
              <w:left w:val="single" w:sz="8" w:space="0" w:color="auto"/>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45</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65,22</w:t>
            </w:r>
          </w:p>
        </w:tc>
        <w:tc>
          <w:tcPr>
            <w:tcW w:w="766"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56</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70,89</w:t>
            </w:r>
          </w:p>
        </w:tc>
        <w:tc>
          <w:tcPr>
            <w:tcW w:w="766"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13</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72,22</w:t>
            </w:r>
          </w:p>
        </w:tc>
        <w:tc>
          <w:tcPr>
            <w:tcW w:w="766"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41,18</w:t>
            </w:r>
          </w:p>
        </w:tc>
        <w:tc>
          <w:tcPr>
            <w:tcW w:w="766"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121</w:t>
            </w:r>
          </w:p>
        </w:tc>
        <w:tc>
          <w:tcPr>
            <w:tcW w:w="763"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66,12</w:t>
            </w:r>
          </w:p>
        </w:tc>
      </w:tr>
      <w:tr w:rsidR="00000000">
        <w:tblPrEx>
          <w:tblCellMar>
            <w:top w:w="0" w:type="dxa"/>
            <w:left w:w="0" w:type="dxa"/>
            <w:bottom w:w="0" w:type="dxa"/>
            <w:right w:w="0" w:type="dxa"/>
          </w:tblCellMar>
        </w:tblPrEx>
        <w:trPr>
          <w:trHeight w:val="270"/>
        </w:trPr>
        <w:tc>
          <w:tcPr>
            <w:tcW w:w="1147" w:type="dxa"/>
            <w:tcBorders>
              <w:top w:val="nil"/>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Всего</w:t>
            </w:r>
          </w:p>
        </w:tc>
        <w:tc>
          <w:tcPr>
            <w:tcW w:w="1150" w:type="dxa"/>
            <w:gridSpan w:val="2"/>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70"/>
              <w:jc w:val="right"/>
              <w:rPr>
                <w:rFonts w:eastAsia="Arial Unicode MS"/>
                <w:sz w:val="17"/>
                <w:lang w:eastAsia="de-DE"/>
              </w:rPr>
            </w:pPr>
            <w:r>
              <w:rPr>
                <w:sz w:val="17"/>
                <w:lang w:eastAsia="de-DE"/>
              </w:rPr>
              <w:t>18</w:t>
            </w:r>
          </w:p>
        </w:tc>
        <w:tc>
          <w:tcPr>
            <w:tcW w:w="1151"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70"/>
              <w:jc w:val="right"/>
              <w:rPr>
                <w:rFonts w:eastAsia="Arial Unicode MS"/>
                <w:sz w:val="17"/>
                <w:lang w:eastAsia="de-DE"/>
              </w:rPr>
            </w:pPr>
            <w:r>
              <w:rPr>
                <w:sz w:val="17"/>
                <w:lang w:eastAsia="de-DE"/>
              </w:rPr>
              <w:t>100,00%</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80"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Всего</w:t>
            </w:r>
          </w:p>
        </w:tc>
        <w:tc>
          <w:tcPr>
            <w:tcW w:w="766" w:type="dxa"/>
            <w:tcBorders>
              <w:top w:val="single" w:sz="4" w:space="0" w:color="auto"/>
              <w:left w:val="single" w:sz="8" w:space="0" w:color="auto"/>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69</w:t>
            </w:r>
          </w:p>
        </w:tc>
        <w:tc>
          <w:tcPr>
            <w:tcW w:w="766"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6"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79</w:t>
            </w:r>
          </w:p>
        </w:tc>
        <w:tc>
          <w:tcPr>
            <w:tcW w:w="766"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6"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18</w:t>
            </w:r>
          </w:p>
        </w:tc>
        <w:tc>
          <w:tcPr>
            <w:tcW w:w="766"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6"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17</w:t>
            </w:r>
          </w:p>
        </w:tc>
        <w:tc>
          <w:tcPr>
            <w:tcW w:w="766"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6"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183</w:t>
            </w:r>
          </w:p>
        </w:tc>
        <w:tc>
          <w:tcPr>
            <w:tcW w:w="763"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r>
    </w:tbl>
    <w:p w:rsidR="00000000" w:rsidRDefault="00000000">
      <w:pPr>
        <w:rPr>
          <w:sz w:val="17"/>
        </w:rPr>
      </w:pPr>
    </w:p>
    <w:p w:rsidR="00000000" w:rsidRDefault="00000000">
      <w:pPr>
        <w:keepNext/>
        <w:tabs>
          <w:tab w:val="left" w:pos="3686"/>
        </w:tabs>
        <w:rPr>
          <w:b/>
          <w:sz w:val="17"/>
          <w:lang w:eastAsia="de-DE"/>
        </w:rPr>
      </w:pPr>
      <w:r>
        <w:rPr>
          <w:b/>
          <w:sz w:val="17"/>
          <w:lang w:eastAsia="de-DE"/>
        </w:rPr>
        <w:t>Правительства провинций</w:t>
      </w:r>
      <w:r>
        <w:rPr>
          <w:b/>
          <w:sz w:val="17"/>
          <w:lang w:eastAsia="de-DE"/>
        </w:rPr>
        <w:tab/>
        <w:t>Парламенты провинций</w:t>
      </w:r>
    </w:p>
    <w:p w:rsidR="00000000" w:rsidRDefault="00000000">
      <w:pPr>
        <w:keepNext/>
        <w:tabs>
          <w:tab w:val="left" w:pos="3686"/>
        </w:tabs>
        <w:rPr>
          <w:sz w:val="17"/>
        </w:rPr>
      </w:pPr>
      <w:r>
        <w:rPr>
          <w:b/>
          <w:sz w:val="17"/>
          <w:lang w:eastAsia="de-DE"/>
        </w:rPr>
        <w:t>Бургенланд</w:t>
      </w:r>
      <w:r>
        <w:rPr>
          <w:b/>
          <w:sz w:val="17"/>
          <w:lang w:eastAsia="de-DE"/>
        </w:rPr>
        <w:tab/>
      </w:r>
      <w:r>
        <w:rPr>
          <w:b/>
          <w:sz w:val="17"/>
          <w:u w:val="single"/>
          <w:lang w:eastAsia="de-DE"/>
        </w:rPr>
        <w:t>Бургенланд</w:t>
      </w:r>
    </w:p>
    <w:tbl>
      <w:tblPr>
        <w:tblW w:w="0" w:type="auto"/>
        <w:tblInd w:w="-3" w:type="dxa"/>
        <w:tblLayout w:type="fixed"/>
        <w:tblCellMar>
          <w:left w:w="0" w:type="dxa"/>
          <w:right w:w="0" w:type="dxa"/>
        </w:tblCellMar>
        <w:tblLook w:val="0000" w:firstRow="0" w:lastRow="0" w:firstColumn="0" w:lastColumn="0" w:noHBand="0" w:noVBand="0"/>
      </w:tblPr>
      <w:tblGrid>
        <w:gridCol w:w="1119"/>
        <w:gridCol w:w="571"/>
        <w:gridCol w:w="422"/>
        <w:gridCol w:w="166"/>
        <w:gridCol w:w="1156"/>
        <w:gridCol w:w="205"/>
        <w:gridCol w:w="895"/>
        <w:gridCol w:w="766"/>
        <w:gridCol w:w="768"/>
        <w:gridCol w:w="766"/>
        <w:gridCol w:w="768"/>
        <w:gridCol w:w="766"/>
        <w:gridCol w:w="768"/>
        <w:gridCol w:w="766"/>
        <w:gridCol w:w="768"/>
        <w:gridCol w:w="766"/>
        <w:gridCol w:w="759"/>
      </w:tblGrid>
      <w:tr w:rsidR="00000000">
        <w:tblPrEx>
          <w:tblCellMar>
            <w:top w:w="0" w:type="dxa"/>
            <w:left w:w="0" w:type="dxa"/>
            <w:bottom w:w="0" w:type="dxa"/>
            <w:right w:w="0" w:type="dxa"/>
          </w:tblCellMar>
        </w:tblPrEx>
        <w:trPr>
          <w:trHeight w:val="255"/>
        </w:trPr>
        <w:tc>
          <w:tcPr>
            <w:tcW w:w="111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1159" w:type="dxa"/>
            <w:gridSpan w:val="3"/>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6"/>
              <w:jc w:val="right"/>
              <w:rPr>
                <w:rFonts w:eastAsia="Arial Unicode MS"/>
                <w:sz w:val="17"/>
                <w:lang w:eastAsia="de-DE"/>
              </w:rPr>
            </w:pPr>
            <w:r>
              <w:rPr>
                <w:sz w:val="17"/>
                <w:lang w:eastAsia="de-DE"/>
              </w:rPr>
              <w:t>1</w:t>
            </w:r>
          </w:p>
        </w:tc>
        <w:tc>
          <w:tcPr>
            <w:tcW w:w="1156"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6"/>
              <w:jc w:val="right"/>
              <w:rPr>
                <w:rFonts w:eastAsia="Arial Unicode MS"/>
                <w:sz w:val="17"/>
                <w:lang w:eastAsia="de-DE"/>
              </w:rPr>
            </w:pPr>
            <w:r>
              <w:rPr>
                <w:sz w:val="17"/>
                <w:lang w:eastAsia="de-DE"/>
              </w:rPr>
              <w:t>14,29%</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5"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jc w:val="center"/>
              <w:rPr>
                <w:rFonts w:eastAsia="Arial Unicode MS"/>
                <w:sz w:val="17"/>
                <w:lang w:eastAsia="de-DE"/>
              </w:rPr>
            </w:pPr>
          </w:p>
        </w:tc>
        <w:tc>
          <w:tcPr>
            <w:tcW w:w="766" w:type="dxa"/>
            <w:tcBorders>
              <w:top w:val="single" w:sz="8" w:space="0" w:color="auto"/>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СП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6"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НП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6"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ПС</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6"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Зеленые</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6"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b/>
                <w:sz w:val="17"/>
                <w:lang w:eastAsia="de-DE"/>
              </w:rPr>
            </w:pPr>
            <w:r>
              <w:rPr>
                <w:b/>
                <w:sz w:val="17"/>
                <w:lang w:eastAsia="de-DE"/>
              </w:rPr>
              <w:t>Всего</w:t>
            </w:r>
          </w:p>
        </w:tc>
        <w:tc>
          <w:tcPr>
            <w:tcW w:w="759"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w:t>
            </w:r>
          </w:p>
        </w:tc>
      </w:tr>
      <w:tr w:rsidR="00000000">
        <w:tblPrEx>
          <w:tblCellMar>
            <w:top w:w="0" w:type="dxa"/>
            <w:left w:w="0" w:type="dxa"/>
            <w:bottom w:w="0" w:type="dxa"/>
            <w:right w:w="0" w:type="dxa"/>
          </w:tblCellMar>
        </w:tblPrEx>
        <w:trPr>
          <w:trHeight w:val="255"/>
        </w:trPr>
        <w:tc>
          <w:tcPr>
            <w:tcW w:w="1119" w:type="dxa"/>
            <w:tcBorders>
              <w:top w:val="nil"/>
              <w:left w:val="single" w:sz="4" w:space="0" w:color="auto"/>
              <w:bottom w:val="nil"/>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1159" w:type="dxa"/>
            <w:gridSpan w:val="3"/>
            <w:tcBorders>
              <w:top w:val="nil"/>
              <w:left w:val="nil"/>
              <w:bottom w:val="nil"/>
              <w:right w:val="single" w:sz="4" w:space="0" w:color="auto"/>
            </w:tcBorders>
            <w:vAlign w:val="bottom"/>
          </w:tcPr>
          <w:p w:rsidR="00000000" w:rsidRDefault="00000000">
            <w:pPr>
              <w:tabs>
                <w:tab w:val="left" w:pos="13467"/>
              </w:tabs>
              <w:autoSpaceDE w:val="0"/>
              <w:autoSpaceDN w:val="0"/>
              <w:ind w:right="146"/>
              <w:jc w:val="right"/>
              <w:rPr>
                <w:rFonts w:eastAsia="Arial Unicode MS"/>
                <w:sz w:val="17"/>
                <w:lang w:eastAsia="de-DE"/>
              </w:rPr>
            </w:pPr>
            <w:r>
              <w:rPr>
                <w:sz w:val="17"/>
                <w:lang w:eastAsia="de-DE"/>
              </w:rPr>
              <w:t>6</w:t>
            </w:r>
          </w:p>
        </w:tc>
        <w:tc>
          <w:tcPr>
            <w:tcW w:w="115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46"/>
              <w:jc w:val="right"/>
              <w:rPr>
                <w:rFonts w:eastAsia="Arial Unicode MS"/>
                <w:sz w:val="17"/>
                <w:lang w:eastAsia="de-DE"/>
              </w:rPr>
            </w:pPr>
            <w:r>
              <w:rPr>
                <w:sz w:val="17"/>
                <w:lang w:eastAsia="de-DE"/>
              </w:rPr>
              <w:t>85,71%</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5" w:type="dxa"/>
            <w:tcBorders>
              <w:top w:val="nil"/>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766" w:type="dxa"/>
            <w:tcBorders>
              <w:top w:val="nil"/>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17,65</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15,38</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25,00</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50,00</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w:t>
            </w:r>
          </w:p>
        </w:tc>
        <w:tc>
          <w:tcPr>
            <w:tcW w:w="759"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19,44</w:t>
            </w:r>
          </w:p>
        </w:tc>
      </w:tr>
      <w:tr w:rsidR="00000000">
        <w:tblPrEx>
          <w:tblCellMar>
            <w:top w:w="0" w:type="dxa"/>
            <w:left w:w="0" w:type="dxa"/>
            <w:bottom w:w="0" w:type="dxa"/>
            <w:right w:w="0" w:type="dxa"/>
          </w:tblCellMar>
        </w:tblPrEx>
        <w:trPr>
          <w:trHeight w:val="255"/>
        </w:trPr>
        <w:tc>
          <w:tcPr>
            <w:tcW w:w="111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Всего</w:t>
            </w:r>
          </w:p>
        </w:tc>
        <w:tc>
          <w:tcPr>
            <w:tcW w:w="1159" w:type="dxa"/>
            <w:gridSpan w:val="3"/>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6"/>
              <w:jc w:val="right"/>
              <w:rPr>
                <w:rFonts w:eastAsia="Arial Unicode MS"/>
                <w:sz w:val="17"/>
                <w:lang w:eastAsia="de-DE"/>
              </w:rPr>
            </w:pPr>
            <w:r>
              <w:rPr>
                <w:sz w:val="17"/>
                <w:lang w:eastAsia="de-DE"/>
              </w:rPr>
              <w:t>7</w:t>
            </w:r>
          </w:p>
        </w:tc>
        <w:tc>
          <w:tcPr>
            <w:tcW w:w="115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46"/>
              <w:jc w:val="right"/>
              <w:rPr>
                <w:rFonts w:eastAsia="Arial Unicode MS"/>
                <w:sz w:val="17"/>
                <w:lang w:eastAsia="de-DE"/>
              </w:rPr>
            </w:pPr>
            <w:r>
              <w:rPr>
                <w:sz w:val="17"/>
                <w:lang w:eastAsia="de-DE"/>
              </w:rPr>
              <w:t>100,00%</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5" w:type="dxa"/>
            <w:tcBorders>
              <w:top w:val="nil"/>
              <w:left w:val="single" w:sz="4" w:space="0" w:color="auto"/>
              <w:bottom w:val="nil"/>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766" w:type="dxa"/>
            <w:tcBorders>
              <w:top w:val="nil"/>
              <w:left w:val="single" w:sz="8" w:space="0" w:color="auto"/>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14</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82,35</w:t>
            </w:r>
          </w:p>
        </w:tc>
        <w:tc>
          <w:tcPr>
            <w:tcW w:w="766"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11</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84,62</w:t>
            </w:r>
          </w:p>
        </w:tc>
        <w:tc>
          <w:tcPr>
            <w:tcW w:w="766"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75,00</w:t>
            </w:r>
          </w:p>
        </w:tc>
        <w:tc>
          <w:tcPr>
            <w:tcW w:w="766"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50,00</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29</w:t>
            </w:r>
          </w:p>
        </w:tc>
        <w:tc>
          <w:tcPr>
            <w:tcW w:w="759"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80,56</w:t>
            </w:r>
          </w:p>
        </w:tc>
      </w:tr>
      <w:tr w:rsidR="00000000">
        <w:tblPrEx>
          <w:tblCellMar>
            <w:top w:w="0" w:type="dxa"/>
            <w:left w:w="0" w:type="dxa"/>
            <w:bottom w:w="0" w:type="dxa"/>
            <w:right w:w="0" w:type="dxa"/>
          </w:tblCellMar>
        </w:tblPrEx>
        <w:trPr>
          <w:trHeight w:val="270"/>
        </w:trPr>
        <w:tc>
          <w:tcPr>
            <w:tcW w:w="1690" w:type="dxa"/>
            <w:gridSpan w:val="2"/>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422"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322" w:type="dxa"/>
            <w:gridSpan w:val="2"/>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5"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Всего</w:t>
            </w:r>
          </w:p>
        </w:tc>
        <w:tc>
          <w:tcPr>
            <w:tcW w:w="766" w:type="dxa"/>
            <w:tcBorders>
              <w:top w:val="single" w:sz="4" w:space="0" w:color="auto"/>
              <w:left w:val="single" w:sz="8" w:space="0" w:color="auto"/>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17</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6"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13</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6"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6"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6" w:type="dxa"/>
            <w:tcBorders>
              <w:top w:val="nil"/>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36</w:t>
            </w:r>
          </w:p>
        </w:tc>
        <w:tc>
          <w:tcPr>
            <w:tcW w:w="759"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r>
    </w:tbl>
    <w:p w:rsidR="00000000" w:rsidRDefault="00000000">
      <w:pPr>
        <w:rPr>
          <w:sz w:val="17"/>
        </w:rPr>
      </w:pPr>
    </w:p>
    <w:p w:rsidR="00000000" w:rsidRDefault="00000000">
      <w:pPr>
        <w:keepNext/>
        <w:tabs>
          <w:tab w:val="left" w:pos="3686"/>
        </w:tabs>
        <w:rPr>
          <w:sz w:val="17"/>
        </w:rPr>
      </w:pPr>
      <w:r>
        <w:rPr>
          <w:b/>
          <w:sz w:val="17"/>
          <w:lang w:eastAsia="de-DE"/>
        </w:rPr>
        <w:t>Каринтия</w:t>
      </w:r>
      <w:r>
        <w:rPr>
          <w:b/>
          <w:sz w:val="17"/>
          <w:lang w:eastAsia="de-DE"/>
        </w:rPr>
        <w:tab/>
      </w:r>
      <w:r>
        <w:rPr>
          <w:b/>
          <w:sz w:val="17"/>
          <w:lang w:val="it-IT" w:eastAsia="de-DE"/>
        </w:rPr>
        <w:t>Каринтия</w:t>
      </w:r>
    </w:p>
    <w:tbl>
      <w:tblPr>
        <w:tblW w:w="0" w:type="auto"/>
        <w:tblInd w:w="-3" w:type="dxa"/>
        <w:tblLayout w:type="fixed"/>
        <w:tblCellMar>
          <w:left w:w="0" w:type="dxa"/>
          <w:right w:w="0" w:type="dxa"/>
        </w:tblCellMar>
        <w:tblLook w:val="0000" w:firstRow="0" w:lastRow="0" w:firstColumn="0" w:lastColumn="0" w:noHBand="0" w:noVBand="0"/>
      </w:tblPr>
      <w:tblGrid>
        <w:gridCol w:w="1133"/>
        <w:gridCol w:w="1155"/>
        <w:gridCol w:w="1154"/>
        <w:gridCol w:w="205"/>
        <w:gridCol w:w="895"/>
        <w:gridCol w:w="768"/>
        <w:gridCol w:w="768"/>
        <w:gridCol w:w="768"/>
        <w:gridCol w:w="768"/>
        <w:gridCol w:w="768"/>
        <w:gridCol w:w="768"/>
        <w:gridCol w:w="768"/>
        <w:gridCol w:w="768"/>
        <w:gridCol w:w="768"/>
        <w:gridCol w:w="741"/>
      </w:tblGrid>
      <w:tr w:rsidR="00000000">
        <w:tblPrEx>
          <w:tblCellMar>
            <w:top w:w="0" w:type="dxa"/>
            <w:left w:w="0" w:type="dxa"/>
            <w:bottom w:w="0" w:type="dxa"/>
            <w:right w:w="0" w:type="dxa"/>
          </w:tblCellMar>
        </w:tblPrEx>
        <w:trPr>
          <w:trHeight w:val="255"/>
        </w:trPr>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1155"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56"/>
              <w:jc w:val="right"/>
              <w:rPr>
                <w:rFonts w:eastAsia="Arial Unicode MS"/>
                <w:sz w:val="17"/>
                <w:lang w:eastAsia="de-DE"/>
              </w:rPr>
            </w:pPr>
            <w:r>
              <w:rPr>
                <w:sz w:val="17"/>
                <w:lang w:eastAsia="de-DE"/>
              </w:rPr>
              <w:t>1</w:t>
            </w:r>
          </w:p>
        </w:tc>
        <w:tc>
          <w:tcPr>
            <w:tcW w:w="1154"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56"/>
              <w:jc w:val="right"/>
              <w:rPr>
                <w:rFonts w:eastAsia="Arial Unicode MS"/>
                <w:sz w:val="17"/>
                <w:lang w:eastAsia="de-DE"/>
              </w:rPr>
            </w:pPr>
            <w:r>
              <w:rPr>
                <w:sz w:val="17"/>
                <w:lang w:eastAsia="de-DE"/>
              </w:rPr>
              <w:t>14,29%</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5"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jc w:val="center"/>
              <w:rPr>
                <w:rFonts w:eastAsia="Arial Unicode MS"/>
                <w:sz w:val="17"/>
                <w:lang w:eastAsia="de-DE"/>
              </w:rPr>
            </w:pPr>
          </w:p>
        </w:tc>
        <w:tc>
          <w:tcPr>
            <w:tcW w:w="768" w:type="dxa"/>
            <w:tcBorders>
              <w:top w:val="single" w:sz="8" w:space="0" w:color="auto"/>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СП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НП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ПС</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b/>
                <w:sz w:val="17"/>
                <w:lang w:eastAsia="de-DE"/>
              </w:rPr>
            </w:pPr>
            <w:r>
              <w:rPr>
                <w:b/>
                <w:sz w:val="17"/>
                <w:lang w:eastAsia="de-DE"/>
              </w:rPr>
              <w:t>Всего</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w:t>
            </w:r>
          </w:p>
        </w:tc>
        <w:tc>
          <w:tcPr>
            <w:tcW w:w="768"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741"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r>
      <w:tr w:rsidR="00000000">
        <w:tblPrEx>
          <w:tblCellMar>
            <w:top w:w="0" w:type="dxa"/>
            <w:left w:w="0" w:type="dxa"/>
            <w:bottom w:w="0" w:type="dxa"/>
            <w:right w:w="0" w:type="dxa"/>
          </w:tblCellMar>
        </w:tblPrEx>
        <w:trPr>
          <w:trHeight w:val="255"/>
        </w:trPr>
        <w:tc>
          <w:tcPr>
            <w:tcW w:w="1133" w:type="dxa"/>
            <w:tcBorders>
              <w:top w:val="nil"/>
              <w:left w:val="single" w:sz="4" w:space="0" w:color="auto"/>
              <w:bottom w:val="nil"/>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1155" w:type="dxa"/>
            <w:tcBorders>
              <w:top w:val="nil"/>
              <w:left w:val="nil"/>
              <w:bottom w:val="nil"/>
              <w:right w:val="single" w:sz="4" w:space="0" w:color="auto"/>
            </w:tcBorders>
            <w:vAlign w:val="bottom"/>
          </w:tcPr>
          <w:p w:rsidR="00000000" w:rsidRDefault="00000000">
            <w:pPr>
              <w:tabs>
                <w:tab w:val="left" w:pos="13467"/>
              </w:tabs>
              <w:autoSpaceDE w:val="0"/>
              <w:autoSpaceDN w:val="0"/>
              <w:ind w:right="156"/>
              <w:jc w:val="right"/>
              <w:rPr>
                <w:rFonts w:eastAsia="Arial Unicode MS"/>
                <w:sz w:val="17"/>
                <w:lang w:eastAsia="de-DE"/>
              </w:rPr>
            </w:pPr>
            <w:r>
              <w:rPr>
                <w:sz w:val="17"/>
                <w:lang w:eastAsia="de-DE"/>
              </w:rPr>
              <w:t>6</w:t>
            </w:r>
          </w:p>
        </w:tc>
        <w:tc>
          <w:tcPr>
            <w:tcW w:w="1154"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56"/>
              <w:jc w:val="right"/>
              <w:rPr>
                <w:rFonts w:eastAsia="Arial Unicode MS"/>
                <w:sz w:val="17"/>
                <w:lang w:eastAsia="de-DE"/>
              </w:rPr>
            </w:pPr>
            <w:r>
              <w:rPr>
                <w:sz w:val="17"/>
                <w:lang w:eastAsia="de-DE"/>
              </w:rPr>
              <w:t>85,71%</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5" w:type="dxa"/>
            <w:tcBorders>
              <w:top w:val="nil"/>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768" w:type="dxa"/>
            <w:tcBorders>
              <w:top w:val="nil"/>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25,00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0</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18,75</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16,67</w:t>
            </w:r>
          </w:p>
        </w:tc>
        <w:tc>
          <w:tcPr>
            <w:tcW w:w="768"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741"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r>
      <w:tr w:rsidR="00000000">
        <w:tblPrEx>
          <w:tblCellMar>
            <w:top w:w="0" w:type="dxa"/>
            <w:left w:w="0" w:type="dxa"/>
            <w:bottom w:w="0" w:type="dxa"/>
            <w:right w:w="0" w:type="dxa"/>
          </w:tblCellMar>
        </w:tblPrEx>
        <w:trPr>
          <w:trHeight w:val="255"/>
        </w:trPr>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Всего</w:t>
            </w:r>
          </w:p>
        </w:tc>
        <w:tc>
          <w:tcPr>
            <w:tcW w:w="1155"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56"/>
              <w:jc w:val="right"/>
              <w:rPr>
                <w:rFonts w:eastAsia="Arial Unicode MS"/>
                <w:sz w:val="17"/>
                <w:lang w:eastAsia="de-DE"/>
              </w:rPr>
            </w:pPr>
            <w:r>
              <w:rPr>
                <w:sz w:val="17"/>
                <w:lang w:eastAsia="de-DE"/>
              </w:rPr>
              <w:t>7</w:t>
            </w:r>
          </w:p>
        </w:tc>
        <w:tc>
          <w:tcPr>
            <w:tcW w:w="1154"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56"/>
              <w:jc w:val="right"/>
              <w:rPr>
                <w:rFonts w:eastAsia="Arial Unicode MS"/>
                <w:sz w:val="17"/>
                <w:lang w:eastAsia="de-DE"/>
              </w:rPr>
            </w:pPr>
            <w:r>
              <w:rPr>
                <w:sz w:val="17"/>
                <w:lang w:eastAsia="de-DE"/>
              </w:rPr>
              <w:t>100,00%</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5" w:type="dxa"/>
            <w:tcBorders>
              <w:top w:val="nil"/>
              <w:left w:val="single" w:sz="4" w:space="0" w:color="auto"/>
              <w:bottom w:val="nil"/>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768" w:type="dxa"/>
            <w:tcBorders>
              <w:top w:val="nil"/>
              <w:left w:val="single" w:sz="8" w:space="0" w:color="auto"/>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9</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75,00</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13</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81,25</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30</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83,33</w:t>
            </w:r>
          </w:p>
        </w:tc>
        <w:tc>
          <w:tcPr>
            <w:tcW w:w="768"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741"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r>
      <w:tr w:rsidR="00000000">
        <w:tblPrEx>
          <w:tblCellMar>
            <w:top w:w="0" w:type="dxa"/>
            <w:left w:w="0" w:type="dxa"/>
            <w:bottom w:w="0" w:type="dxa"/>
            <w:right w:w="0" w:type="dxa"/>
          </w:tblCellMar>
        </w:tblPrEx>
        <w:trPr>
          <w:trHeight w:val="270"/>
        </w:trPr>
        <w:tc>
          <w:tcPr>
            <w:tcW w:w="1133"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15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154"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5"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Всего</w:t>
            </w:r>
          </w:p>
        </w:tc>
        <w:tc>
          <w:tcPr>
            <w:tcW w:w="768" w:type="dxa"/>
            <w:tcBorders>
              <w:top w:val="single" w:sz="4" w:space="0" w:color="auto"/>
              <w:left w:val="single" w:sz="8" w:space="0" w:color="auto"/>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12</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16</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36</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741"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r>
    </w:tbl>
    <w:p w:rsidR="00000000" w:rsidRDefault="00000000">
      <w:pPr>
        <w:rPr>
          <w:sz w:val="17"/>
        </w:rPr>
      </w:pPr>
    </w:p>
    <w:p w:rsidR="00000000" w:rsidRDefault="00000000">
      <w:pPr>
        <w:pStyle w:val="Heading8"/>
        <w:tabs>
          <w:tab w:val="clear" w:pos="13467"/>
          <w:tab w:val="left" w:pos="3686"/>
        </w:tabs>
        <w:autoSpaceDE/>
        <w:autoSpaceDN/>
        <w:rPr>
          <w:sz w:val="17"/>
        </w:rPr>
      </w:pPr>
      <w:r>
        <w:rPr>
          <w:sz w:val="17"/>
        </w:rPr>
        <w:t>Нижняя Австрия</w:t>
      </w:r>
      <w:r>
        <w:rPr>
          <w:sz w:val="17"/>
        </w:rPr>
        <w:tab/>
        <w:t>Нижняя Австрия</w:t>
      </w:r>
    </w:p>
    <w:tbl>
      <w:tblPr>
        <w:tblW w:w="0" w:type="auto"/>
        <w:tblInd w:w="-3" w:type="dxa"/>
        <w:tblLayout w:type="fixed"/>
        <w:tblCellMar>
          <w:left w:w="0" w:type="dxa"/>
          <w:right w:w="0" w:type="dxa"/>
        </w:tblCellMar>
        <w:tblLook w:val="0000" w:firstRow="0" w:lastRow="0" w:firstColumn="0" w:lastColumn="0" w:noHBand="0" w:noVBand="0"/>
      </w:tblPr>
      <w:tblGrid>
        <w:gridCol w:w="1130"/>
        <w:gridCol w:w="1155"/>
        <w:gridCol w:w="1154"/>
        <w:gridCol w:w="205"/>
        <w:gridCol w:w="890"/>
        <w:gridCol w:w="768"/>
        <w:gridCol w:w="768"/>
        <w:gridCol w:w="768"/>
        <w:gridCol w:w="768"/>
        <w:gridCol w:w="768"/>
        <w:gridCol w:w="768"/>
        <w:gridCol w:w="768"/>
        <w:gridCol w:w="768"/>
        <w:gridCol w:w="768"/>
        <w:gridCol w:w="749"/>
      </w:tblGrid>
      <w:tr w:rsidR="00000000">
        <w:tblPrEx>
          <w:tblCellMar>
            <w:top w:w="0" w:type="dxa"/>
            <w:left w:w="0" w:type="dxa"/>
            <w:bottom w:w="0" w:type="dxa"/>
            <w:right w:w="0" w:type="dxa"/>
          </w:tblCellMar>
        </w:tblPrEx>
        <w:trPr>
          <w:trHeight w:val="255"/>
        </w:trPr>
        <w:tc>
          <w:tcPr>
            <w:tcW w:w="11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1155"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53"/>
              <w:jc w:val="right"/>
              <w:rPr>
                <w:rFonts w:eastAsia="Arial Unicode MS"/>
                <w:sz w:val="17"/>
                <w:lang w:eastAsia="de-DE"/>
              </w:rPr>
            </w:pPr>
            <w:r>
              <w:rPr>
                <w:sz w:val="17"/>
                <w:lang w:eastAsia="de-DE"/>
              </w:rPr>
              <w:t>4</w:t>
            </w:r>
          </w:p>
        </w:tc>
        <w:tc>
          <w:tcPr>
            <w:tcW w:w="1154"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53"/>
              <w:jc w:val="right"/>
              <w:rPr>
                <w:rFonts w:eastAsia="Arial Unicode MS"/>
                <w:sz w:val="17"/>
                <w:lang w:eastAsia="de-DE"/>
              </w:rPr>
            </w:pPr>
            <w:r>
              <w:rPr>
                <w:sz w:val="17"/>
                <w:lang w:eastAsia="de-DE"/>
              </w:rPr>
              <w:t>44,44%</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0"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jc w:val="center"/>
              <w:rPr>
                <w:rFonts w:eastAsia="Arial Unicode MS"/>
                <w:sz w:val="17"/>
                <w:lang w:eastAsia="de-DE"/>
              </w:rPr>
            </w:pPr>
          </w:p>
        </w:tc>
        <w:tc>
          <w:tcPr>
            <w:tcW w:w="768" w:type="dxa"/>
            <w:tcBorders>
              <w:top w:val="single" w:sz="8" w:space="0" w:color="auto"/>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СП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НП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ПС</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Зеденые</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b/>
                <w:sz w:val="17"/>
                <w:lang w:eastAsia="de-DE"/>
              </w:rPr>
            </w:pPr>
            <w:r>
              <w:rPr>
                <w:b/>
                <w:sz w:val="17"/>
                <w:lang w:eastAsia="de-DE"/>
              </w:rPr>
              <w:t>Всего</w:t>
            </w:r>
          </w:p>
        </w:tc>
        <w:tc>
          <w:tcPr>
            <w:tcW w:w="749"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p>
        </w:tc>
      </w:tr>
      <w:tr w:rsidR="00000000">
        <w:tblPrEx>
          <w:tblCellMar>
            <w:top w:w="0" w:type="dxa"/>
            <w:left w:w="0" w:type="dxa"/>
            <w:bottom w:w="0" w:type="dxa"/>
            <w:right w:w="0" w:type="dxa"/>
          </w:tblCellMar>
        </w:tblPrEx>
        <w:trPr>
          <w:trHeight w:val="255"/>
        </w:trPr>
        <w:tc>
          <w:tcPr>
            <w:tcW w:w="1130" w:type="dxa"/>
            <w:tcBorders>
              <w:top w:val="nil"/>
              <w:left w:val="single" w:sz="4" w:space="0" w:color="auto"/>
              <w:bottom w:val="nil"/>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1155" w:type="dxa"/>
            <w:tcBorders>
              <w:top w:val="nil"/>
              <w:left w:val="nil"/>
              <w:bottom w:val="nil"/>
              <w:right w:val="single" w:sz="4" w:space="0" w:color="auto"/>
            </w:tcBorders>
            <w:vAlign w:val="bottom"/>
          </w:tcPr>
          <w:p w:rsidR="00000000" w:rsidRDefault="00000000">
            <w:pPr>
              <w:tabs>
                <w:tab w:val="left" w:pos="13467"/>
              </w:tabs>
              <w:autoSpaceDE w:val="0"/>
              <w:autoSpaceDN w:val="0"/>
              <w:ind w:right="153"/>
              <w:jc w:val="right"/>
              <w:rPr>
                <w:rFonts w:eastAsia="Arial Unicode MS"/>
                <w:sz w:val="17"/>
                <w:lang w:eastAsia="de-DE"/>
              </w:rPr>
            </w:pPr>
            <w:r>
              <w:rPr>
                <w:sz w:val="17"/>
                <w:lang w:eastAsia="de-DE"/>
              </w:rPr>
              <w:t>5</w:t>
            </w:r>
          </w:p>
        </w:tc>
        <w:tc>
          <w:tcPr>
            <w:tcW w:w="1154"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53"/>
              <w:jc w:val="right"/>
              <w:rPr>
                <w:rFonts w:eastAsia="Arial Unicode MS"/>
                <w:sz w:val="17"/>
                <w:lang w:eastAsia="de-DE"/>
              </w:rPr>
            </w:pPr>
            <w:r>
              <w:rPr>
                <w:sz w:val="17"/>
                <w:lang w:eastAsia="de-DE"/>
              </w:rPr>
              <w:t>55,56%</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0" w:type="dxa"/>
            <w:tcBorders>
              <w:top w:val="nil"/>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768" w:type="dxa"/>
            <w:tcBorders>
              <w:top w:val="nil"/>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15,79</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16,13</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0</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w:t>
            </w:r>
          </w:p>
        </w:tc>
        <w:tc>
          <w:tcPr>
            <w:tcW w:w="749"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17,86</w:t>
            </w:r>
          </w:p>
        </w:tc>
      </w:tr>
      <w:tr w:rsidR="00000000">
        <w:tblPrEx>
          <w:tblCellMar>
            <w:top w:w="0" w:type="dxa"/>
            <w:left w:w="0" w:type="dxa"/>
            <w:bottom w:w="0" w:type="dxa"/>
            <w:right w:w="0" w:type="dxa"/>
          </w:tblCellMar>
        </w:tblPrEx>
        <w:trPr>
          <w:trHeight w:val="255"/>
        </w:trPr>
        <w:tc>
          <w:tcPr>
            <w:tcW w:w="11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Всего</w:t>
            </w:r>
          </w:p>
        </w:tc>
        <w:tc>
          <w:tcPr>
            <w:tcW w:w="1155"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53"/>
              <w:jc w:val="right"/>
              <w:rPr>
                <w:rFonts w:eastAsia="Arial Unicode MS"/>
                <w:sz w:val="17"/>
                <w:lang w:eastAsia="de-DE"/>
              </w:rPr>
            </w:pPr>
            <w:r>
              <w:rPr>
                <w:sz w:val="17"/>
                <w:lang w:eastAsia="de-DE"/>
              </w:rPr>
              <w:t>9</w:t>
            </w:r>
          </w:p>
        </w:tc>
        <w:tc>
          <w:tcPr>
            <w:tcW w:w="1154"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53"/>
              <w:jc w:val="right"/>
              <w:rPr>
                <w:rFonts w:eastAsia="Arial Unicode MS"/>
                <w:sz w:val="17"/>
                <w:lang w:eastAsia="de-DE"/>
              </w:rPr>
            </w:pPr>
            <w:r>
              <w:rPr>
                <w:sz w:val="17"/>
                <w:lang w:eastAsia="de-DE"/>
              </w:rPr>
              <w:t>100,00%</w:t>
            </w: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0" w:type="dxa"/>
            <w:tcBorders>
              <w:top w:val="nil"/>
              <w:left w:val="single" w:sz="4" w:space="0" w:color="auto"/>
              <w:bottom w:val="nil"/>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768" w:type="dxa"/>
            <w:tcBorders>
              <w:top w:val="nil"/>
              <w:left w:val="single" w:sz="8" w:space="0" w:color="auto"/>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16</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84,21</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26</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83,87</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46</w:t>
            </w:r>
          </w:p>
        </w:tc>
        <w:tc>
          <w:tcPr>
            <w:tcW w:w="749"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82,14</w:t>
            </w:r>
          </w:p>
        </w:tc>
      </w:tr>
      <w:tr w:rsidR="00000000">
        <w:tblPrEx>
          <w:tblCellMar>
            <w:top w:w="0" w:type="dxa"/>
            <w:left w:w="0" w:type="dxa"/>
            <w:bottom w:w="0" w:type="dxa"/>
            <w:right w:w="0" w:type="dxa"/>
          </w:tblCellMar>
        </w:tblPrEx>
        <w:trPr>
          <w:trHeight w:val="270"/>
        </w:trPr>
        <w:tc>
          <w:tcPr>
            <w:tcW w:w="1130"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15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154"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205"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0"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Всего</w:t>
            </w:r>
          </w:p>
        </w:tc>
        <w:tc>
          <w:tcPr>
            <w:tcW w:w="768" w:type="dxa"/>
            <w:tcBorders>
              <w:top w:val="single" w:sz="4" w:space="0" w:color="auto"/>
              <w:left w:val="single" w:sz="8" w:space="0" w:color="auto"/>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19</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31</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nil"/>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56</w:t>
            </w:r>
          </w:p>
        </w:tc>
        <w:tc>
          <w:tcPr>
            <w:tcW w:w="749"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r>
    </w:tbl>
    <w:p w:rsidR="00000000" w:rsidRDefault="00000000">
      <w:pPr>
        <w:rPr>
          <w:sz w:val="17"/>
        </w:rPr>
      </w:pPr>
    </w:p>
    <w:p w:rsidR="00000000" w:rsidRDefault="00000000">
      <w:pPr>
        <w:keepNext/>
        <w:tabs>
          <w:tab w:val="left" w:pos="3686"/>
        </w:tabs>
        <w:rPr>
          <w:sz w:val="17"/>
        </w:rPr>
      </w:pPr>
      <w:r>
        <w:rPr>
          <w:b/>
          <w:sz w:val="17"/>
          <w:lang w:eastAsia="de-DE"/>
        </w:rPr>
        <w:t>Верхняя Австрия</w:t>
      </w:r>
      <w:r>
        <w:rPr>
          <w:b/>
          <w:sz w:val="17"/>
          <w:lang w:eastAsia="de-DE"/>
        </w:rPr>
        <w:tab/>
      </w:r>
      <w:r>
        <w:rPr>
          <w:rFonts w:eastAsia="Arial Unicode MS"/>
          <w:b/>
          <w:sz w:val="17"/>
          <w:lang w:eastAsia="de-DE"/>
        </w:rPr>
        <w:t>Верхняя Австрия</w:t>
      </w:r>
    </w:p>
    <w:tbl>
      <w:tblPr>
        <w:tblW w:w="0" w:type="auto"/>
        <w:tblInd w:w="-3" w:type="dxa"/>
        <w:tblLayout w:type="fixed"/>
        <w:tblCellMar>
          <w:left w:w="0" w:type="dxa"/>
          <w:right w:w="0" w:type="dxa"/>
        </w:tblCellMar>
        <w:tblLook w:val="0000" w:firstRow="0" w:lastRow="0" w:firstColumn="0" w:lastColumn="0" w:noHBand="0" w:noVBand="0"/>
      </w:tblPr>
      <w:tblGrid>
        <w:gridCol w:w="1136"/>
        <w:gridCol w:w="1153"/>
        <w:gridCol w:w="1153"/>
        <w:gridCol w:w="206"/>
        <w:gridCol w:w="892"/>
        <w:gridCol w:w="767"/>
        <w:gridCol w:w="767"/>
        <w:gridCol w:w="767"/>
        <w:gridCol w:w="767"/>
        <w:gridCol w:w="767"/>
        <w:gridCol w:w="766"/>
        <w:gridCol w:w="766"/>
        <w:gridCol w:w="766"/>
        <w:gridCol w:w="766"/>
        <w:gridCol w:w="761"/>
      </w:tblGrid>
      <w:tr w:rsidR="00000000">
        <w:tblPrEx>
          <w:tblCellMar>
            <w:top w:w="0" w:type="dxa"/>
            <w:left w:w="0" w:type="dxa"/>
            <w:bottom w:w="0" w:type="dxa"/>
            <w:right w:w="0" w:type="dxa"/>
          </w:tblCellMar>
        </w:tblPrEx>
        <w:trPr>
          <w:trHeight w:val="255"/>
        </w:trPr>
        <w:tc>
          <w:tcPr>
            <w:tcW w:w="113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1153"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57"/>
              <w:jc w:val="right"/>
              <w:rPr>
                <w:rFonts w:eastAsia="Arial Unicode MS"/>
                <w:sz w:val="17"/>
                <w:lang w:eastAsia="de-DE"/>
              </w:rPr>
            </w:pPr>
            <w:r>
              <w:rPr>
                <w:sz w:val="17"/>
                <w:lang w:eastAsia="de-DE"/>
              </w:rPr>
              <w:t>1</w:t>
            </w:r>
          </w:p>
        </w:tc>
        <w:tc>
          <w:tcPr>
            <w:tcW w:w="1153"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57"/>
              <w:jc w:val="right"/>
              <w:rPr>
                <w:rFonts w:eastAsia="Arial Unicode MS"/>
                <w:sz w:val="17"/>
                <w:lang w:eastAsia="de-DE"/>
              </w:rPr>
            </w:pPr>
            <w:r>
              <w:rPr>
                <w:sz w:val="17"/>
                <w:lang w:eastAsia="de-DE"/>
              </w:rPr>
              <w:t>11,11%</w:t>
            </w:r>
          </w:p>
        </w:tc>
        <w:tc>
          <w:tcPr>
            <w:tcW w:w="206"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2"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jc w:val="center"/>
              <w:rPr>
                <w:rFonts w:eastAsia="Arial Unicode MS"/>
                <w:sz w:val="17"/>
                <w:lang w:eastAsia="de-DE"/>
              </w:rPr>
            </w:pPr>
          </w:p>
        </w:tc>
        <w:tc>
          <w:tcPr>
            <w:tcW w:w="767" w:type="dxa"/>
            <w:tcBorders>
              <w:top w:val="single" w:sz="8" w:space="0" w:color="auto"/>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СП</w:t>
            </w:r>
          </w:p>
        </w:tc>
        <w:tc>
          <w:tcPr>
            <w:tcW w:w="767"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7"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НП</w:t>
            </w:r>
          </w:p>
        </w:tc>
        <w:tc>
          <w:tcPr>
            <w:tcW w:w="767"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7"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ПС</w:t>
            </w:r>
          </w:p>
        </w:tc>
        <w:tc>
          <w:tcPr>
            <w:tcW w:w="766"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6"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Зеленые</w:t>
            </w:r>
          </w:p>
        </w:tc>
        <w:tc>
          <w:tcPr>
            <w:tcW w:w="766"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6"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b/>
                <w:sz w:val="17"/>
                <w:lang w:eastAsia="de-DE"/>
              </w:rPr>
            </w:pPr>
            <w:r>
              <w:rPr>
                <w:b/>
                <w:sz w:val="17"/>
                <w:lang w:eastAsia="de-DE"/>
              </w:rPr>
              <w:t>Всего</w:t>
            </w:r>
          </w:p>
        </w:tc>
        <w:tc>
          <w:tcPr>
            <w:tcW w:w="761"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p>
        </w:tc>
      </w:tr>
      <w:tr w:rsidR="00000000">
        <w:tblPrEx>
          <w:tblCellMar>
            <w:top w:w="0" w:type="dxa"/>
            <w:left w:w="0" w:type="dxa"/>
            <w:bottom w:w="0" w:type="dxa"/>
            <w:right w:w="0" w:type="dxa"/>
          </w:tblCellMar>
        </w:tblPrEx>
        <w:trPr>
          <w:trHeight w:val="255"/>
        </w:trPr>
        <w:tc>
          <w:tcPr>
            <w:tcW w:w="1136" w:type="dxa"/>
            <w:tcBorders>
              <w:top w:val="nil"/>
              <w:left w:val="single" w:sz="4" w:space="0" w:color="auto"/>
              <w:bottom w:val="nil"/>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1153" w:type="dxa"/>
            <w:tcBorders>
              <w:top w:val="nil"/>
              <w:left w:val="nil"/>
              <w:bottom w:val="nil"/>
              <w:right w:val="single" w:sz="4" w:space="0" w:color="auto"/>
            </w:tcBorders>
            <w:vAlign w:val="bottom"/>
          </w:tcPr>
          <w:p w:rsidR="00000000" w:rsidRDefault="00000000">
            <w:pPr>
              <w:tabs>
                <w:tab w:val="left" w:pos="13467"/>
              </w:tabs>
              <w:autoSpaceDE w:val="0"/>
              <w:autoSpaceDN w:val="0"/>
              <w:ind w:right="157"/>
              <w:jc w:val="right"/>
              <w:rPr>
                <w:rFonts w:eastAsia="Arial Unicode MS"/>
                <w:sz w:val="17"/>
                <w:lang w:eastAsia="de-DE"/>
              </w:rPr>
            </w:pPr>
            <w:r>
              <w:rPr>
                <w:sz w:val="17"/>
                <w:lang w:eastAsia="de-DE"/>
              </w:rPr>
              <w:t>8</w:t>
            </w:r>
          </w:p>
        </w:tc>
        <w:tc>
          <w:tcPr>
            <w:tcW w:w="1153"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57"/>
              <w:jc w:val="right"/>
              <w:rPr>
                <w:rFonts w:eastAsia="Arial Unicode MS"/>
                <w:sz w:val="17"/>
                <w:lang w:eastAsia="de-DE"/>
              </w:rPr>
            </w:pPr>
            <w:r>
              <w:rPr>
                <w:sz w:val="17"/>
                <w:lang w:eastAsia="de-DE"/>
              </w:rPr>
              <w:t>88,89%</w:t>
            </w:r>
          </w:p>
        </w:tc>
        <w:tc>
          <w:tcPr>
            <w:tcW w:w="206"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2" w:type="dxa"/>
            <w:tcBorders>
              <w:top w:val="nil"/>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Женщины</w:t>
            </w:r>
          </w:p>
        </w:tc>
        <w:tc>
          <w:tcPr>
            <w:tcW w:w="767" w:type="dxa"/>
            <w:tcBorders>
              <w:top w:val="nil"/>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10</w:t>
            </w:r>
          </w:p>
        </w:tc>
        <w:tc>
          <w:tcPr>
            <w:tcW w:w="767"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45,45</w:t>
            </w:r>
          </w:p>
        </w:tc>
        <w:tc>
          <w:tcPr>
            <w:tcW w:w="767"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7</w:t>
            </w:r>
          </w:p>
        </w:tc>
        <w:tc>
          <w:tcPr>
            <w:tcW w:w="767"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28,00</w:t>
            </w:r>
          </w:p>
        </w:tc>
        <w:tc>
          <w:tcPr>
            <w:tcW w:w="767"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1</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25,00</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3</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60,00</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21</w:t>
            </w:r>
          </w:p>
        </w:tc>
        <w:tc>
          <w:tcPr>
            <w:tcW w:w="761"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37,50</w:t>
            </w:r>
          </w:p>
        </w:tc>
      </w:tr>
      <w:tr w:rsidR="00000000">
        <w:tblPrEx>
          <w:tblCellMar>
            <w:top w:w="0" w:type="dxa"/>
            <w:left w:w="0" w:type="dxa"/>
            <w:bottom w:w="0" w:type="dxa"/>
            <w:right w:w="0" w:type="dxa"/>
          </w:tblCellMar>
        </w:tblPrEx>
        <w:trPr>
          <w:trHeight w:val="255"/>
        </w:trPr>
        <w:tc>
          <w:tcPr>
            <w:tcW w:w="113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Всего</w:t>
            </w:r>
          </w:p>
        </w:tc>
        <w:tc>
          <w:tcPr>
            <w:tcW w:w="1153"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57"/>
              <w:jc w:val="right"/>
              <w:rPr>
                <w:rFonts w:eastAsia="Arial Unicode MS"/>
                <w:sz w:val="17"/>
                <w:lang w:eastAsia="de-DE"/>
              </w:rPr>
            </w:pPr>
            <w:r>
              <w:rPr>
                <w:sz w:val="17"/>
                <w:lang w:eastAsia="de-DE"/>
              </w:rPr>
              <w:t>9</w:t>
            </w:r>
          </w:p>
        </w:tc>
        <w:tc>
          <w:tcPr>
            <w:tcW w:w="1153"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57"/>
              <w:jc w:val="right"/>
              <w:rPr>
                <w:rFonts w:eastAsia="Arial Unicode MS"/>
                <w:sz w:val="17"/>
                <w:lang w:eastAsia="de-DE"/>
              </w:rPr>
            </w:pPr>
            <w:r>
              <w:rPr>
                <w:sz w:val="17"/>
                <w:lang w:eastAsia="de-DE"/>
              </w:rPr>
              <w:t>100,00%</w:t>
            </w:r>
          </w:p>
        </w:tc>
        <w:tc>
          <w:tcPr>
            <w:tcW w:w="206"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2" w:type="dxa"/>
            <w:tcBorders>
              <w:top w:val="nil"/>
              <w:left w:val="single" w:sz="4" w:space="0" w:color="auto"/>
              <w:bottom w:val="nil"/>
              <w:right w:val="nil"/>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Мужчины</w:t>
            </w:r>
          </w:p>
        </w:tc>
        <w:tc>
          <w:tcPr>
            <w:tcW w:w="767" w:type="dxa"/>
            <w:tcBorders>
              <w:top w:val="nil"/>
              <w:left w:val="single" w:sz="8" w:space="0" w:color="auto"/>
              <w:bottom w:val="nil"/>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12</w:t>
            </w:r>
          </w:p>
        </w:tc>
        <w:tc>
          <w:tcPr>
            <w:tcW w:w="767"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54,55</w:t>
            </w:r>
          </w:p>
        </w:tc>
        <w:tc>
          <w:tcPr>
            <w:tcW w:w="767" w:type="dxa"/>
            <w:tcBorders>
              <w:top w:val="nil"/>
              <w:left w:val="nil"/>
              <w:bottom w:val="nil"/>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18</w:t>
            </w:r>
          </w:p>
        </w:tc>
        <w:tc>
          <w:tcPr>
            <w:tcW w:w="767"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72,00</w:t>
            </w:r>
          </w:p>
        </w:tc>
        <w:tc>
          <w:tcPr>
            <w:tcW w:w="767" w:type="dxa"/>
            <w:tcBorders>
              <w:top w:val="nil"/>
              <w:left w:val="nil"/>
              <w:bottom w:val="nil"/>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3</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75,00</w:t>
            </w:r>
          </w:p>
        </w:tc>
        <w:tc>
          <w:tcPr>
            <w:tcW w:w="766" w:type="dxa"/>
            <w:tcBorders>
              <w:top w:val="nil"/>
              <w:left w:val="nil"/>
              <w:bottom w:val="nil"/>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2</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40,00</w:t>
            </w:r>
          </w:p>
        </w:tc>
        <w:tc>
          <w:tcPr>
            <w:tcW w:w="76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35</w:t>
            </w:r>
          </w:p>
        </w:tc>
        <w:tc>
          <w:tcPr>
            <w:tcW w:w="761"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62,50</w:t>
            </w:r>
          </w:p>
        </w:tc>
      </w:tr>
      <w:tr w:rsidR="00000000">
        <w:tblPrEx>
          <w:tblCellMar>
            <w:top w:w="0" w:type="dxa"/>
            <w:left w:w="0" w:type="dxa"/>
            <w:bottom w:w="0" w:type="dxa"/>
            <w:right w:w="0" w:type="dxa"/>
          </w:tblCellMar>
        </w:tblPrEx>
        <w:trPr>
          <w:trHeight w:val="270"/>
        </w:trPr>
        <w:tc>
          <w:tcPr>
            <w:tcW w:w="1136"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153"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153"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206"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2"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Всего</w:t>
            </w:r>
          </w:p>
        </w:tc>
        <w:tc>
          <w:tcPr>
            <w:tcW w:w="767" w:type="dxa"/>
            <w:tcBorders>
              <w:top w:val="single" w:sz="4" w:space="0" w:color="auto"/>
              <w:left w:val="single" w:sz="8" w:space="0" w:color="auto"/>
              <w:bottom w:val="single" w:sz="8" w:space="0" w:color="auto"/>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22</w:t>
            </w:r>
          </w:p>
        </w:tc>
        <w:tc>
          <w:tcPr>
            <w:tcW w:w="767"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100,00</w:t>
            </w:r>
          </w:p>
        </w:tc>
        <w:tc>
          <w:tcPr>
            <w:tcW w:w="767"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25</w:t>
            </w:r>
          </w:p>
        </w:tc>
        <w:tc>
          <w:tcPr>
            <w:tcW w:w="767"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100,00</w:t>
            </w:r>
          </w:p>
        </w:tc>
        <w:tc>
          <w:tcPr>
            <w:tcW w:w="767"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4</w:t>
            </w:r>
          </w:p>
        </w:tc>
        <w:tc>
          <w:tcPr>
            <w:tcW w:w="766"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100,00</w:t>
            </w:r>
          </w:p>
        </w:tc>
        <w:tc>
          <w:tcPr>
            <w:tcW w:w="766"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5</w:t>
            </w:r>
          </w:p>
        </w:tc>
        <w:tc>
          <w:tcPr>
            <w:tcW w:w="766"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100,00</w:t>
            </w:r>
          </w:p>
        </w:tc>
        <w:tc>
          <w:tcPr>
            <w:tcW w:w="766" w:type="dxa"/>
            <w:tcBorders>
              <w:top w:val="nil"/>
              <w:left w:val="nil"/>
              <w:bottom w:val="single" w:sz="8" w:space="0" w:color="auto"/>
              <w:right w:val="single" w:sz="4"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56</w:t>
            </w:r>
          </w:p>
        </w:tc>
        <w:tc>
          <w:tcPr>
            <w:tcW w:w="761"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ind w:right="57"/>
              <w:jc w:val="right"/>
              <w:rPr>
                <w:rFonts w:eastAsia="Arial Unicode MS"/>
                <w:sz w:val="17"/>
                <w:lang w:eastAsia="de-DE"/>
              </w:rPr>
            </w:pPr>
            <w:r>
              <w:rPr>
                <w:sz w:val="17"/>
                <w:lang w:eastAsia="de-DE"/>
              </w:rPr>
              <w:t>100,00</w:t>
            </w:r>
          </w:p>
        </w:tc>
      </w:tr>
    </w:tbl>
    <w:p w:rsidR="00000000" w:rsidRDefault="00000000">
      <w:pPr>
        <w:rPr>
          <w:sz w:val="17"/>
        </w:rPr>
      </w:pPr>
    </w:p>
    <w:p w:rsidR="00000000" w:rsidRDefault="00000000">
      <w:pPr>
        <w:keepNext/>
        <w:tabs>
          <w:tab w:val="left" w:pos="3686"/>
        </w:tabs>
        <w:rPr>
          <w:sz w:val="17"/>
        </w:rPr>
      </w:pPr>
      <w:r>
        <w:rPr>
          <w:rFonts w:eastAsia="Arial Unicode MS"/>
          <w:b/>
          <w:sz w:val="17"/>
          <w:lang w:eastAsia="de-DE"/>
        </w:rPr>
        <w:t>Зальцбург</w:t>
      </w:r>
      <w:r>
        <w:rPr>
          <w:rFonts w:eastAsia="Arial Unicode MS"/>
          <w:b/>
          <w:sz w:val="17"/>
          <w:lang w:eastAsia="de-DE"/>
        </w:rPr>
        <w:tab/>
      </w:r>
      <w:r>
        <w:rPr>
          <w:b/>
          <w:sz w:val="17"/>
          <w:lang w:val="it-IT" w:eastAsia="de-DE"/>
        </w:rPr>
        <w:t>Зальцбург</w:t>
      </w:r>
    </w:p>
    <w:tbl>
      <w:tblPr>
        <w:tblW w:w="0" w:type="auto"/>
        <w:tblInd w:w="13" w:type="dxa"/>
        <w:tblLayout w:type="fixed"/>
        <w:tblCellMar>
          <w:left w:w="0" w:type="dxa"/>
          <w:right w:w="0" w:type="dxa"/>
        </w:tblCellMar>
        <w:tblLook w:val="0000" w:firstRow="0" w:lastRow="0" w:firstColumn="0" w:lastColumn="0" w:noHBand="0" w:noVBand="0"/>
      </w:tblPr>
      <w:tblGrid>
        <w:gridCol w:w="1098"/>
        <w:gridCol w:w="1138"/>
        <w:gridCol w:w="1138"/>
        <w:gridCol w:w="229"/>
        <w:gridCol w:w="899"/>
        <w:gridCol w:w="697"/>
        <w:gridCol w:w="699"/>
        <w:gridCol w:w="697"/>
        <w:gridCol w:w="699"/>
        <w:gridCol w:w="699"/>
        <w:gridCol w:w="697"/>
        <w:gridCol w:w="699"/>
        <w:gridCol w:w="699"/>
        <w:gridCol w:w="697"/>
        <w:gridCol w:w="699"/>
        <w:gridCol w:w="697"/>
      </w:tblGrid>
      <w:tr w:rsidR="00000000">
        <w:tblPrEx>
          <w:tblCellMar>
            <w:top w:w="0" w:type="dxa"/>
            <w:left w:w="0" w:type="dxa"/>
            <w:bottom w:w="0" w:type="dxa"/>
            <w:right w:w="0" w:type="dxa"/>
          </w:tblCellMar>
        </w:tblPrEx>
        <w:trPr>
          <w:trHeight w:val="255"/>
        </w:trPr>
        <w:tc>
          <w:tcPr>
            <w:tcW w:w="10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13467"/>
              </w:tabs>
              <w:autoSpaceDE w:val="0"/>
              <w:autoSpaceDN w:val="0"/>
              <w:rPr>
                <w:rFonts w:eastAsia="Arial Unicode MS"/>
                <w:sz w:val="17"/>
                <w:lang w:eastAsia="de-DE"/>
              </w:rPr>
            </w:pPr>
            <w:r>
              <w:rPr>
                <w:sz w:val="17"/>
                <w:lang w:eastAsia="de-DE"/>
              </w:rPr>
              <w:t>Женщины</w:t>
            </w:r>
          </w:p>
        </w:tc>
        <w:tc>
          <w:tcPr>
            <w:tcW w:w="1138" w:type="dxa"/>
            <w:tcBorders>
              <w:top w:val="single" w:sz="4" w:space="0" w:color="auto"/>
              <w:left w:val="nil"/>
              <w:bottom w:val="single" w:sz="4" w:space="0" w:color="auto"/>
              <w:right w:val="single" w:sz="4" w:space="0" w:color="auto"/>
            </w:tcBorders>
            <w:vAlign w:val="bottom"/>
          </w:tcPr>
          <w:p w:rsidR="00000000" w:rsidRDefault="00000000">
            <w:pPr>
              <w:keepNext/>
              <w:tabs>
                <w:tab w:val="left" w:pos="13467"/>
              </w:tabs>
              <w:autoSpaceDE w:val="0"/>
              <w:autoSpaceDN w:val="0"/>
              <w:ind w:right="120"/>
              <w:jc w:val="right"/>
              <w:rPr>
                <w:rFonts w:eastAsia="Arial Unicode MS"/>
                <w:sz w:val="17"/>
                <w:lang w:eastAsia="de-DE"/>
              </w:rPr>
            </w:pPr>
            <w:r>
              <w:rPr>
                <w:sz w:val="17"/>
                <w:lang w:eastAsia="de-DE"/>
              </w:rPr>
              <w:t>2</w:t>
            </w:r>
          </w:p>
        </w:tc>
        <w:tc>
          <w:tcPr>
            <w:tcW w:w="1138" w:type="dxa"/>
            <w:tcBorders>
              <w:top w:val="single" w:sz="4" w:space="0" w:color="auto"/>
              <w:left w:val="nil"/>
              <w:bottom w:val="single" w:sz="4" w:space="0" w:color="auto"/>
              <w:right w:val="single" w:sz="4" w:space="0" w:color="auto"/>
            </w:tcBorders>
            <w:vAlign w:val="bottom"/>
          </w:tcPr>
          <w:p w:rsidR="00000000" w:rsidRDefault="00000000">
            <w:pPr>
              <w:keepNext/>
              <w:tabs>
                <w:tab w:val="left" w:pos="13467"/>
              </w:tabs>
              <w:autoSpaceDE w:val="0"/>
              <w:autoSpaceDN w:val="0"/>
              <w:ind w:right="120"/>
              <w:jc w:val="right"/>
              <w:rPr>
                <w:rFonts w:eastAsia="Arial Unicode MS"/>
                <w:sz w:val="17"/>
                <w:lang w:eastAsia="de-DE"/>
              </w:rPr>
            </w:pPr>
            <w:r>
              <w:rPr>
                <w:sz w:val="17"/>
                <w:lang w:eastAsia="de-DE"/>
              </w:rPr>
              <w:t>28,57%</w:t>
            </w:r>
          </w:p>
        </w:tc>
        <w:tc>
          <w:tcPr>
            <w:tcW w:w="229" w:type="dxa"/>
            <w:tcBorders>
              <w:top w:val="nil"/>
              <w:left w:val="nil"/>
              <w:bottom w:val="nil"/>
              <w:right w:val="nil"/>
            </w:tcBorders>
            <w:vAlign w:val="bottom"/>
          </w:tcPr>
          <w:p w:rsidR="00000000" w:rsidRDefault="00000000">
            <w:pPr>
              <w:keepNext/>
              <w:tabs>
                <w:tab w:val="left" w:pos="13467"/>
              </w:tabs>
              <w:autoSpaceDE w:val="0"/>
              <w:autoSpaceDN w:val="0"/>
              <w:rPr>
                <w:rFonts w:eastAsia="Arial Unicode MS"/>
                <w:sz w:val="17"/>
                <w:lang w:eastAsia="de-DE"/>
              </w:rPr>
            </w:pPr>
          </w:p>
        </w:tc>
        <w:tc>
          <w:tcPr>
            <w:tcW w:w="899" w:type="dxa"/>
            <w:tcBorders>
              <w:top w:val="single" w:sz="4" w:space="0" w:color="auto"/>
              <w:left w:val="single" w:sz="4" w:space="0" w:color="auto"/>
              <w:bottom w:val="single" w:sz="4" w:space="0" w:color="auto"/>
              <w:right w:val="nil"/>
            </w:tcBorders>
            <w:vAlign w:val="bottom"/>
          </w:tcPr>
          <w:p w:rsidR="00000000" w:rsidRDefault="00000000">
            <w:pPr>
              <w:keepNext/>
              <w:tabs>
                <w:tab w:val="left" w:pos="13467"/>
              </w:tabs>
              <w:autoSpaceDE w:val="0"/>
              <w:autoSpaceDN w:val="0"/>
              <w:rPr>
                <w:rFonts w:eastAsia="Arial Unicode MS"/>
                <w:sz w:val="17"/>
                <w:lang w:eastAsia="de-DE"/>
              </w:rPr>
            </w:pPr>
            <w:r>
              <w:rPr>
                <w:sz w:val="17"/>
                <w:lang w:val="en-GB" w:eastAsia="de-DE"/>
              </w:rPr>
              <w:t> </w:t>
            </w:r>
          </w:p>
        </w:tc>
        <w:tc>
          <w:tcPr>
            <w:tcW w:w="697" w:type="dxa"/>
            <w:tcBorders>
              <w:top w:val="single" w:sz="8" w:space="0" w:color="auto"/>
              <w:left w:val="single" w:sz="8" w:space="0" w:color="auto"/>
              <w:bottom w:val="single" w:sz="4" w:space="0" w:color="auto"/>
              <w:right w:val="single" w:sz="4" w:space="0" w:color="auto"/>
            </w:tcBorders>
            <w:vAlign w:val="bottom"/>
          </w:tcPr>
          <w:p w:rsidR="00000000" w:rsidRDefault="00000000">
            <w:pPr>
              <w:keepNext/>
              <w:tabs>
                <w:tab w:val="left" w:pos="13467"/>
              </w:tabs>
              <w:autoSpaceDE w:val="0"/>
              <w:autoSpaceDN w:val="0"/>
              <w:jc w:val="center"/>
              <w:rPr>
                <w:rFonts w:eastAsia="Arial Unicode MS"/>
                <w:sz w:val="17"/>
                <w:lang w:eastAsia="de-DE"/>
              </w:rPr>
            </w:pPr>
            <w:r>
              <w:rPr>
                <w:sz w:val="17"/>
                <w:lang w:eastAsia="de-DE"/>
              </w:rPr>
              <w:t>СП</w:t>
            </w:r>
          </w:p>
        </w:tc>
        <w:tc>
          <w:tcPr>
            <w:tcW w:w="699" w:type="dxa"/>
            <w:tcBorders>
              <w:top w:val="single" w:sz="8" w:space="0" w:color="auto"/>
              <w:left w:val="nil"/>
              <w:bottom w:val="single" w:sz="4" w:space="0" w:color="auto"/>
              <w:right w:val="single" w:sz="8" w:space="0" w:color="auto"/>
            </w:tcBorders>
            <w:vAlign w:val="bottom"/>
          </w:tcPr>
          <w:p w:rsidR="00000000" w:rsidRDefault="00000000">
            <w:pPr>
              <w:keepNext/>
              <w:tabs>
                <w:tab w:val="left" w:pos="13467"/>
              </w:tabs>
              <w:autoSpaceDE w:val="0"/>
              <w:autoSpaceDN w:val="0"/>
              <w:jc w:val="center"/>
              <w:rPr>
                <w:rFonts w:eastAsia="Arial Unicode MS"/>
                <w:sz w:val="17"/>
                <w:lang w:eastAsia="de-DE"/>
              </w:rPr>
            </w:pPr>
            <w:r>
              <w:rPr>
                <w:sz w:val="17"/>
                <w:lang w:eastAsia="de-DE"/>
              </w:rPr>
              <w:t>%</w:t>
            </w:r>
          </w:p>
        </w:tc>
        <w:tc>
          <w:tcPr>
            <w:tcW w:w="697" w:type="dxa"/>
            <w:tcBorders>
              <w:top w:val="single" w:sz="8" w:space="0" w:color="auto"/>
              <w:left w:val="nil"/>
              <w:bottom w:val="single" w:sz="4" w:space="0" w:color="auto"/>
              <w:right w:val="single" w:sz="4" w:space="0" w:color="auto"/>
            </w:tcBorders>
            <w:vAlign w:val="bottom"/>
          </w:tcPr>
          <w:p w:rsidR="00000000" w:rsidRDefault="00000000">
            <w:pPr>
              <w:keepNext/>
              <w:tabs>
                <w:tab w:val="left" w:pos="13467"/>
              </w:tabs>
              <w:autoSpaceDE w:val="0"/>
              <w:autoSpaceDN w:val="0"/>
              <w:jc w:val="center"/>
              <w:rPr>
                <w:rFonts w:eastAsia="Arial Unicode MS"/>
                <w:sz w:val="17"/>
                <w:lang w:eastAsia="de-DE"/>
              </w:rPr>
            </w:pPr>
            <w:r>
              <w:rPr>
                <w:sz w:val="17"/>
                <w:lang w:eastAsia="de-DE"/>
              </w:rPr>
              <w:t>НП</w:t>
            </w:r>
          </w:p>
        </w:tc>
        <w:tc>
          <w:tcPr>
            <w:tcW w:w="699" w:type="dxa"/>
            <w:tcBorders>
              <w:top w:val="single" w:sz="8" w:space="0" w:color="auto"/>
              <w:left w:val="nil"/>
              <w:bottom w:val="single" w:sz="4" w:space="0" w:color="auto"/>
              <w:right w:val="single" w:sz="8" w:space="0" w:color="auto"/>
            </w:tcBorders>
            <w:vAlign w:val="bottom"/>
          </w:tcPr>
          <w:p w:rsidR="00000000" w:rsidRDefault="00000000">
            <w:pPr>
              <w:keepNext/>
              <w:tabs>
                <w:tab w:val="left" w:pos="13467"/>
              </w:tabs>
              <w:autoSpaceDE w:val="0"/>
              <w:autoSpaceDN w:val="0"/>
              <w:jc w:val="center"/>
              <w:rPr>
                <w:rFonts w:eastAsia="Arial Unicode MS"/>
                <w:sz w:val="17"/>
                <w:lang w:eastAsia="de-DE"/>
              </w:rPr>
            </w:pPr>
            <w:r>
              <w:rPr>
                <w:sz w:val="17"/>
                <w:lang w:eastAsia="de-DE"/>
              </w:rPr>
              <w:t>%</w:t>
            </w:r>
          </w:p>
        </w:tc>
        <w:tc>
          <w:tcPr>
            <w:tcW w:w="699" w:type="dxa"/>
            <w:tcBorders>
              <w:top w:val="single" w:sz="8" w:space="0" w:color="auto"/>
              <w:left w:val="nil"/>
              <w:bottom w:val="single" w:sz="4" w:space="0" w:color="auto"/>
              <w:right w:val="single" w:sz="4" w:space="0" w:color="auto"/>
            </w:tcBorders>
            <w:vAlign w:val="bottom"/>
          </w:tcPr>
          <w:p w:rsidR="00000000" w:rsidRDefault="00000000">
            <w:pPr>
              <w:keepNext/>
              <w:tabs>
                <w:tab w:val="left" w:pos="13467"/>
              </w:tabs>
              <w:autoSpaceDE w:val="0"/>
              <w:autoSpaceDN w:val="0"/>
              <w:jc w:val="center"/>
              <w:rPr>
                <w:rFonts w:eastAsia="Arial Unicode MS"/>
                <w:sz w:val="17"/>
                <w:lang w:eastAsia="de-DE"/>
              </w:rPr>
            </w:pPr>
            <w:r>
              <w:rPr>
                <w:sz w:val="17"/>
                <w:lang w:eastAsia="de-DE"/>
              </w:rPr>
              <w:t>ПС</w:t>
            </w:r>
          </w:p>
        </w:tc>
        <w:tc>
          <w:tcPr>
            <w:tcW w:w="697" w:type="dxa"/>
            <w:tcBorders>
              <w:top w:val="single" w:sz="8" w:space="0" w:color="auto"/>
              <w:left w:val="nil"/>
              <w:bottom w:val="single" w:sz="4" w:space="0" w:color="auto"/>
              <w:right w:val="single" w:sz="8" w:space="0" w:color="auto"/>
            </w:tcBorders>
            <w:vAlign w:val="bottom"/>
          </w:tcPr>
          <w:p w:rsidR="00000000" w:rsidRDefault="00000000">
            <w:pPr>
              <w:keepNext/>
              <w:tabs>
                <w:tab w:val="left" w:pos="13467"/>
              </w:tabs>
              <w:autoSpaceDE w:val="0"/>
              <w:autoSpaceDN w:val="0"/>
              <w:jc w:val="center"/>
              <w:rPr>
                <w:rFonts w:eastAsia="Arial Unicode MS"/>
                <w:sz w:val="17"/>
                <w:lang w:eastAsia="de-DE"/>
              </w:rPr>
            </w:pPr>
            <w:r>
              <w:rPr>
                <w:sz w:val="17"/>
                <w:lang w:eastAsia="de-DE"/>
              </w:rPr>
              <w:t>%</w:t>
            </w:r>
          </w:p>
        </w:tc>
        <w:tc>
          <w:tcPr>
            <w:tcW w:w="699" w:type="dxa"/>
            <w:tcBorders>
              <w:top w:val="single" w:sz="8" w:space="0" w:color="auto"/>
              <w:left w:val="nil"/>
              <w:bottom w:val="single" w:sz="4" w:space="0" w:color="auto"/>
              <w:right w:val="single" w:sz="4" w:space="0" w:color="auto"/>
            </w:tcBorders>
            <w:vAlign w:val="bottom"/>
          </w:tcPr>
          <w:p w:rsidR="00000000" w:rsidRDefault="00000000">
            <w:pPr>
              <w:keepNext/>
              <w:tabs>
                <w:tab w:val="left" w:pos="13467"/>
              </w:tabs>
              <w:autoSpaceDE w:val="0"/>
              <w:autoSpaceDN w:val="0"/>
              <w:jc w:val="center"/>
              <w:rPr>
                <w:rFonts w:eastAsia="Arial Unicode MS"/>
                <w:sz w:val="17"/>
                <w:lang w:eastAsia="de-DE"/>
              </w:rPr>
            </w:pPr>
            <w:r>
              <w:rPr>
                <w:sz w:val="17"/>
                <w:lang w:eastAsia="de-DE"/>
              </w:rPr>
              <w:t>Зеленые</w:t>
            </w:r>
          </w:p>
        </w:tc>
        <w:tc>
          <w:tcPr>
            <w:tcW w:w="699" w:type="dxa"/>
            <w:tcBorders>
              <w:top w:val="single" w:sz="8" w:space="0" w:color="auto"/>
              <w:left w:val="nil"/>
              <w:bottom w:val="single" w:sz="4" w:space="0" w:color="auto"/>
              <w:right w:val="single" w:sz="8" w:space="0" w:color="auto"/>
            </w:tcBorders>
            <w:vAlign w:val="bottom"/>
          </w:tcPr>
          <w:p w:rsidR="00000000" w:rsidRDefault="00000000">
            <w:pPr>
              <w:keepNext/>
              <w:tabs>
                <w:tab w:val="left" w:pos="13467"/>
              </w:tabs>
              <w:autoSpaceDE w:val="0"/>
              <w:autoSpaceDN w:val="0"/>
              <w:jc w:val="center"/>
              <w:rPr>
                <w:rFonts w:eastAsia="Arial Unicode MS"/>
                <w:sz w:val="17"/>
                <w:lang w:eastAsia="de-DE"/>
              </w:rPr>
            </w:pPr>
            <w:r>
              <w:rPr>
                <w:sz w:val="17"/>
                <w:lang w:eastAsia="de-DE"/>
              </w:rPr>
              <w:t>%</w:t>
            </w:r>
          </w:p>
        </w:tc>
        <w:tc>
          <w:tcPr>
            <w:tcW w:w="697" w:type="dxa"/>
            <w:tcBorders>
              <w:top w:val="single" w:sz="8" w:space="0" w:color="auto"/>
              <w:left w:val="nil"/>
              <w:bottom w:val="single" w:sz="4" w:space="0" w:color="auto"/>
              <w:right w:val="single" w:sz="4" w:space="0" w:color="auto"/>
            </w:tcBorders>
            <w:vAlign w:val="bottom"/>
          </w:tcPr>
          <w:p w:rsidR="00000000" w:rsidRDefault="00000000">
            <w:pPr>
              <w:keepNext/>
              <w:tabs>
                <w:tab w:val="left" w:pos="13467"/>
              </w:tabs>
              <w:autoSpaceDE w:val="0"/>
              <w:autoSpaceDN w:val="0"/>
              <w:jc w:val="center"/>
              <w:rPr>
                <w:rFonts w:eastAsia="Arial Unicode MS"/>
                <w:sz w:val="17"/>
                <w:lang w:eastAsia="de-DE"/>
              </w:rPr>
            </w:pPr>
            <w:r>
              <w:rPr>
                <w:sz w:val="17"/>
                <w:lang w:eastAsia="de-DE"/>
              </w:rPr>
              <w:t>Никого</w:t>
            </w:r>
          </w:p>
        </w:tc>
        <w:tc>
          <w:tcPr>
            <w:tcW w:w="699" w:type="dxa"/>
            <w:tcBorders>
              <w:top w:val="single" w:sz="8" w:space="0" w:color="auto"/>
              <w:left w:val="single" w:sz="8" w:space="0" w:color="auto"/>
              <w:bottom w:val="single" w:sz="4" w:space="0" w:color="auto"/>
              <w:right w:val="single" w:sz="4" w:space="0" w:color="auto"/>
            </w:tcBorders>
            <w:vAlign w:val="bottom"/>
          </w:tcPr>
          <w:p w:rsidR="00000000" w:rsidRDefault="00000000">
            <w:pPr>
              <w:keepNext/>
              <w:tabs>
                <w:tab w:val="left" w:pos="13467"/>
              </w:tabs>
              <w:autoSpaceDE w:val="0"/>
              <w:autoSpaceDN w:val="0"/>
              <w:jc w:val="center"/>
              <w:rPr>
                <w:rFonts w:eastAsia="Arial Unicode MS"/>
                <w:b/>
                <w:sz w:val="17"/>
                <w:lang w:eastAsia="de-DE"/>
              </w:rPr>
            </w:pPr>
            <w:r>
              <w:rPr>
                <w:b/>
                <w:sz w:val="17"/>
                <w:lang w:eastAsia="de-DE"/>
              </w:rPr>
              <w:t>Всего</w:t>
            </w:r>
          </w:p>
        </w:tc>
        <w:tc>
          <w:tcPr>
            <w:tcW w:w="697" w:type="dxa"/>
            <w:tcBorders>
              <w:top w:val="single" w:sz="8" w:space="0" w:color="auto"/>
              <w:left w:val="nil"/>
              <w:bottom w:val="single" w:sz="4" w:space="0" w:color="auto"/>
              <w:right w:val="single" w:sz="8" w:space="0" w:color="auto"/>
            </w:tcBorders>
            <w:vAlign w:val="bottom"/>
          </w:tcPr>
          <w:p w:rsidR="00000000" w:rsidRDefault="00000000">
            <w:pPr>
              <w:keepNext/>
              <w:tabs>
                <w:tab w:val="left" w:pos="13467"/>
              </w:tabs>
              <w:autoSpaceDE w:val="0"/>
              <w:autoSpaceDN w:val="0"/>
              <w:jc w:val="center"/>
              <w:rPr>
                <w:rFonts w:eastAsia="Arial Unicode MS"/>
                <w:sz w:val="17"/>
                <w:lang w:eastAsia="de-DE"/>
              </w:rPr>
            </w:pPr>
            <w:r>
              <w:rPr>
                <w:rFonts w:eastAsia="Arial Unicode MS"/>
                <w:sz w:val="17"/>
                <w:lang w:eastAsia="de-DE"/>
              </w:rPr>
              <w:t>%</w:t>
            </w:r>
          </w:p>
        </w:tc>
      </w:tr>
      <w:tr w:rsidR="00000000">
        <w:tblPrEx>
          <w:tblCellMar>
            <w:top w:w="0" w:type="dxa"/>
            <w:left w:w="0" w:type="dxa"/>
            <w:bottom w:w="0" w:type="dxa"/>
            <w:right w:w="0" w:type="dxa"/>
          </w:tblCellMar>
        </w:tblPrEx>
        <w:trPr>
          <w:trHeight w:val="255"/>
        </w:trPr>
        <w:tc>
          <w:tcPr>
            <w:tcW w:w="1098" w:type="dxa"/>
            <w:tcBorders>
              <w:top w:val="nil"/>
              <w:left w:val="single" w:sz="4" w:space="0" w:color="auto"/>
              <w:bottom w:val="nil"/>
              <w:right w:val="single" w:sz="4" w:space="0" w:color="auto"/>
            </w:tcBorders>
            <w:vAlign w:val="bottom"/>
          </w:tcPr>
          <w:p w:rsidR="00000000" w:rsidRDefault="00000000">
            <w:pPr>
              <w:keepNext/>
              <w:tabs>
                <w:tab w:val="left" w:pos="13467"/>
              </w:tabs>
              <w:autoSpaceDE w:val="0"/>
              <w:autoSpaceDN w:val="0"/>
              <w:rPr>
                <w:rFonts w:eastAsia="Arial Unicode MS"/>
                <w:sz w:val="17"/>
                <w:lang w:eastAsia="de-DE"/>
              </w:rPr>
            </w:pPr>
            <w:r>
              <w:rPr>
                <w:sz w:val="17"/>
                <w:lang w:eastAsia="de-DE"/>
              </w:rPr>
              <w:t>Мужчины</w:t>
            </w:r>
          </w:p>
        </w:tc>
        <w:tc>
          <w:tcPr>
            <w:tcW w:w="1138" w:type="dxa"/>
            <w:tcBorders>
              <w:top w:val="nil"/>
              <w:left w:val="nil"/>
              <w:bottom w:val="nil"/>
              <w:right w:val="single" w:sz="4" w:space="0" w:color="auto"/>
            </w:tcBorders>
            <w:vAlign w:val="bottom"/>
          </w:tcPr>
          <w:p w:rsidR="00000000" w:rsidRDefault="00000000">
            <w:pPr>
              <w:keepNext/>
              <w:tabs>
                <w:tab w:val="left" w:pos="13467"/>
              </w:tabs>
              <w:autoSpaceDE w:val="0"/>
              <w:autoSpaceDN w:val="0"/>
              <w:ind w:right="120"/>
              <w:jc w:val="right"/>
              <w:rPr>
                <w:rFonts w:eastAsia="Arial Unicode MS"/>
                <w:sz w:val="17"/>
                <w:lang w:eastAsia="de-DE"/>
              </w:rPr>
            </w:pPr>
            <w:r>
              <w:rPr>
                <w:sz w:val="17"/>
                <w:lang w:eastAsia="de-DE"/>
              </w:rPr>
              <w:t>5</w:t>
            </w:r>
          </w:p>
        </w:tc>
        <w:tc>
          <w:tcPr>
            <w:tcW w:w="1138" w:type="dxa"/>
            <w:tcBorders>
              <w:top w:val="nil"/>
              <w:left w:val="nil"/>
              <w:bottom w:val="single" w:sz="4" w:space="0" w:color="auto"/>
              <w:right w:val="single" w:sz="4" w:space="0" w:color="auto"/>
            </w:tcBorders>
            <w:vAlign w:val="bottom"/>
          </w:tcPr>
          <w:p w:rsidR="00000000" w:rsidRDefault="00000000">
            <w:pPr>
              <w:keepNext/>
              <w:tabs>
                <w:tab w:val="left" w:pos="13467"/>
              </w:tabs>
              <w:autoSpaceDE w:val="0"/>
              <w:autoSpaceDN w:val="0"/>
              <w:ind w:right="120"/>
              <w:jc w:val="right"/>
              <w:rPr>
                <w:rFonts w:eastAsia="Arial Unicode MS"/>
                <w:sz w:val="17"/>
                <w:lang w:eastAsia="de-DE"/>
              </w:rPr>
            </w:pPr>
            <w:r>
              <w:rPr>
                <w:sz w:val="17"/>
                <w:lang w:eastAsia="de-DE"/>
              </w:rPr>
              <w:t>71,43%</w:t>
            </w:r>
          </w:p>
        </w:tc>
        <w:tc>
          <w:tcPr>
            <w:tcW w:w="229" w:type="dxa"/>
            <w:tcBorders>
              <w:top w:val="nil"/>
              <w:left w:val="nil"/>
              <w:bottom w:val="nil"/>
              <w:right w:val="nil"/>
            </w:tcBorders>
            <w:vAlign w:val="bottom"/>
          </w:tcPr>
          <w:p w:rsidR="00000000" w:rsidRDefault="00000000">
            <w:pPr>
              <w:keepNext/>
              <w:tabs>
                <w:tab w:val="left" w:pos="13467"/>
              </w:tabs>
              <w:autoSpaceDE w:val="0"/>
              <w:autoSpaceDN w:val="0"/>
              <w:rPr>
                <w:rFonts w:eastAsia="Arial Unicode MS"/>
                <w:sz w:val="17"/>
                <w:lang w:eastAsia="de-DE"/>
              </w:rPr>
            </w:pPr>
          </w:p>
        </w:tc>
        <w:tc>
          <w:tcPr>
            <w:tcW w:w="899" w:type="dxa"/>
            <w:tcBorders>
              <w:top w:val="nil"/>
              <w:left w:val="single" w:sz="4" w:space="0" w:color="auto"/>
              <w:bottom w:val="single" w:sz="4" w:space="0" w:color="auto"/>
              <w:right w:val="nil"/>
            </w:tcBorders>
            <w:vAlign w:val="bottom"/>
          </w:tcPr>
          <w:p w:rsidR="00000000" w:rsidRDefault="00000000">
            <w:pPr>
              <w:keepNext/>
              <w:tabs>
                <w:tab w:val="left" w:pos="13467"/>
              </w:tabs>
              <w:autoSpaceDE w:val="0"/>
              <w:autoSpaceDN w:val="0"/>
              <w:rPr>
                <w:rFonts w:eastAsia="Arial Unicode MS"/>
                <w:sz w:val="17"/>
                <w:lang w:eastAsia="de-DE"/>
              </w:rPr>
            </w:pPr>
            <w:r>
              <w:rPr>
                <w:sz w:val="17"/>
                <w:lang w:eastAsia="de-DE"/>
              </w:rPr>
              <w:t>Женщины</w:t>
            </w:r>
          </w:p>
        </w:tc>
        <w:tc>
          <w:tcPr>
            <w:tcW w:w="697" w:type="dxa"/>
            <w:tcBorders>
              <w:top w:val="nil"/>
              <w:left w:val="single" w:sz="8" w:space="0" w:color="auto"/>
              <w:bottom w:val="single" w:sz="4" w:space="0" w:color="auto"/>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5</w:t>
            </w:r>
          </w:p>
        </w:tc>
        <w:tc>
          <w:tcPr>
            <w:tcW w:w="699" w:type="dxa"/>
            <w:tcBorders>
              <w:top w:val="nil"/>
              <w:left w:val="nil"/>
              <w:bottom w:val="single" w:sz="4" w:space="0" w:color="auto"/>
              <w:right w:val="single" w:sz="8"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45,45</w:t>
            </w:r>
          </w:p>
        </w:tc>
        <w:tc>
          <w:tcPr>
            <w:tcW w:w="697" w:type="dxa"/>
            <w:tcBorders>
              <w:top w:val="nil"/>
              <w:left w:val="nil"/>
              <w:bottom w:val="single" w:sz="4" w:space="0" w:color="auto"/>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5</w:t>
            </w:r>
          </w:p>
        </w:tc>
        <w:tc>
          <w:tcPr>
            <w:tcW w:w="699" w:type="dxa"/>
            <w:tcBorders>
              <w:top w:val="nil"/>
              <w:left w:val="nil"/>
              <w:bottom w:val="single" w:sz="4" w:space="0" w:color="auto"/>
              <w:right w:val="single" w:sz="8"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35,71</w:t>
            </w:r>
          </w:p>
        </w:tc>
        <w:tc>
          <w:tcPr>
            <w:tcW w:w="699" w:type="dxa"/>
            <w:tcBorders>
              <w:top w:val="nil"/>
              <w:left w:val="nil"/>
              <w:bottom w:val="single" w:sz="4" w:space="0" w:color="auto"/>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1</w:t>
            </w:r>
          </w:p>
        </w:tc>
        <w:tc>
          <w:tcPr>
            <w:tcW w:w="697" w:type="dxa"/>
            <w:tcBorders>
              <w:top w:val="nil"/>
              <w:left w:val="nil"/>
              <w:bottom w:val="single" w:sz="4" w:space="0" w:color="auto"/>
              <w:right w:val="single" w:sz="8"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14,29</w:t>
            </w:r>
          </w:p>
        </w:tc>
        <w:tc>
          <w:tcPr>
            <w:tcW w:w="699" w:type="dxa"/>
            <w:tcBorders>
              <w:top w:val="nil"/>
              <w:left w:val="nil"/>
              <w:bottom w:val="single" w:sz="4" w:space="0" w:color="auto"/>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1</w:t>
            </w:r>
          </w:p>
        </w:tc>
        <w:tc>
          <w:tcPr>
            <w:tcW w:w="699" w:type="dxa"/>
            <w:tcBorders>
              <w:top w:val="nil"/>
              <w:left w:val="nil"/>
              <w:bottom w:val="single" w:sz="4" w:space="0" w:color="auto"/>
              <w:right w:val="single" w:sz="8"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50,00</w:t>
            </w:r>
          </w:p>
        </w:tc>
        <w:tc>
          <w:tcPr>
            <w:tcW w:w="697" w:type="dxa"/>
            <w:tcBorders>
              <w:top w:val="nil"/>
              <w:left w:val="nil"/>
              <w:bottom w:val="single" w:sz="4" w:space="0" w:color="auto"/>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1</w:t>
            </w:r>
          </w:p>
        </w:tc>
        <w:tc>
          <w:tcPr>
            <w:tcW w:w="699" w:type="dxa"/>
            <w:tcBorders>
              <w:top w:val="nil"/>
              <w:left w:val="single" w:sz="8" w:space="0" w:color="auto"/>
              <w:bottom w:val="single" w:sz="4" w:space="0" w:color="auto"/>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13</w:t>
            </w:r>
          </w:p>
        </w:tc>
        <w:tc>
          <w:tcPr>
            <w:tcW w:w="697" w:type="dxa"/>
            <w:tcBorders>
              <w:top w:val="nil"/>
              <w:left w:val="nil"/>
              <w:bottom w:val="single" w:sz="4" w:space="0" w:color="auto"/>
              <w:right w:val="single" w:sz="8"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36,11</w:t>
            </w:r>
          </w:p>
        </w:tc>
      </w:tr>
      <w:tr w:rsidR="00000000">
        <w:tblPrEx>
          <w:tblCellMar>
            <w:top w:w="0" w:type="dxa"/>
            <w:left w:w="0" w:type="dxa"/>
            <w:bottom w:w="0" w:type="dxa"/>
            <w:right w:w="0" w:type="dxa"/>
          </w:tblCellMar>
        </w:tblPrEx>
        <w:trPr>
          <w:trHeight w:val="255"/>
        </w:trPr>
        <w:tc>
          <w:tcPr>
            <w:tcW w:w="10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13467"/>
              </w:tabs>
              <w:autoSpaceDE w:val="0"/>
              <w:autoSpaceDN w:val="0"/>
              <w:rPr>
                <w:rFonts w:eastAsia="Arial Unicode MS"/>
                <w:sz w:val="17"/>
                <w:lang w:eastAsia="de-DE"/>
              </w:rPr>
            </w:pPr>
            <w:r>
              <w:rPr>
                <w:rFonts w:eastAsia="Arial Unicode MS"/>
                <w:sz w:val="17"/>
                <w:lang w:eastAsia="de-DE"/>
              </w:rPr>
              <w:t>Всего</w:t>
            </w:r>
          </w:p>
        </w:tc>
        <w:tc>
          <w:tcPr>
            <w:tcW w:w="1138" w:type="dxa"/>
            <w:tcBorders>
              <w:top w:val="single" w:sz="4" w:space="0" w:color="auto"/>
              <w:left w:val="nil"/>
              <w:bottom w:val="single" w:sz="4" w:space="0" w:color="auto"/>
              <w:right w:val="single" w:sz="4" w:space="0" w:color="auto"/>
            </w:tcBorders>
            <w:vAlign w:val="bottom"/>
          </w:tcPr>
          <w:p w:rsidR="00000000" w:rsidRDefault="00000000">
            <w:pPr>
              <w:keepNext/>
              <w:tabs>
                <w:tab w:val="left" w:pos="13467"/>
              </w:tabs>
              <w:autoSpaceDE w:val="0"/>
              <w:autoSpaceDN w:val="0"/>
              <w:ind w:right="120"/>
              <w:jc w:val="right"/>
              <w:rPr>
                <w:rFonts w:eastAsia="Arial Unicode MS"/>
                <w:sz w:val="17"/>
                <w:lang w:eastAsia="de-DE"/>
              </w:rPr>
            </w:pPr>
            <w:r>
              <w:rPr>
                <w:sz w:val="17"/>
                <w:lang w:eastAsia="de-DE"/>
              </w:rPr>
              <w:t>7</w:t>
            </w:r>
          </w:p>
        </w:tc>
        <w:tc>
          <w:tcPr>
            <w:tcW w:w="1138" w:type="dxa"/>
            <w:tcBorders>
              <w:top w:val="nil"/>
              <w:left w:val="nil"/>
              <w:bottom w:val="single" w:sz="4" w:space="0" w:color="auto"/>
              <w:right w:val="single" w:sz="4" w:space="0" w:color="auto"/>
            </w:tcBorders>
            <w:vAlign w:val="bottom"/>
          </w:tcPr>
          <w:p w:rsidR="00000000" w:rsidRDefault="00000000">
            <w:pPr>
              <w:keepNext/>
              <w:tabs>
                <w:tab w:val="left" w:pos="13467"/>
              </w:tabs>
              <w:autoSpaceDE w:val="0"/>
              <w:autoSpaceDN w:val="0"/>
              <w:ind w:right="120"/>
              <w:jc w:val="right"/>
              <w:rPr>
                <w:rFonts w:eastAsia="Arial Unicode MS"/>
                <w:sz w:val="17"/>
                <w:lang w:eastAsia="de-DE"/>
              </w:rPr>
            </w:pPr>
            <w:r>
              <w:rPr>
                <w:sz w:val="17"/>
                <w:lang w:eastAsia="de-DE"/>
              </w:rPr>
              <w:t>100,00%</w:t>
            </w:r>
          </w:p>
        </w:tc>
        <w:tc>
          <w:tcPr>
            <w:tcW w:w="229" w:type="dxa"/>
            <w:tcBorders>
              <w:top w:val="nil"/>
              <w:left w:val="nil"/>
              <w:bottom w:val="nil"/>
              <w:right w:val="nil"/>
            </w:tcBorders>
            <w:vAlign w:val="bottom"/>
          </w:tcPr>
          <w:p w:rsidR="00000000" w:rsidRDefault="00000000">
            <w:pPr>
              <w:keepNext/>
              <w:tabs>
                <w:tab w:val="left" w:pos="13467"/>
              </w:tabs>
              <w:autoSpaceDE w:val="0"/>
              <w:autoSpaceDN w:val="0"/>
              <w:rPr>
                <w:rFonts w:eastAsia="Arial Unicode MS"/>
                <w:sz w:val="17"/>
                <w:lang w:eastAsia="de-DE"/>
              </w:rPr>
            </w:pPr>
          </w:p>
        </w:tc>
        <w:tc>
          <w:tcPr>
            <w:tcW w:w="899" w:type="dxa"/>
            <w:tcBorders>
              <w:top w:val="nil"/>
              <w:left w:val="single" w:sz="4" w:space="0" w:color="auto"/>
              <w:bottom w:val="nil"/>
              <w:right w:val="nil"/>
            </w:tcBorders>
            <w:vAlign w:val="bottom"/>
          </w:tcPr>
          <w:p w:rsidR="00000000" w:rsidRDefault="00000000">
            <w:pPr>
              <w:keepNext/>
              <w:tabs>
                <w:tab w:val="left" w:pos="13467"/>
              </w:tabs>
              <w:autoSpaceDE w:val="0"/>
              <w:autoSpaceDN w:val="0"/>
              <w:rPr>
                <w:rFonts w:eastAsia="Arial Unicode MS"/>
                <w:sz w:val="17"/>
                <w:lang w:eastAsia="de-DE"/>
              </w:rPr>
            </w:pPr>
            <w:r>
              <w:rPr>
                <w:sz w:val="17"/>
                <w:lang w:eastAsia="de-DE"/>
              </w:rPr>
              <w:t>Мужчины</w:t>
            </w:r>
          </w:p>
        </w:tc>
        <w:tc>
          <w:tcPr>
            <w:tcW w:w="697" w:type="dxa"/>
            <w:tcBorders>
              <w:top w:val="nil"/>
              <w:left w:val="single" w:sz="8" w:space="0" w:color="auto"/>
              <w:bottom w:val="nil"/>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6</w:t>
            </w:r>
          </w:p>
        </w:tc>
        <w:tc>
          <w:tcPr>
            <w:tcW w:w="699" w:type="dxa"/>
            <w:tcBorders>
              <w:top w:val="nil"/>
              <w:left w:val="nil"/>
              <w:bottom w:val="single" w:sz="4" w:space="0" w:color="auto"/>
              <w:right w:val="single" w:sz="8"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54,55</w:t>
            </w:r>
          </w:p>
        </w:tc>
        <w:tc>
          <w:tcPr>
            <w:tcW w:w="697" w:type="dxa"/>
            <w:tcBorders>
              <w:top w:val="nil"/>
              <w:left w:val="nil"/>
              <w:bottom w:val="nil"/>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9</w:t>
            </w:r>
          </w:p>
        </w:tc>
        <w:tc>
          <w:tcPr>
            <w:tcW w:w="699" w:type="dxa"/>
            <w:tcBorders>
              <w:top w:val="nil"/>
              <w:left w:val="nil"/>
              <w:bottom w:val="single" w:sz="4" w:space="0" w:color="auto"/>
              <w:right w:val="single" w:sz="8"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64,29</w:t>
            </w:r>
          </w:p>
        </w:tc>
        <w:tc>
          <w:tcPr>
            <w:tcW w:w="699" w:type="dxa"/>
            <w:tcBorders>
              <w:top w:val="nil"/>
              <w:left w:val="nil"/>
              <w:bottom w:val="nil"/>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6</w:t>
            </w:r>
          </w:p>
        </w:tc>
        <w:tc>
          <w:tcPr>
            <w:tcW w:w="697" w:type="dxa"/>
            <w:tcBorders>
              <w:top w:val="nil"/>
              <w:left w:val="nil"/>
              <w:bottom w:val="single" w:sz="4" w:space="0" w:color="auto"/>
              <w:right w:val="single" w:sz="8"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85,71</w:t>
            </w:r>
          </w:p>
        </w:tc>
        <w:tc>
          <w:tcPr>
            <w:tcW w:w="699" w:type="dxa"/>
            <w:tcBorders>
              <w:top w:val="nil"/>
              <w:left w:val="nil"/>
              <w:bottom w:val="nil"/>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1</w:t>
            </w:r>
          </w:p>
        </w:tc>
        <w:tc>
          <w:tcPr>
            <w:tcW w:w="699" w:type="dxa"/>
            <w:tcBorders>
              <w:top w:val="nil"/>
              <w:left w:val="nil"/>
              <w:bottom w:val="single" w:sz="4" w:space="0" w:color="auto"/>
              <w:right w:val="single" w:sz="8"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50,00</w:t>
            </w:r>
          </w:p>
        </w:tc>
        <w:tc>
          <w:tcPr>
            <w:tcW w:w="697" w:type="dxa"/>
            <w:tcBorders>
              <w:top w:val="nil"/>
              <w:left w:val="nil"/>
              <w:bottom w:val="nil"/>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1</w:t>
            </w:r>
          </w:p>
        </w:tc>
        <w:tc>
          <w:tcPr>
            <w:tcW w:w="699" w:type="dxa"/>
            <w:tcBorders>
              <w:top w:val="nil"/>
              <w:left w:val="single" w:sz="8" w:space="0" w:color="auto"/>
              <w:bottom w:val="single" w:sz="4" w:space="0" w:color="auto"/>
              <w:right w:val="single" w:sz="4"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23</w:t>
            </w:r>
          </w:p>
        </w:tc>
        <w:tc>
          <w:tcPr>
            <w:tcW w:w="697" w:type="dxa"/>
            <w:tcBorders>
              <w:top w:val="nil"/>
              <w:left w:val="nil"/>
              <w:bottom w:val="single" w:sz="4" w:space="0" w:color="auto"/>
              <w:right w:val="single" w:sz="8" w:space="0" w:color="auto"/>
            </w:tcBorders>
            <w:vAlign w:val="bottom"/>
          </w:tcPr>
          <w:p w:rsidR="00000000" w:rsidRDefault="00000000">
            <w:pPr>
              <w:keepNext/>
              <w:tabs>
                <w:tab w:val="left" w:pos="13467"/>
              </w:tabs>
              <w:autoSpaceDE w:val="0"/>
              <w:autoSpaceDN w:val="0"/>
              <w:jc w:val="right"/>
              <w:rPr>
                <w:rFonts w:eastAsia="Arial Unicode MS"/>
                <w:sz w:val="17"/>
                <w:lang w:eastAsia="de-DE"/>
              </w:rPr>
            </w:pPr>
            <w:r>
              <w:rPr>
                <w:sz w:val="17"/>
                <w:lang w:eastAsia="de-DE"/>
              </w:rPr>
              <w:t>63,89</w:t>
            </w:r>
          </w:p>
        </w:tc>
      </w:tr>
      <w:tr w:rsidR="00000000">
        <w:tblPrEx>
          <w:tblCellMar>
            <w:top w:w="0" w:type="dxa"/>
            <w:left w:w="0" w:type="dxa"/>
            <w:bottom w:w="0" w:type="dxa"/>
            <w:right w:w="0" w:type="dxa"/>
          </w:tblCellMar>
        </w:tblPrEx>
        <w:trPr>
          <w:trHeight w:val="270"/>
        </w:trPr>
        <w:tc>
          <w:tcPr>
            <w:tcW w:w="1098"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138"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138"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229"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899"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Всего</w:t>
            </w:r>
          </w:p>
        </w:tc>
        <w:tc>
          <w:tcPr>
            <w:tcW w:w="697" w:type="dxa"/>
            <w:tcBorders>
              <w:top w:val="single" w:sz="4" w:space="0" w:color="auto"/>
              <w:left w:val="single" w:sz="8" w:space="0" w:color="auto"/>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11</w:t>
            </w:r>
          </w:p>
        </w:tc>
        <w:tc>
          <w:tcPr>
            <w:tcW w:w="699"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697"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14</w:t>
            </w:r>
          </w:p>
        </w:tc>
        <w:tc>
          <w:tcPr>
            <w:tcW w:w="699"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699"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w:t>
            </w:r>
          </w:p>
        </w:tc>
        <w:tc>
          <w:tcPr>
            <w:tcW w:w="697"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699"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699"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697"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699" w:type="dxa"/>
            <w:tcBorders>
              <w:top w:val="nil"/>
              <w:left w:val="single" w:sz="8" w:space="0" w:color="auto"/>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36</w:t>
            </w:r>
          </w:p>
        </w:tc>
        <w:tc>
          <w:tcPr>
            <w:tcW w:w="697"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r>
    </w:tbl>
    <w:p w:rsidR="00000000" w:rsidRDefault="00000000">
      <w:pPr>
        <w:rPr>
          <w:sz w:val="17"/>
        </w:rPr>
      </w:pPr>
    </w:p>
    <w:p w:rsidR="00000000" w:rsidRDefault="00000000">
      <w:pPr>
        <w:keepNext/>
        <w:tabs>
          <w:tab w:val="left" w:pos="3686"/>
        </w:tabs>
        <w:rPr>
          <w:sz w:val="17"/>
        </w:rPr>
      </w:pPr>
      <w:r>
        <w:rPr>
          <w:rFonts w:eastAsia="Arial Unicode MS"/>
          <w:b/>
          <w:sz w:val="17"/>
          <w:lang w:eastAsia="de-DE"/>
        </w:rPr>
        <w:t>Штирия</w:t>
      </w:r>
      <w:r>
        <w:rPr>
          <w:rFonts w:eastAsia="Arial Unicode MS"/>
          <w:b/>
          <w:sz w:val="17"/>
          <w:lang w:eastAsia="de-DE"/>
        </w:rPr>
        <w:tab/>
      </w:r>
      <w:r>
        <w:rPr>
          <w:b/>
          <w:sz w:val="17"/>
          <w:lang w:eastAsia="de-DE"/>
        </w:rPr>
        <w:t>Штирия</w:t>
      </w:r>
    </w:p>
    <w:tbl>
      <w:tblPr>
        <w:tblW w:w="0" w:type="auto"/>
        <w:tblInd w:w="13" w:type="dxa"/>
        <w:tblLayout w:type="fixed"/>
        <w:tblCellMar>
          <w:left w:w="0" w:type="dxa"/>
          <w:right w:w="0" w:type="dxa"/>
        </w:tblCellMar>
        <w:tblLook w:val="0000" w:firstRow="0" w:lastRow="0" w:firstColumn="0" w:lastColumn="0" w:noHBand="0" w:noVBand="0"/>
      </w:tblPr>
      <w:tblGrid>
        <w:gridCol w:w="1034"/>
        <w:gridCol w:w="1078"/>
        <w:gridCol w:w="1080"/>
        <w:gridCol w:w="414"/>
        <w:gridCol w:w="912"/>
        <w:gridCol w:w="768"/>
        <w:gridCol w:w="768"/>
        <w:gridCol w:w="768"/>
        <w:gridCol w:w="768"/>
        <w:gridCol w:w="768"/>
        <w:gridCol w:w="768"/>
        <w:gridCol w:w="768"/>
        <w:gridCol w:w="768"/>
        <w:gridCol w:w="768"/>
        <w:gridCol w:w="756"/>
      </w:tblGrid>
      <w:tr w:rsidR="00000000">
        <w:tblPrEx>
          <w:tblCellMar>
            <w:top w:w="0" w:type="dxa"/>
            <w:left w:w="0" w:type="dxa"/>
            <w:bottom w:w="0" w:type="dxa"/>
            <w:right w:w="0" w:type="dxa"/>
          </w:tblCellMar>
        </w:tblPrEx>
        <w:trPr>
          <w:trHeight w:val="255"/>
        </w:trPr>
        <w:tc>
          <w:tcPr>
            <w:tcW w:w="103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1078"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38"/>
              <w:jc w:val="right"/>
              <w:rPr>
                <w:rFonts w:eastAsia="Arial Unicode MS"/>
                <w:sz w:val="17"/>
                <w:lang w:eastAsia="de-DE"/>
              </w:rPr>
            </w:pPr>
            <w:r>
              <w:rPr>
                <w:sz w:val="17"/>
                <w:lang w:eastAsia="de-DE"/>
              </w:rPr>
              <w:t>2</w:t>
            </w:r>
          </w:p>
        </w:tc>
        <w:tc>
          <w:tcPr>
            <w:tcW w:w="1080"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38"/>
              <w:jc w:val="right"/>
              <w:rPr>
                <w:rFonts w:eastAsia="Arial Unicode MS"/>
                <w:sz w:val="17"/>
                <w:lang w:eastAsia="de-DE"/>
              </w:rPr>
            </w:pPr>
            <w:r>
              <w:rPr>
                <w:sz w:val="17"/>
                <w:lang w:eastAsia="de-DE"/>
              </w:rPr>
              <w:t>22,22%</w:t>
            </w:r>
          </w:p>
        </w:tc>
        <w:tc>
          <w:tcPr>
            <w:tcW w:w="414"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12"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val="en-GB" w:eastAsia="de-DE"/>
              </w:rPr>
              <w:t> </w:t>
            </w:r>
          </w:p>
        </w:tc>
        <w:tc>
          <w:tcPr>
            <w:tcW w:w="768" w:type="dxa"/>
            <w:tcBorders>
              <w:top w:val="single" w:sz="8" w:space="0" w:color="auto"/>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СП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НП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ПС</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Зеленые</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b/>
                <w:sz w:val="17"/>
                <w:lang w:eastAsia="de-DE"/>
              </w:rPr>
            </w:pPr>
            <w:r>
              <w:rPr>
                <w:b/>
                <w:sz w:val="17"/>
                <w:lang w:eastAsia="de-DE"/>
              </w:rPr>
              <w:t>Всего</w:t>
            </w:r>
          </w:p>
        </w:tc>
        <w:tc>
          <w:tcPr>
            <w:tcW w:w="756"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w:t>
            </w:r>
          </w:p>
        </w:tc>
      </w:tr>
      <w:tr w:rsidR="00000000">
        <w:tblPrEx>
          <w:tblCellMar>
            <w:top w:w="0" w:type="dxa"/>
            <w:left w:w="0" w:type="dxa"/>
            <w:bottom w:w="0" w:type="dxa"/>
            <w:right w:w="0" w:type="dxa"/>
          </w:tblCellMar>
        </w:tblPrEx>
        <w:trPr>
          <w:trHeight w:val="255"/>
        </w:trPr>
        <w:tc>
          <w:tcPr>
            <w:tcW w:w="1034" w:type="dxa"/>
            <w:tcBorders>
              <w:top w:val="nil"/>
              <w:left w:val="single" w:sz="4" w:space="0" w:color="auto"/>
              <w:bottom w:val="nil"/>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1078" w:type="dxa"/>
            <w:tcBorders>
              <w:top w:val="nil"/>
              <w:left w:val="nil"/>
              <w:bottom w:val="nil"/>
              <w:right w:val="single" w:sz="4" w:space="0" w:color="auto"/>
            </w:tcBorders>
            <w:vAlign w:val="bottom"/>
          </w:tcPr>
          <w:p w:rsidR="00000000" w:rsidRDefault="00000000">
            <w:pPr>
              <w:tabs>
                <w:tab w:val="left" w:pos="13467"/>
              </w:tabs>
              <w:autoSpaceDE w:val="0"/>
              <w:autoSpaceDN w:val="0"/>
              <w:ind w:right="138"/>
              <w:jc w:val="right"/>
              <w:rPr>
                <w:rFonts w:eastAsia="Arial Unicode MS"/>
                <w:sz w:val="17"/>
                <w:lang w:eastAsia="de-DE"/>
              </w:rPr>
            </w:pPr>
            <w:r>
              <w:rPr>
                <w:sz w:val="17"/>
                <w:lang w:eastAsia="de-DE"/>
              </w:rPr>
              <w:t>7</w:t>
            </w:r>
          </w:p>
        </w:tc>
        <w:tc>
          <w:tcPr>
            <w:tcW w:w="1080"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38"/>
              <w:jc w:val="right"/>
              <w:rPr>
                <w:rFonts w:eastAsia="Arial Unicode MS"/>
                <w:sz w:val="17"/>
                <w:lang w:eastAsia="de-DE"/>
              </w:rPr>
            </w:pPr>
            <w:r>
              <w:rPr>
                <w:sz w:val="17"/>
                <w:lang w:eastAsia="de-DE"/>
              </w:rPr>
              <w:t>77,78%</w:t>
            </w:r>
          </w:p>
        </w:tc>
        <w:tc>
          <w:tcPr>
            <w:tcW w:w="414"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12" w:type="dxa"/>
            <w:tcBorders>
              <w:top w:val="nil"/>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768" w:type="dxa"/>
            <w:tcBorders>
              <w:top w:val="nil"/>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42,11</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11,11</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42,86</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66,67</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16</w:t>
            </w:r>
          </w:p>
        </w:tc>
        <w:tc>
          <w:tcPr>
            <w:tcW w:w="75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28,57</w:t>
            </w:r>
          </w:p>
        </w:tc>
      </w:tr>
      <w:tr w:rsidR="00000000">
        <w:tblPrEx>
          <w:tblCellMar>
            <w:top w:w="0" w:type="dxa"/>
            <w:left w:w="0" w:type="dxa"/>
            <w:bottom w:w="0" w:type="dxa"/>
            <w:right w:w="0" w:type="dxa"/>
          </w:tblCellMar>
        </w:tblPrEx>
        <w:trPr>
          <w:trHeight w:val="255"/>
        </w:trPr>
        <w:tc>
          <w:tcPr>
            <w:tcW w:w="103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Всего</w:t>
            </w:r>
          </w:p>
        </w:tc>
        <w:tc>
          <w:tcPr>
            <w:tcW w:w="1078"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38"/>
              <w:jc w:val="right"/>
              <w:rPr>
                <w:rFonts w:eastAsia="Arial Unicode MS"/>
                <w:sz w:val="17"/>
                <w:lang w:eastAsia="de-DE"/>
              </w:rPr>
            </w:pPr>
            <w:r>
              <w:rPr>
                <w:sz w:val="17"/>
                <w:lang w:eastAsia="de-DE"/>
              </w:rPr>
              <w:t>9</w:t>
            </w:r>
          </w:p>
        </w:tc>
        <w:tc>
          <w:tcPr>
            <w:tcW w:w="1080"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38"/>
              <w:jc w:val="right"/>
              <w:rPr>
                <w:rFonts w:eastAsia="Arial Unicode MS"/>
                <w:sz w:val="17"/>
                <w:lang w:eastAsia="de-DE"/>
              </w:rPr>
            </w:pPr>
            <w:r>
              <w:rPr>
                <w:sz w:val="17"/>
                <w:lang w:eastAsia="de-DE"/>
              </w:rPr>
              <w:t>100,00%</w:t>
            </w:r>
          </w:p>
        </w:tc>
        <w:tc>
          <w:tcPr>
            <w:tcW w:w="414"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12" w:type="dxa"/>
            <w:tcBorders>
              <w:top w:val="nil"/>
              <w:left w:val="single" w:sz="4" w:space="0" w:color="auto"/>
              <w:bottom w:val="nil"/>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768" w:type="dxa"/>
            <w:tcBorders>
              <w:top w:val="nil"/>
              <w:left w:val="single" w:sz="8" w:space="0" w:color="auto"/>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11</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57,89</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24</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88,89</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57,14</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33,33</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40</w:t>
            </w:r>
          </w:p>
        </w:tc>
        <w:tc>
          <w:tcPr>
            <w:tcW w:w="75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71,43</w:t>
            </w:r>
          </w:p>
        </w:tc>
      </w:tr>
      <w:tr w:rsidR="00000000">
        <w:tblPrEx>
          <w:tblCellMar>
            <w:top w:w="0" w:type="dxa"/>
            <w:left w:w="0" w:type="dxa"/>
            <w:bottom w:w="0" w:type="dxa"/>
            <w:right w:w="0" w:type="dxa"/>
          </w:tblCellMar>
        </w:tblPrEx>
        <w:trPr>
          <w:trHeight w:val="270"/>
        </w:trPr>
        <w:tc>
          <w:tcPr>
            <w:tcW w:w="1034"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078"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080"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414"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12"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Всего</w:t>
            </w:r>
          </w:p>
        </w:tc>
        <w:tc>
          <w:tcPr>
            <w:tcW w:w="768" w:type="dxa"/>
            <w:tcBorders>
              <w:top w:val="single" w:sz="4" w:space="0" w:color="auto"/>
              <w:left w:val="single" w:sz="8" w:space="0" w:color="auto"/>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19</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27</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nil"/>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56</w:t>
            </w:r>
          </w:p>
        </w:tc>
        <w:tc>
          <w:tcPr>
            <w:tcW w:w="756"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r>
    </w:tbl>
    <w:p w:rsidR="00000000" w:rsidRDefault="00000000">
      <w:pPr>
        <w:rPr>
          <w:sz w:val="17"/>
        </w:rPr>
      </w:pPr>
    </w:p>
    <w:p w:rsidR="00000000" w:rsidRDefault="00000000">
      <w:pPr>
        <w:keepNext/>
        <w:tabs>
          <w:tab w:val="left" w:pos="3686"/>
        </w:tabs>
        <w:rPr>
          <w:sz w:val="17"/>
        </w:rPr>
      </w:pPr>
      <w:r>
        <w:rPr>
          <w:rFonts w:eastAsia="Arial Unicode MS"/>
          <w:b/>
          <w:sz w:val="17"/>
          <w:lang w:eastAsia="de-DE"/>
        </w:rPr>
        <w:t>Тироль</w:t>
      </w:r>
      <w:r>
        <w:rPr>
          <w:rFonts w:eastAsia="Arial Unicode MS"/>
          <w:b/>
          <w:sz w:val="17"/>
          <w:lang w:eastAsia="de-DE"/>
        </w:rPr>
        <w:tab/>
      </w:r>
      <w:r>
        <w:rPr>
          <w:b/>
          <w:sz w:val="17"/>
          <w:lang w:eastAsia="de-DE"/>
        </w:rPr>
        <w:t>Тироль</w:t>
      </w:r>
    </w:p>
    <w:tbl>
      <w:tblPr>
        <w:tblW w:w="0" w:type="auto"/>
        <w:tblInd w:w="13" w:type="dxa"/>
        <w:tblLayout w:type="fixed"/>
        <w:tblCellMar>
          <w:left w:w="0" w:type="dxa"/>
          <w:right w:w="0" w:type="dxa"/>
        </w:tblCellMar>
        <w:tblLook w:val="0000" w:firstRow="0" w:lastRow="0" w:firstColumn="0" w:lastColumn="0" w:noHBand="0" w:noVBand="0"/>
      </w:tblPr>
      <w:tblGrid>
        <w:gridCol w:w="1038"/>
        <w:gridCol w:w="1077"/>
        <w:gridCol w:w="1077"/>
        <w:gridCol w:w="412"/>
        <w:gridCol w:w="920"/>
        <w:gridCol w:w="768"/>
        <w:gridCol w:w="768"/>
        <w:gridCol w:w="768"/>
        <w:gridCol w:w="768"/>
        <w:gridCol w:w="768"/>
        <w:gridCol w:w="768"/>
        <w:gridCol w:w="768"/>
        <w:gridCol w:w="768"/>
        <w:gridCol w:w="768"/>
        <w:gridCol w:w="759"/>
      </w:tblGrid>
      <w:tr w:rsidR="00000000">
        <w:tblPrEx>
          <w:tblCellMar>
            <w:top w:w="0" w:type="dxa"/>
            <w:left w:w="0" w:type="dxa"/>
            <w:bottom w:w="0" w:type="dxa"/>
            <w:right w:w="0" w:type="dxa"/>
          </w:tblCellMar>
        </w:tblPrEx>
        <w:trPr>
          <w:trHeight w:val="255"/>
        </w:trPr>
        <w:tc>
          <w:tcPr>
            <w:tcW w:w="103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13467"/>
              </w:tabs>
              <w:rPr>
                <w:rFonts w:eastAsia="Arial Unicode MS"/>
                <w:sz w:val="17"/>
                <w:lang w:eastAsia="de-DE"/>
              </w:rPr>
            </w:pPr>
            <w:r>
              <w:rPr>
                <w:sz w:val="17"/>
                <w:lang w:eastAsia="de-DE"/>
              </w:rPr>
              <w:t>Женщины</w:t>
            </w:r>
          </w:p>
        </w:tc>
        <w:tc>
          <w:tcPr>
            <w:tcW w:w="1077"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1"/>
              <w:jc w:val="right"/>
              <w:rPr>
                <w:rFonts w:eastAsia="Arial Unicode MS"/>
                <w:sz w:val="17"/>
                <w:lang w:eastAsia="de-DE"/>
              </w:rPr>
            </w:pPr>
            <w:r>
              <w:rPr>
                <w:sz w:val="17"/>
                <w:lang w:eastAsia="de-DE"/>
              </w:rPr>
              <w:t>3</w:t>
            </w:r>
          </w:p>
        </w:tc>
        <w:tc>
          <w:tcPr>
            <w:tcW w:w="1077"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1"/>
              <w:jc w:val="right"/>
              <w:rPr>
                <w:rFonts w:eastAsia="Arial Unicode MS"/>
                <w:sz w:val="17"/>
                <w:lang w:eastAsia="de-DE"/>
              </w:rPr>
            </w:pPr>
            <w:r>
              <w:rPr>
                <w:sz w:val="17"/>
                <w:lang w:eastAsia="de-DE"/>
              </w:rPr>
              <w:t>37,50%</w:t>
            </w:r>
          </w:p>
        </w:tc>
        <w:tc>
          <w:tcPr>
            <w:tcW w:w="412"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20"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jc w:val="center"/>
              <w:rPr>
                <w:rFonts w:eastAsia="Arial Unicode MS"/>
                <w:sz w:val="17"/>
                <w:lang w:eastAsia="de-DE"/>
              </w:rPr>
            </w:pPr>
          </w:p>
        </w:tc>
        <w:tc>
          <w:tcPr>
            <w:tcW w:w="768" w:type="dxa"/>
            <w:tcBorders>
              <w:top w:val="single" w:sz="8" w:space="0" w:color="auto"/>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СП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НП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ПС</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Зеленые</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b/>
                <w:sz w:val="17"/>
                <w:lang w:eastAsia="de-DE"/>
              </w:rPr>
            </w:pPr>
            <w:r>
              <w:rPr>
                <w:b/>
                <w:sz w:val="17"/>
                <w:lang w:eastAsia="de-DE"/>
              </w:rPr>
              <w:t>Всего</w:t>
            </w:r>
          </w:p>
        </w:tc>
        <w:tc>
          <w:tcPr>
            <w:tcW w:w="759"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w:t>
            </w:r>
          </w:p>
        </w:tc>
      </w:tr>
      <w:tr w:rsidR="00000000">
        <w:tblPrEx>
          <w:tblCellMar>
            <w:top w:w="0" w:type="dxa"/>
            <w:left w:w="0" w:type="dxa"/>
            <w:bottom w:w="0" w:type="dxa"/>
            <w:right w:w="0" w:type="dxa"/>
          </w:tblCellMar>
        </w:tblPrEx>
        <w:trPr>
          <w:trHeight w:val="255"/>
        </w:trPr>
        <w:tc>
          <w:tcPr>
            <w:tcW w:w="1038" w:type="dxa"/>
            <w:tcBorders>
              <w:top w:val="nil"/>
              <w:left w:val="single" w:sz="4" w:space="0" w:color="auto"/>
              <w:bottom w:val="nil"/>
              <w:right w:val="single" w:sz="4" w:space="0" w:color="auto"/>
            </w:tcBorders>
            <w:vAlign w:val="bottom"/>
          </w:tcPr>
          <w:p w:rsidR="00000000" w:rsidRDefault="00000000">
            <w:pPr>
              <w:keepNext/>
              <w:tabs>
                <w:tab w:val="left" w:pos="13467"/>
              </w:tabs>
              <w:rPr>
                <w:rFonts w:eastAsia="Arial Unicode MS"/>
                <w:sz w:val="17"/>
                <w:lang w:eastAsia="de-DE"/>
              </w:rPr>
            </w:pPr>
            <w:r>
              <w:rPr>
                <w:sz w:val="17"/>
                <w:lang w:eastAsia="de-DE"/>
              </w:rPr>
              <w:t>Мужчины</w:t>
            </w:r>
          </w:p>
        </w:tc>
        <w:tc>
          <w:tcPr>
            <w:tcW w:w="1077" w:type="dxa"/>
            <w:tcBorders>
              <w:top w:val="nil"/>
              <w:left w:val="nil"/>
              <w:bottom w:val="nil"/>
              <w:right w:val="single" w:sz="4" w:space="0" w:color="auto"/>
            </w:tcBorders>
            <w:vAlign w:val="bottom"/>
          </w:tcPr>
          <w:p w:rsidR="00000000" w:rsidRDefault="00000000">
            <w:pPr>
              <w:tabs>
                <w:tab w:val="left" w:pos="13467"/>
              </w:tabs>
              <w:autoSpaceDE w:val="0"/>
              <w:autoSpaceDN w:val="0"/>
              <w:ind w:right="141"/>
              <w:jc w:val="right"/>
              <w:rPr>
                <w:rFonts w:eastAsia="Arial Unicode MS"/>
                <w:sz w:val="17"/>
                <w:lang w:eastAsia="de-DE"/>
              </w:rPr>
            </w:pPr>
            <w:r>
              <w:rPr>
                <w:sz w:val="17"/>
                <w:lang w:eastAsia="de-DE"/>
              </w:rPr>
              <w:t>5</w:t>
            </w:r>
          </w:p>
        </w:tc>
        <w:tc>
          <w:tcPr>
            <w:tcW w:w="1077"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41"/>
              <w:jc w:val="right"/>
              <w:rPr>
                <w:rFonts w:eastAsia="Arial Unicode MS"/>
                <w:sz w:val="17"/>
                <w:lang w:eastAsia="de-DE"/>
              </w:rPr>
            </w:pPr>
            <w:r>
              <w:rPr>
                <w:sz w:val="17"/>
                <w:lang w:eastAsia="de-DE"/>
              </w:rPr>
              <w:t>62,50%</w:t>
            </w:r>
          </w:p>
        </w:tc>
        <w:tc>
          <w:tcPr>
            <w:tcW w:w="412"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20" w:type="dxa"/>
            <w:tcBorders>
              <w:top w:val="nil"/>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768" w:type="dxa"/>
            <w:tcBorders>
              <w:top w:val="nil"/>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22,22</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0</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11</w:t>
            </w:r>
          </w:p>
        </w:tc>
        <w:tc>
          <w:tcPr>
            <w:tcW w:w="759"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30,56</w:t>
            </w:r>
          </w:p>
        </w:tc>
      </w:tr>
      <w:tr w:rsidR="00000000">
        <w:tblPrEx>
          <w:tblCellMar>
            <w:top w:w="0" w:type="dxa"/>
            <w:left w:w="0" w:type="dxa"/>
            <w:bottom w:w="0" w:type="dxa"/>
            <w:right w:w="0" w:type="dxa"/>
          </w:tblCellMar>
        </w:tblPrEx>
        <w:trPr>
          <w:trHeight w:val="255"/>
        </w:trPr>
        <w:tc>
          <w:tcPr>
            <w:tcW w:w="103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left" w:pos="13467"/>
              </w:tabs>
              <w:rPr>
                <w:rFonts w:eastAsia="Arial Unicode MS"/>
                <w:sz w:val="17"/>
                <w:lang w:eastAsia="de-DE"/>
              </w:rPr>
            </w:pPr>
            <w:r>
              <w:rPr>
                <w:rFonts w:eastAsia="Arial Unicode MS"/>
                <w:sz w:val="17"/>
                <w:lang w:eastAsia="de-DE"/>
              </w:rPr>
              <w:t>Всего</w:t>
            </w:r>
          </w:p>
        </w:tc>
        <w:tc>
          <w:tcPr>
            <w:tcW w:w="1077"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1"/>
              <w:jc w:val="right"/>
              <w:rPr>
                <w:rFonts w:eastAsia="Arial Unicode MS"/>
                <w:sz w:val="17"/>
                <w:lang w:eastAsia="de-DE"/>
              </w:rPr>
            </w:pPr>
            <w:r>
              <w:rPr>
                <w:sz w:val="17"/>
                <w:lang w:eastAsia="de-DE"/>
              </w:rPr>
              <w:t>8</w:t>
            </w:r>
          </w:p>
        </w:tc>
        <w:tc>
          <w:tcPr>
            <w:tcW w:w="1077"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41"/>
              <w:jc w:val="right"/>
              <w:rPr>
                <w:rFonts w:eastAsia="Arial Unicode MS"/>
                <w:sz w:val="17"/>
                <w:lang w:eastAsia="de-DE"/>
              </w:rPr>
            </w:pPr>
            <w:r>
              <w:rPr>
                <w:sz w:val="17"/>
                <w:lang w:eastAsia="de-DE"/>
              </w:rPr>
              <w:t>100,00%</w:t>
            </w:r>
          </w:p>
        </w:tc>
        <w:tc>
          <w:tcPr>
            <w:tcW w:w="412"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20" w:type="dxa"/>
            <w:tcBorders>
              <w:top w:val="nil"/>
              <w:left w:val="single" w:sz="4" w:space="0" w:color="auto"/>
              <w:bottom w:val="nil"/>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768" w:type="dxa"/>
            <w:tcBorders>
              <w:top w:val="nil"/>
              <w:left w:val="single" w:sz="8" w:space="0" w:color="auto"/>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77,78</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14</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70,00</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25</w:t>
            </w:r>
          </w:p>
        </w:tc>
        <w:tc>
          <w:tcPr>
            <w:tcW w:w="759"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69,44</w:t>
            </w:r>
          </w:p>
        </w:tc>
      </w:tr>
      <w:tr w:rsidR="00000000">
        <w:tblPrEx>
          <w:tblCellMar>
            <w:top w:w="0" w:type="dxa"/>
            <w:left w:w="0" w:type="dxa"/>
            <w:bottom w:w="0" w:type="dxa"/>
            <w:right w:w="0" w:type="dxa"/>
          </w:tblCellMar>
        </w:tblPrEx>
        <w:trPr>
          <w:trHeight w:val="270"/>
        </w:trPr>
        <w:tc>
          <w:tcPr>
            <w:tcW w:w="1038" w:type="dxa"/>
            <w:tcBorders>
              <w:top w:val="nil"/>
              <w:left w:val="nil"/>
              <w:bottom w:val="nil"/>
              <w:right w:val="nil"/>
            </w:tcBorders>
            <w:vAlign w:val="bottom"/>
          </w:tcPr>
          <w:p w:rsidR="00000000" w:rsidRDefault="00000000">
            <w:pPr>
              <w:keepNext/>
              <w:tabs>
                <w:tab w:val="left" w:pos="13467"/>
              </w:tabs>
              <w:rPr>
                <w:rFonts w:eastAsia="Arial Unicode MS"/>
                <w:sz w:val="17"/>
                <w:lang w:eastAsia="de-DE"/>
              </w:rPr>
            </w:pPr>
          </w:p>
        </w:tc>
        <w:tc>
          <w:tcPr>
            <w:tcW w:w="1077"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077"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412"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20"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Всего</w:t>
            </w:r>
          </w:p>
        </w:tc>
        <w:tc>
          <w:tcPr>
            <w:tcW w:w="768" w:type="dxa"/>
            <w:tcBorders>
              <w:top w:val="single" w:sz="4" w:space="0" w:color="auto"/>
              <w:left w:val="single" w:sz="8" w:space="0" w:color="auto"/>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9</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20</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nil"/>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36</w:t>
            </w:r>
          </w:p>
        </w:tc>
        <w:tc>
          <w:tcPr>
            <w:tcW w:w="759"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r>
    </w:tbl>
    <w:p w:rsidR="00000000" w:rsidRDefault="00000000">
      <w:pPr>
        <w:pStyle w:val="Header"/>
        <w:tabs>
          <w:tab w:val="clear" w:pos="4320"/>
          <w:tab w:val="clear" w:pos="8640"/>
        </w:tabs>
        <w:spacing w:line="200" w:lineRule="exact"/>
        <w:rPr>
          <w:noProof w:val="0"/>
          <w:spacing w:val="4"/>
          <w:w w:val="103"/>
          <w:kern w:val="14"/>
        </w:rPr>
      </w:pPr>
    </w:p>
    <w:p w:rsidR="00000000" w:rsidRDefault="00000000">
      <w:pPr>
        <w:keepNext/>
        <w:tabs>
          <w:tab w:val="left" w:pos="3686"/>
        </w:tabs>
        <w:rPr>
          <w:sz w:val="17"/>
        </w:rPr>
      </w:pPr>
      <w:r>
        <w:rPr>
          <w:rFonts w:eastAsia="Arial Unicode MS"/>
          <w:b/>
          <w:sz w:val="17"/>
          <w:lang w:eastAsia="de-DE"/>
        </w:rPr>
        <w:t>Форарльберг</w:t>
      </w:r>
      <w:r>
        <w:rPr>
          <w:rFonts w:eastAsia="Arial Unicode MS"/>
          <w:b/>
          <w:sz w:val="17"/>
          <w:lang w:eastAsia="de-DE"/>
        </w:rPr>
        <w:tab/>
      </w:r>
      <w:r>
        <w:rPr>
          <w:b/>
          <w:sz w:val="17"/>
          <w:lang w:val="it-IT" w:eastAsia="de-DE"/>
        </w:rPr>
        <w:t>Форарльберг</w:t>
      </w:r>
    </w:p>
    <w:tbl>
      <w:tblPr>
        <w:tblW w:w="0" w:type="auto"/>
        <w:tblInd w:w="13" w:type="dxa"/>
        <w:tblLayout w:type="fixed"/>
        <w:tblCellMar>
          <w:left w:w="0" w:type="dxa"/>
          <w:right w:w="0" w:type="dxa"/>
        </w:tblCellMar>
        <w:tblLook w:val="0000" w:firstRow="0" w:lastRow="0" w:firstColumn="0" w:lastColumn="0" w:noHBand="0" w:noVBand="0"/>
      </w:tblPr>
      <w:tblGrid>
        <w:gridCol w:w="1042"/>
        <w:gridCol w:w="1077"/>
        <w:gridCol w:w="1076"/>
        <w:gridCol w:w="412"/>
        <w:gridCol w:w="917"/>
        <w:gridCol w:w="768"/>
        <w:gridCol w:w="768"/>
        <w:gridCol w:w="768"/>
        <w:gridCol w:w="768"/>
        <w:gridCol w:w="768"/>
        <w:gridCol w:w="768"/>
        <w:gridCol w:w="768"/>
        <w:gridCol w:w="768"/>
        <w:gridCol w:w="768"/>
        <w:gridCol w:w="759"/>
      </w:tblGrid>
      <w:tr w:rsidR="00000000">
        <w:tblPrEx>
          <w:tblCellMar>
            <w:top w:w="0" w:type="dxa"/>
            <w:left w:w="0" w:type="dxa"/>
            <w:bottom w:w="0" w:type="dxa"/>
            <w:right w:w="0" w:type="dxa"/>
          </w:tblCellMar>
        </w:tblPrEx>
        <w:trPr>
          <w:trHeight w:val="255"/>
        </w:trPr>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1077"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5"/>
              <w:jc w:val="right"/>
              <w:rPr>
                <w:rFonts w:eastAsia="Arial Unicode MS"/>
                <w:sz w:val="17"/>
                <w:lang w:eastAsia="de-DE"/>
              </w:rPr>
            </w:pPr>
            <w:r>
              <w:rPr>
                <w:sz w:val="17"/>
                <w:lang w:eastAsia="de-DE"/>
              </w:rPr>
              <w:t>1</w:t>
            </w:r>
          </w:p>
        </w:tc>
        <w:tc>
          <w:tcPr>
            <w:tcW w:w="1076"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5"/>
              <w:jc w:val="right"/>
              <w:rPr>
                <w:rFonts w:eastAsia="Arial Unicode MS"/>
                <w:sz w:val="17"/>
                <w:lang w:eastAsia="de-DE"/>
              </w:rPr>
            </w:pPr>
            <w:r>
              <w:rPr>
                <w:sz w:val="17"/>
                <w:lang w:eastAsia="de-DE"/>
              </w:rPr>
              <w:t>14,29%</w:t>
            </w:r>
          </w:p>
        </w:tc>
        <w:tc>
          <w:tcPr>
            <w:tcW w:w="412"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17"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jc w:val="center"/>
              <w:rPr>
                <w:rFonts w:eastAsia="Arial Unicode MS"/>
                <w:sz w:val="17"/>
                <w:lang w:eastAsia="de-DE"/>
              </w:rPr>
            </w:pPr>
          </w:p>
        </w:tc>
        <w:tc>
          <w:tcPr>
            <w:tcW w:w="768" w:type="dxa"/>
            <w:tcBorders>
              <w:top w:val="single" w:sz="8" w:space="0" w:color="auto"/>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СП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НП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ПС</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Зеленые</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b/>
                <w:sz w:val="17"/>
                <w:lang w:eastAsia="de-DE"/>
              </w:rPr>
            </w:pPr>
            <w:r>
              <w:rPr>
                <w:b/>
                <w:sz w:val="17"/>
                <w:lang w:eastAsia="de-DE"/>
              </w:rPr>
              <w:t>Всего</w:t>
            </w:r>
          </w:p>
        </w:tc>
        <w:tc>
          <w:tcPr>
            <w:tcW w:w="759"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w:t>
            </w:r>
          </w:p>
        </w:tc>
      </w:tr>
      <w:tr w:rsidR="00000000">
        <w:tblPrEx>
          <w:tblCellMar>
            <w:top w:w="0" w:type="dxa"/>
            <w:left w:w="0" w:type="dxa"/>
            <w:bottom w:w="0" w:type="dxa"/>
            <w:right w:w="0" w:type="dxa"/>
          </w:tblCellMar>
        </w:tblPrEx>
        <w:trPr>
          <w:trHeight w:val="255"/>
        </w:trPr>
        <w:tc>
          <w:tcPr>
            <w:tcW w:w="1042" w:type="dxa"/>
            <w:tcBorders>
              <w:top w:val="nil"/>
              <w:left w:val="single" w:sz="4" w:space="0" w:color="auto"/>
              <w:bottom w:val="nil"/>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1077" w:type="dxa"/>
            <w:tcBorders>
              <w:top w:val="nil"/>
              <w:left w:val="nil"/>
              <w:bottom w:val="nil"/>
              <w:right w:val="single" w:sz="4" w:space="0" w:color="auto"/>
            </w:tcBorders>
            <w:vAlign w:val="bottom"/>
          </w:tcPr>
          <w:p w:rsidR="00000000" w:rsidRDefault="00000000">
            <w:pPr>
              <w:tabs>
                <w:tab w:val="left" w:pos="13467"/>
              </w:tabs>
              <w:autoSpaceDE w:val="0"/>
              <w:autoSpaceDN w:val="0"/>
              <w:ind w:right="145"/>
              <w:jc w:val="right"/>
              <w:rPr>
                <w:rFonts w:eastAsia="Arial Unicode MS"/>
                <w:sz w:val="17"/>
                <w:lang w:eastAsia="de-DE"/>
              </w:rPr>
            </w:pPr>
            <w:r>
              <w:rPr>
                <w:sz w:val="17"/>
                <w:lang w:eastAsia="de-DE"/>
              </w:rPr>
              <w:t>6</w:t>
            </w:r>
          </w:p>
        </w:tc>
        <w:tc>
          <w:tcPr>
            <w:tcW w:w="107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45"/>
              <w:jc w:val="right"/>
              <w:rPr>
                <w:rFonts w:eastAsia="Arial Unicode MS"/>
                <w:sz w:val="17"/>
                <w:lang w:eastAsia="de-DE"/>
              </w:rPr>
            </w:pPr>
            <w:r>
              <w:rPr>
                <w:sz w:val="17"/>
                <w:lang w:eastAsia="de-DE"/>
              </w:rPr>
              <w:t>85,71%</w:t>
            </w:r>
          </w:p>
        </w:tc>
        <w:tc>
          <w:tcPr>
            <w:tcW w:w="412"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17" w:type="dxa"/>
            <w:tcBorders>
              <w:top w:val="nil"/>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768" w:type="dxa"/>
            <w:tcBorders>
              <w:top w:val="nil"/>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33,33</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18,18</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12</w:t>
            </w:r>
          </w:p>
        </w:tc>
        <w:tc>
          <w:tcPr>
            <w:tcW w:w="759"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33,33</w:t>
            </w:r>
          </w:p>
        </w:tc>
      </w:tr>
      <w:tr w:rsidR="00000000">
        <w:tblPrEx>
          <w:tblCellMar>
            <w:top w:w="0" w:type="dxa"/>
            <w:left w:w="0" w:type="dxa"/>
            <w:bottom w:w="0" w:type="dxa"/>
            <w:right w:w="0" w:type="dxa"/>
          </w:tblCellMar>
        </w:tblPrEx>
        <w:trPr>
          <w:trHeight w:val="255"/>
        </w:trPr>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Всего</w:t>
            </w:r>
          </w:p>
        </w:tc>
        <w:tc>
          <w:tcPr>
            <w:tcW w:w="1077"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5"/>
              <w:jc w:val="right"/>
              <w:rPr>
                <w:rFonts w:eastAsia="Arial Unicode MS"/>
                <w:sz w:val="17"/>
                <w:lang w:eastAsia="de-DE"/>
              </w:rPr>
            </w:pPr>
            <w:r>
              <w:rPr>
                <w:sz w:val="17"/>
                <w:lang w:eastAsia="de-DE"/>
              </w:rPr>
              <w:t>7</w:t>
            </w:r>
          </w:p>
        </w:tc>
        <w:tc>
          <w:tcPr>
            <w:tcW w:w="107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45"/>
              <w:jc w:val="right"/>
              <w:rPr>
                <w:rFonts w:eastAsia="Arial Unicode MS"/>
                <w:sz w:val="17"/>
                <w:lang w:eastAsia="de-DE"/>
              </w:rPr>
            </w:pPr>
            <w:r>
              <w:rPr>
                <w:sz w:val="17"/>
                <w:lang w:eastAsia="de-DE"/>
              </w:rPr>
              <w:t>100,00%</w:t>
            </w:r>
          </w:p>
        </w:tc>
        <w:tc>
          <w:tcPr>
            <w:tcW w:w="412"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17" w:type="dxa"/>
            <w:tcBorders>
              <w:top w:val="nil"/>
              <w:left w:val="single" w:sz="4" w:space="0" w:color="auto"/>
              <w:bottom w:val="nil"/>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768" w:type="dxa"/>
            <w:tcBorders>
              <w:top w:val="nil"/>
              <w:left w:val="single" w:sz="8" w:space="0" w:color="auto"/>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40,00</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66,67</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9</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81,82</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50,00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24</w:t>
            </w:r>
          </w:p>
        </w:tc>
        <w:tc>
          <w:tcPr>
            <w:tcW w:w="759"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66,67</w:t>
            </w:r>
          </w:p>
        </w:tc>
      </w:tr>
      <w:tr w:rsidR="00000000">
        <w:tblPrEx>
          <w:tblCellMar>
            <w:top w:w="0" w:type="dxa"/>
            <w:left w:w="0" w:type="dxa"/>
            <w:bottom w:w="0" w:type="dxa"/>
            <w:right w:w="0" w:type="dxa"/>
          </w:tblCellMar>
        </w:tblPrEx>
        <w:trPr>
          <w:trHeight w:val="270"/>
        </w:trPr>
        <w:tc>
          <w:tcPr>
            <w:tcW w:w="1042"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077"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076"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412"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17"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Всего</w:t>
            </w:r>
          </w:p>
        </w:tc>
        <w:tc>
          <w:tcPr>
            <w:tcW w:w="768" w:type="dxa"/>
            <w:tcBorders>
              <w:top w:val="single" w:sz="4" w:space="0" w:color="auto"/>
              <w:left w:val="single" w:sz="8" w:space="0" w:color="auto"/>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18</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11</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nil"/>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36</w:t>
            </w:r>
          </w:p>
        </w:tc>
        <w:tc>
          <w:tcPr>
            <w:tcW w:w="759"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r>
    </w:tbl>
    <w:p w:rsidR="00000000" w:rsidRDefault="00000000">
      <w:pPr>
        <w:rPr>
          <w:sz w:val="17"/>
        </w:rPr>
      </w:pPr>
    </w:p>
    <w:p w:rsidR="00000000" w:rsidRDefault="00000000">
      <w:pPr>
        <w:tabs>
          <w:tab w:val="left" w:pos="3686"/>
        </w:tabs>
        <w:rPr>
          <w:sz w:val="17"/>
        </w:rPr>
      </w:pPr>
      <w:r>
        <w:rPr>
          <w:rFonts w:eastAsia="Arial Unicode MS"/>
          <w:b/>
          <w:sz w:val="17"/>
          <w:lang w:eastAsia="de-DE"/>
        </w:rPr>
        <w:t>Вена</w:t>
      </w:r>
      <w:r>
        <w:rPr>
          <w:rFonts w:eastAsia="Arial Unicode MS"/>
          <w:b/>
          <w:sz w:val="17"/>
          <w:lang w:eastAsia="de-DE"/>
        </w:rPr>
        <w:tab/>
      </w:r>
      <w:r>
        <w:rPr>
          <w:b/>
          <w:sz w:val="17"/>
          <w:lang w:val="it-IT" w:eastAsia="de-DE"/>
        </w:rPr>
        <w:t>Вена</w:t>
      </w:r>
    </w:p>
    <w:tbl>
      <w:tblPr>
        <w:tblW w:w="0" w:type="auto"/>
        <w:tblInd w:w="13" w:type="dxa"/>
        <w:tblLayout w:type="fixed"/>
        <w:tblCellMar>
          <w:left w:w="0" w:type="dxa"/>
          <w:right w:w="0" w:type="dxa"/>
        </w:tblCellMar>
        <w:tblLook w:val="0000" w:firstRow="0" w:lastRow="0" w:firstColumn="0" w:lastColumn="0" w:noHBand="0" w:noVBand="0"/>
      </w:tblPr>
      <w:tblGrid>
        <w:gridCol w:w="1042"/>
        <w:gridCol w:w="1076"/>
        <w:gridCol w:w="1076"/>
        <w:gridCol w:w="417"/>
        <w:gridCol w:w="920"/>
        <w:gridCol w:w="766"/>
        <w:gridCol w:w="768"/>
        <w:gridCol w:w="768"/>
        <w:gridCol w:w="768"/>
        <w:gridCol w:w="768"/>
        <w:gridCol w:w="766"/>
        <w:gridCol w:w="768"/>
        <w:gridCol w:w="768"/>
        <w:gridCol w:w="768"/>
        <w:gridCol w:w="756"/>
      </w:tblGrid>
      <w:tr w:rsidR="00000000">
        <w:tblPrEx>
          <w:tblCellMar>
            <w:top w:w="0" w:type="dxa"/>
            <w:left w:w="0" w:type="dxa"/>
            <w:bottom w:w="0" w:type="dxa"/>
            <w:right w:w="0" w:type="dxa"/>
          </w:tblCellMar>
        </w:tblPrEx>
        <w:trPr>
          <w:trHeight w:val="255"/>
        </w:trPr>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1076"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4"/>
              <w:jc w:val="right"/>
              <w:rPr>
                <w:rFonts w:eastAsia="Arial Unicode MS"/>
                <w:sz w:val="17"/>
                <w:lang w:eastAsia="de-DE"/>
              </w:rPr>
            </w:pPr>
            <w:r>
              <w:rPr>
                <w:sz w:val="17"/>
                <w:lang w:eastAsia="de-DE"/>
              </w:rPr>
              <w:t>7</w:t>
            </w:r>
          </w:p>
        </w:tc>
        <w:tc>
          <w:tcPr>
            <w:tcW w:w="1076"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4"/>
              <w:jc w:val="right"/>
              <w:rPr>
                <w:rFonts w:eastAsia="Arial Unicode MS"/>
                <w:sz w:val="17"/>
                <w:lang w:eastAsia="de-DE"/>
              </w:rPr>
            </w:pPr>
            <w:r>
              <w:rPr>
                <w:sz w:val="17"/>
                <w:lang w:eastAsia="de-DE"/>
              </w:rPr>
              <w:t>46,67%</w:t>
            </w:r>
          </w:p>
        </w:tc>
        <w:tc>
          <w:tcPr>
            <w:tcW w:w="417"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20"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jc w:val="center"/>
              <w:rPr>
                <w:rFonts w:eastAsia="Arial Unicode MS"/>
                <w:sz w:val="17"/>
                <w:lang w:eastAsia="de-DE"/>
              </w:rPr>
            </w:pPr>
          </w:p>
        </w:tc>
        <w:tc>
          <w:tcPr>
            <w:tcW w:w="766" w:type="dxa"/>
            <w:tcBorders>
              <w:top w:val="single" w:sz="8" w:space="0" w:color="auto"/>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СП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НП</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ПС</w:t>
            </w:r>
          </w:p>
        </w:tc>
        <w:tc>
          <w:tcPr>
            <w:tcW w:w="766"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Зеленые</w:t>
            </w:r>
          </w:p>
        </w:tc>
        <w:tc>
          <w:tcPr>
            <w:tcW w:w="768"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sz w:val="17"/>
                <w:lang w:eastAsia="de-DE"/>
              </w:rPr>
              <w:t>%</w:t>
            </w:r>
          </w:p>
        </w:tc>
        <w:tc>
          <w:tcPr>
            <w:tcW w:w="768" w:type="dxa"/>
            <w:tcBorders>
              <w:top w:val="single" w:sz="8" w:space="0" w:color="auto"/>
              <w:left w:val="nil"/>
              <w:bottom w:val="single" w:sz="4" w:space="0" w:color="auto"/>
              <w:right w:val="single" w:sz="4" w:space="0" w:color="auto"/>
            </w:tcBorders>
            <w:vAlign w:val="bottom"/>
          </w:tcPr>
          <w:p w:rsidR="00000000" w:rsidRDefault="00000000">
            <w:pPr>
              <w:tabs>
                <w:tab w:val="left" w:pos="13467"/>
              </w:tabs>
              <w:autoSpaceDE w:val="0"/>
              <w:autoSpaceDN w:val="0"/>
              <w:jc w:val="center"/>
              <w:rPr>
                <w:rFonts w:eastAsia="Arial Unicode MS"/>
                <w:b/>
                <w:sz w:val="17"/>
                <w:lang w:eastAsia="de-DE"/>
              </w:rPr>
            </w:pPr>
            <w:r>
              <w:rPr>
                <w:b/>
                <w:sz w:val="17"/>
                <w:lang w:eastAsia="de-DE"/>
              </w:rPr>
              <w:t>Всего</w:t>
            </w:r>
          </w:p>
        </w:tc>
        <w:tc>
          <w:tcPr>
            <w:tcW w:w="756" w:type="dxa"/>
            <w:tcBorders>
              <w:top w:val="single" w:sz="8" w:space="0" w:color="auto"/>
              <w:left w:val="nil"/>
              <w:bottom w:val="single" w:sz="4" w:space="0" w:color="auto"/>
              <w:right w:val="single" w:sz="8" w:space="0" w:color="auto"/>
            </w:tcBorders>
            <w:vAlign w:val="bottom"/>
          </w:tcPr>
          <w:p w:rsidR="00000000" w:rsidRDefault="00000000">
            <w:pPr>
              <w:tabs>
                <w:tab w:val="left" w:pos="13467"/>
              </w:tabs>
              <w:autoSpaceDE w:val="0"/>
              <w:autoSpaceDN w:val="0"/>
              <w:jc w:val="center"/>
              <w:rPr>
                <w:rFonts w:eastAsia="Arial Unicode MS"/>
                <w:sz w:val="17"/>
                <w:lang w:eastAsia="de-DE"/>
              </w:rPr>
            </w:pPr>
            <w:r>
              <w:rPr>
                <w:rFonts w:eastAsia="Arial Unicode MS"/>
                <w:sz w:val="17"/>
                <w:lang w:eastAsia="de-DE"/>
              </w:rPr>
              <w:t>%</w:t>
            </w:r>
          </w:p>
        </w:tc>
      </w:tr>
      <w:tr w:rsidR="00000000">
        <w:tblPrEx>
          <w:tblCellMar>
            <w:top w:w="0" w:type="dxa"/>
            <w:left w:w="0" w:type="dxa"/>
            <w:bottom w:w="0" w:type="dxa"/>
            <w:right w:w="0" w:type="dxa"/>
          </w:tblCellMar>
        </w:tblPrEx>
        <w:trPr>
          <w:trHeight w:val="255"/>
        </w:trPr>
        <w:tc>
          <w:tcPr>
            <w:tcW w:w="1042" w:type="dxa"/>
            <w:tcBorders>
              <w:top w:val="nil"/>
              <w:left w:val="single" w:sz="4" w:space="0" w:color="auto"/>
              <w:bottom w:val="nil"/>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1076" w:type="dxa"/>
            <w:tcBorders>
              <w:top w:val="nil"/>
              <w:left w:val="nil"/>
              <w:bottom w:val="nil"/>
              <w:right w:val="single" w:sz="4" w:space="0" w:color="auto"/>
            </w:tcBorders>
            <w:vAlign w:val="bottom"/>
          </w:tcPr>
          <w:p w:rsidR="00000000" w:rsidRDefault="00000000">
            <w:pPr>
              <w:tabs>
                <w:tab w:val="left" w:pos="13467"/>
              </w:tabs>
              <w:autoSpaceDE w:val="0"/>
              <w:autoSpaceDN w:val="0"/>
              <w:ind w:right="144"/>
              <w:jc w:val="right"/>
              <w:rPr>
                <w:rFonts w:eastAsia="Arial Unicode MS"/>
                <w:sz w:val="17"/>
                <w:lang w:eastAsia="de-DE"/>
              </w:rPr>
            </w:pPr>
            <w:r>
              <w:rPr>
                <w:sz w:val="17"/>
                <w:lang w:eastAsia="de-DE"/>
              </w:rPr>
              <w:t>8</w:t>
            </w:r>
          </w:p>
        </w:tc>
        <w:tc>
          <w:tcPr>
            <w:tcW w:w="107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44"/>
              <w:jc w:val="right"/>
              <w:rPr>
                <w:rFonts w:eastAsia="Arial Unicode MS"/>
                <w:sz w:val="17"/>
                <w:lang w:eastAsia="de-DE"/>
              </w:rPr>
            </w:pPr>
            <w:r>
              <w:rPr>
                <w:sz w:val="17"/>
                <w:lang w:eastAsia="de-DE"/>
              </w:rPr>
              <w:t>53,33%</w:t>
            </w:r>
          </w:p>
        </w:tc>
        <w:tc>
          <w:tcPr>
            <w:tcW w:w="417"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20" w:type="dxa"/>
            <w:tcBorders>
              <w:top w:val="nil"/>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Женщины</w:t>
            </w:r>
          </w:p>
        </w:tc>
        <w:tc>
          <w:tcPr>
            <w:tcW w:w="766" w:type="dxa"/>
            <w:tcBorders>
              <w:top w:val="nil"/>
              <w:left w:val="single" w:sz="8" w:space="0" w:color="auto"/>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21</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40,38</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12,50</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28,57</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54,55</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35</w:t>
            </w:r>
          </w:p>
        </w:tc>
        <w:tc>
          <w:tcPr>
            <w:tcW w:w="75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35,00</w:t>
            </w:r>
          </w:p>
        </w:tc>
      </w:tr>
      <w:tr w:rsidR="00000000">
        <w:tblPrEx>
          <w:tblCellMar>
            <w:top w:w="0" w:type="dxa"/>
            <w:left w:w="0" w:type="dxa"/>
            <w:bottom w:w="0" w:type="dxa"/>
            <w:right w:w="0" w:type="dxa"/>
          </w:tblCellMar>
        </w:tblPrEx>
        <w:trPr>
          <w:trHeight w:val="255"/>
        </w:trPr>
        <w:tc>
          <w:tcPr>
            <w:tcW w:w="104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Всего</w:t>
            </w:r>
          </w:p>
        </w:tc>
        <w:tc>
          <w:tcPr>
            <w:tcW w:w="1076" w:type="dxa"/>
            <w:tcBorders>
              <w:top w:val="single" w:sz="4" w:space="0" w:color="auto"/>
              <w:left w:val="nil"/>
              <w:bottom w:val="single" w:sz="4" w:space="0" w:color="auto"/>
              <w:right w:val="single" w:sz="4" w:space="0" w:color="auto"/>
            </w:tcBorders>
            <w:vAlign w:val="bottom"/>
          </w:tcPr>
          <w:p w:rsidR="00000000" w:rsidRDefault="00000000">
            <w:pPr>
              <w:tabs>
                <w:tab w:val="left" w:pos="13467"/>
              </w:tabs>
              <w:autoSpaceDE w:val="0"/>
              <w:autoSpaceDN w:val="0"/>
              <w:ind w:right="144"/>
              <w:jc w:val="right"/>
              <w:rPr>
                <w:rFonts w:eastAsia="Arial Unicode MS"/>
                <w:sz w:val="17"/>
                <w:lang w:eastAsia="de-DE"/>
              </w:rPr>
            </w:pPr>
            <w:r>
              <w:rPr>
                <w:sz w:val="17"/>
                <w:lang w:eastAsia="de-DE"/>
              </w:rPr>
              <w:t>15</w:t>
            </w:r>
          </w:p>
        </w:tc>
        <w:tc>
          <w:tcPr>
            <w:tcW w:w="1076"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ind w:right="144"/>
              <w:jc w:val="right"/>
              <w:rPr>
                <w:rFonts w:eastAsia="Arial Unicode MS"/>
                <w:sz w:val="17"/>
                <w:lang w:eastAsia="de-DE"/>
              </w:rPr>
            </w:pPr>
            <w:r>
              <w:rPr>
                <w:sz w:val="17"/>
                <w:lang w:eastAsia="de-DE"/>
              </w:rPr>
              <w:t>100,00%</w:t>
            </w:r>
          </w:p>
        </w:tc>
        <w:tc>
          <w:tcPr>
            <w:tcW w:w="417"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20" w:type="dxa"/>
            <w:tcBorders>
              <w:top w:val="nil"/>
              <w:left w:val="single" w:sz="4" w:space="0" w:color="auto"/>
              <w:bottom w:val="nil"/>
              <w:right w:val="nil"/>
            </w:tcBorders>
            <w:vAlign w:val="bottom"/>
          </w:tcPr>
          <w:p w:rsidR="00000000" w:rsidRDefault="00000000">
            <w:pPr>
              <w:tabs>
                <w:tab w:val="left" w:pos="13467"/>
              </w:tabs>
              <w:autoSpaceDE w:val="0"/>
              <w:autoSpaceDN w:val="0"/>
              <w:rPr>
                <w:rFonts w:eastAsia="Arial Unicode MS"/>
                <w:sz w:val="17"/>
                <w:lang w:eastAsia="de-DE"/>
              </w:rPr>
            </w:pPr>
            <w:r>
              <w:rPr>
                <w:sz w:val="17"/>
                <w:lang w:eastAsia="de-DE"/>
              </w:rPr>
              <w:t>Мужчины</w:t>
            </w:r>
          </w:p>
        </w:tc>
        <w:tc>
          <w:tcPr>
            <w:tcW w:w="766" w:type="dxa"/>
            <w:tcBorders>
              <w:top w:val="nil"/>
              <w:left w:val="single" w:sz="8" w:space="0" w:color="auto"/>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31</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59,62</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14</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87,50</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15</w:t>
            </w:r>
          </w:p>
        </w:tc>
        <w:tc>
          <w:tcPr>
            <w:tcW w:w="76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71,43</w:t>
            </w:r>
          </w:p>
        </w:tc>
        <w:tc>
          <w:tcPr>
            <w:tcW w:w="768" w:type="dxa"/>
            <w:tcBorders>
              <w:top w:val="nil"/>
              <w:left w:val="nil"/>
              <w:bottom w:val="nil"/>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w:t>
            </w:r>
          </w:p>
        </w:tc>
        <w:tc>
          <w:tcPr>
            <w:tcW w:w="768"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45,45</w:t>
            </w:r>
          </w:p>
        </w:tc>
        <w:tc>
          <w:tcPr>
            <w:tcW w:w="768" w:type="dxa"/>
            <w:tcBorders>
              <w:top w:val="nil"/>
              <w:left w:val="nil"/>
              <w:bottom w:val="single" w:sz="4"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65</w:t>
            </w:r>
          </w:p>
        </w:tc>
        <w:tc>
          <w:tcPr>
            <w:tcW w:w="756" w:type="dxa"/>
            <w:tcBorders>
              <w:top w:val="nil"/>
              <w:left w:val="nil"/>
              <w:bottom w:val="single" w:sz="4"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65,00</w:t>
            </w:r>
          </w:p>
        </w:tc>
      </w:tr>
      <w:tr w:rsidR="00000000">
        <w:tblPrEx>
          <w:tblCellMar>
            <w:top w:w="0" w:type="dxa"/>
            <w:left w:w="0" w:type="dxa"/>
            <w:bottom w:w="0" w:type="dxa"/>
            <w:right w:w="0" w:type="dxa"/>
          </w:tblCellMar>
        </w:tblPrEx>
        <w:trPr>
          <w:trHeight w:val="270"/>
        </w:trPr>
        <w:tc>
          <w:tcPr>
            <w:tcW w:w="1042"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076"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1076"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417" w:type="dxa"/>
            <w:tcBorders>
              <w:top w:val="nil"/>
              <w:left w:val="nil"/>
              <w:bottom w:val="nil"/>
              <w:right w:val="nil"/>
            </w:tcBorders>
            <w:vAlign w:val="bottom"/>
          </w:tcPr>
          <w:p w:rsidR="00000000" w:rsidRDefault="00000000">
            <w:pPr>
              <w:tabs>
                <w:tab w:val="left" w:pos="13467"/>
              </w:tabs>
              <w:autoSpaceDE w:val="0"/>
              <w:autoSpaceDN w:val="0"/>
              <w:rPr>
                <w:rFonts w:eastAsia="Arial Unicode MS"/>
                <w:sz w:val="17"/>
                <w:lang w:eastAsia="de-DE"/>
              </w:rPr>
            </w:pPr>
          </w:p>
        </w:tc>
        <w:tc>
          <w:tcPr>
            <w:tcW w:w="920" w:type="dxa"/>
            <w:tcBorders>
              <w:top w:val="single" w:sz="4" w:space="0" w:color="auto"/>
              <w:left w:val="single" w:sz="4" w:space="0" w:color="auto"/>
              <w:bottom w:val="single" w:sz="4" w:space="0" w:color="auto"/>
              <w:right w:val="nil"/>
            </w:tcBorders>
            <w:vAlign w:val="bottom"/>
          </w:tcPr>
          <w:p w:rsidR="00000000" w:rsidRDefault="00000000">
            <w:pPr>
              <w:tabs>
                <w:tab w:val="left" w:pos="13467"/>
              </w:tabs>
              <w:autoSpaceDE w:val="0"/>
              <w:autoSpaceDN w:val="0"/>
              <w:rPr>
                <w:rFonts w:eastAsia="Arial Unicode MS"/>
                <w:sz w:val="17"/>
                <w:lang w:eastAsia="de-DE"/>
              </w:rPr>
            </w:pPr>
            <w:r>
              <w:rPr>
                <w:rFonts w:eastAsia="Arial Unicode MS"/>
                <w:sz w:val="17"/>
                <w:lang w:eastAsia="de-DE"/>
              </w:rPr>
              <w:t>Всего</w:t>
            </w:r>
          </w:p>
        </w:tc>
        <w:tc>
          <w:tcPr>
            <w:tcW w:w="766" w:type="dxa"/>
            <w:tcBorders>
              <w:top w:val="single" w:sz="4" w:space="0" w:color="auto"/>
              <w:left w:val="single" w:sz="8" w:space="0" w:color="auto"/>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52</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16</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21</w:t>
            </w:r>
          </w:p>
        </w:tc>
        <w:tc>
          <w:tcPr>
            <w:tcW w:w="766"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single" w:sz="4" w:space="0" w:color="auto"/>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11</w:t>
            </w:r>
          </w:p>
        </w:tc>
        <w:tc>
          <w:tcPr>
            <w:tcW w:w="768"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c>
          <w:tcPr>
            <w:tcW w:w="768" w:type="dxa"/>
            <w:tcBorders>
              <w:top w:val="nil"/>
              <w:left w:val="nil"/>
              <w:bottom w:val="single" w:sz="8" w:space="0" w:color="auto"/>
              <w:right w:val="single" w:sz="4"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w:t>
            </w:r>
          </w:p>
        </w:tc>
        <w:tc>
          <w:tcPr>
            <w:tcW w:w="756" w:type="dxa"/>
            <w:tcBorders>
              <w:top w:val="nil"/>
              <w:left w:val="nil"/>
              <w:bottom w:val="single" w:sz="8" w:space="0" w:color="auto"/>
              <w:right w:val="single" w:sz="8" w:space="0" w:color="auto"/>
            </w:tcBorders>
            <w:vAlign w:val="bottom"/>
          </w:tcPr>
          <w:p w:rsidR="00000000" w:rsidRDefault="00000000">
            <w:pPr>
              <w:tabs>
                <w:tab w:val="left" w:pos="13467"/>
              </w:tabs>
              <w:autoSpaceDE w:val="0"/>
              <w:autoSpaceDN w:val="0"/>
              <w:jc w:val="right"/>
              <w:rPr>
                <w:rFonts w:eastAsia="Arial Unicode MS"/>
                <w:sz w:val="17"/>
                <w:lang w:eastAsia="de-DE"/>
              </w:rPr>
            </w:pPr>
            <w:r>
              <w:rPr>
                <w:sz w:val="17"/>
                <w:lang w:eastAsia="de-DE"/>
              </w:rPr>
              <w:t>100,00</w:t>
            </w:r>
          </w:p>
        </w:tc>
      </w:tr>
    </w:tbl>
    <w:p w:rsidR="00000000" w:rsidRDefault="00000000">
      <w:pPr>
        <w:pStyle w:val="50"/>
      </w:pPr>
    </w:p>
    <w:p w:rsidR="00000000" w:rsidRDefault="00000000">
      <w:pPr>
        <w:rPr>
          <w:sz w:val="17"/>
        </w:rPr>
      </w:pPr>
      <w:r>
        <w:rPr>
          <w:sz w:val="17"/>
          <w:lang w:eastAsia="de-DE"/>
        </w:rPr>
        <w:t xml:space="preserve">Данные по состоянию на 3 декабря 2003 года. </w:t>
      </w:r>
    </w:p>
    <w:p w:rsidR="00000000" w:rsidRDefault="00000000">
      <w:pPr>
        <w:tabs>
          <w:tab w:val="left" w:pos="13467"/>
        </w:tabs>
        <w:autoSpaceDE w:val="0"/>
        <w:autoSpaceDN w:val="0"/>
        <w:rPr>
          <w:sz w:val="17"/>
          <w:lang w:eastAsia="de-DE"/>
        </w:rPr>
      </w:pPr>
      <w:r>
        <w:rPr>
          <w:i/>
          <w:sz w:val="17"/>
          <w:lang w:eastAsia="de-DE"/>
        </w:rPr>
        <w:t>Источник</w:t>
      </w:r>
      <w:r>
        <w:rPr>
          <w:sz w:val="17"/>
          <w:lang w:eastAsia="de-DE"/>
        </w:rPr>
        <w:t xml:space="preserve">: Страница в Интернете австрийского парламента, правительства провинций, </w:t>
      </w:r>
      <w:hyperlink r:id="rId29" w:history="1">
        <w:r>
          <w:rPr>
            <w:rStyle w:val="Hyperlink"/>
            <w:sz w:val="17"/>
          </w:rPr>
          <w:t>www.austria.gv.at</w:t>
        </w:r>
      </w:hyperlink>
    </w:p>
    <w:p w:rsidR="00000000" w:rsidRDefault="00000000">
      <w:pPr>
        <w:rPr>
          <w:sz w:val="17"/>
        </w:rPr>
      </w:pPr>
    </w:p>
    <w:p w:rsidR="00000000" w:rsidRDefault="00000000"/>
    <w:p w:rsidR="00000000" w:rsidRDefault="00000000">
      <w:pPr>
        <w:pStyle w:val="CommentText"/>
      </w:pPr>
    </w:p>
    <w:p w:rsidR="00000000" w:rsidRDefault="00000000">
      <w:pPr>
        <w:pStyle w:val="SingleTxt"/>
        <w:pageBreakBefore/>
        <w:ind w:left="0"/>
        <w:rPr>
          <w:b/>
        </w:rPr>
      </w:pPr>
      <w:r>
        <w:rPr>
          <w:b/>
          <w:lang w:eastAsia="de-DE"/>
        </w:rPr>
        <w:t>Преподавательский состав в разбивке по типам школ, академический год 2001/02-2002/03</w:t>
      </w:r>
      <w:r>
        <w:rPr>
          <w:b/>
          <w:vertAlign w:val="superscript"/>
          <w:lang w:eastAsia="de-DE"/>
        </w:rPr>
        <w:t>1</w:t>
      </w:r>
    </w:p>
    <w:tbl>
      <w:tblPr>
        <w:tblW w:w="0" w:type="auto"/>
        <w:tblInd w:w="-106" w:type="dxa"/>
        <w:tblLayout w:type="fixed"/>
        <w:tblLook w:val="00BF" w:firstRow="1" w:lastRow="0" w:firstColumn="1" w:lastColumn="0" w:noHBand="0" w:noVBand="0"/>
      </w:tblPr>
      <w:tblGrid>
        <w:gridCol w:w="3734"/>
        <w:gridCol w:w="1445"/>
        <w:gridCol w:w="1448"/>
        <w:gridCol w:w="1448"/>
        <w:gridCol w:w="1448"/>
        <w:gridCol w:w="1448"/>
        <w:gridCol w:w="1445"/>
      </w:tblGrid>
      <w:tr w:rsidR="00000000">
        <w:tblPrEx>
          <w:tblCellMar>
            <w:top w:w="0" w:type="dxa"/>
            <w:bottom w:w="0" w:type="dxa"/>
          </w:tblCellMar>
        </w:tblPrEx>
        <w:tc>
          <w:tcPr>
            <w:tcW w:w="3734" w:type="dxa"/>
            <w:tcBorders>
              <w:top w:val="single" w:sz="4" w:space="0" w:color="auto"/>
            </w:tcBorders>
            <w:vAlign w:val="center"/>
          </w:tcPr>
          <w:p w:rsidR="00000000" w:rsidRDefault="00000000">
            <w:pPr>
              <w:jc w:val="center"/>
              <w:rPr>
                <w:i/>
                <w:sz w:val="17"/>
              </w:rPr>
            </w:pPr>
          </w:p>
        </w:tc>
        <w:tc>
          <w:tcPr>
            <w:tcW w:w="1445" w:type="dxa"/>
            <w:tcBorders>
              <w:top w:val="single" w:sz="4" w:space="0" w:color="auto"/>
            </w:tcBorders>
            <w:vAlign w:val="bottom"/>
          </w:tcPr>
          <w:p w:rsidR="00000000" w:rsidRDefault="00000000">
            <w:pPr>
              <w:jc w:val="center"/>
              <w:rPr>
                <w:i/>
                <w:sz w:val="17"/>
              </w:rPr>
            </w:pPr>
          </w:p>
        </w:tc>
        <w:tc>
          <w:tcPr>
            <w:tcW w:w="1448" w:type="dxa"/>
            <w:tcBorders>
              <w:top w:val="single" w:sz="4" w:space="0" w:color="auto"/>
              <w:bottom w:val="single" w:sz="4" w:space="0" w:color="auto"/>
            </w:tcBorders>
            <w:vAlign w:val="bottom"/>
          </w:tcPr>
          <w:p w:rsidR="00000000" w:rsidRDefault="00000000">
            <w:pPr>
              <w:jc w:val="center"/>
              <w:rPr>
                <w:i/>
                <w:sz w:val="17"/>
              </w:rPr>
            </w:pPr>
            <w:r>
              <w:rPr>
                <w:i/>
                <w:sz w:val="17"/>
              </w:rPr>
              <w:t>1999/2000</w:t>
            </w:r>
          </w:p>
        </w:tc>
        <w:tc>
          <w:tcPr>
            <w:tcW w:w="1448" w:type="dxa"/>
            <w:tcBorders>
              <w:top w:val="single" w:sz="4" w:space="0" w:color="auto"/>
              <w:bottom w:val="single" w:sz="4" w:space="0" w:color="auto"/>
            </w:tcBorders>
            <w:vAlign w:val="bottom"/>
          </w:tcPr>
          <w:p w:rsidR="00000000" w:rsidRDefault="00000000">
            <w:pPr>
              <w:jc w:val="center"/>
              <w:rPr>
                <w:i/>
                <w:sz w:val="17"/>
              </w:rPr>
            </w:pPr>
          </w:p>
        </w:tc>
        <w:tc>
          <w:tcPr>
            <w:tcW w:w="1448" w:type="dxa"/>
            <w:tcBorders>
              <w:top w:val="single" w:sz="4" w:space="0" w:color="auto"/>
              <w:bottom w:val="single" w:sz="4" w:space="0" w:color="auto"/>
            </w:tcBorders>
            <w:vAlign w:val="bottom"/>
          </w:tcPr>
          <w:p w:rsidR="00000000" w:rsidRDefault="00000000">
            <w:pPr>
              <w:jc w:val="center"/>
              <w:rPr>
                <w:i/>
                <w:sz w:val="17"/>
              </w:rPr>
            </w:pPr>
          </w:p>
        </w:tc>
        <w:tc>
          <w:tcPr>
            <w:tcW w:w="1448" w:type="dxa"/>
            <w:tcBorders>
              <w:top w:val="single" w:sz="4" w:space="0" w:color="auto"/>
              <w:bottom w:val="single" w:sz="4" w:space="0" w:color="auto"/>
            </w:tcBorders>
            <w:vAlign w:val="bottom"/>
          </w:tcPr>
          <w:p w:rsidR="00000000" w:rsidRDefault="00000000">
            <w:pPr>
              <w:jc w:val="center"/>
              <w:rPr>
                <w:i/>
                <w:sz w:val="17"/>
              </w:rPr>
            </w:pPr>
            <w:r>
              <w:rPr>
                <w:i/>
                <w:sz w:val="17"/>
              </w:rPr>
              <w:t>2000/01</w:t>
            </w:r>
          </w:p>
        </w:tc>
        <w:tc>
          <w:tcPr>
            <w:tcW w:w="1445" w:type="dxa"/>
            <w:tcBorders>
              <w:top w:val="single" w:sz="4" w:space="0" w:color="auto"/>
            </w:tcBorders>
            <w:vAlign w:val="bottom"/>
          </w:tcPr>
          <w:p w:rsidR="00000000" w:rsidRDefault="00000000">
            <w:pPr>
              <w:jc w:val="center"/>
              <w:rPr>
                <w:i/>
                <w:sz w:val="17"/>
              </w:rPr>
            </w:pPr>
          </w:p>
        </w:tc>
      </w:tr>
      <w:tr w:rsidR="00000000">
        <w:tblPrEx>
          <w:tblCellMar>
            <w:top w:w="0" w:type="dxa"/>
            <w:bottom w:w="0" w:type="dxa"/>
          </w:tblCellMar>
        </w:tblPrEx>
        <w:tc>
          <w:tcPr>
            <w:tcW w:w="3734" w:type="dxa"/>
            <w:vAlign w:val="center"/>
          </w:tcPr>
          <w:p w:rsidR="00000000" w:rsidRDefault="00000000">
            <w:pPr>
              <w:jc w:val="center"/>
              <w:rPr>
                <w:i/>
                <w:sz w:val="17"/>
              </w:rPr>
            </w:pPr>
          </w:p>
        </w:tc>
        <w:tc>
          <w:tcPr>
            <w:tcW w:w="1445" w:type="dxa"/>
            <w:tcBorders>
              <w:bottom w:val="single" w:sz="6" w:space="0" w:color="auto"/>
            </w:tcBorders>
            <w:shd w:val="clear" w:color="auto" w:fill="808080"/>
            <w:vAlign w:val="bottom"/>
          </w:tcPr>
          <w:p w:rsidR="00000000" w:rsidRDefault="00000000">
            <w:pPr>
              <w:jc w:val="center"/>
              <w:rPr>
                <w:i/>
                <w:sz w:val="17"/>
              </w:rPr>
            </w:pPr>
          </w:p>
        </w:tc>
        <w:tc>
          <w:tcPr>
            <w:tcW w:w="1448" w:type="dxa"/>
            <w:tcBorders>
              <w:top w:val="single" w:sz="4" w:space="0" w:color="auto"/>
              <w:bottom w:val="single" w:sz="6" w:space="0" w:color="auto"/>
            </w:tcBorders>
            <w:shd w:val="clear" w:color="auto" w:fill="808080"/>
            <w:vAlign w:val="bottom"/>
          </w:tcPr>
          <w:p w:rsidR="00000000" w:rsidRDefault="00000000">
            <w:pPr>
              <w:jc w:val="center"/>
              <w:rPr>
                <w:i/>
                <w:sz w:val="17"/>
              </w:rPr>
            </w:pPr>
            <w:r>
              <w:rPr>
                <w:i/>
                <w:sz w:val="17"/>
              </w:rPr>
              <w:t>Австрия, всего</w:t>
            </w:r>
          </w:p>
        </w:tc>
        <w:tc>
          <w:tcPr>
            <w:tcW w:w="1448" w:type="dxa"/>
            <w:tcBorders>
              <w:top w:val="single" w:sz="4" w:space="0" w:color="auto"/>
              <w:bottom w:val="single" w:sz="6" w:space="0" w:color="auto"/>
            </w:tcBorders>
            <w:shd w:val="clear" w:color="auto" w:fill="808080"/>
            <w:vAlign w:val="bottom"/>
          </w:tcPr>
          <w:p w:rsidR="00000000" w:rsidRDefault="00000000">
            <w:pPr>
              <w:jc w:val="center"/>
              <w:rPr>
                <w:i/>
                <w:sz w:val="17"/>
              </w:rPr>
            </w:pPr>
          </w:p>
        </w:tc>
        <w:tc>
          <w:tcPr>
            <w:tcW w:w="1448" w:type="dxa"/>
            <w:tcBorders>
              <w:top w:val="single" w:sz="4" w:space="0" w:color="auto"/>
              <w:bottom w:val="single" w:sz="6" w:space="0" w:color="auto"/>
            </w:tcBorders>
            <w:shd w:val="clear" w:color="auto" w:fill="808080"/>
            <w:vAlign w:val="bottom"/>
          </w:tcPr>
          <w:p w:rsidR="00000000" w:rsidRDefault="00000000">
            <w:pPr>
              <w:jc w:val="center"/>
              <w:rPr>
                <w:i/>
                <w:sz w:val="17"/>
              </w:rPr>
            </w:pPr>
          </w:p>
        </w:tc>
        <w:tc>
          <w:tcPr>
            <w:tcW w:w="1448" w:type="dxa"/>
            <w:tcBorders>
              <w:top w:val="single" w:sz="4" w:space="0" w:color="auto"/>
              <w:bottom w:val="single" w:sz="6" w:space="0" w:color="auto"/>
            </w:tcBorders>
            <w:shd w:val="clear" w:color="auto" w:fill="808080"/>
            <w:vAlign w:val="bottom"/>
          </w:tcPr>
          <w:p w:rsidR="00000000" w:rsidRDefault="00000000">
            <w:pPr>
              <w:jc w:val="center"/>
              <w:rPr>
                <w:i/>
                <w:sz w:val="17"/>
              </w:rPr>
            </w:pPr>
            <w:r>
              <w:rPr>
                <w:i/>
                <w:sz w:val="17"/>
              </w:rPr>
              <w:t>Австрия, всего</w:t>
            </w:r>
          </w:p>
        </w:tc>
        <w:tc>
          <w:tcPr>
            <w:tcW w:w="1445" w:type="dxa"/>
            <w:tcBorders>
              <w:bottom w:val="single" w:sz="6" w:space="0" w:color="auto"/>
            </w:tcBorders>
            <w:shd w:val="clear" w:color="auto" w:fill="808080"/>
            <w:vAlign w:val="bottom"/>
          </w:tcPr>
          <w:p w:rsidR="00000000" w:rsidRDefault="00000000">
            <w:pPr>
              <w:jc w:val="center"/>
              <w:rPr>
                <w:i/>
                <w:sz w:val="17"/>
              </w:rPr>
            </w:pPr>
          </w:p>
        </w:tc>
      </w:tr>
      <w:tr w:rsidR="00000000">
        <w:tblPrEx>
          <w:tblCellMar>
            <w:top w:w="0" w:type="dxa"/>
            <w:bottom w:w="0" w:type="dxa"/>
          </w:tblCellMar>
        </w:tblPrEx>
        <w:tc>
          <w:tcPr>
            <w:tcW w:w="3734" w:type="dxa"/>
            <w:tcBorders>
              <w:bottom w:val="single" w:sz="12" w:space="0" w:color="auto"/>
            </w:tcBorders>
            <w:vAlign w:val="center"/>
          </w:tcPr>
          <w:p w:rsidR="00000000" w:rsidRDefault="00000000">
            <w:pPr>
              <w:pStyle w:val="CommentText"/>
              <w:rPr>
                <w:i/>
                <w:sz w:val="17"/>
              </w:rPr>
            </w:pPr>
            <w:r>
              <w:rPr>
                <w:i/>
                <w:sz w:val="17"/>
              </w:rPr>
              <w:t>Тип школы</w:t>
            </w:r>
          </w:p>
        </w:tc>
        <w:tc>
          <w:tcPr>
            <w:tcW w:w="1445" w:type="dxa"/>
            <w:tcBorders>
              <w:top w:val="single" w:sz="6" w:space="0" w:color="auto"/>
              <w:bottom w:val="single" w:sz="12" w:space="0" w:color="auto"/>
            </w:tcBorders>
            <w:shd w:val="clear" w:color="auto" w:fill="808080"/>
            <w:vAlign w:val="bottom"/>
          </w:tcPr>
          <w:p w:rsidR="00000000" w:rsidRDefault="00000000">
            <w:pPr>
              <w:ind w:right="199"/>
              <w:jc w:val="center"/>
              <w:rPr>
                <w:i/>
                <w:sz w:val="17"/>
              </w:rPr>
            </w:pPr>
            <w:r>
              <w:rPr>
                <w:i/>
                <w:sz w:val="17"/>
              </w:rPr>
              <w:t>Всего</w:t>
            </w:r>
          </w:p>
        </w:tc>
        <w:tc>
          <w:tcPr>
            <w:tcW w:w="1448" w:type="dxa"/>
            <w:tcBorders>
              <w:top w:val="single" w:sz="6" w:space="0" w:color="auto"/>
              <w:bottom w:val="single" w:sz="12" w:space="0" w:color="auto"/>
            </w:tcBorders>
            <w:vAlign w:val="bottom"/>
          </w:tcPr>
          <w:p w:rsidR="00000000" w:rsidRDefault="00000000">
            <w:pPr>
              <w:ind w:right="295"/>
              <w:jc w:val="center"/>
              <w:rPr>
                <w:i/>
                <w:sz w:val="17"/>
              </w:rPr>
            </w:pPr>
            <w:r>
              <w:rPr>
                <w:i/>
                <w:sz w:val="17"/>
              </w:rPr>
              <w:t>Из кот</w:t>
            </w:r>
            <w:r>
              <w:rPr>
                <w:i/>
                <w:sz w:val="17"/>
              </w:rPr>
              <w:t>о</w:t>
            </w:r>
            <w:r>
              <w:rPr>
                <w:i/>
                <w:sz w:val="17"/>
              </w:rPr>
              <w:t>рых же</w:t>
            </w:r>
            <w:r>
              <w:rPr>
                <w:i/>
                <w:sz w:val="17"/>
              </w:rPr>
              <w:t>н</w:t>
            </w:r>
            <w:r>
              <w:rPr>
                <w:i/>
                <w:sz w:val="17"/>
              </w:rPr>
              <w:t>щин</w:t>
            </w:r>
          </w:p>
        </w:tc>
        <w:tc>
          <w:tcPr>
            <w:tcW w:w="1448" w:type="dxa"/>
            <w:tcBorders>
              <w:top w:val="single" w:sz="6" w:space="0" w:color="auto"/>
              <w:bottom w:val="single" w:sz="12" w:space="0" w:color="auto"/>
            </w:tcBorders>
            <w:vAlign w:val="bottom"/>
          </w:tcPr>
          <w:p w:rsidR="00000000" w:rsidRDefault="00000000">
            <w:pPr>
              <w:ind w:right="252"/>
              <w:jc w:val="center"/>
              <w:rPr>
                <w:i/>
                <w:sz w:val="17"/>
              </w:rPr>
            </w:pPr>
            <w:r>
              <w:rPr>
                <w:i/>
                <w:sz w:val="17"/>
              </w:rPr>
              <w:t>% же</w:t>
            </w:r>
            <w:r>
              <w:rPr>
                <w:i/>
                <w:sz w:val="17"/>
              </w:rPr>
              <w:t>н</w:t>
            </w:r>
            <w:r>
              <w:rPr>
                <w:i/>
                <w:sz w:val="17"/>
              </w:rPr>
              <w:t>щин</w:t>
            </w:r>
          </w:p>
        </w:tc>
        <w:tc>
          <w:tcPr>
            <w:tcW w:w="1448" w:type="dxa"/>
            <w:tcBorders>
              <w:top w:val="single" w:sz="6" w:space="0" w:color="auto"/>
              <w:bottom w:val="single" w:sz="12" w:space="0" w:color="auto"/>
            </w:tcBorders>
            <w:shd w:val="clear" w:color="auto" w:fill="808080"/>
            <w:vAlign w:val="bottom"/>
          </w:tcPr>
          <w:p w:rsidR="00000000" w:rsidRDefault="00000000">
            <w:pPr>
              <w:jc w:val="center"/>
              <w:rPr>
                <w:i/>
                <w:sz w:val="17"/>
              </w:rPr>
            </w:pPr>
            <w:r>
              <w:rPr>
                <w:i/>
                <w:sz w:val="17"/>
              </w:rPr>
              <w:t>Всего</w:t>
            </w:r>
          </w:p>
        </w:tc>
        <w:tc>
          <w:tcPr>
            <w:tcW w:w="1448" w:type="dxa"/>
            <w:tcBorders>
              <w:top w:val="single" w:sz="6" w:space="0" w:color="auto"/>
              <w:bottom w:val="single" w:sz="12" w:space="0" w:color="auto"/>
            </w:tcBorders>
            <w:vAlign w:val="bottom"/>
          </w:tcPr>
          <w:p w:rsidR="00000000" w:rsidRDefault="00000000">
            <w:pPr>
              <w:jc w:val="center"/>
              <w:rPr>
                <w:i/>
                <w:sz w:val="17"/>
              </w:rPr>
            </w:pPr>
            <w:r>
              <w:rPr>
                <w:i/>
                <w:sz w:val="17"/>
              </w:rPr>
              <w:t>Из которых женщин</w:t>
            </w:r>
          </w:p>
        </w:tc>
        <w:tc>
          <w:tcPr>
            <w:tcW w:w="1445" w:type="dxa"/>
            <w:tcBorders>
              <w:top w:val="single" w:sz="6" w:space="0" w:color="auto"/>
              <w:bottom w:val="single" w:sz="12" w:space="0" w:color="auto"/>
            </w:tcBorders>
            <w:vAlign w:val="bottom"/>
          </w:tcPr>
          <w:p w:rsidR="00000000" w:rsidRDefault="00000000">
            <w:pPr>
              <w:jc w:val="center"/>
              <w:rPr>
                <w:i/>
                <w:sz w:val="17"/>
              </w:rPr>
            </w:pPr>
            <w:r>
              <w:rPr>
                <w:i/>
                <w:sz w:val="17"/>
              </w:rPr>
              <w:t>% женщин</w:t>
            </w:r>
          </w:p>
        </w:tc>
      </w:tr>
      <w:tr w:rsidR="00000000">
        <w:tblPrEx>
          <w:tblCellMar>
            <w:top w:w="0" w:type="dxa"/>
            <w:bottom w:w="0" w:type="dxa"/>
          </w:tblCellMar>
        </w:tblPrEx>
        <w:tc>
          <w:tcPr>
            <w:tcW w:w="3734" w:type="dxa"/>
            <w:tcBorders>
              <w:top w:val="single" w:sz="12" w:space="0" w:color="auto"/>
            </w:tcBorders>
          </w:tcPr>
          <w:p w:rsidR="00000000" w:rsidRDefault="00000000">
            <w:pPr>
              <w:ind w:left="540"/>
              <w:rPr>
                <w:sz w:val="17"/>
              </w:rPr>
            </w:pPr>
            <w:r>
              <w:rPr>
                <w:sz w:val="17"/>
              </w:rPr>
              <w:t>Начальные школы</w:t>
            </w:r>
          </w:p>
        </w:tc>
        <w:tc>
          <w:tcPr>
            <w:tcW w:w="1445" w:type="dxa"/>
            <w:tcBorders>
              <w:top w:val="single" w:sz="12" w:space="0" w:color="auto"/>
            </w:tcBorders>
            <w:shd w:val="clear" w:color="auto" w:fill="808080"/>
            <w:vAlign w:val="bottom"/>
          </w:tcPr>
          <w:p w:rsidR="00000000" w:rsidRDefault="00000000">
            <w:pPr>
              <w:tabs>
                <w:tab w:val="decimal" w:pos="944"/>
              </w:tabs>
              <w:rPr>
                <w:sz w:val="17"/>
              </w:rPr>
            </w:pPr>
            <w:r>
              <w:rPr>
                <w:sz w:val="17"/>
              </w:rPr>
              <w:t>33 903</w:t>
            </w:r>
          </w:p>
        </w:tc>
        <w:tc>
          <w:tcPr>
            <w:tcW w:w="1448" w:type="dxa"/>
            <w:tcBorders>
              <w:top w:val="single" w:sz="12" w:space="0" w:color="auto"/>
            </w:tcBorders>
            <w:vAlign w:val="bottom"/>
          </w:tcPr>
          <w:p w:rsidR="00000000" w:rsidRDefault="00000000">
            <w:pPr>
              <w:tabs>
                <w:tab w:val="decimal" w:pos="944"/>
              </w:tabs>
              <w:rPr>
                <w:sz w:val="17"/>
              </w:rPr>
            </w:pPr>
            <w:r>
              <w:rPr>
                <w:sz w:val="17"/>
              </w:rPr>
              <w:t>29 401</w:t>
            </w:r>
          </w:p>
        </w:tc>
        <w:tc>
          <w:tcPr>
            <w:tcW w:w="1448" w:type="dxa"/>
            <w:tcBorders>
              <w:top w:val="single" w:sz="12" w:space="0" w:color="auto"/>
            </w:tcBorders>
            <w:vAlign w:val="bottom"/>
          </w:tcPr>
          <w:p w:rsidR="00000000" w:rsidRDefault="00000000">
            <w:pPr>
              <w:pStyle w:val="Header"/>
              <w:tabs>
                <w:tab w:val="clear" w:pos="4320"/>
                <w:tab w:val="clear" w:pos="8640"/>
                <w:tab w:val="decimal" w:pos="603"/>
              </w:tabs>
              <w:spacing w:line="200" w:lineRule="exact"/>
              <w:rPr>
                <w:noProof w:val="0"/>
                <w:spacing w:val="4"/>
                <w:w w:val="103"/>
                <w:kern w:val="14"/>
              </w:rPr>
            </w:pPr>
            <w:r>
              <w:rPr>
                <w:noProof w:val="0"/>
                <w:spacing w:val="4"/>
                <w:w w:val="103"/>
                <w:kern w:val="14"/>
              </w:rPr>
              <w:t>86,7</w:t>
            </w:r>
          </w:p>
        </w:tc>
        <w:tc>
          <w:tcPr>
            <w:tcW w:w="1448" w:type="dxa"/>
            <w:tcBorders>
              <w:top w:val="single" w:sz="12" w:space="0" w:color="auto"/>
            </w:tcBorders>
            <w:shd w:val="clear" w:color="auto" w:fill="808080"/>
            <w:vAlign w:val="bottom"/>
          </w:tcPr>
          <w:p w:rsidR="00000000" w:rsidRDefault="00000000">
            <w:pPr>
              <w:tabs>
                <w:tab w:val="decimal" w:pos="944"/>
              </w:tabs>
              <w:rPr>
                <w:sz w:val="17"/>
              </w:rPr>
            </w:pPr>
            <w:r>
              <w:rPr>
                <w:sz w:val="17"/>
              </w:rPr>
              <w:t>33 853</w:t>
            </w:r>
          </w:p>
        </w:tc>
        <w:tc>
          <w:tcPr>
            <w:tcW w:w="1448" w:type="dxa"/>
            <w:tcBorders>
              <w:top w:val="single" w:sz="12" w:space="0" w:color="auto"/>
            </w:tcBorders>
            <w:vAlign w:val="bottom"/>
          </w:tcPr>
          <w:p w:rsidR="00000000" w:rsidRDefault="00000000">
            <w:pPr>
              <w:tabs>
                <w:tab w:val="decimal" w:pos="944"/>
              </w:tabs>
              <w:rPr>
                <w:sz w:val="17"/>
              </w:rPr>
            </w:pPr>
            <w:r>
              <w:rPr>
                <w:sz w:val="17"/>
              </w:rPr>
              <w:t>29 591</w:t>
            </w:r>
          </w:p>
        </w:tc>
        <w:tc>
          <w:tcPr>
            <w:tcW w:w="1445" w:type="dxa"/>
            <w:tcBorders>
              <w:top w:val="single" w:sz="12" w:space="0" w:color="auto"/>
            </w:tcBorders>
            <w:vAlign w:val="bottom"/>
          </w:tcPr>
          <w:p w:rsidR="00000000" w:rsidRDefault="00000000">
            <w:pPr>
              <w:pStyle w:val="Header"/>
              <w:tabs>
                <w:tab w:val="clear" w:pos="4320"/>
                <w:tab w:val="clear" w:pos="8640"/>
                <w:tab w:val="decimal" w:pos="653"/>
              </w:tabs>
              <w:spacing w:line="200" w:lineRule="exact"/>
              <w:rPr>
                <w:noProof w:val="0"/>
                <w:spacing w:val="4"/>
                <w:w w:val="103"/>
                <w:kern w:val="14"/>
              </w:rPr>
            </w:pPr>
            <w:r>
              <w:rPr>
                <w:noProof w:val="0"/>
                <w:spacing w:val="4"/>
                <w:w w:val="103"/>
                <w:kern w:val="14"/>
              </w:rPr>
              <w:t>87,4</w:t>
            </w:r>
          </w:p>
        </w:tc>
      </w:tr>
      <w:tr w:rsidR="00000000">
        <w:tblPrEx>
          <w:tblCellMar>
            <w:top w:w="0" w:type="dxa"/>
            <w:bottom w:w="0" w:type="dxa"/>
          </w:tblCellMar>
        </w:tblPrEx>
        <w:tc>
          <w:tcPr>
            <w:tcW w:w="3734" w:type="dxa"/>
          </w:tcPr>
          <w:p w:rsidR="00000000" w:rsidRDefault="00000000">
            <w:pPr>
              <w:ind w:left="540"/>
              <w:rPr>
                <w:sz w:val="17"/>
              </w:rPr>
            </w:pPr>
            <w:r>
              <w:rPr>
                <w:sz w:val="17"/>
              </w:rPr>
              <w:t>Общие средние школы</w:t>
            </w:r>
          </w:p>
        </w:tc>
        <w:tc>
          <w:tcPr>
            <w:tcW w:w="1445" w:type="dxa"/>
            <w:shd w:val="clear" w:color="auto" w:fill="808080"/>
            <w:vAlign w:val="bottom"/>
          </w:tcPr>
          <w:p w:rsidR="00000000" w:rsidRDefault="00000000">
            <w:pPr>
              <w:tabs>
                <w:tab w:val="decimal" w:pos="944"/>
              </w:tabs>
              <w:rPr>
                <w:sz w:val="17"/>
              </w:rPr>
            </w:pPr>
            <w:r>
              <w:rPr>
                <w:sz w:val="17"/>
              </w:rPr>
              <w:t>34 244</w:t>
            </w:r>
          </w:p>
        </w:tc>
        <w:tc>
          <w:tcPr>
            <w:tcW w:w="1448" w:type="dxa"/>
            <w:vAlign w:val="bottom"/>
          </w:tcPr>
          <w:p w:rsidR="00000000" w:rsidRDefault="00000000">
            <w:pPr>
              <w:tabs>
                <w:tab w:val="decimal" w:pos="944"/>
              </w:tabs>
              <w:rPr>
                <w:sz w:val="17"/>
              </w:rPr>
            </w:pPr>
            <w:r>
              <w:rPr>
                <w:sz w:val="17"/>
              </w:rPr>
              <w:t>22 315</w:t>
            </w:r>
          </w:p>
        </w:tc>
        <w:tc>
          <w:tcPr>
            <w:tcW w:w="1448" w:type="dxa"/>
            <w:vAlign w:val="bottom"/>
          </w:tcPr>
          <w:p w:rsidR="00000000" w:rsidRDefault="00000000">
            <w:pPr>
              <w:tabs>
                <w:tab w:val="decimal" w:pos="603"/>
              </w:tabs>
              <w:rPr>
                <w:sz w:val="17"/>
              </w:rPr>
            </w:pPr>
            <w:r>
              <w:rPr>
                <w:sz w:val="17"/>
              </w:rPr>
              <w:t>65,2</w:t>
            </w:r>
          </w:p>
        </w:tc>
        <w:tc>
          <w:tcPr>
            <w:tcW w:w="1448" w:type="dxa"/>
            <w:shd w:val="clear" w:color="auto" w:fill="808080"/>
            <w:vAlign w:val="bottom"/>
          </w:tcPr>
          <w:p w:rsidR="00000000" w:rsidRDefault="00000000">
            <w:pPr>
              <w:tabs>
                <w:tab w:val="decimal" w:pos="944"/>
              </w:tabs>
              <w:rPr>
                <w:sz w:val="17"/>
              </w:rPr>
            </w:pPr>
            <w:r>
              <w:rPr>
                <w:sz w:val="17"/>
              </w:rPr>
              <w:t>33 985</w:t>
            </w:r>
          </w:p>
        </w:tc>
        <w:tc>
          <w:tcPr>
            <w:tcW w:w="1448" w:type="dxa"/>
            <w:vAlign w:val="bottom"/>
          </w:tcPr>
          <w:p w:rsidR="00000000" w:rsidRDefault="00000000">
            <w:pPr>
              <w:tabs>
                <w:tab w:val="decimal" w:pos="944"/>
              </w:tabs>
              <w:rPr>
                <w:sz w:val="17"/>
              </w:rPr>
            </w:pPr>
            <w:r>
              <w:rPr>
                <w:sz w:val="17"/>
              </w:rPr>
              <w:t>22 377</w:t>
            </w:r>
          </w:p>
        </w:tc>
        <w:tc>
          <w:tcPr>
            <w:tcW w:w="1445" w:type="dxa"/>
            <w:vAlign w:val="bottom"/>
          </w:tcPr>
          <w:p w:rsidR="00000000" w:rsidRDefault="00000000">
            <w:pPr>
              <w:tabs>
                <w:tab w:val="decimal" w:pos="653"/>
              </w:tabs>
              <w:rPr>
                <w:sz w:val="17"/>
              </w:rPr>
            </w:pPr>
            <w:r>
              <w:rPr>
                <w:sz w:val="17"/>
              </w:rPr>
              <w:t>65,8</w:t>
            </w:r>
          </w:p>
        </w:tc>
      </w:tr>
      <w:tr w:rsidR="00000000">
        <w:tblPrEx>
          <w:tblCellMar>
            <w:top w:w="0" w:type="dxa"/>
            <w:bottom w:w="0" w:type="dxa"/>
          </w:tblCellMar>
        </w:tblPrEx>
        <w:tc>
          <w:tcPr>
            <w:tcW w:w="3734" w:type="dxa"/>
          </w:tcPr>
          <w:p w:rsidR="00000000" w:rsidRDefault="00000000">
            <w:pPr>
              <w:ind w:left="540"/>
              <w:rPr>
                <w:sz w:val="17"/>
              </w:rPr>
            </w:pPr>
            <w:r>
              <w:rPr>
                <w:sz w:val="17"/>
              </w:rPr>
              <w:t>Специальные школы</w:t>
            </w:r>
          </w:p>
        </w:tc>
        <w:tc>
          <w:tcPr>
            <w:tcW w:w="1445" w:type="dxa"/>
            <w:shd w:val="clear" w:color="auto" w:fill="808080"/>
            <w:vAlign w:val="bottom"/>
          </w:tcPr>
          <w:p w:rsidR="00000000" w:rsidRDefault="00000000">
            <w:pPr>
              <w:tabs>
                <w:tab w:val="decimal" w:pos="944"/>
              </w:tabs>
              <w:rPr>
                <w:sz w:val="17"/>
              </w:rPr>
            </w:pPr>
            <w:r>
              <w:rPr>
                <w:sz w:val="17"/>
              </w:rPr>
              <w:t>5 776</w:t>
            </w:r>
          </w:p>
        </w:tc>
        <w:tc>
          <w:tcPr>
            <w:tcW w:w="1448" w:type="dxa"/>
            <w:vAlign w:val="bottom"/>
          </w:tcPr>
          <w:p w:rsidR="00000000" w:rsidRDefault="00000000">
            <w:pPr>
              <w:tabs>
                <w:tab w:val="decimal" w:pos="944"/>
              </w:tabs>
              <w:rPr>
                <w:sz w:val="17"/>
              </w:rPr>
            </w:pPr>
            <w:r>
              <w:rPr>
                <w:sz w:val="17"/>
              </w:rPr>
              <w:t>4 873</w:t>
            </w:r>
          </w:p>
        </w:tc>
        <w:tc>
          <w:tcPr>
            <w:tcW w:w="1448" w:type="dxa"/>
            <w:vAlign w:val="bottom"/>
          </w:tcPr>
          <w:p w:rsidR="00000000" w:rsidRDefault="00000000">
            <w:pPr>
              <w:tabs>
                <w:tab w:val="decimal" w:pos="603"/>
              </w:tabs>
              <w:rPr>
                <w:sz w:val="17"/>
              </w:rPr>
            </w:pPr>
            <w:r>
              <w:rPr>
                <w:sz w:val="17"/>
              </w:rPr>
              <w:t>84,4</w:t>
            </w:r>
          </w:p>
        </w:tc>
        <w:tc>
          <w:tcPr>
            <w:tcW w:w="1448" w:type="dxa"/>
            <w:shd w:val="clear" w:color="auto" w:fill="808080"/>
            <w:vAlign w:val="bottom"/>
          </w:tcPr>
          <w:p w:rsidR="00000000" w:rsidRDefault="00000000">
            <w:pPr>
              <w:tabs>
                <w:tab w:val="decimal" w:pos="944"/>
              </w:tabs>
              <w:rPr>
                <w:sz w:val="17"/>
              </w:rPr>
            </w:pPr>
            <w:r>
              <w:rPr>
                <w:sz w:val="17"/>
              </w:rPr>
              <w:t>5 902</w:t>
            </w:r>
          </w:p>
        </w:tc>
        <w:tc>
          <w:tcPr>
            <w:tcW w:w="1448" w:type="dxa"/>
            <w:vAlign w:val="bottom"/>
          </w:tcPr>
          <w:p w:rsidR="00000000" w:rsidRDefault="00000000">
            <w:pPr>
              <w:tabs>
                <w:tab w:val="decimal" w:pos="944"/>
              </w:tabs>
              <w:rPr>
                <w:sz w:val="17"/>
              </w:rPr>
            </w:pPr>
            <w:r>
              <w:rPr>
                <w:sz w:val="17"/>
              </w:rPr>
              <w:t>4 990</w:t>
            </w:r>
          </w:p>
        </w:tc>
        <w:tc>
          <w:tcPr>
            <w:tcW w:w="1445" w:type="dxa"/>
            <w:vAlign w:val="bottom"/>
          </w:tcPr>
          <w:p w:rsidR="00000000" w:rsidRDefault="00000000">
            <w:pPr>
              <w:tabs>
                <w:tab w:val="decimal" w:pos="653"/>
              </w:tabs>
              <w:rPr>
                <w:sz w:val="17"/>
              </w:rPr>
            </w:pPr>
            <w:r>
              <w:rPr>
                <w:sz w:val="17"/>
              </w:rPr>
              <w:t>84,5</w:t>
            </w:r>
          </w:p>
        </w:tc>
      </w:tr>
      <w:tr w:rsidR="00000000">
        <w:tblPrEx>
          <w:tblCellMar>
            <w:top w:w="0" w:type="dxa"/>
            <w:bottom w:w="0" w:type="dxa"/>
          </w:tblCellMar>
        </w:tblPrEx>
        <w:tc>
          <w:tcPr>
            <w:tcW w:w="3734" w:type="dxa"/>
          </w:tcPr>
          <w:p w:rsidR="00000000" w:rsidRDefault="00000000">
            <w:pPr>
              <w:ind w:left="540"/>
              <w:rPr>
                <w:sz w:val="17"/>
              </w:rPr>
            </w:pPr>
            <w:r>
              <w:rPr>
                <w:sz w:val="17"/>
              </w:rPr>
              <w:t>Год до профессиональной по</w:t>
            </w:r>
            <w:r>
              <w:rPr>
                <w:sz w:val="17"/>
              </w:rPr>
              <w:t>д</w:t>
            </w:r>
            <w:r>
              <w:rPr>
                <w:sz w:val="17"/>
              </w:rPr>
              <w:t>готовки</w:t>
            </w:r>
          </w:p>
        </w:tc>
        <w:tc>
          <w:tcPr>
            <w:tcW w:w="1445" w:type="dxa"/>
            <w:shd w:val="clear" w:color="auto" w:fill="808080"/>
            <w:vAlign w:val="bottom"/>
          </w:tcPr>
          <w:p w:rsidR="00000000" w:rsidRDefault="00000000">
            <w:pPr>
              <w:tabs>
                <w:tab w:val="decimal" w:pos="944"/>
              </w:tabs>
              <w:rPr>
                <w:sz w:val="17"/>
              </w:rPr>
            </w:pPr>
            <w:r>
              <w:rPr>
                <w:sz w:val="17"/>
              </w:rPr>
              <w:t>1 934</w:t>
            </w:r>
          </w:p>
        </w:tc>
        <w:tc>
          <w:tcPr>
            <w:tcW w:w="1448" w:type="dxa"/>
            <w:vAlign w:val="bottom"/>
          </w:tcPr>
          <w:p w:rsidR="00000000" w:rsidRDefault="00000000">
            <w:pPr>
              <w:tabs>
                <w:tab w:val="decimal" w:pos="944"/>
              </w:tabs>
              <w:rPr>
                <w:sz w:val="17"/>
              </w:rPr>
            </w:pPr>
            <w:r>
              <w:rPr>
                <w:sz w:val="17"/>
              </w:rPr>
              <w:t>927</w:t>
            </w:r>
          </w:p>
        </w:tc>
        <w:tc>
          <w:tcPr>
            <w:tcW w:w="1448" w:type="dxa"/>
            <w:vAlign w:val="bottom"/>
          </w:tcPr>
          <w:p w:rsidR="00000000" w:rsidRDefault="00000000">
            <w:pPr>
              <w:tabs>
                <w:tab w:val="decimal" w:pos="603"/>
              </w:tabs>
              <w:rPr>
                <w:sz w:val="17"/>
              </w:rPr>
            </w:pPr>
            <w:r>
              <w:rPr>
                <w:sz w:val="17"/>
              </w:rPr>
              <w:t>47,9</w:t>
            </w:r>
          </w:p>
        </w:tc>
        <w:tc>
          <w:tcPr>
            <w:tcW w:w="1448" w:type="dxa"/>
            <w:shd w:val="clear" w:color="auto" w:fill="808080"/>
            <w:vAlign w:val="bottom"/>
          </w:tcPr>
          <w:p w:rsidR="00000000" w:rsidRDefault="00000000">
            <w:pPr>
              <w:tabs>
                <w:tab w:val="decimal" w:pos="944"/>
              </w:tabs>
              <w:rPr>
                <w:sz w:val="17"/>
              </w:rPr>
            </w:pPr>
            <w:r>
              <w:rPr>
                <w:sz w:val="17"/>
              </w:rPr>
              <w:t>2 008</w:t>
            </w:r>
          </w:p>
        </w:tc>
        <w:tc>
          <w:tcPr>
            <w:tcW w:w="1448" w:type="dxa"/>
            <w:vAlign w:val="bottom"/>
          </w:tcPr>
          <w:p w:rsidR="00000000" w:rsidRDefault="00000000">
            <w:pPr>
              <w:tabs>
                <w:tab w:val="decimal" w:pos="944"/>
              </w:tabs>
              <w:rPr>
                <w:sz w:val="17"/>
              </w:rPr>
            </w:pPr>
            <w:r>
              <w:rPr>
                <w:sz w:val="17"/>
              </w:rPr>
              <w:t>959</w:t>
            </w:r>
          </w:p>
        </w:tc>
        <w:tc>
          <w:tcPr>
            <w:tcW w:w="1445" w:type="dxa"/>
            <w:vAlign w:val="bottom"/>
          </w:tcPr>
          <w:p w:rsidR="00000000" w:rsidRDefault="00000000">
            <w:pPr>
              <w:tabs>
                <w:tab w:val="decimal" w:pos="653"/>
              </w:tabs>
              <w:rPr>
                <w:sz w:val="17"/>
              </w:rPr>
            </w:pPr>
            <w:r>
              <w:rPr>
                <w:sz w:val="17"/>
              </w:rPr>
              <w:t>47,8</w:t>
            </w:r>
          </w:p>
        </w:tc>
      </w:tr>
      <w:tr w:rsidR="00000000">
        <w:tblPrEx>
          <w:tblCellMar>
            <w:top w:w="0" w:type="dxa"/>
            <w:bottom w:w="0" w:type="dxa"/>
          </w:tblCellMar>
        </w:tblPrEx>
        <w:tc>
          <w:tcPr>
            <w:tcW w:w="3734" w:type="dxa"/>
          </w:tcPr>
          <w:p w:rsidR="00000000" w:rsidRDefault="00000000">
            <w:pPr>
              <w:ind w:left="360"/>
              <w:rPr>
                <w:b/>
                <w:sz w:val="17"/>
              </w:rPr>
            </w:pPr>
            <w:r>
              <w:rPr>
                <w:b/>
                <w:sz w:val="17"/>
              </w:rPr>
              <w:t>Обязательные школы, всего</w:t>
            </w:r>
          </w:p>
        </w:tc>
        <w:tc>
          <w:tcPr>
            <w:tcW w:w="1445" w:type="dxa"/>
            <w:shd w:val="clear" w:color="auto" w:fill="808080"/>
            <w:vAlign w:val="bottom"/>
          </w:tcPr>
          <w:p w:rsidR="00000000" w:rsidRDefault="00000000">
            <w:pPr>
              <w:tabs>
                <w:tab w:val="decimal" w:pos="944"/>
              </w:tabs>
              <w:rPr>
                <w:sz w:val="17"/>
              </w:rPr>
            </w:pPr>
            <w:r>
              <w:rPr>
                <w:sz w:val="17"/>
              </w:rPr>
              <w:t>76 322</w:t>
            </w:r>
          </w:p>
        </w:tc>
        <w:tc>
          <w:tcPr>
            <w:tcW w:w="1448" w:type="dxa"/>
            <w:vAlign w:val="bottom"/>
          </w:tcPr>
          <w:p w:rsidR="00000000" w:rsidRDefault="00000000">
            <w:pPr>
              <w:tabs>
                <w:tab w:val="decimal" w:pos="944"/>
              </w:tabs>
              <w:rPr>
                <w:sz w:val="17"/>
              </w:rPr>
            </w:pPr>
            <w:r>
              <w:rPr>
                <w:sz w:val="17"/>
              </w:rPr>
              <w:t>57 281</w:t>
            </w:r>
          </w:p>
        </w:tc>
        <w:tc>
          <w:tcPr>
            <w:tcW w:w="1448" w:type="dxa"/>
            <w:vAlign w:val="bottom"/>
          </w:tcPr>
          <w:p w:rsidR="00000000" w:rsidRDefault="00000000">
            <w:pPr>
              <w:tabs>
                <w:tab w:val="decimal" w:pos="603"/>
              </w:tabs>
              <w:rPr>
                <w:sz w:val="17"/>
              </w:rPr>
            </w:pPr>
            <w:r>
              <w:rPr>
                <w:sz w:val="17"/>
              </w:rPr>
              <w:t>75,8</w:t>
            </w:r>
          </w:p>
        </w:tc>
        <w:tc>
          <w:tcPr>
            <w:tcW w:w="1448" w:type="dxa"/>
            <w:shd w:val="clear" w:color="auto" w:fill="808080"/>
            <w:vAlign w:val="bottom"/>
          </w:tcPr>
          <w:p w:rsidR="00000000" w:rsidRDefault="00000000">
            <w:pPr>
              <w:tabs>
                <w:tab w:val="decimal" w:pos="944"/>
              </w:tabs>
              <w:rPr>
                <w:sz w:val="17"/>
              </w:rPr>
            </w:pPr>
            <w:r>
              <w:rPr>
                <w:sz w:val="17"/>
              </w:rPr>
              <w:t>75 748</w:t>
            </w:r>
          </w:p>
        </w:tc>
        <w:tc>
          <w:tcPr>
            <w:tcW w:w="1448" w:type="dxa"/>
            <w:vAlign w:val="bottom"/>
          </w:tcPr>
          <w:p w:rsidR="00000000" w:rsidRDefault="00000000">
            <w:pPr>
              <w:tabs>
                <w:tab w:val="decimal" w:pos="944"/>
              </w:tabs>
              <w:rPr>
                <w:sz w:val="17"/>
              </w:rPr>
            </w:pPr>
            <w:r>
              <w:rPr>
                <w:sz w:val="17"/>
              </w:rPr>
              <w:t>57 917</w:t>
            </w:r>
          </w:p>
        </w:tc>
        <w:tc>
          <w:tcPr>
            <w:tcW w:w="1445" w:type="dxa"/>
            <w:vAlign w:val="bottom"/>
          </w:tcPr>
          <w:p w:rsidR="00000000" w:rsidRDefault="00000000">
            <w:pPr>
              <w:tabs>
                <w:tab w:val="decimal" w:pos="653"/>
              </w:tabs>
              <w:rPr>
                <w:sz w:val="17"/>
              </w:rPr>
            </w:pPr>
            <w:r>
              <w:rPr>
                <w:sz w:val="17"/>
              </w:rPr>
              <w:t>76,5</w:t>
            </w:r>
          </w:p>
        </w:tc>
      </w:tr>
      <w:tr w:rsidR="00000000">
        <w:tblPrEx>
          <w:tblCellMar>
            <w:top w:w="0" w:type="dxa"/>
            <w:bottom w:w="0" w:type="dxa"/>
          </w:tblCellMar>
        </w:tblPrEx>
        <w:tc>
          <w:tcPr>
            <w:tcW w:w="3734" w:type="dxa"/>
          </w:tcPr>
          <w:p w:rsidR="00000000" w:rsidRDefault="00000000">
            <w:pPr>
              <w:ind w:left="360"/>
              <w:rPr>
                <w:b/>
                <w:sz w:val="17"/>
              </w:rPr>
            </w:pPr>
            <w:r>
              <w:rPr>
                <w:b/>
                <w:sz w:val="17"/>
              </w:rPr>
              <w:t>Старшие классы общей средней школы, всего</w:t>
            </w:r>
          </w:p>
        </w:tc>
        <w:tc>
          <w:tcPr>
            <w:tcW w:w="1445" w:type="dxa"/>
            <w:shd w:val="clear" w:color="auto" w:fill="808080"/>
            <w:vAlign w:val="bottom"/>
          </w:tcPr>
          <w:p w:rsidR="00000000" w:rsidRDefault="00000000">
            <w:pPr>
              <w:tabs>
                <w:tab w:val="decimal" w:pos="944"/>
              </w:tabs>
              <w:rPr>
                <w:b/>
                <w:sz w:val="17"/>
              </w:rPr>
            </w:pPr>
            <w:r>
              <w:rPr>
                <w:b/>
                <w:sz w:val="17"/>
              </w:rPr>
              <w:t>19 974</w:t>
            </w:r>
          </w:p>
        </w:tc>
        <w:tc>
          <w:tcPr>
            <w:tcW w:w="1448" w:type="dxa"/>
            <w:vAlign w:val="bottom"/>
          </w:tcPr>
          <w:p w:rsidR="00000000" w:rsidRDefault="00000000">
            <w:pPr>
              <w:tabs>
                <w:tab w:val="decimal" w:pos="944"/>
              </w:tabs>
              <w:rPr>
                <w:b/>
                <w:sz w:val="17"/>
              </w:rPr>
            </w:pPr>
            <w:r>
              <w:rPr>
                <w:b/>
                <w:sz w:val="17"/>
              </w:rPr>
              <w:t>11 539</w:t>
            </w:r>
          </w:p>
        </w:tc>
        <w:tc>
          <w:tcPr>
            <w:tcW w:w="1448" w:type="dxa"/>
            <w:vAlign w:val="bottom"/>
          </w:tcPr>
          <w:p w:rsidR="00000000" w:rsidRDefault="00000000">
            <w:pPr>
              <w:tabs>
                <w:tab w:val="decimal" w:pos="603"/>
              </w:tabs>
              <w:rPr>
                <w:b/>
                <w:sz w:val="17"/>
              </w:rPr>
            </w:pPr>
            <w:r>
              <w:rPr>
                <w:b/>
                <w:sz w:val="17"/>
              </w:rPr>
              <w:t>57,8</w:t>
            </w:r>
          </w:p>
        </w:tc>
        <w:tc>
          <w:tcPr>
            <w:tcW w:w="1448" w:type="dxa"/>
            <w:shd w:val="clear" w:color="auto" w:fill="808080"/>
            <w:vAlign w:val="bottom"/>
          </w:tcPr>
          <w:p w:rsidR="00000000" w:rsidRDefault="00000000">
            <w:pPr>
              <w:tabs>
                <w:tab w:val="decimal" w:pos="944"/>
              </w:tabs>
              <w:rPr>
                <w:b/>
                <w:sz w:val="17"/>
              </w:rPr>
            </w:pPr>
            <w:r>
              <w:rPr>
                <w:b/>
                <w:sz w:val="17"/>
              </w:rPr>
              <w:t>19 815</w:t>
            </w:r>
          </w:p>
        </w:tc>
        <w:tc>
          <w:tcPr>
            <w:tcW w:w="1448" w:type="dxa"/>
            <w:vAlign w:val="bottom"/>
          </w:tcPr>
          <w:p w:rsidR="00000000" w:rsidRDefault="00000000">
            <w:pPr>
              <w:tabs>
                <w:tab w:val="decimal" w:pos="944"/>
              </w:tabs>
              <w:rPr>
                <w:b/>
                <w:sz w:val="17"/>
              </w:rPr>
            </w:pPr>
            <w:r>
              <w:rPr>
                <w:b/>
                <w:sz w:val="17"/>
              </w:rPr>
              <w:t>11 568</w:t>
            </w:r>
          </w:p>
        </w:tc>
        <w:tc>
          <w:tcPr>
            <w:tcW w:w="1445" w:type="dxa"/>
            <w:vAlign w:val="bottom"/>
          </w:tcPr>
          <w:p w:rsidR="00000000" w:rsidRDefault="00000000">
            <w:pPr>
              <w:tabs>
                <w:tab w:val="decimal" w:pos="653"/>
              </w:tabs>
              <w:rPr>
                <w:b/>
                <w:sz w:val="17"/>
              </w:rPr>
            </w:pPr>
            <w:r>
              <w:rPr>
                <w:b/>
                <w:sz w:val="17"/>
              </w:rPr>
              <w:t>58,4</w:t>
            </w:r>
          </w:p>
        </w:tc>
      </w:tr>
      <w:tr w:rsidR="00000000">
        <w:tblPrEx>
          <w:tblCellMar>
            <w:top w:w="0" w:type="dxa"/>
            <w:bottom w:w="0" w:type="dxa"/>
          </w:tblCellMar>
        </w:tblPrEx>
        <w:tc>
          <w:tcPr>
            <w:tcW w:w="3734" w:type="dxa"/>
          </w:tcPr>
          <w:p w:rsidR="00000000" w:rsidRDefault="00000000">
            <w:pPr>
              <w:rPr>
                <w:b/>
                <w:sz w:val="17"/>
              </w:rPr>
            </w:pPr>
            <w:r>
              <w:rPr>
                <w:b/>
                <w:sz w:val="17"/>
              </w:rPr>
              <w:t>Общие школы, всего</w:t>
            </w:r>
          </w:p>
        </w:tc>
        <w:tc>
          <w:tcPr>
            <w:tcW w:w="1445" w:type="dxa"/>
            <w:shd w:val="clear" w:color="auto" w:fill="808080"/>
            <w:vAlign w:val="bottom"/>
          </w:tcPr>
          <w:p w:rsidR="00000000" w:rsidRDefault="00000000">
            <w:pPr>
              <w:tabs>
                <w:tab w:val="decimal" w:pos="944"/>
              </w:tabs>
              <w:rPr>
                <w:b/>
                <w:sz w:val="17"/>
              </w:rPr>
            </w:pPr>
            <w:r>
              <w:rPr>
                <w:b/>
                <w:sz w:val="17"/>
              </w:rPr>
              <w:t>96 296</w:t>
            </w:r>
          </w:p>
        </w:tc>
        <w:tc>
          <w:tcPr>
            <w:tcW w:w="1448" w:type="dxa"/>
            <w:vAlign w:val="bottom"/>
          </w:tcPr>
          <w:p w:rsidR="00000000" w:rsidRDefault="00000000">
            <w:pPr>
              <w:tabs>
                <w:tab w:val="decimal" w:pos="944"/>
              </w:tabs>
              <w:rPr>
                <w:b/>
                <w:sz w:val="17"/>
              </w:rPr>
            </w:pPr>
            <w:r>
              <w:rPr>
                <w:b/>
                <w:sz w:val="17"/>
              </w:rPr>
              <w:t>69 360</w:t>
            </w:r>
          </w:p>
        </w:tc>
        <w:tc>
          <w:tcPr>
            <w:tcW w:w="1448" w:type="dxa"/>
            <w:vAlign w:val="bottom"/>
          </w:tcPr>
          <w:p w:rsidR="00000000" w:rsidRDefault="00000000">
            <w:pPr>
              <w:tabs>
                <w:tab w:val="decimal" w:pos="603"/>
              </w:tabs>
              <w:rPr>
                <w:b/>
                <w:sz w:val="17"/>
              </w:rPr>
            </w:pPr>
            <w:r>
              <w:rPr>
                <w:b/>
                <w:sz w:val="17"/>
              </w:rPr>
              <w:t>72,0</w:t>
            </w:r>
          </w:p>
        </w:tc>
        <w:tc>
          <w:tcPr>
            <w:tcW w:w="1448" w:type="dxa"/>
            <w:shd w:val="clear" w:color="auto" w:fill="808080"/>
            <w:vAlign w:val="bottom"/>
          </w:tcPr>
          <w:p w:rsidR="00000000" w:rsidRDefault="00000000">
            <w:pPr>
              <w:tabs>
                <w:tab w:val="decimal" w:pos="944"/>
              </w:tabs>
              <w:rPr>
                <w:b/>
                <w:sz w:val="17"/>
              </w:rPr>
            </w:pPr>
            <w:r>
              <w:rPr>
                <w:b/>
                <w:sz w:val="17"/>
              </w:rPr>
              <w:t>95 563</w:t>
            </w:r>
          </w:p>
        </w:tc>
        <w:tc>
          <w:tcPr>
            <w:tcW w:w="1448" w:type="dxa"/>
            <w:vAlign w:val="bottom"/>
          </w:tcPr>
          <w:p w:rsidR="00000000" w:rsidRDefault="00000000">
            <w:pPr>
              <w:tabs>
                <w:tab w:val="decimal" w:pos="944"/>
              </w:tabs>
              <w:rPr>
                <w:b/>
                <w:sz w:val="17"/>
              </w:rPr>
            </w:pPr>
            <w:r>
              <w:rPr>
                <w:b/>
                <w:sz w:val="17"/>
              </w:rPr>
              <w:t>69 485</w:t>
            </w:r>
          </w:p>
        </w:tc>
        <w:tc>
          <w:tcPr>
            <w:tcW w:w="1445" w:type="dxa"/>
            <w:vAlign w:val="bottom"/>
          </w:tcPr>
          <w:p w:rsidR="00000000" w:rsidRDefault="00000000">
            <w:pPr>
              <w:tabs>
                <w:tab w:val="decimal" w:pos="653"/>
              </w:tabs>
              <w:rPr>
                <w:b/>
                <w:sz w:val="17"/>
              </w:rPr>
            </w:pPr>
            <w:r>
              <w:rPr>
                <w:b/>
                <w:sz w:val="17"/>
              </w:rPr>
              <w:t>72,7</w:t>
            </w:r>
          </w:p>
        </w:tc>
      </w:tr>
      <w:tr w:rsidR="00000000">
        <w:tblPrEx>
          <w:tblCellMar>
            <w:top w:w="0" w:type="dxa"/>
            <w:bottom w:w="0" w:type="dxa"/>
          </w:tblCellMar>
        </w:tblPrEx>
        <w:tc>
          <w:tcPr>
            <w:tcW w:w="3734" w:type="dxa"/>
          </w:tcPr>
          <w:p w:rsidR="00000000" w:rsidRDefault="00000000">
            <w:pPr>
              <w:ind w:left="360"/>
              <w:rPr>
                <w:b/>
                <w:sz w:val="17"/>
              </w:rPr>
            </w:pPr>
            <w:r>
              <w:rPr>
                <w:b/>
                <w:sz w:val="17"/>
              </w:rPr>
              <w:t>Профессионально-техническое уч</w:t>
            </w:r>
            <w:r>
              <w:rPr>
                <w:b/>
                <w:sz w:val="17"/>
              </w:rPr>
              <w:t>и</w:t>
            </w:r>
            <w:r>
              <w:rPr>
                <w:b/>
                <w:sz w:val="17"/>
              </w:rPr>
              <w:t>лище, всего</w:t>
            </w:r>
          </w:p>
        </w:tc>
        <w:tc>
          <w:tcPr>
            <w:tcW w:w="1445" w:type="dxa"/>
            <w:shd w:val="clear" w:color="auto" w:fill="808080"/>
            <w:vAlign w:val="bottom"/>
          </w:tcPr>
          <w:p w:rsidR="00000000" w:rsidRDefault="00000000">
            <w:pPr>
              <w:tabs>
                <w:tab w:val="decimal" w:pos="944"/>
              </w:tabs>
              <w:rPr>
                <w:b/>
                <w:sz w:val="17"/>
              </w:rPr>
            </w:pPr>
            <w:r>
              <w:rPr>
                <w:b/>
                <w:sz w:val="17"/>
              </w:rPr>
              <w:t>4 580</w:t>
            </w:r>
          </w:p>
        </w:tc>
        <w:tc>
          <w:tcPr>
            <w:tcW w:w="1448" w:type="dxa"/>
            <w:vAlign w:val="bottom"/>
          </w:tcPr>
          <w:p w:rsidR="00000000" w:rsidRDefault="00000000">
            <w:pPr>
              <w:tabs>
                <w:tab w:val="decimal" w:pos="944"/>
              </w:tabs>
              <w:rPr>
                <w:b/>
                <w:sz w:val="17"/>
              </w:rPr>
            </w:pPr>
            <w:r>
              <w:rPr>
                <w:b/>
                <w:sz w:val="17"/>
              </w:rPr>
              <w:t>1 264</w:t>
            </w:r>
          </w:p>
        </w:tc>
        <w:tc>
          <w:tcPr>
            <w:tcW w:w="1448" w:type="dxa"/>
            <w:vAlign w:val="bottom"/>
          </w:tcPr>
          <w:p w:rsidR="00000000" w:rsidRDefault="00000000">
            <w:pPr>
              <w:tabs>
                <w:tab w:val="decimal" w:pos="603"/>
              </w:tabs>
              <w:rPr>
                <w:b/>
                <w:sz w:val="17"/>
              </w:rPr>
            </w:pPr>
            <w:r>
              <w:rPr>
                <w:b/>
                <w:sz w:val="17"/>
              </w:rPr>
              <w:t>27,6</w:t>
            </w:r>
          </w:p>
        </w:tc>
        <w:tc>
          <w:tcPr>
            <w:tcW w:w="1448" w:type="dxa"/>
            <w:shd w:val="clear" w:color="auto" w:fill="808080"/>
            <w:vAlign w:val="bottom"/>
          </w:tcPr>
          <w:p w:rsidR="00000000" w:rsidRDefault="00000000">
            <w:pPr>
              <w:tabs>
                <w:tab w:val="decimal" w:pos="944"/>
              </w:tabs>
              <w:rPr>
                <w:b/>
                <w:sz w:val="17"/>
              </w:rPr>
            </w:pPr>
            <w:r>
              <w:rPr>
                <w:b/>
                <w:sz w:val="17"/>
              </w:rPr>
              <w:t>4 602</w:t>
            </w:r>
          </w:p>
        </w:tc>
        <w:tc>
          <w:tcPr>
            <w:tcW w:w="1448" w:type="dxa"/>
            <w:vAlign w:val="bottom"/>
          </w:tcPr>
          <w:p w:rsidR="00000000" w:rsidRDefault="00000000">
            <w:pPr>
              <w:tabs>
                <w:tab w:val="decimal" w:pos="944"/>
              </w:tabs>
              <w:rPr>
                <w:b/>
                <w:sz w:val="17"/>
              </w:rPr>
            </w:pPr>
            <w:r>
              <w:rPr>
                <w:b/>
                <w:sz w:val="17"/>
              </w:rPr>
              <w:t>1 281</w:t>
            </w:r>
          </w:p>
        </w:tc>
        <w:tc>
          <w:tcPr>
            <w:tcW w:w="1445" w:type="dxa"/>
            <w:vAlign w:val="bottom"/>
          </w:tcPr>
          <w:p w:rsidR="00000000" w:rsidRDefault="00000000">
            <w:pPr>
              <w:tabs>
                <w:tab w:val="decimal" w:pos="653"/>
              </w:tabs>
              <w:rPr>
                <w:b/>
                <w:sz w:val="17"/>
              </w:rPr>
            </w:pPr>
            <w:r>
              <w:rPr>
                <w:b/>
                <w:sz w:val="17"/>
              </w:rPr>
              <w:t>27,8</w:t>
            </w:r>
          </w:p>
        </w:tc>
      </w:tr>
      <w:tr w:rsidR="00000000">
        <w:tblPrEx>
          <w:tblCellMar>
            <w:top w:w="0" w:type="dxa"/>
            <w:bottom w:w="0" w:type="dxa"/>
          </w:tblCellMar>
        </w:tblPrEx>
        <w:tc>
          <w:tcPr>
            <w:tcW w:w="3734" w:type="dxa"/>
          </w:tcPr>
          <w:p w:rsidR="00000000" w:rsidRDefault="00000000">
            <w:pPr>
              <w:ind w:left="540"/>
              <w:rPr>
                <w:sz w:val="17"/>
              </w:rPr>
            </w:pPr>
            <w:r>
              <w:rPr>
                <w:sz w:val="17"/>
              </w:rPr>
              <w:t>Техника, ремесла, и искусс</w:t>
            </w:r>
            <w:r>
              <w:rPr>
                <w:sz w:val="17"/>
              </w:rPr>
              <w:t>т</w:t>
            </w:r>
            <w:r>
              <w:rPr>
                <w:sz w:val="17"/>
              </w:rPr>
              <w:t>во</w:t>
            </w:r>
          </w:p>
        </w:tc>
        <w:tc>
          <w:tcPr>
            <w:tcW w:w="1445" w:type="dxa"/>
            <w:shd w:val="clear" w:color="auto" w:fill="808080"/>
            <w:vAlign w:val="bottom"/>
          </w:tcPr>
          <w:p w:rsidR="00000000" w:rsidRDefault="00000000">
            <w:pPr>
              <w:tabs>
                <w:tab w:val="decimal" w:pos="944"/>
              </w:tabs>
              <w:rPr>
                <w:sz w:val="17"/>
              </w:rPr>
            </w:pPr>
            <w:r>
              <w:rPr>
                <w:sz w:val="17"/>
              </w:rPr>
              <w:t>7 529</w:t>
            </w:r>
          </w:p>
        </w:tc>
        <w:tc>
          <w:tcPr>
            <w:tcW w:w="1448" w:type="dxa"/>
            <w:vAlign w:val="bottom"/>
          </w:tcPr>
          <w:p w:rsidR="00000000" w:rsidRDefault="00000000">
            <w:pPr>
              <w:tabs>
                <w:tab w:val="decimal" w:pos="944"/>
              </w:tabs>
              <w:rPr>
                <w:sz w:val="17"/>
              </w:rPr>
            </w:pPr>
            <w:r>
              <w:rPr>
                <w:sz w:val="17"/>
              </w:rPr>
              <w:t>1 694</w:t>
            </w:r>
          </w:p>
        </w:tc>
        <w:tc>
          <w:tcPr>
            <w:tcW w:w="1448" w:type="dxa"/>
            <w:vAlign w:val="bottom"/>
          </w:tcPr>
          <w:p w:rsidR="00000000" w:rsidRDefault="00000000">
            <w:pPr>
              <w:tabs>
                <w:tab w:val="decimal" w:pos="603"/>
              </w:tabs>
              <w:rPr>
                <w:sz w:val="17"/>
              </w:rPr>
            </w:pPr>
            <w:r>
              <w:rPr>
                <w:sz w:val="17"/>
              </w:rPr>
              <w:t>22,5</w:t>
            </w:r>
          </w:p>
        </w:tc>
        <w:tc>
          <w:tcPr>
            <w:tcW w:w="1448" w:type="dxa"/>
            <w:shd w:val="clear" w:color="auto" w:fill="808080"/>
            <w:vAlign w:val="bottom"/>
          </w:tcPr>
          <w:p w:rsidR="00000000" w:rsidRDefault="00000000">
            <w:pPr>
              <w:tabs>
                <w:tab w:val="decimal" w:pos="944"/>
              </w:tabs>
              <w:rPr>
                <w:sz w:val="17"/>
              </w:rPr>
            </w:pPr>
            <w:r>
              <w:rPr>
                <w:sz w:val="17"/>
              </w:rPr>
              <w:t>6 525</w:t>
            </w:r>
          </w:p>
        </w:tc>
        <w:tc>
          <w:tcPr>
            <w:tcW w:w="1448" w:type="dxa"/>
            <w:vAlign w:val="bottom"/>
          </w:tcPr>
          <w:p w:rsidR="00000000" w:rsidRDefault="00000000">
            <w:pPr>
              <w:tabs>
                <w:tab w:val="decimal" w:pos="944"/>
              </w:tabs>
              <w:rPr>
                <w:sz w:val="17"/>
              </w:rPr>
            </w:pPr>
            <w:r>
              <w:rPr>
                <w:sz w:val="17"/>
              </w:rPr>
              <w:t>1 214</w:t>
            </w:r>
          </w:p>
        </w:tc>
        <w:tc>
          <w:tcPr>
            <w:tcW w:w="1445" w:type="dxa"/>
            <w:vAlign w:val="bottom"/>
          </w:tcPr>
          <w:p w:rsidR="00000000" w:rsidRDefault="00000000">
            <w:pPr>
              <w:tabs>
                <w:tab w:val="decimal" w:pos="653"/>
              </w:tabs>
              <w:rPr>
                <w:sz w:val="17"/>
              </w:rPr>
            </w:pPr>
            <w:r>
              <w:rPr>
                <w:sz w:val="17"/>
              </w:rPr>
              <w:t>18,6</w:t>
            </w:r>
          </w:p>
        </w:tc>
      </w:tr>
      <w:tr w:rsidR="00000000">
        <w:tblPrEx>
          <w:tblCellMar>
            <w:top w:w="0" w:type="dxa"/>
            <w:bottom w:w="0" w:type="dxa"/>
          </w:tblCellMar>
        </w:tblPrEx>
        <w:tc>
          <w:tcPr>
            <w:tcW w:w="3734" w:type="dxa"/>
          </w:tcPr>
          <w:p w:rsidR="00000000" w:rsidRDefault="00000000">
            <w:pPr>
              <w:ind w:left="540"/>
              <w:rPr>
                <w:sz w:val="17"/>
              </w:rPr>
            </w:pPr>
            <w:r>
              <w:rPr>
                <w:sz w:val="17"/>
              </w:rPr>
              <w:t>Туризм</w:t>
            </w:r>
          </w:p>
        </w:tc>
        <w:tc>
          <w:tcPr>
            <w:tcW w:w="1445" w:type="dxa"/>
            <w:shd w:val="clear" w:color="auto" w:fill="808080"/>
            <w:vAlign w:val="bottom"/>
          </w:tcPr>
          <w:p w:rsidR="00000000" w:rsidRDefault="00000000">
            <w:pPr>
              <w:tabs>
                <w:tab w:val="decimal" w:pos="944"/>
              </w:tabs>
              <w:rPr>
                <w:sz w:val="17"/>
              </w:rPr>
            </w:pPr>
          </w:p>
        </w:tc>
        <w:tc>
          <w:tcPr>
            <w:tcW w:w="1448" w:type="dxa"/>
            <w:vAlign w:val="bottom"/>
          </w:tcPr>
          <w:p w:rsidR="00000000" w:rsidRDefault="00000000">
            <w:pPr>
              <w:tabs>
                <w:tab w:val="decimal" w:pos="944"/>
              </w:tabs>
              <w:rPr>
                <w:sz w:val="17"/>
              </w:rPr>
            </w:pPr>
          </w:p>
        </w:tc>
        <w:tc>
          <w:tcPr>
            <w:tcW w:w="1448" w:type="dxa"/>
            <w:vAlign w:val="bottom"/>
          </w:tcPr>
          <w:p w:rsidR="00000000" w:rsidRDefault="00000000">
            <w:pPr>
              <w:tabs>
                <w:tab w:val="decimal" w:pos="603"/>
              </w:tabs>
              <w:rPr>
                <w:sz w:val="17"/>
              </w:rPr>
            </w:pPr>
          </w:p>
        </w:tc>
        <w:tc>
          <w:tcPr>
            <w:tcW w:w="1448" w:type="dxa"/>
            <w:shd w:val="clear" w:color="auto" w:fill="808080"/>
            <w:vAlign w:val="bottom"/>
          </w:tcPr>
          <w:p w:rsidR="00000000" w:rsidRDefault="00000000">
            <w:pPr>
              <w:tabs>
                <w:tab w:val="decimal" w:pos="944"/>
              </w:tabs>
              <w:rPr>
                <w:sz w:val="17"/>
              </w:rPr>
            </w:pPr>
            <w:r>
              <w:rPr>
                <w:sz w:val="17"/>
              </w:rPr>
              <w:t>1 115</w:t>
            </w:r>
          </w:p>
        </w:tc>
        <w:tc>
          <w:tcPr>
            <w:tcW w:w="1448" w:type="dxa"/>
            <w:vAlign w:val="bottom"/>
          </w:tcPr>
          <w:p w:rsidR="00000000" w:rsidRDefault="00000000">
            <w:pPr>
              <w:tabs>
                <w:tab w:val="decimal" w:pos="944"/>
              </w:tabs>
              <w:rPr>
                <w:sz w:val="17"/>
              </w:rPr>
            </w:pPr>
            <w:r>
              <w:rPr>
                <w:sz w:val="17"/>
              </w:rPr>
              <w:t>563</w:t>
            </w:r>
          </w:p>
        </w:tc>
        <w:tc>
          <w:tcPr>
            <w:tcW w:w="1445" w:type="dxa"/>
            <w:vAlign w:val="bottom"/>
          </w:tcPr>
          <w:p w:rsidR="00000000" w:rsidRDefault="00000000">
            <w:pPr>
              <w:tabs>
                <w:tab w:val="decimal" w:pos="653"/>
              </w:tabs>
              <w:rPr>
                <w:sz w:val="17"/>
              </w:rPr>
            </w:pPr>
            <w:r>
              <w:rPr>
                <w:sz w:val="17"/>
              </w:rPr>
              <w:t>50,5</w:t>
            </w:r>
          </w:p>
        </w:tc>
      </w:tr>
      <w:tr w:rsidR="00000000">
        <w:tblPrEx>
          <w:tblCellMar>
            <w:top w:w="0" w:type="dxa"/>
            <w:bottom w:w="0" w:type="dxa"/>
          </w:tblCellMar>
        </w:tblPrEx>
        <w:tc>
          <w:tcPr>
            <w:tcW w:w="3734" w:type="dxa"/>
          </w:tcPr>
          <w:p w:rsidR="00000000" w:rsidRDefault="00000000">
            <w:pPr>
              <w:ind w:left="540"/>
              <w:rPr>
                <w:sz w:val="17"/>
              </w:rPr>
            </w:pPr>
            <w:r>
              <w:rPr>
                <w:sz w:val="17"/>
              </w:rPr>
              <w:t>Бизнес</w:t>
            </w:r>
          </w:p>
        </w:tc>
        <w:tc>
          <w:tcPr>
            <w:tcW w:w="1445" w:type="dxa"/>
            <w:shd w:val="clear" w:color="auto" w:fill="808080"/>
            <w:vAlign w:val="bottom"/>
          </w:tcPr>
          <w:p w:rsidR="00000000" w:rsidRDefault="00000000">
            <w:pPr>
              <w:tabs>
                <w:tab w:val="decimal" w:pos="944"/>
              </w:tabs>
              <w:rPr>
                <w:sz w:val="17"/>
              </w:rPr>
            </w:pPr>
            <w:r>
              <w:rPr>
                <w:sz w:val="17"/>
              </w:rPr>
              <w:t>5 558</w:t>
            </w:r>
          </w:p>
        </w:tc>
        <w:tc>
          <w:tcPr>
            <w:tcW w:w="1448" w:type="dxa"/>
            <w:vAlign w:val="bottom"/>
          </w:tcPr>
          <w:p w:rsidR="00000000" w:rsidRDefault="00000000">
            <w:pPr>
              <w:tabs>
                <w:tab w:val="decimal" w:pos="944"/>
              </w:tabs>
              <w:rPr>
                <w:sz w:val="17"/>
              </w:rPr>
            </w:pPr>
            <w:r>
              <w:rPr>
                <w:sz w:val="17"/>
              </w:rPr>
              <w:t>3 305</w:t>
            </w:r>
          </w:p>
        </w:tc>
        <w:tc>
          <w:tcPr>
            <w:tcW w:w="1448" w:type="dxa"/>
            <w:vAlign w:val="bottom"/>
          </w:tcPr>
          <w:p w:rsidR="00000000" w:rsidRDefault="00000000">
            <w:pPr>
              <w:tabs>
                <w:tab w:val="decimal" w:pos="603"/>
              </w:tabs>
              <w:rPr>
                <w:sz w:val="17"/>
              </w:rPr>
            </w:pPr>
            <w:r>
              <w:rPr>
                <w:sz w:val="17"/>
              </w:rPr>
              <w:t>59,5</w:t>
            </w:r>
          </w:p>
        </w:tc>
        <w:tc>
          <w:tcPr>
            <w:tcW w:w="1448" w:type="dxa"/>
            <w:shd w:val="clear" w:color="auto" w:fill="808080"/>
            <w:vAlign w:val="bottom"/>
          </w:tcPr>
          <w:p w:rsidR="00000000" w:rsidRDefault="00000000">
            <w:pPr>
              <w:tabs>
                <w:tab w:val="decimal" w:pos="944"/>
              </w:tabs>
              <w:rPr>
                <w:sz w:val="17"/>
              </w:rPr>
            </w:pPr>
            <w:r>
              <w:rPr>
                <w:sz w:val="17"/>
              </w:rPr>
              <w:t>5 495</w:t>
            </w:r>
          </w:p>
        </w:tc>
        <w:tc>
          <w:tcPr>
            <w:tcW w:w="1448" w:type="dxa"/>
            <w:vAlign w:val="bottom"/>
          </w:tcPr>
          <w:p w:rsidR="00000000" w:rsidRDefault="00000000">
            <w:pPr>
              <w:tabs>
                <w:tab w:val="decimal" w:pos="944"/>
              </w:tabs>
              <w:rPr>
                <w:sz w:val="17"/>
              </w:rPr>
            </w:pPr>
            <w:r>
              <w:rPr>
                <w:sz w:val="17"/>
              </w:rPr>
              <w:t>3 329</w:t>
            </w:r>
          </w:p>
        </w:tc>
        <w:tc>
          <w:tcPr>
            <w:tcW w:w="1445" w:type="dxa"/>
            <w:vAlign w:val="bottom"/>
          </w:tcPr>
          <w:p w:rsidR="00000000" w:rsidRDefault="00000000">
            <w:pPr>
              <w:tabs>
                <w:tab w:val="decimal" w:pos="653"/>
              </w:tabs>
              <w:rPr>
                <w:sz w:val="17"/>
              </w:rPr>
            </w:pPr>
            <w:r>
              <w:rPr>
                <w:sz w:val="17"/>
              </w:rPr>
              <w:t>60,6</w:t>
            </w:r>
          </w:p>
        </w:tc>
      </w:tr>
      <w:tr w:rsidR="00000000">
        <w:tblPrEx>
          <w:tblCellMar>
            <w:top w:w="0" w:type="dxa"/>
            <w:bottom w:w="0" w:type="dxa"/>
          </w:tblCellMar>
        </w:tblPrEx>
        <w:tc>
          <w:tcPr>
            <w:tcW w:w="3734" w:type="dxa"/>
          </w:tcPr>
          <w:p w:rsidR="00000000" w:rsidRDefault="00000000">
            <w:pPr>
              <w:ind w:left="540"/>
              <w:rPr>
                <w:sz w:val="17"/>
              </w:rPr>
            </w:pPr>
            <w:r>
              <w:rPr>
                <w:sz w:val="17"/>
              </w:rPr>
              <w:t>Домоводство и коммерция</w:t>
            </w:r>
            <w:r>
              <w:rPr>
                <w:sz w:val="17"/>
                <w:vertAlign w:val="superscript"/>
              </w:rPr>
              <w:t>2</w:t>
            </w:r>
          </w:p>
        </w:tc>
        <w:tc>
          <w:tcPr>
            <w:tcW w:w="1445" w:type="dxa"/>
            <w:shd w:val="clear" w:color="auto" w:fill="808080"/>
            <w:vAlign w:val="bottom"/>
          </w:tcPr>
          <w:p w:rsidR="00000000" w:rsidRDefault="00000000">
            <w:pPr>
              <w:tabs>
                <w:tab w:val="decimal" w:pos="944"/>
              </w:tabs>
              <w:rPr>
                <w:sz w:val="17"/>
              </w:rPr>
            </w:pPr>
            <w:r>
              <w:rPr>
                <w:sz w:val="17"/>
              </w:rPr>
              <w:t>4 658</w:t>
            </w:r>
          </w:p>
        </w:tc>
        <w:tc>
          <w:tcPr>
            <w:tcW w:w="1448" w:type="dxa"/>
            <w:vAlign w:val="bottom"/>
          </w:tcPr>
          <w:p w:rsidR="00000000" w:rsidRDefault="00000000">
            <w:pPr>
              <w:tabs>
                <w:tab w:val="decimal" w:pos="944"/>
              </w:tabs>
              <w:rPr>
                <w:sz w:val="17"/>
              </w:rPr>
            </w:pPr>
            <w:r>
              <w:rPr>
                <w:sz w:val="17"/>
              </w:rPr>
              <w:t>3 752</w:t>
            </w:r>
          </w:p>
        </w:tc>
        <w:tc>
          <w:tcPr>
            <w:tcW w:w="1448" w:type="dxa"/>
            <w:vAlign w:val="bottom"/>
          </w:tcPr>
          <w:p w:rsidR="00000000" w:rsidRDefault="00000000">
            <w:pPr>
              <w:tabs>
                <w:tab w:val="decimal" w:pos="603"/>
              </w:tabs>
              <w:rPr>
                <w:sz w:val="17"/>
              </w:rPr>
            </w:pPr>
            <w:r>
              <w:rPr>
                <w:sz w:val="17"/>
              </w:rPr>
              <w:t>80,5</w:t>
            </w:r>
          </w:p>
        </w:tc>
        <w:tc>
          <w:tcPr>
            <w:tcW w:w="1448" w:type="dxa"/>
            <w:shd w:val="clear" w:color="auto" w:fill="808080"/>
            <w:vAlign w:val="bottom"/>
          </w:tcPr>
          <w:p w:rsidR="00000000" w:rsidRDefault="00000000">
            <w:pPr>
              <w:tabs>
                <w:tab w:val="decimal" w:pos="944"/>
              </w:tabs>
              <w:rPr>
                <w:sz w:val="17"/>
              </w:rPr>
            </w:pPr>
            <w:r>
              <w:rPr>
                <w:sz w:val="17"/>
              </w:rPr>
              <w:t>4 648</w:t>
            </w:r>
          </w:p>
        </w:tc>
        <w:tc>
          <w:tcPr>
            <w:tcW w:w="1448" w:type="dxa"/>
            <w:vAlign w:val="bottom"/>
          </w:tcPr>
          <w:p w:rsidR="00000000" w:rsidRDefault="00000000">
            <w:pPr>
              <w:tabs>
                <w:tab w:val="decimal" w:pos="944"/>
              </w:tabs>
              <w:rPr>
                <w:sz w:val="17"/>
              </w:rPr>
            </w:pPr>
            <w:r>
              <w:rPr>
                <w:sz w:val="17"/>
              </w:rPr>
              <w:t>3 740</w:t>
            </w:r>
          </w:p>
        </w:tc>
        <w:tc>
          <w:tcPr>
            <w:tcW w:w="1445" w:type="dxa"/>
            <w:vAlign w:val="bottom"/>
          </w:tcPr>
          <w:p w:rsidR="00000000" w:rsidRDefault="00000000">
            <w:pPr>
              <w:tabs>
                <w:tab w:val="decimal" w:pos="653"/>
              </w:tabs>
              <w:rPr>
                <w:sz w:val="17"/>
              </w:rPr>
            </w:pPr>
            <w:r>
              <w:rPr>
                <w:sz w:val="17"/>
              </w:rPr>
              <w:t>80,5</w:t>
            </w:r>
          </w:p>
        </w:tc>
      </w:tr>
      <w:tr w:rsidR="00000000">
        <w:tblPrEx>
          <w:tblCellMar>
            <w:top w:w="0" w:type="dxa"/>
            <w:bottom w:w="0" w:type="dxa"/>
          </w:tblCellMar>
        </w:tblPrEx>
        <w:tc>
          <w:tcPr>
            <w:tcW w:w="3734" w:type="dxa"/>
          </w:tcPr>
          <w:p w:rsidR="00000000" w:rsidRDefault="00000000">
            <w:pPr>
              <w:ind w:left="540"/>
              <w:rPr>
                <w:sz w:val="17"/>
              </w:rPr>
            </w:pPr>
            <w:r>
              <w:rPr>
                <w:sz w:val="17"/>
              </w:rPr>
              <w:t>Социальное попечение</w:t>
            </w:r>
          </w:p>
        </w:tc>
        <w:tc>
          <w:tcPr>
            <w:tcW w:w="1445" w:type="dxa"/>
            <w:shd w:val="clear" w:color="auto" w:fill="808080"/>
            <w:vAlign w:val="bottom"/>
          </w:tcPr>
          <w:p w:rsidR="00000000" w:rsidRDefault="00000000">
            <w:pPr>
              <w:tabs>
                <w:tab w:val="decimal" w:pos="944"/>
              </w:tabs>
              <w:rPr>
                <w:sz w:val="17"/>
              </w:rPr>
            </w:pPr>
            <w:r>
              <w:rPr>
                <w:sz w:val="17"/>
              </w:rPr>
              <w:t>80</w:t>
            </w:r>
          </w:p>
        </w:tc>
        <w:tc>
          <w:tcPr>
            <w:tcW w:w="1448" w:type="dxa"/>
            <w:vAlign w:val="bottom"/>
          </w:tcPr>
          <w:p w:rsidR="00000000" w:rsidRDefault="00000000">
            <w:pPr>
              <w:tabs>
                <w:tab w:val="decimal" w:pos="944"/>
              </w:tabs>
              <w:rPr>
                <w:sz w:val="17"/>
              </w:rPr>
            </w:pPr>
            <w:r>
              <w:rPr>
                <w:sz w:val="17"/>
              </w:rPr>
              <w:t>70</w:t>
            </w:r>
          </w:p>
        </w:tc>
        <w:tc>
          <w:tcPr>
            <w:tcW w:w="1448" w:type="dxa"/>
            <w:vAlign w:val="bottom"/>
          </w:tcPr>
          <w:p w:rsidR="00000000" w:rsidRDefault="00000000">
            <w:pPr>
              <w:tabs>
                <w:tab w:val="decimal" w:pos="603"/>
              </w:tabs>
              <w:rPr>
                <w:sz w:val="17"/>
              </w:rPr>
            </w:pPr>
            <w:r>
              <w:rPr>
                <w:sz w:val="17"/>
              </w:rPr>
              <w:t>87,5</w:t>
            </w:r>
          </w:p>
        </w:tc>
        <w:tc>
          <w:tcPr>
            <w:tcW w:w="1448" w:type="dxa"/>
            <w:shd w:val="clear" w:color="auto" w:fill="808080"/>
            <w:vAlign w:val="bottom"/>
          </w:tcPr>
          <w:p w:rsidR="00000000" w:rsidRDefault="00000000">
            <w:pPr>
              <w:tabs>
                <w:tab w:val="decimal" w:pos="944"/>
              </w:tabs>
              <w:rPr>
                <w:sz w:val="17"/>
              </w:rPr>
            </w:pPr>
            <w:r>
              <w:rPr>
                <w:sz w:val="17"/>
              </w:rPr>
              <w:t>55</w:t>
            </w:r>
          </w:p>
        </w:tc>
        <w:tc>
          <w:tcPr>
            <w:tcW w:w="1448" w:type="dxa"/>
            <w:vAlign w:val="bottom"/>
          </w:tcPr>
          <w:p w:rsidR="00000000" w:rsidRDefault="00000000">
            <w:pPr>
              <w:tabs>
                <w:tab w:val="decimal" w:pos="944"/>
              </w:tabs>
              <w:rPr>
                <w:sz w:val="17"/>
              </w:rPr>
            </w:pPr>
            <w:r>
              <w:rPr>
                <w:sz w:val="17"/>
              </w:rPr>
              <w:t>48</w:t>
            </w:r>
          </w:p>
        </w:tc>
        <w:tc>
          <w:tcPr>
            <w:tcW w:w="1445" w:type="dxa"/>
            <w:vAlign w:val="bottom"/>
          </w:tcPr>
          <w:p w:rsidR="00000000" w:rsidRDefault="00000000">
            <w:pPr>
              <w:tabs>
                <w:tab w:val="decimal" w:pos="653"/>
              </w:tabs>
              <w:rPr>
                <w:sz w:val="17"/>
              </w:rPr>
            </w:pPr>
            <w:r>
              <w:rPr>
                <w:sz w:val="17"/>
              </w:rPr>
              <w:t>87,3</w:t>
            </w:r>
          </w:p>
        </w:tc>
      </w:tr>
      <w:tr w:rsidR="00000000">
        <w:tblPrEx>
          <w:tblCellMar>
            <w:top w:w="0" w:type="dxa"/>
            <w:bottom w:w="0" w:type="dxa"/>
          </w:tblCellMar>
        </w:tblPrEx>
        <w:tc>
          <w:tcPr>
            <w:tcW w:w="3734" w:type="dxa"/>
          </w:tcPr>
          <w:p w:rsidR="00000000" w:rsidRDefault="00000000">
            <w:pPr>
              <w:ind w:left="540"/>
              <w:rPr>
                <w:sz w:val="17"/>
              </w:rPr>
            </w:pPr>
            <w:r>
              <w:rPr>
                <w:sz w:val="17"/>
              </w:rPr>
              <w:t>Сельское и лесное хозяйство</w:t>
            </w:r>
          </w:p>
        </w:tc>
        <w:tc>
          <w:tcPr>
            <w:tcW w:w="1445" w:type="dxa"/>
            <w:shd w:val="clear" w:color="auto" w:fill="808080"/>
            <w:vAlign w:val="bottom"/>
          </w:tcPr>
          <w:p w:rsidR="00000000" w:rsidRDefault="00000000">
            <w:pPr>
              <w:tabs>
                <w:tab w:val="decimal" w:pos="944"/>
              </w:tabs>
              <w:rPr>
                <w:sz w:val="17"/>
              </w:rPr>
            </w:pPr>
            <w:r>
              <w:rPr>
                <w:sz w:val="17"/>
              </w:rPr>
              <w:t>2 472</w:t>
            </w:r>
          </w:p>
        </w:tc>
        <w:tc>
          <w:tcPr>
            <w:tcW w:w="1448" w:type="dxa"/>
            <w:vAlign w:val="bottom"/>
          </w:tcPr>
          <w:p w:rsidR="00000000" w:rsidRDefault="00000000">
            <w:pPr>
              <w:tabs>
                <w:tab w:val="decimal" w:pos="944"/>
              </w:tabs>
              <w:rPr>
                <w:sz w:val="17"/>
              </w:rPr>
            </w:pPr>
            <w:r>
              <w:rPr>
                <w:sz w:val="17"/>
              </w:rPr>
              <w:t>1 241</w:t>
            </w:r>
          </w:p>
        </w:tc>
        <w:tc>
          <w:tcPr>
            <w:tcW w:w="1448" w:type="dxa"/>
            <w:vAlign w:val="bottom"/>
          </w:tcPr>
          <w:p w:rsidR="00000000" w:rsidRDefault="00000000">
            <w:pPr>
              <w:tabs>
                <w:tab w:val="decimal" w:pos="603"/>
              </w:tabs>
              <w:rPr>
                <w:sz w:val="17"/>
              </w:rPr>
            </w:pPr>
            <w:r>
              <w:rPr>
                <w:sz w:val="17"/>
              </w:rPr>
              <w:t>50,2</w:t>
            </w:r>
          </w:p>
        </w:tc>
        <w:tc>
          <w:tcPr>
            <w:tcW w:w="1448" w:type="dxa"/>
            <w:shd w:val="clear" w:color="auto" w:fill="808080"/>
            <w:vAlign w:val="bottom"/>
          </w:tcPr>
          <w:p w:rsidR="00000000" w:rsidRDefault="00000000">
            <w:pPr>
              <w:tabs>
                <w:tab w:val="decimal" w:pos="944"/>
              </w:tabs>
              <w:rPr>
                <w:sz w:val="17"/>
              </w:rPr>
            </w:pPr>
            <w:r>
              <w:rPr>
                <w:sz w:val="17"/>
              </w:rPr>
              <w:t>2 313</w:t>
            </w:r>
          </w:p>
        </w:tc>
        <w:tc>
          <w:tcPr>
            <w:tcW w:w="1448" w:type="dxa"/>
            <w:vAlign w:val="bottom"/>
          </w:tcPr>
          <w:p w:rsidR="00000000" w:rsidRDefault="00000000">
            <w:pPr>
              <w:tabs>
                <w:tab w:val="decimal" w:pos="944"/>
              </w:tabs>
              <w:rPr>
                <w:sz w:val="17"/>
              </w:rPr>
            </w:pPr>
            <w:r>
              <w:rPr>
                <w:sz w:val="17"/>
              </w:rPr>
              <w:t>1 190</w:t>
            </w:r>
          </w:p>
        </w:tc>
        <w:tc>
          <w:tcPr>
            <w:tcW w:w="1445" w:type="dxa"/>
            <w:vAlign w:val="bottom"/>
          </w:tcPr>
          <w:p w:rsidR="00000000" w:rsidRDefault="00000000">
            <w:pPr>
              <w:tabs>
                <w:tab w:val="decimal" w:pos="653"/>
              </w:tabs>
              <w:rPr>
                <w:sz w:val="17"/>
              </w:rPr>
            </w:pPr>
            <w:r>
              <w:rPr>
                <w:sz w:val="17"/>
              </w:rPr>
              <w:t>51,4</w:t>
            </w:r>
          </w:p>
        </w:tc>
      </w:tr>
      <w:tr w:rsidR="00000000">
        <w:tblPrEx>
          <w:tblCellMar>
            <w:top w:w="0" w:type="dxa"/>
            <w:bottom w:w="0" w:type="dxa"/>
          </w:tblCellMar>
        </w:tblPrEx>
        <w:tc>
          <w:tcPr>
            <w:tcW w:w="3734" w:type="dxa"/>
          </w:tcPr>
          <w:p w:rsidR="00000000" w:rsidRDefault="00000000">
            <w:pPr>
              <w:ind w:left="360"/>
              <w:rPr>
                <w:b/>
                <w:sz w:val="17"/>
              </w:rPr>
            </w:pPr>
            <w:r>
              <w:rPr>
                <w:b/>
                <w:sz w:val="17"/>
              </w:rPr>
              <w:t>Промежуточные и высшие профе</w:t>
            </w:r>
            <w:r>
              <w:rPr>
                <w:b/>
                <w:sz w:val="17"/>
              </w:rPr>
              <w:t>с</w:t>
            </w:r>
            <w:r>
              <w:rPr>
                <w:b/>
                <w:sz w:val="17"/>
              </w:rPr>
              <w:t>сионально-технические училища, всего</w:t>
            </w:r>
          </w:p>
        </w:tc>
        <w:tc>
          <w:tcPr>
            <w:tcW w:w="1445" w:type="dxa"/>
            <w:shd w:val="clear" w:color="auto" w:fill="808080"/>
            <w:vAlign w:val="bottom"/>
          </w:tcPr>
          <w:p w:rsidR="00000000" w:rsidRDefault="00000000">
            <w:pPr>
              <w:tabs>
                <w:tab w:val="decimal" w:pos="944"/>
              </w:tabs>
              <w:rPr>
                <w:b/>
                <w:sz w:val="17"/>
              </w:rPr>
            </w:pPr>
            <w:r>
              <w:rPr>
                <w:b/>
                <w:sz w:val="17"/>
              </w:rPr>
              <w:t>20 297</w:t>
            </w:r>
          </w:p>
        </w:tc>
        <w:tc>
          <w:tcPr>
            <w:tcW w:w="1448" w:type="dxa"/>
            <w:vAlign w:val="bottom"/>
          </w:tcPr>
          <w:p w:rsidR="00000000" w:rsidRDefault="00000000">
            <w:pPr>
              <w:tabs>
                <w:tab w:val="decimal" w:pos="944"/>
              </w:tabs>
              <w:rPr>
                <w:b/>
                <w:sz w:val="17"/>
              </w:rPr>
            </w:pPr>
            <w:r>
              <w:rPr>
                <w:b/>
                <w:sz w:val="17"/>
              </w:rPr>
              <w:t>10 062</w:t>
            </w:r>
          </w:p>
        </w:tc>
        <w:tc>
          <w:tcPr>
            <w:tcW w:w="1448" w:type="dxa"/>
            <w:vAlign w:val="bottom"/>
          </w:tcPr>
          <w:p w:rsidR="00000000" w:rsidRDefault="00000000">
            <w:pPr>
              <w:tabs>
                <w:tab w:val="decimal" w:pos="603"/>
              </w:tabs>
              <w:rPr>
                <w:b/>
                <w:sz w:val="17"/>
              </w:rPr>
            </w:pPr>
            <w:r>
              <w:rPr>
                <w:b/>
                <w:sz w:val="17"/>
              </w:rPr>
              <w:t>49,6</w:t>
            </w:r>
          </w:p>
        </w:tc>
        <w:tc>
          <w:tcPr>
            <w:tcW w:w="1448" w:type="dxa"/>
            <w:shd w:val="clear" w:color="auto" w:fill="808080"/>
            <w:vAlign w:val="bottom"/>
          </w:tcPr>
          <w:p w:rsidR="00000000" w:rsidRDefault="00000000">
            <w:pPr>
              <w:tabs>
                <w:tab w:val="decimal" w:pos="944"/>
              </w:tabs>
              <w:rPr>
                <w:b/>
                <w:sz w:val="17"/>
              </w:rPr>
            </w:pPr>
            <w:r>
              <w:rPr>
                <w:b/>
                <w:sz w:val="17"/>
              </w:rPr>
              <w:t>20 151</w:t>
            </w:r>
          </w:p>
        </w:tc>
        <w:tc>
          <w:tcPr>
            <w:tcW w:w="1448" w:type="dxa"/>
            <w:vAlign w:val="bottom"/>
          </w:tcPr>
          <w:p w:rsidR="00000000" w:rsidRDefault="00000000">
            <w:pPr>
              <w:tabs>
                <w:tab w:val="decimal" w:pos="944"/>
              </w:tabs>
              <w:rPr>
                <w:b/>
                <w:sz w:val="17"/>
              </w:rPr>
            </w:pPr>
            <w:r>
              <w:rPr>
                <w:b/>
                <w:sz w:val="17"/>
              </w:rPr>
              <w:t>10 084</w:t>
            </w:r>
          </w:p>
        </w:tc>
        <w:tc>
          <w:tcPr>
            <w:tcW w:w="1445" w:type="dxa"/>
            <w:vAlign w:val="bottom"/>
          </w:tcPr>
          <w:p w:rsidR="00000000" w:rsidRDefault="00000000">
            <w:pPr>
              <w:tabs>
                <w:tab w:val="decimal" w:pos="653"/>
              </w:tabs>
              <w:rPr>
                <w:b/>
                <w:sz w:val="17"/>
              </w:rPr>
            </w:pPr>
            <w:r>
              <w:rPr>
                <w:b/>
                <w:sz w:val="17"/>
              </w:rPr>
              <w:t>50,0</w:t>
            </w:r>
          </w:p>
        </w:tc>
      </w:tr>
      <w:tr w:rsidR="00000000">
        <w:tblPrEx>
          <w:tblCellMar>
            <w:top w:w="0" w:type="dxa"/>
            <w:bottom w:w="0" w:type="dxa"/>
          </w:tblCellMar>
        </w:tblPrEx>
        <w:tc>
          <w:tcPr>
            <w:tcW w:w="3734" w:type="dxa"/>
          </w:tcPr>
          <w:p w:rsidR="00000000" w:rsidRDefault="00000000">
            <w:pPr>
              <w:ind w:left="360"/>
              <w:rPr>
                <w:b/>
                <w:sz w:val="17"/>
              </w:rPr>
            </w:pPr>
            <w:r>
              <w:rPr>
                <w:b/>
                <w:sz w:val="17"/>
              </w:rPr>
              <w:t>Колледжи социальной работы</w:t>
            </w:r>
          </w:p>
        </w:tc>
        <w:tc>
          <w:tcPr>
            <w:tcW w:w="1445" w:type="dxa"/>
            <w:shd w:val="clear" w:color="auto" w:fill="808080"/>
            <w:vAlign w:val="bottom"/>
          </w:tcPr>
          <w:p w:rsidR="00000000" w:rsidRDefault="00000000">
            <w:pPr>
              <w:tabs>
                <w:tab w:val="decimal" w:pos="944"/>
              </w:tabs>
              <w:rPr>
                <w:b/>
                <w:sz w:val="17"/>
              </w:rPr>
            </w:pPr>
            <w:r>
              <w:rPr>
                <w:b/>
                <w:sz w:val="17"/>
              </w:rPr>
              <w:t>246</w:t>
            </w:r>
          </w:p>
        </w:tc>
        <w:tc>
          <w:tcPr>
            <w:tcW w:w="1448" w:type="dxa"/>
            <w:vAlign w:val="bottom"/>
          </w:tcPr>
          <w:p w:rsidR="00000000" w:rsidRDefault="00000000">
            <w:pPr>
              <w:tabs>
                <w:tab w:val="decimal" w:pos="944"/>
              </w:tabs>
              <w:rPr>
                <w:b/>
                <w:sz w:val="17"/>
              </w:rPr>
            </w:pPr>
            <w:r>
              <w:rPr>
                <w:b/>
                <w:sz w:val="17"/>
              </w:rPr>
              <w:t>130</w:t>
            </w:r>
          </w:p>
        </w:tc>
        <w:tc>
          <w:tcPr>
            <w:tcW w:w="1448" w:type="dxa"/>
            <w:vAlign w:val="bottom"/>
          </w:tcPr>
          <w:p w:rsidR="00000000" w:rsidRDefault="00000000">
            <w:pPr>
              <w:tabs>
                <w:tab w:val="decimal" w:pos="603"/>
              </w:tabs>
              <w:rPr>
                <w:b/>
                <w:sz w:val="17"/>
              </w:rPr>
            </w:pPr>
            <w:r>
              <w:rPr>
                <w:b/>
                <w:sz w:val="17"/>
              </w:rPr>
              <w:t>52,8</w:t>
            </w:r>
          </w:p>
        </w:tc>
        <w:tc>
          <w:tcPr>
            <w:tcW w:w="1448" w:type="dxa"/>
            <w:shd w:val="clear" w:color="auto" w:fill="808080"/>
            <w:vAlign w:val="bottom"/>
          </w:tcPr>
          <w:p w:rsidR="00000000" w:rsidRDefault="00000000">
            <w:pPr>
              <w:tabs>
                <w:tab w:val="decimal" w:pos="944"/>
              </w:tabs>
              <w:rPr>
                <w:b/>
                <w:sz w:val="17"/>
              </w:rPr>
            </w:pPr>
            <w:r>
              <w:rPr>
                <w:b/>
                <w:sz w:val="17"/>
              </w:rPr>
              <w:t>233</w:t>
            </w:r>
          </w:p>
        </w:tc>
        <w:tc>
          <w:tcPr>
            <w:tcW w:w="1448" w:type="dxa"/>
            <w:vAlign w:val="bottom"/>
          </w:tcPr>
          <w:p w:rsidR="00000000" w:rsidRDefault="00000000">
            <w:pPr>
              <w:tabs>
                <w:tab w:val="decimal" w:pos="944"/>
              </w:tabs>
              <w:rPr>
                <w:b/>
                <w:sz w:val="17"/>
              </w:rPr>
            </w:pPr>
            <w:r>
              <w:rPr>
                <w:b/>
                <w:sz w:val="17"/>
              </w:rPr>
              <w:t>125</w:t>
            </w:r>
          </w:p>
        </w:tc>
        <w:tc>
          <w:tcPr>
            <w:tcW w:w="1445" w:type="dxa"/>
            <w:vAlign w:val="bottom"/>
          </w:tcPr>
          <w:p w:rsidR="00000000" w:rsidRDefault="00000000">
            <w:pPr>
              <w:tabs>
                <w:tab w:val="decimal" w:pos="653"/>
              </w:tabs>
              <w:rPr>
                <w:b/>
                <w:sz w:val="17"/>
              </w:rPr>
            </w:pPr>
            <w:r>
              <w:rPr>
                <w:b/>
                <w:sz w:val="17"/>
              </w:rPr>
              <w:t>53,6</w:t>
            </w:r>
          </w:p>
        </w:tc>
      </w:tr>
      <w:tr w:rsidR="00000000">
        <w:tblPrEx>
          <w:tblCellMar>
            <w:top w:w="0" w:type="dxa"/>
            <w:bottom w:w="0" w:type="dxa"/>
          </w:tblCellMar>
        </w:tblPrEx>
        <w:tc>
          <w:tcPr>
            <w:tcW w:w="3734" w:type="dxa"/>
          </w:tcPr>
          <w:p w:rsidR="00000000" w:rsidRDefault="00000000">
            <w:pPr>
              <w:ind w:left="360"/>
              <w:rPr>
                <w:b/>
                <w:sz w:val="17"/>
              </w:rPr>
            </w:pPr>
            <w:r>
              <w:rPr>
                <w:b/>
                <w:sz w:val="17"/>
              </w:rPr>
              <w:t>Профессионально-технические уч</w:t>
            </w:r>
            <w:r>
              <w:rPr>
                <w:b/>
                <w:sz w:val="17"/>
              </w:rPr>
              <w:t>и</w:t>
            </w:r>
            <w:r>
              <w:rPr>
                <w:b/>
                <w:sz w:val="17"/>
              </w:rPr>
              <w:t>лища, всего</w:t>
            </w:r>
          </w:p>
        </w:tc>
        <w:tc>
          <w:tcPr>
            <w:tcW w:w="1445" w:type="dxa"/>
            <w:shd w:val="clear" w:color="auto" w:fill="808080"/>
            <w:vAlign w:val="bottom"/>
          </w:tcPr>
          <w:p w:rsidR="00000000" w:rsidRDefault="00000000">
            <w:pPr>
              <w:tabs>
                <w:tab w:val="decimal" w:pos="944"/>
              </w:tabs>
              <w:rPr>
                <w:b/>
                <w:sz w:val="17"/>
              </w:rPr>
            </w:pPr>
            <w:r>
              <w:rPr>
                <w:b/>
                <w:sz w:val="17"/>
              </w:rPr>
              <w:t>25 123</w:t>
            </w:r>
          </w:p>
        </w:tc>
        <w:tc>
          <w:tcPr>
            <w:tcW w:w="1448" w:type="dxa"/>
            <w:vAlign w:val="bottom"/>
          </w:tcPr>
          <w:p w:rsidR="00000000" w:rsidRDefault="00000000">
            <w:pPr>
              <w:tabs>
                <w:tab w:val="decimal" w:pos="944"/>
              </w:tabs>
              <w:rPr>
                <w:b/>
                <w:sz w:val="17"/>
              </w:rPr>
            </w:pPr>
            <w:r>
              <w:rPr>
                <w:b/>
                <w:sz w:val="17"/>
              </w:rPr>
              <w:t>11 456</w:t>
            </w:r>
          </w:p>
        </w:tc>
        <w:tc>
          <w:tcPr>
            <w:tcW w:w="1448" w:type="dxa"/>
            <w:vAlign w:val="bottom"/>
          </w:tcPr>
          <w:p w:rsidR="00000000" w:rsidRDefault="00000000">
            <w:pPr>
              <w:tabs>
                <w:tab w:val="decimal" w:pos="603"/>
              </w:tabs>
              <w:rPr>
                <w:b/>
                <w:sz w:val="17"/>
              </w:rPr>
            </w:pPr>
            <w:r>
              <w:rPr>
                <w:b/>
                <w:sz w:val="17"/>
              </w:rPr>
              <w:t>45,6</w:t>
            </w:r>
          </w:p>
        </w:tc>
        <w:tc>
          <w:tcPr>
            <w:tcW w:w="1448" w:type="dxa"/>
            <w:shd w:val="clear" w:color="auto" w:fill="808080"/>
            <w:vAlign w:val="bottom"/>
          </w:tcPr>
          <w:p w:rsidR="00000000" w:rsidRDefault="00000000">
            <w:pPr>
              <w:tabs>
                <w:tab w:val="decimal" w:pos="944"/>
              </w:tabs>
              <w:rPr>
                <w:b/>
                <w:sz w:val="17"/>
              </w:rPr>
            </w:pPr>
            <w:r>
              <w:rPr>
                <w:b/>
                <w:sz w:val="17"/>
              </w:rPr>
              <w:t>24 986</w:t>
            </w:r>
          </w:p>
        </w:tc>
        <w:tc>
          <w:tcPr>
            <w:tcW w:w="1448" w:type="dxa"/>
            <w:vAlign w:val="bottom"/>
          </w:tcPr>
          <w:p w:rsidR="00000000" w:rsidRDefault="00000000">
            <w:pPr>
              <w:tabs>
                <w:tab w:val="decimal" w:pos="944"/>
              </w:tabs>
              <w:rPr>
                <w:b/>
                <w:sz w:val="17"/>
              </w:rPr>
            </w:pPr>
            <w:r>
              <w:rPr>
                <w:b/>
                <w:sz w:val="17"/>
              </w:rPr>
              <w:t>11 490</w:t>
            </w:r>
          </w:p>
        </w:tc>
        <w:tc>
          <w:tcPr>
            <w:tcW w:w="1445" w:type="dxa"/>
            <w:vAlign w:val="bottom"/>
          </w:tcPr>
          <w:p w:rsidR="00000000" w:rsidRDefault="00000000">
            <w:pPr>
              <w:tabs>
                <w:tab w:val="decimal" w:pos="653"/>
              </w:tabs>
              <w:rPr>
                <w:b/>
                <w:sz w:val="17"/>
              </w:rPr>
            </w:pPr>
            <w:r>
              <w:rPr>
                <w:b/>
                <w:sz w:val="17"/>
              </w:rPr>
              <w:t>46,0</w:t>
            </w:r>
          </w:p>
        </w:tc>
      </w:tr>
      <w:tr w:rsidR="00000000">
        <w:tblPrEx>
          <w:tblCellMar>
            <w:top w:w="0" w:type="dxa"/>
            <w:bottom w:w="0" w:type="dxa"/>
          </w:tblCellMar>
        </w:tblPrEx>
        <w:tc>
          <w:tcPr>
            <w:tcW w:w="3734" w:type="dxa"/>
          </w:tcPr>
          <w:p w:rsidR="00000000" w:rsidRDefault="00000000">
            <w:pPr>
              <w:ind w:left="360"/>
              <w:rPr>
                <w:b/>
                <w:sz w:val="17"/>
              </w:rPr>
            </w:pPr>
            <w:r>
              <w:rPr>
                <w:b/>
                <w:sz w:val="17"/>
              </w:rPr>
              <w:t>Высшие учебные заведения, всего</w:t>
            </w:r>
          </w:p>
        </w:tc>
        <w:tc>
          <w:tcPr>
            <w:tcW w:w="1445" w:type="dxa"/>
            <w:shd w:val="clear" w:color="auto" w:fill="808080"/>
            <w:vAlign w:val="bottom"/>
          </w:tcPr>
          <w:p w:rsidR="00000000" w:rsidRDefault="00000000">
            <w:pPr>
              <w:tabs>
                <w:tab w:val="decimal" w:pos="944"/>
              </w:tabs>
              <w:rPr>
                <w:b/>
                <w:sz w:val="17"/>
              </w:rPr>
            </w:pPr>
            <w:r>
              <w:rPr>
                <w:b/>
                <w:sz w:val="17"/>
              </w:rPr>
              <w:t>1 415</w:t>
            </w:r>
          </w:p>
        </w:tc>
        <w:tc>
          <w:tcPr>
            <w:tcW w:w="1448" w:type="dxa"/>
            <w:vAlign w:val="bottom"/>
          </w:tcPr>
          <w:p w:rsidR="00000000" w:rsidRDefault="00000000">
            <w:pPr>
              <w:tabs>
                <w:tab w:val="decimal" w:pos="944"/>
              </w:tabs>
              <w:rPr>
                <w:b/>
                <w:sz w:val="17"/>
              </w:rPr>
            </w:pPr>
            <w:r>
              <w:rPr>
                <w:b/>
                <w:sz w:val="17"/>
              </w:rPr>
              <w:t>1 107</w:t>
            </w:r>
          </w:p>
        </w:tc>
        <w:tc>
          <w:tcPr>
            <w:tcW w:w="1448" w:type="dxa"/>
            <w:vAlign w:val="bottom"/>
          </w:tcPr>
          <w:p w:rsidR="00000000" w:rsidRDefault="00000000">
            <w:pPr>
              <w:tabs>
                <w:tab w:val="decimal" w:pos="603"/>
              </w:tabs>
              <w:rPr>
                <w:b/>
                <w:sz w:val="17"/>
              </w:rPr>
            </w:pPr>
            <w:r>
              <w:rPr>
                <w:b/>
                <w:sz w:val="17"/>
              </w:rPr>
              <w:t>78,2</w:t>
            </w:r>
          </w:p>
        </w:tc>
        <w:tc>
          <w:tcPr>
            <w:tcW w:w="1448" w:type="dxa"/>
            <w:shd w:val="clear" w:color="auto" w:fill="808080"/>
            <w:vAlign w:val="bottom"/>
          </w:tcPr>
          <w:p w:rsidR="00000000" w:rsidRDefault="00000000">
            <w:pPr>
              <w:tabs>
                <w:tab w:val="decimal" w:pos="944"/>
              </w:tabs>
              <w:rPr>
                <w:b/>
                <w:sz w:val="17"/>
              </w:rPr>
            </w:pPr>
            <w:r>
              <w:rPr>
                <w:b/>
                <w:sz w:val="17"/>
              </w:rPr>
              <w:t>1 421</w:t>
            </w:r>
          </w:p>
        </w:tc>
        <w:tc>
          <w:tcPr>
            <w:tcW w:w="1448" w:type="dxa"/>
            <w:vAlign w:val="bottom"/>
          </w:tcPr>
          <w:p w:rsidR="00000000" w:rsidRDefault="00000000">
            <w:pPr>
              <w:tabs>
                <w:tab w:val="decimal" w:pos="944"/>
              </w:tabs>
              <w:rPr>
                <w:b/>
                <w:sz w:val="17"/>
              </w:rPr>
            </w:pPr>
            <w:r>
              <w:rPr>
                <w:b/>
                <w:sz w:val="17"/>
              </w:rPr>
              <w:t>1 114</w:t>
            </w:r>
          </w:p>
        </w:tc>
        <w:tc>
          <w:tcPr>
            <w:tcW w:w="1445" w:type="dxa"/>
            <w:vAlign w:val="bottom"/>
          </w:tcPr>
          <w:p w:rsidR="00000000" w:rsidRDefault="00000000">
            <w:pPr>
              <w:tabs>
                <w:tab w:val="decimal" w:pos="653"/>
              </w:tabs>
              <w:rPr>
                <w:b/>
                <w:sz w:val="17"/>
              </w:rPr>
            </w:pPr>
            <w:r>
              <w:rPr>
                <w:b/>
                <w:sz w:val="17"/>
              </w:rPr>
              <w:t>78,4</w:t>
            </w:r>
          </w:p>
        </w:tc>
      </w:tr>
      <w:tr w:rsidR="00000000">
        <w:tblPrEx>
          <w:tblCellMar>
            <w:top w:w="0" w:type="dxa"/>
            <w:bottom w:w="0" w:type="dxa"/>
          </w:tblCellMar>
        </w:tblPrEx>
        <w:tc>
          <w:tcPr>
            <w:tcW w:w="3734" w:type="dxa"/>
          </w:tcPr>
          <w:p w:rsidR="00000000" w:rsidRDefault="00000000">
            <w:pPr>
              <w:ind w:left="360"/>
              <w:rPr>
                <w:b/>
                <w:sz w:val="17"/>
              </w:rPr>
            </w:pPr>
            <w:r>
              <w:rPr>
                <w:b/>
                <w:sz w:val="17"/>
              </w:rPr>
              <w:t>Колледжи 3</w:t>
            </w:r>
            <w:r>
              <w:rPr>
                <w:b/>
                <w:sz w:val="17"/>
                <w:vertAlign w:val="superscript"/>
              </w:rPr>
              <w:t xml:space="preserve">го </w:t>
            </w:r>
            <w:r>
              <w:rPr>
                <w:b/>
                <w:sz w:val="17"/>
              </w:rPr>
              <w:t>уровня, всего</w:t>
            </w:r>
          </w:p>
        </w:tc>
        <w:tc>
          <w:tcPr>
            <w:tcW w:w="1445" w:type="dxa"/>
            <w:shd w:val="clear" w:color="auto" w:fill="808080"/>
            <w:vAlign w:val="bottom"/>
          </w:tcPr>
          <w:p w:rsidR="00000000" w:rsidRDefault="00000000">
            <w:pPr>
              <w:tabs>
                <w:tab w:val="decimal" w:pos="944"/>
              </w:tabs>
              <w:rPr>
                <w:b/>
                <w:sz w:val="17"/>
              </w:rPr>
            </w:pPr>
            <w:r>
              <w:rPr>
                <w:b/>
                <w:sz w:val="17"/>
              </w:rPr>
              <w:t>2 639</w:t>
            </w:r>
          </w:p>
        </w:tc>
        <w:tc>
          <w:tcPr>
            <w:tcW w:w="1448" w:type="dxa"/>
            <w:vAlign w:val="bottom"/>
          </w:tcPr>
          <w:p w:rsidR="00000000" w:rsidRDefault="00000000">
            <w:pPr>
              <w:tabs>
                <w:tab w:val="decimal" w:pos="944"/>
              </w:tabs>
              <w:rPr>
                <w:b/>
                <w:sz w:val="17"/>
              </w:rPr>
            </w:pPr>
            <w:r>
              <w:rPr>
                <w:b/>
                <w:sz w:val="17"/>
              </w:rPr>
              <w:t>1 115</w:t>
            </w:r>
          </w:p>
        </w:tc>
        <w:tc>
          <w:tcPr>
            <w:tcW w:w="1448" w:type="dxa"/>
            <w:vAlign w:val="bottom"/>
          </w:tcPr>
          <w:p w:rsidR="00000000" w:rsidRDefault="00000000">
            <w:pPr>
              <w:tabs>
                <w:tab w:val="decimal" w:pos="603"/>
              </w:tabs>
              <w:rPr>
                <w:b/>
                <w:sz w:val="17"/>
              </w:rPr>
            </w:pPr>
            <w:r>
              <w:rPr>
                <w:b/>
                <w:sz w:val="17"/>
              </w:rPr>
              <w:t>42,3</w:t>
            </w:r>
          </w:p>
        </w:tc>
        <w:tc>
          <w:tcPr>
            <w:tcW w:w="1448" w:type="dxa"/>
            <w:shd w:val="clear" w:color="auto" w:fill="808080"/>
            <w:vAlign w:val="bottom"/>
          </w:tcPr>
          <w:p w:rsidR="00000000" w:rsidRDefault="00000000">
            <w:pPr>
              <w:tabs>
                <w:tab w:val="decimal" w:pos="944"/>
              </w:tabs>
              <w:rPr>
                <w:b/>
                <w:sz w:val="17"/>
              </w:rPr>
            </w:pPr>
            <w:r>
              <w:rPr>
                <w:b/>
                <w:sz w:val="17"/>
              </w:rPr>
              <w:t>2 651</w:t>
            </w:r>
          </w:p>
        </w:tc>
        <w:tc>
          <w:tcPr>
            <w:tcW w:w="1448" w:type="dxa"/>
            <w:vAlign w:val="bottom"/>
          </w:tcPr>
          <w:p w:rsidR="00000000" w:rsidRDefault="00000000">
            <w:pPr>
              <w:tabs>
                <w:tab w:val="decimal" w:pos="944"/>
              </w:tabs>
              <w:rPr>
                <w:b/>
                <w:sz w:val="17"/>
              </w:rPr>
            </w:pPr>
            <w:r>
              <w:rPr>
                <w:b/>
                <w:sz w:val="17"/>
              </w:rPr>
              <w:t>1 164</w:t>
            </w:r>
          </w:p>
        </w:tc>
        <w:tc>
          <w:tcPr>
            <w:tcW w:w="1445" w:type="dxa"/>
            <w:vAlign w:val="bottom"/>
          </w:tcPr>
          <w:p w:rsidR="00000000" w:rsidRDefault="00000000">
            <w:pPr>
              <w:tabs>
                <w:tab w:val="decimal" w:pos="653"/>
              </w:tabs>
              <w:rPr>
                <w:b/>
                <w:sz w:val="17"/>
              </w:rPr>
            </w:pPr>
            <w:r>
              <w:rPr>
                <w:b/>
                <w:sz w:val="17"/>
              </w:rPr>
              <w:t>43,9</w:t>
            </w:r>
          </w:p>
        </w:tc>
      </w:tr>
      <w:tr w:rsidR="00000000">
        <w:tblPrEx>
          <w:tblCellMar>
            <w:top w:w="0" w:type="dxa"/>
            <w:bottom w:w="0" w:type="dxa"/>
          </w:tblCellMar>
        </w:tblPrEx>
        <w:tc>
          <w:tcPr>
            <w:tcW w:w="3734" w:type="dxa"/>
          </w:tcPr>
          <w:p w:rsidR="00000000" w:rsidRDefault="00000000">
            <w:pPr>
              <w:rPr>
                <w:b/>
                <w:sz w:val="17"/>
              </w:rPr>
            </w:pPr>
            <w:r>
              <w:rPr>
                <w:b/>
                <w:sz w:val="17"/>
              </w:rPr>
              <w:t>Педагогические, всего</w:t>
            </w:r>
          </w:p>
        </w:tc>
        <w:tc>
          <w:tcPr>
            <w:tcW w:w="1445" w:type="dxa"/>
            <w:shd w:val="clear" w:color="auto" w:fill="808080"/>
            <w:vAlign w:val="bottom"/>
          </w:tcPr>
          <w:p w:rsidR="00000000" w:rsidRDefault="00000000">
            <w:pPr>
              <w:tabs>
                <w:tab w:val="decimal" w:pos="944"/>
              </w:tabs>
              <w:rPr>
                <w:b/>
                <w:sz w:val="17"/>
              </w:rPr>
            </w:pPr>
            <w:r>
              <w:rPr>
                <w:b/>
                <w:sz w:val="17"/>
              </w:rPr>
              <w:t>4 054</w:t>
            </w:r>
          </w:p>
        </w:tc>
        <w:tc>
          <w:tcPr>
            <w:tcW w:w="1448" w:type="dxa"/>
            <w:vAlign w:val="bottom"/>
          </w:tcPr>
          <w:p w:rsidR="00000000" w:rsidRDefault="00000000">
            <w:pPr>
              <w:tabs>
                <w:tab w:val="decimal" w:pos="944"/>
              </w:tabs>
              <w:rPr>
                <w:b/>
                <w:sz w:val="17"/>
              </w:rPr>
            </w:pPr>
            <w:r>
              <w:rPr>
                <w:b/>
                <w:sz w:val="17"/>
              </w:rPr>
              <w:t>2 222</w:t>
            </w:r>
          </w:p>
        </w:tc>
        <w:tc>
          <w:tcPr>
            <w:tcW w:w="1448" w:type="dxa"/>
            <w:vAlign w:val="bottom"/>
          </w:tcPr>
          <w:p w:rsidR="00000000" w:rsidRDefault="00000000">
            <w:pPr>
              <w:tabs>
                <w:tab w:val="decimal" w:pos="603"/>
              </w:tabs>
              <w:rPr>
                <w:b/>
                <w:sz w:val="17"/>
              </w:rPr>
            </w:pPr>
            <w:r>
              <w:rPr>
                <w:b/>
                <w:sz w:val="17"/>
              </w:rPr>
              <w:t>54,8</w:t>
            </w:r>
          </w:p>
        </w:tc>
        <w:tc>
          <w:tcPr>
            <w:tcW w:w="1448" w:type="dxa"/>
            <w:shd w:val="clear" w:color="auto" w:fill="808080"/>
            <w:vAlign w:val="bottom"/>
          </w:tcPr>
          <w:p w:rsidR="00000000" w:rsidRDefault="00000000">
            <w:pPr>
              <w:tabs>
                <w:tab w:val="decimal" w:pos="944"/>
              </w:tabs>
              <w:rPr>
                <w:b/>
                <w:sz w:val="17"/>
              </w:rPr>
            </w:pPr>
            <w:r>
              <w:rPr>
                <w:b/>
                <w:sz w:val="17"/>
              </w:rPr>
              <w:t>4 072</w:t>
            </w:r>
          </w:p>
        </w:tc>
        <w:tc>
          <w:tcPr>
            <w:tcW w:w="1448" w:type="dxa"/>
            <w:vAlign w:val="bottom"/>
          </w:tcPr>
          <w:p w:rsidR="00000000" w:rsidRDefault="00000000">
            <w:pPr>
              <w:tabs>
                <w:tab w:val="decimal" w:pos="944"/>
              </w:tabs>
              <w:rPr>
                <w:b/>
                <w:sz w:val="17"/>
              </w:rPr>
            </w:pPr>
            <w:r>
              <w:rPr>
                <w:b/>
                <w:sz w:val="17"/>
              </w:rPr>
              <w:t>2 278</w:t>
            </w:r>
          </w:p>
        </w:tc>
        <w:tc>
          <w:tcPr>
            <w:tcW w:w="1445" w:type="dxa"/>
            <w:vAlign w:val="bottom"/>
          </w:tcPr>
          <w:p w:rsidR="00000000" w:rsidRDefault="00000000">
            <w:pPr>
              <w:tabs>
                <w:tab w:val="decimal" w:pos="653"/>
              </w:tabs>
              <w:rPr>
                <w:b/>
                <w:sz w:val="17"/>
              </w:rPr>
            </w:pPr>
            <w:r>
              <w:rPr>
                <w:b/>
                <w:sz w:val="17"/>
              </w:rPr>
              <w:t>55,9</w:t>
            </w:r>
          </w:p>
        </w:tc>
      </w:tr>
      <w:tr w:rsidR="00000000">
        <w:tblPrEx>
          <w:tblCellMar>
            <w:top w:w="0" w:type="dxa"/>
            <w:bottom w:w="0" w:type="dxa"/>
          </w:tblCellMar>
        </w:tblPrEx>
        <w:tc>
          <w:tcPr>
            <w:tcW w:w="3734" w:type="dxa"/>
            <w:tcBorders>
              <w:bottom w:val="single" w:sz="12" w:space="0" w:color="auto"/>
            </w:tcBorders>
            <w:shd w:val="clear" w:color="auto" w:fill="808080"/>
          </w:tcPr>
          <w:p w:rsidR="00000000" w:rsidRDefault="00000000">
            <w:pPr>
              <w:rPr>
                <w:b/>
                <w:sz w:val="17"/>
              </w:rPr>
            </w:pPr>
            <w:r>
              <w:rPr>
                <w:b/>
                <w:sz w:val="17"/>
              </w:rPr>
              <w:t>Всего по всем учебным заведен</w:t>
            </w:r>
            <w:r>
              <w:rPr>
                <w:b/>
                <w:sz w:val="17"/>
              </w:rPr>
              <w:t>и</w:t>
            </w:r>
            <w:r>
              <w:rPr>
                <w:b/>
                <w:sz w:val="17"/>
              </w:rPr>
              <w:t>ям</w:t>
            </w:r>
          </w:p>
        </w:tc>
        <w:tc>
          <w:tcPr>
            <w:tcW w:w="1445" w:type="dxa"/>
            <w:tcBorders>
              <w:bottom w:val="single" w:sz="12" w:space="0" w:color="auto"/>
            </w:tcBorders>
            <w:shd w:val="clear" w:color="auto" w:fill="808080"/>
            <w:vAlign w:val="bottom"/>
          </w:tcPr>
          <w:p w:rsidR="00000000" w:rsidRDefault="00000000">
            <w:pPr>
              <w:tabs>
                <w:tab w:val="decimal" w:pos="944"/>
              </w:tabs>
              <w:rPr>
                <w:b/>
                <w:sz w:val="17"/>
              </w:rPr>
            </w:pPr>
            <w:r>
              <w:rPr>
                <w:b/>
                <w:sz w:val="17"/>
              </w:rPr>
              <w:t>125 473</w:t>
            </w:r>
          </w:p>
        </w:tc>
        <w:tc>
          <w:tcPr>
            <w:tcW w:w="1448" w:type="dxa"/>
            <w:tcBorders>
              <w:bottom w:val="single" w:sz="12" w:space="0" w:color="auto"/>
            </w:tcBorders>
            <w:shd w:val="clear" w:color="auto" w:fill="808080"/>
            <w:vAlign w:val="bottom"/>
          </w:tcPr>
          <w:p w:rsidR="00000000" w:rsidRDefault="00000000">
            <w:pPr>
              <w:tabs>
                <w:tab w:val="decimal" w:pos="944"/>
              </w:tabs>
              <w:rPr>
                <w:b/>
                <w:sz w:val="17"/>
              </w:rPr>
            </w:pPr>
            <w:r>
              <w:rPr>
                <w:b/>
                <w:sz w:val="17"/>
              </w:rPr>
              <w:t>83 038</w:t>
            </w:r>
          </w:p>
        </w:tc>
        <w:tc>
          <w:tcPr>
            <w:tcW w:w="1448" w:type="dxa"/>
            <w:tcBorders>
              <w:bottom w:val="single" w:sz="12" w:space="0" w:color="auto"/>
            </w:tcBorders>
            <w:shd w:val="clear" w:color="auto" w:fill="808080"/>
            <w:vAlign w:val="bottom"/>
          </w:tcPr>
          <w:p w:rsidR="00000000" w:rsidRDefault="00000000">
            <w:pPr>
              <w:tabs>
                <w:tab w:val="decimal" w:pos="603"/>
              </w:tabs>
              <w:rPr>
                <w:b/>
                <w:sz w:val="17"/>
              </w:rPr>
            </w:pPr>
            <w:r>
              <w:rPr>
                <w:b/>
                <w:sz w:val="17"/>
              </w:rPr>
              <w:t>66,2</w:t>
            </w:r>
          </w:p>
        </w:tc>
        <w:tc>
          <w:tcPr>
            <w:tcW w:w="1448" w:type="dxa"/>
            <w:tcBorders>
              <w:bottom w:val="single" w:sz="12" w:space="0" w:color="auto"/>
            </w:tcBorders>
            <w:shd w:val="clear" w:color="auto" w:fill="808080"/>
            <w:vAlign w:val="bottom"/>
          </w:tcPr>
          <w:p w:rsidR="00000000" w:rsidRDefault="00000000">
            <w:pPr>
              <w:tabs>
                <w:tab w:val="decimal" w:pos="944"/>
              </w:tabs>
              <w:rPr>
                <w:b/>
                <w:sz w:val="17"/>
              </w:rPr>
            </w:pPr>
            <w:r>
              <w:rPr>
                <w:b/>
                <w:sz w:val="17"/>
              </w:rPr>
              <w:t>124 621</w:t>
            </w:r>
          </w:p>
        </w:tc>
        <w:tc>
          <w:tcPr>
            <w:tcW w:w="1448" w:type="dxa"/>
            <w:tcBorders>
              <w:bottom w:val="single" w:sz="12" w:space="0" w:color="auto"/>
            </w:tcBorders>
            <w:shd w:val="clear" w:color="auto" w:fill="808080"/>
            <w:vAlign w:val="bottom"/>
          </w:tcPr>
          <w:p w:rsidR="00000000" w:rsidRDefault="00000000">
            <w:pPr>
              <w:tabs>
                <w:tab w:val="decimal" w:pos="944"/>
              </w:tabs>
              <w:rPr>
                <w:b/>
                <w:sz w:val="17"/>
              </w:rPr>
            </w:pPr>
            <w:r>
              <w:rPr>
                <w:b/>
                <w:sz w:val="17"/>
              </w:rPr>
              <w:t>83 253</w:t>
            </w:r>
          </w:p>
        </w:tc>
        <w:tc>
          <w:tcPr>
            <w:tcW w:w="1445" w:type="dxa"/>
            <w:tcBorders>
              <w:bottom w:val="single" w:sz="12" w:space="0" w:color="auto"/>
            </w:tcBorders>
            <w:shd w:val="clear" w:color="auto" w:fill="808080"/>
            <w:vAlign w:val="bottom"/>
          </w:tcPr>
          <w:p w:rsidR="00000000" w:rsidRDefault="00000000">
            <w:pPr>
              <w:tabs>
                <w:tab w:val="decimal" w:pos="653"/>
              </w:tabs>
              <w:rPr>
                <w:b/>
                <w:sz w:val="17"/>
              </w:rPr>
            </w:pPr>
            <w:r>
              <w:rPr>
                <w:b/>
                <w:sz w:val="17"/>
              </w:rPr>
              <w:t>66,8</w:t>
            </w:r>
          </w:p>
        </w:tc>
      </w:tr>
    </w:tbl>
    <w:p w:rsidR="00000000" w:rsidRDefault="00000000">
      <w:pPr>
        <w:pStyle w:val="CommentText"/>
      </w:pPr>
    </w:p>
    <w:p w:rsidR="00000000" w:rsidRDefault="00000000">
      <w:pPr>
        <w:pStyle w:val="BodyTextIndent3"/>
        <w:rPr>
          <w:sz w:val="17"/>
        </w:rPr>
      </w:pPr>
      <w:r>
        <w:rPr>
          <w:sz w:val="17"/>
          <w:vertAlign w:val="superscript"/>
        </w:rPr>
        <w:t>1</w:t>
      </w:r>
      <w:r>
        <w:rPr>
          <w:sz w:val="17"/>
        </w:rPr>
        <w:tab/>
        <w:t>Включая находящихся в декретном отпуске, или в учебном отпуске, а также персонал, работающий неполный рабочий день, исключая учителей в училищах по подготовке воспитателей для детский садов, в специализированных медицинских школах, школах для подготовки высшего парамед</w:t>
      </w:r>
      <w:r>
        <w:rPr>
          <w:sz w:val="17"/>
        </w:rPr>
        <w:t>и</w:t>
      </w:r>
      <w:r>
        <w:rPr>
          <w:sz w:val="17"/>
        </w:rPr>
        <w:t>цинского персонала, школах для подготовки учителей физкультуры и тренеров, а также в др</w:t>
      </w:r>
      <w:r>
        <w:rPr>
          <w:sz w:val="17"/>
        </w:rPr>
        <w:t>у</w:t>
      </w:r>
      <w:r>
        <w:rPr>
          <w:sz w:val="17"/>
        </w:rPr>
        <w:t>гих школах, имеющих свой собственный статут.</w:t>
      </w:r>
    </w:p>
    <w:p w:rsidR="00000000" w:rsidRDefault="00000000">
      <w:pPr>
        <w:ind w:left="426" w:hanging="437"/>
        <w:rPr>
          <w:sz w:val="17"/>
        </w:rPr>
      </w:pPr>
      <w:r>
        <w:rPr>
          <w:sz w:val="17"/>
          <w:vertAlign w:val="superscript"/>
        </w:rPr>
        <w:t>2 </w:t>
      </w:r>
      <w:r>
        <w:rPr>
          <w:sz w:val="17"/>
        </w:rPr>
        <w:tab/>
        <w:t>Включая школы парикмахеров и промышленного искусства.</w:t>
      </w:r>
    </w:p>
    <w:tbl>
      <w:tblPr>
        <w:tblW w:w="0" w:type="auto"/>
        <w:tblInd w:w="-106" w:type="dxa"/>
        <w:tblLayout w:type="fixed"/>
        <w:tblLook w:val="00BF" w:firstRow="1" w:lastRow="0" w:firstColumn="1" w:lastColumn="0" w:noHBand="0" w:noVBand="0"/>
      </w:tblPr>
      <w:tblGrid>
        <w:gridCol w:w="3959"/>
        <w:gridCol w:w="1411"/>
        <w:gridCol w:w="1411"/>
        <w:gridCol w:w="1410"/>
        <w:gridCol w:w="1410"/>
        <w:gridCol w:w="1410"/>
        <w:gridCol w:w="1405"/>
      </w:tblGrid>
      <w:tr w:rsidR="00000000">
        <w:tblPrEx>
          <w:tblCellMar>
            <w:top w:w="0" w:type="dxa"/>
            <w:bottom w:w="0" w:type="dxa"/>
          </w:tblCellMar>
        </w:tblPrEx>
        <w:tc>
          <w:tcPr>
            <w:tcW w:w="3959" w:type="dxa"/>
            <w:tcBorders>
              <w:top w:val="single" w:sz="6" w:space="0" w:color="auto"/>
            </w:tcBorders>
            <w:vAlign w:val="center"/>
          </w:tcPr>
          <w:p w:rsidR="00000000" w:rsidRDefault="00000000">
            <w:pPr>
              <w:pageBreakBefore/>
              <w:jc w:val="center"/>
              <w:rPr>
                <w:i/>
                <w:sz w:val="17"/>
              </w:rPr>
            </w:pPr>
          </w:p>
        </w:tc>
        <w:tc>
          <w:tcPr>
            <w:tcW w:w="1411" w:type="dxa"/>
            <w:tcBorders>
              <w:top w:val="single" w:sz="6" w:space="0" w:color="auto"/>
            </w:tcBorders>
            <w:vAlign w:val="center"/>
          </w:tcPr>
          <w:p w:rsidR="00000000" w:rsidRDefault="00000000">
            <w:pPr>
              <w:jc w:val="center"/>
              <w:rPr>
                <w:i/>
                <w:sz w:val="17"/>
              </w:rPr>
            </w:pPr>
          </w:p>
        </w:tc>
        <w:tc>
          <w:tcPr>
            <w:tcW w:w="1411" w:type="dxa"/>
            <w:tcBorders>
              <w:top w:val="single" w:sz="6" w:space="0" w:color="auto"/>
              <w:bottom w:val="single" w:sz="6" w:space="0" w:color="auto"/>
            </w:tcBorders>
            <w:vAlign w:val="center"/>
          </w:tcPr>
          <w:p w:rsidR="00000000" w:rsidRDefault="00000000">
            <w:pPr>
              <w:jc w:val="center"/>
              <w:rPr>
                <w:i/>
                <w:sz w:val="17"/>
              </w:rPr>
            </w:pPr>
            <w:r>
              <w:rPr>
                <w:i/>
                <w:sz w:val="17"/>
              </w:rPr>
              <w:t>2001/02</w:t>
            </w:r>
          </w:p>
        </w:tc>
        <w:tc>
          <w:tcPr>
            <w:tcW w:w="1410" w:type="dxa"/>
            <w:tcBorders>
              <w:top w:val="single" w:sz="6" w:space="0" w:color="auto"/>
              <w:bottom w:val="single" w:sz="6" w:space="0" w:color="auto"/>
            </w:tcBorders>
            <w:vAlign w:val="center"/>
          </w:tcPr>
          <w:p w:rsidR="00000000" w:rsidRDefault="00000000">
            <w:pPr>
              <w:jc w:val="center"/>
              <w:rPr>
                <w:i/>
                <w:sz w:val="17"/>
              </w:rPr>
            </w:pPr>
          </w:p>
        </w:tc>
        <w:tc>
          <w:tcPr>
            <w:tcW w:w="1410" w:type="dxa"/>
            <w:tcBorders>
              <w:top w:val="single" w:sz="6" w:space="0" w:color="auto"/>
              <w:bottom w:val="single" w:sz="6" w:space="0" w:color="auto"/>
            </w:tcBorders>
            <w:vAlign w:val="center"/>
          </w:tcPr>
          <w:p w:rsidR="00000000" w:rsidRDefault="00000000">
            <w:pPr>
              <w:jc w:val="center"/>
              <w:rPr>
                <w:i/>
                <w:sz w:val="17"/>
              </w:rPr>
            </w:pPr>
          </w:p>
        </w:tc>
        <w:tc>
          <w:tcPr>
            <w:tcW w:w="1410" w:type="dxa"/>
            <w:tcBorders>
              <w:top w:val="single" w:sz="6" w:space="0" w:color="auto"/>
              <w:bottom w:val="single" w:sz="6" w:space="0" w:color="auto"/>
            </w:tcBorders>
            <w:vAlign w:val="center"/>
          </w:tcPr>
          <w:p w:rsidR="00000000" w:rsidRDefault="00000000">
            <w:pPr>
              <w:jc w:val="center"/>
              <w:rPr>
                <w:i/>
                <w:sz w:val="17"/>
              </w:rPr>
            </w:pPr>
            <w:r>
              <w:rPr>
                <w:i/>
                <w:sz w:val="17"/>
              </w:rPr>
              <w:t>2002/03</w:t>
            </w:r>
          </w:p>
        </w:tc>
        <w:tc>
          <w:tcPr>
            <w:tcW w:w="1405" w:type="dxa"/>
            <w:tcBorders>
              <w:top w:val="single" w:sz="6" w:space="0" w:color="auto"/>
            </w:tcBorders>
            <w:vAlign w:val="center"/>
          </w:tcPr>
          <w:p w:rsidR="00000000" w:rsidRDefault="00000000">
            <w:pPr>
              <w:jc w:val="center"/>
              <w:rPr>
                <w:i/>
                <w:sz w:val="17"/>
              </w:rPr>
            </w:pPr>
          </w:p>
        </w:tc>
      </w:tr>
      <w:tr w:rsidR="00000000">
        <w:tblPrEx>
          <w:tblCellMar>
            <w:top w:w="0" w:type="dxa"/>
            <w:bottom w:w="0" w:type="dxa"/>
          </w:tblCellMar>
        </w:tblPrEx>
        <w:tc>
          <w:tcPr>
            <w:tcW w:w="3959" w:type="dxa"/>
            <w:vAlign w:val="center"/>
          </w:tcPr>
          <w:p w:rsidR="00000000" w:rsidRDefault="00000000">
            <w:pPr>
              <w:jc w:val="center"/>
              <w:rPr>
                <w:i/>
                <w:sz w:val="17"/>
              </w:rPr>
            </w:pPr>
            <w:r>
              <w:rPr>
                <w:i/>
                <w:sz w:val="17"/>
              </w:rPr>
              <w:t>Тип школы</w:t>
            </w:r>
          </w:p>
        </w:tc>
        <w:tc>
          <w:tcPr>
            <w:tcW w:w="1411" w:type="dxa"/>
            <w:tcBorders>
              <w:bottom w:val="single" w:sz="4" w:space="0" w:color="auto"/>
            </w:tcBorders>
            <w:shd w:val="clear" w:color="auto" w:fill="808080"/>
            <w:vAlign w:val="center"/>
          </w:tcPr>
          <w:p w:rsidR="00000000" w:rsidRDefault="00000000">
            <w:pPr>
              <w:jc w:val="center"/>
              <w:rPr>
                <w:i/>
                <w:sz w:val="17"/>
              </w:rPr>
            </w:pPr>
          </w:p>
        </w:tc>
        <w:tc>
          <w:tcPr>
            <w:tcW w:w="1411" w:type="dxa"/>
            <w:tcBorders>
              <w:top w:val="single" w:sz="6" w:space="0" w:color="auto"/>
              <w:bottom w:val="single" w:sz="4" w:space="0" w:color="auto"/>
            </w:tcBorders>
            <w:shd w:val="clear" w:color="auto" w:fill="808080"/>
            <w:vAlign w:val="center"/>
          </w:tcPr>
          <w:p w:rsidR="00000000" w:rsidRDefault="00000000">
            <w:pPr>
              <w:jc w:val="center"/>
              <w:rPr>
                <w:i/>
                <w:sz w:val="17"/>
              </w:rPr>
            </w:pPr>
            <w:r>
              <w:rPr>
                <w:i/>
                <w:sz w:val="17"/>
              </w:rPr>
              <w:t>Австрия, всего</w:t>
            </w:r>
          </w:p>
        </w:tc>
        <w:tc>
          <w:tcPr>
            <w:tcW w:w="1410" w:type="dxa"/>
            <w:tcBorders>
              <w:top w:val="single" w:sz="6" w:space="0" w:color="auto"/>
              <w:bottom w:val="single" w:sz="4" w:space="0" w:color="auto"/>
            </w:tcBorders>
            <w:shd w:val="clear" w:color="auto" w:fill="808080"/>
            <w:vAlign w:val="center"/>
          </w:tcPr>
          <w:p w:rsidR="00000000" w:rsidRDefault="00000000">
            <w:pPr>
              <w:jc w:val="center"/>
              <w:rPr>
                <w:i/>
                <w:sz w:val="17"/>
              </w:rPr>
            </w:pPr>
          </w:p>
        </w:tc>
        <w:tc>
          <w:tcPr>
            <w:tcW w:w="1410" w:type="dxa"/>
            <w:tcBorders>
              <w:top w:val="single" w:sz="6" w:space="0" w:color="auto"/>
              <w:bottom w:val="single" w:sz="4" w:space="0" w:color="auto"/>
            </w:tcBorders>
            <w:shd w:val="clear" w:color="auto" w:fill="808080"/>
            <w:vAlign w:val="center"/>
          </w:tcPr>
          <w:p w:rsidR="00000000" w:rsidRDefault="00000000">
            <w:pPr>
              <w:jc w:val="center"/>
              <w:rPr>
                <w:i/>
                <w:sz w:val="17"/>
              </w:rPr>
            </w:pPr>
          </w:p>
        </w:tc>
        <w:tc>
          <w:tcPr>
            <w:tcW w:w="1410" w:type="dxa"/>
            <w:tcBorders>
              <w:top w:val="single" w:sz="6" w:space="0" w:color="auto"/>
              <w:bottom w:val="single" w:sz="4" w:space="0" w:color="auto"/>
            </w:tcBorders>
            <w:shd w:val="clear" w:color="auto" w:fill="808080"/>
            <w:vAlign w:val="center"/>
          </w:tcPr>
          <w:p w:rsidR="00000000" w:rsidRDefault="00000000">
            <w:pPr>
              <w:jc w:val="center"/>
              <w:rPr>
                <w:i/>
                <w:sz w:val="17"/>
              </w:rPr>
            </w:pPr>
            <w:r>
              <w:rPr>
                <w:i/>
                <w:sz w:val="17"/>
              </w:rPr>
              <w:t>Австрия, всего</w:t>
            </w:r>
          </w:p>
        </w:tc>
        <w:tc>
          <w:tcPr>
            <w:tcW w:w="1405" w:type="dxa"/>
            <w:tcBorders>
              <w:bottom w:val="single" w:sz="4" w:space="0" w:color="auto"/>
            </w:tcBorders>
            <w:shd w:val="clear" w:color="auto" w:fill="808080"/>
            <w:vAlign w:val="center"/>
          </w:tcPr>
          <w:p w:rsidR="00000000" w:rsidRDefault="00000000">
            <w:pPr>
              <w:jc w:val="center"/>
              <w:rPr>
                <w:i/>
                <w:sz w:val="17"/>
              </w:rPr>
            </w:pPr>
          </w:p>
        </w:tc>
      </w:tr>
      <w:tr w:rsidR="00000000">
        <w:tblPrEx>
          <w:tblCellMar>
            <w:top w:w="0" w:type="dxa"/>
            <w:bottom w:w="0" w:type="dxa"/>
          </w:tblCellMar>
        </w:tblPrEx>
        <w:tc>
          <w:tcPr>
            <w:tcW w:w="3959" w:type="dxa"/>
            <w:tcBorders>
              <w:bottom w:val="single" w:sz="12" w:space="0" w:color="auto"/>
            </w:tcBorders>
            <w:vAlign w:val="center"/>
          </w:tcPr>
          <w:p w:rsidR="00000000" w:rsidRDefault="00000000">
            <w:pPr>
              <w:jc w:val="center"/>
              <w:rPr>
                <w:i/>
                <w:sz w:val="17"/>
              </w:rPr>
            </w:pPr>
          </w:p>
        </w:tc>
        <w:tc>
          <w:tcPr>
            <w:tcW w:w="1411" w:type="dxa"/>
            <w:tcBorders>
              <w:top w:val="single" w:sz="4" w:space="0" w:color="auto"/>
              <w:bottom w:val="single" w:sz="12" w:space="0" w:color="auto"/>
            </w:tcBorders>
            <w:shd w:val="clear" w:color="auto" w:fill="808080"/>
            <w:vAlign w:val="center"/>
          </w:tcPr>
          <w:p w:rsidR="00000000" w:rsidRDefault="00000000">
            <w:pPr>
              <w:ind w:right="199"/>
              <w:jc w:val="center"/>
              <w:rPr>
                <w:i/>
                <w:sz w:val="17"/>
              </w:rPr>
            </w:pPr>
            <w:r>
              <w:rPr>
                <w:i/>
                <w:sz w:val="17"/>
              </w:rPr>
              <w:t>Всего</w:t>
            </w:r>
          </w:p>
        </w:tc>
        <w:tc>
          <w:tcPr>
            <w:tcW w:w="1411" w:type="dxa"/>
            <w:tcBorders>
              <w:top w:val="single" w:sz="4" w:space="0" w:color="auto"/>
              <w:bottom w:val="single" w:sz="12" w:space="0" w:color="auto"/>
            </w:tcBorders>
            <w:vAlign w:val="center"/>
          </w:tcPr>
          <w:p w:rsidR="00000000" w:rsidRDefault="00000000">
            <w:pPr>
              <w:ind w:right="44"/>
              <w:jc w:val="center"/>
              <w:rPr>
                <w:i/>
                <w:sz w:val="17"/>
              </w:rPr>
            </w:pPr>
            <w:r>
              <w:rPr>
                <w:i/>
                <w:sz w:val="17"/>
              </w:rPr>
              <w:t>Из которых же</w:t>
            </w:r>
            <w:r>
              <w:rPr>
                <w:i/>
                <w:sz w:val="17"/>
              </w:rPr>
              <w:t>н</w:t>
            </w:r>
            <w:r>
              <w:rPr>
                <w:i/>
                <w:sz w:val="17"/>
              </w:rPr>
              <w:t>щин</w:t>
            </w:r>
          </w:p>
        </w:tc>
        <w:tc>
          <w:tcPr>
            <w:tcW w:w="1410" w:type="dxa"/>
            <w:tcBorders>
              <w:top w:val="single" w:sz="4" w:space="0" w:color="auto"/>
              <w:bottom w:val="single" w:sz="12" w:space="0" w:color="auto"/>
            </w:tcBorders>
            <w:vAlign w:val="center"/>
          </w:tcPr>
          <w:p w:rsidR="00000000" w:rsidRDefault="00000000">
            <w:pPr>
              <w:ind w:right="252"/>
              <w:jc w:val="center"/>
              <w:rPr>
                <w:i/>
                <w:sz w:val="17"/>
              </w:rPr>
            </w:pPr>
            <w:r>
              <w:rPr>
                <w:i/>
                <w:sz w:val="17"/>
              </w:rPr>
              <w:t>% женщин</w:t>
            </w:r>
          </w:p>
        </w:tc>
        <w:tc>
          <w:tcPr>
            <w:tcW w:w="1410" w:type="dxa"/>
            <w:tcBorders>
              <w:top w:val="single" w:sz="4" w:space="0" w:color="auto"/>
              <w:bottom w:val="single" w:sz="12" w:space="0" w:color="auto"/>
            </w:tcBorders>
            <w:shd w:val="clear" w:color="auto" w:fill="808080"/>
            <w:vAlign w:val="center"/>
          </w:tcPr>
          <w:p w:rsidR="00000000" w:rsidRDefault="00000000">
            <w:pPr>
              <w:jc w:val="center"/>
              <w:rPr>
                <w:i/>
                <w:sz w:val="17"/>
              </w:rPr>
            </w:pPr>
            <w:r>
              <w:rPr>
                <w:i/>
                <w:sz w:val="17"/>
              </w:rPr>
              <w:t>Всего</w:t>
            </w:r>
          </w:p>
        </w:tc>
        <w:tc>
          <w:tcPr>
            <w:tcW w:w="1410" w:type="dxa"/>
            <w:tcBorders>
              <w:top w:val="single" w:sz="4" w:space="0" w:color="auto"/>
              <w:bottom w:val="single" w:sz="12" w:space="0" w:color="auto"/>
            </w:tcBorders>
            <w:vAlign w:val="center"/>
          </w:tcPr>
          <w:p w:rsidR="00000000" w:rsidRDefault="00000000">
            <w:pPr>
              <w:jc w:val="center"/>
              <w:rPr>
                <w:i/>
                <w:sz w:val="17"/>
              </w:rPr>
            </w:pPr>
            <w:r>
              <w:rPr>
                <w:i/>
                <w:sz w:val="17"/>
              </w:rPr>
              <w:t>Из которых женщин</w:t>
            </w:r>
          </w:p>
        </w:tc>
        <w:tc>
          <w:tcPr>
            <w:tcW w:w="1405" w:type="dxa"/>
            <w:tcBorders>
              <w:top w:val="single" w:sz="4" w:space="0" w:color="auto"/>
              <w:bottom w:val="single" w:sz="12" w:space="0" w:color="auto"/>
            </w:tcBorders>
            <w:vAlign w:val="center"/>
          </w:tcPr>
          <w:p w:rsidR="00000000" w:rsidRDefault="00000000">
            <w:pPr>
              <w:jc w:val="center"/>
              <w:rPr>
                <w:i/>
                <w:sz w:val="17"/>
              </w:rPr>
            </w:pPr>
            <w:r>
              <w:rPr>
                <w:i/>
                <w:sz w:val="17"/>
              </w:rPr>
              <w:t>% женщин</w:t>
            </w:r>
          </w:p>
        </w:tc>
      </w:tr>
      <w:tr w:rsidR="00000000">
        <w:tblPrEx>
          <w:tblCellMar>
            <w:top w:w="0" w:type="dxa"/>
            <w:bottom w:w="0" w:type="dxa"/>
          </w:tblCellMar>
        </w:tblPrEx>
        <w:tc>
          <w:tcPr>
            <w:tcW w:w="3959" w:type="dxa"/>
            <w:tcBorders>
              <w:top w:val="single" w:sz="12" w:space="0" w:color="auto"/>
            </w:tcBorders>
          </w:tcPr>
          <w:p w:rsidR="00000000" w:rsidRDefault="00000000">
            <w:pPr>
              <w:ind w:left="540"/>
              <w:rPr>
                <w:sz w:val="17"/>
              </w:rPr>
            </w:pPr>
            <w:r>
              <w:rPr>
                <w:sz w:val="17"/>
              </w:rPr>
              <w:t>Начальные школы</w:t>
            </w:r>
          </w:p>
        </w:tc>
        <w:tc>
          <w:tcPr>
            <w:tcW w:w="1411" w:type="dxa"/>
            <w:tcBorders>
              <w:top w:val="single" w:sz="12" w:space="0" w:color="auto"/>
            </w:tcBorders>
            <w:shd w:val="clear" w:color="auto" w:fill="808080"/>
            <w:vAlign w:val="bottom"/>
          </w:tcPr>
          <w:p w:rsidR="00000000" w:rsidRDefault="00000000">
            <w:pPr>
              <w:tabs>
                <w:tab w:val="decimal" w:pos="719"/>
              </w:tabs>
              <w:rPr>
                <w:sz w:val="17"/>
              </w:rPr>
            </w:pPr>
            <w:r>
              <w:rPr>
                <w:sz w:val="17"/>
              </w:rPr>
              <w:t>33 184</w:t>
            </w:r>
          </w:p>
        </w:tc>
        <w:tc>
          <w:tcPr>
            <w:tcW w:w="1411" w:type="dxa"/>
            <w:tcBorders>
              <w:top w:val="single" w:sz="12" w:space="0" w:color="auto"/>
            </w:tcBorders>
            <w:vAlign w:val="bottom"/>
          </w:tcPr>
          <w:p w:rsidR="00000000" w:rsidRDefault="00000000">
            <w:pPr>
              <w:pStyle w:val="Header"/>
              <w:tabs>
                <w:tab w:val="clear" w:pos="4320"/>
                <w:tab w:val="clear" w:pos="8640"/>
                <w:tab w:val="decimal" w:pos="867"/>
              </w:tabs>
              <w:spacing w:line="200" w:lineRule="exact"/>
              <w:rPr>
                <w:noProof w:val="0"/>
                <w:spacing w:val="4"/>
                <w:w w:val="103"/>
                <w:kern w:val="14"/>
              </w:rPr>
            </w:pPr>
            <w:r>
              <w:rPr>
                <w:noProof w:val="0"/>
                <w:spacing w:val="4"/>
                <w:w w:val="103"/>
                <w:kern w:val="14"/>
              </w:rPr>
              <w:t>29 612</w:t>
            </w:r>
          </w:p>
        </w:tc>
        <w:tc>
          <w:tcPr>
            <w:tcW w:w="1410" w:type="dxa"/>
            <w:tcBorders>
              <w:top w:val="single" w:sz="12" w:space="0" w:color="auto"/>
            </w:tcBorders>
            <w:vAlign w:val="bottom"/>
          </w:tcPr>
          <w:p w:rsidR="00000000" w:rsidRDefault="00000000">
            <w:pPr>
              <w:tabs>
                <w:tab w:val="decimal" w:pos="567"/>
              </w:tabs>
              <w:rPr>
                <w:sz w:val="17"/>
              </w:rPr>
            </w:pPr>
            <w:r>
              <w:rPr>
                <w:sz w:val="17"/>
              </w:rPr>
              <w:t>87,6</w:t>
            </w:r>
          </w:p>
        </w:tc>
        <w:tc>
          <w:tcPr>
            <w:tcW w:w="1410" w:type="dxa"/>
            <w:tcBorders>
              <w:top w:val="single" w:sz="12" w:space="0" w:color="auto"/>
            </w:tcBorders>
            <w:shd w:val="clear" w:color="auto" w:fill="808080"/>
            <w:vAlign w:val="bottom"/>
          </w:tcPr>
          <w:p w:rsidR="00000000" w:rsidRDefault="00000000">
            <w:pPr>
              <w:pStyle w:val="Header"/>
              <w:tabs>
                <w:tab w:val="clear" w:pos="4320"/>
                <w:tab w:val="clear" w:pos="8640"/>
                <w:tab w:val="decimal" w:pos="881"/>
              </w:tabs>
              <w:spacing w:line="200" w:lineRule="exact"/>
              <w:rPr>
                <w:noProof w:val="0"/>
                <w:spacing w:val="4"/>
                <w:w w:val="103"/>
                <w:kern w:val="14"/>
              </w:rPr>
            </w:pPr>
            <w:r>
              <w:rPr>
                <w:noProof w:val="0"/>
                <w:spacing w:val="4"/>
                <w:w w:val="103"/>
                <w:kern w:val="14"/>
              </w:rPr>
              <w:t>33 590</w:t>
            </w:r>
          </w:p>
        </w:tc>
        <w:tc>
          <w:tcPr>
            <w:tcW w:w="1410" w:type="dxa"/>
            <w:tcBorders>
              <w:top w:val="single" w:sz="12" w:space="0" w:color="auto"/>
            </w:tcBorders>
            <w:vAlign w:val="bottom"/>
          </w:tcPr>
          <w:p w:rsidR="00000000" w:rsidRDefault="00000000">
            <w:pPr>
              <w:pStyle w:val="Header"/>
              <w:tabs>
                <w:tab w:val="clear" w:pos="4320"/>
                <w:tab w:val="clear" w:pos="8640"/>
                <w:tab w:val="decimal" w:pos="889"/>
              </w:tabs>
              <w:spacing w:line="200" w:lineRule="exact"/>
              <w:rPr>
                <w:noProof w:val="0"/>
                <w:spacing w:val="4"/>
                <w:w w:val="103"/>
                <w:kern w:val="14"/>
              </w:rPr>
            </w:pPr>
            <w:r>
              <w:rPr>
                <w:noProof w:val="0"/>
                <w:spacing w:val="4"/>
                <w:w w:val="103"/>
                <w:kern w:val="14"/>
              </w:rPr>
              <w:t>29 581</w:t>
            </w:r>
          </w:p>
        </w:tc>
        <w:tc>
          <w:tcPr>
            <w:tcW w:w="1405" w:type="dxa"/>
            <w:tcBorders>
              <w:top w:val="single" w:sz="12" w:space="0" w:color="auto"/>
            </w:tcBorders>
            <w:vAlign w:val="bottom"/>
          </w:tcPr>
          <w:p w:rsidR="00000000" w:rsidRDefault="00000000">
            <w:pPr>
              <w:tabs>
                <w:tab w:val="decimal" w:pos="567"/>
              </w:tabs>
              <w:rPr>
                <w:sz w:val="17"/>
              </w:rPr>
            </w:pPr>
            <w:r>
              <w:rPr>
                <w:sz w:val="17"/>
              </w:rPr>
              <w:t>88,1</w:t>
            </w:r>
          </w:p>
        </w:tc>
      </w:tr>
      <w:tr w:rsidR="00000000">
        <w:tblPrEx>
          <w:tblCellMar>
            <w:top w:w="0" w:type="dxa"/>
            <w:bottom w:w="0" w:type="dxa"/>
          </w:tblCellMar>
        </w:tblPrEx>
        <w:tc>
          <w:tcPr>
            <w:tcW w:w="3959" w:type="dxa"/>
          </w:tcPr>
          <w:p w:rsidR="00000000" w:rsidRDefault="00000000">
            <w:pPr>
              <w:ind w:left="540"/>
              <w:rPr>
                <w:sz w:val="17"/>
              </w:rPr>
            </w:pPr>
            <w:r>
              <w:rPr>
                <w:sz w:val="17"/>
              </w:rPr>
              <w:t>Общие средние школы</w:t>
            </w:r>
          </w:p>
        </w:tc>
        <w:tc>
          <w:tcPr>
            <w:tcW w:w="1411" w:type="dxa"/>
            <w:shd w:val="clear" w:color="auto" w:fill="808080"/>
            <w:vAlign w:val="bottom"/>
          </w:tcPr>
          <w:p w:rsidR="00000000" w:rsidRDefault="00000000">
            <w:pPr>
              <w:tabs>
                <w:tab w:val="decimal" w:pos="719"/>
              </w:tabs>
              <w:rPr>
                <w:sz w:val="17"/>
              </w:rPr>
            </w:pPr>
            <w:r>
              <w:rPr>
                <w:sz w:val="17"/>
              </w:rPr>
              <w:t>33 873</w:t>
            </w:r>
          </w:p>
        </w:tc>
        <w:tc>
          <w:tcPr>
            <w:tcW w:w="1411" w:type="dxa"/>
            <w:vAlign w:val="bottom"/>
          </w:tcPr>
          <w:p w:rsidR="00000000" w:rsidRDefault="00000000">
            <w:pPr>
              <w:tabs>
                <w:tab w:val="decimal" w:pos="867"/>
              </w:tabs>
              <w:rPr>
                <w:sz w:val="17"/>
              </w:rPr>
            </w:pPr>
            <w:r>
              <w:rPr>
                <w:sz w:val="17"/>
              </w:rPr>
              <w:t>22 534</w:t>
            </w:r>
          </w:p>
        </w:tc>
        <w:tc>
          <w:tcPr>
            <w:tcW w:w="1410" w:type="dxa"/>
            <w:vAlign w:val="bottom"/>
          </w:tcPr>
          <w:p w:rsidR="00000000" w:rsidRDefault="00000000">
            <w:pPr>
              <w:tabs>
                <w:tab w:val="decimal" w:pos="567"/>
              </w:tabs>
              <w:rPr>
                <w:sz w:val="17"/>
              </w:rPr>
            </w:pPr>
            <w:r>
              <w:rPr>
                <w:sz w:val="17"/>
              </w:rPr>
              <w:t>66,5</w:t>
            </w:r>
          </w:p>
        </w:tc>
        <w:tc>
          <w:tcPr>
            <w:tcW w:w="1410" w:type="dxa"/>
            <w:shd w:val="clear" w:color="auto" w:fill="808080"/>
            <w:vAlign w:val="bottom"/>
          </w:tcPr>
          <w:p w:rsidR="00000000" w:rsidRDefault="00000000">
            <w:pPr>
              <w:tabs>
                <w:tab w:val="decimal" w:pos="881"/>
              </w:tabs>
              <w:rPr>
                <w:sz w:val="17"/>
              </w:rPr>
            </w:pPr>
            <w:r>
              <w:rPr>
                <w:sz w:val="17"/>
              </w:rPr>
              <w:t>33 562</w:t>
            </w:r>
          </w:p>
        </w:tc>
        <w:tc>
          <w:tcPr>
            <w:tcW w:w="1410" w:type="dxa"/>
            <w:vAlign w:val="bottom"/>
          </w:tcPr>
          <w:p w:rsidR="00000000" w:rsidRDefault="00000000">
            <w:pPr>
              <w:tabs>
                <w:tab w:val="decimal" w:pos="889"/>
              </w:tabs>
              <w:rPr>
                <w:sz w:val="17"/>
              </w:rPr>
            </w:pPr>
            <w:r>
              <w:rPr>
                <w:sz w:val="17"/>
              </w:rPr>
              <w:t>22 574</w:t>
            </w:r>
          </w:p>
        </w:tc>
        <w:tc>
          <w:tcPr>
            <w:tcW w:w="1405" w:type="dxa"/>
            <w:vAlign w:val="bottom"/>
          </w:tcPr>
          <w:p w:rsidR="00000000" w:rsidRDefault="00000000">
            <w:pPr>
              <w:tabs>
                <w:tab w:val="decimal" w:pos="567"/>
              </w:tabs>
              <w:rPr>
                <w:sz w:val="17"/>
              </w:rPr>
            </w:pPr>
            <w:r>
              <w:rPr>
                <w:sz w:val="17"/>
              </w:rPr>
              <w:t>67,3</w:t>
            </w:r>
          </w:p>
        </w:tc>
      </w:tr>
      <w:tr w:rsidR="00000000">
        <w:tblPrEx>
          <w:tblCellMar>
            <w:top w:w="0" w:type="dxa"/>
            <w:bottom w:w="0" w:type="dxa"/>
          </w:tblCellMar>
        </w:tblPrEx>
        <w:tc>
          <w:tcPr>
            <w:tcW w:w="3959" w:type="dxa"/>
          </w:tcPr>
          <w:p w:rsidR="00000000" w:rsidRDefault="00000000">
            <w:pPr>
              <w:ind w:left="540"/>
              <w:rPr>
                <w:sz w:val="17"/>
              </w:rPr>
            </w:pPr>
            <w:r>
              <w:rPr>
                <w:sz w:val="17"/>
              </w:rPr>
              <w:t>Специальные школы</w:t>
            </w:r>
          </w:p>
        </w:tc>
        <w:tc>
          <w:tcPr>
            <w:tcW w:w="1411" w:type="dxa"/>
            <w:shd w:val="clear" w:color="auto" w:fill="808080"/>
            <w:vAlign w:val="bottom"/>
          </w:tcPr>
          <w:p w:rsidR="00000000" w:rsidRDefault="00000000">
            <w:pPr>
              <w:tabs>
                <w:tab w:val="decimal" w:pos="719"/>
              </w:tabs>
              <w:rPr>
                <w:sz w:val="17"/>
              </w:rPr>
            </w:pPr>
            <w:r>
              <w:rPr>
                <w:sz w:val="17"/>
              </w:rPr>
              <w:t>5 678</w:t>
            </w:r>
          </w:p>
        </w:tc>
        <w:tc>
          <w:tcPr>
            <w:tcW w:w="1411" w:type="dxa"/>
            <w:vAlign w:val="bottom"/>
          </w:tcPr>
          <w:p w:rsidR="00000000" w:rsidRDefault="00000000">
            <w:pPr>
              <w:tabs>
                <w:tab w:val="decimal" w:pos="867"/>
              </w:tabs>
              <w:rPr>
                <w:sz w:val="17"/>
              </w:rPr>
            </w:pPr>
            <w:r>
              <w:rPr>
                <w:sz w:val="17"/>
              </w:rPr>
              <w:t>4 789</w:t>
            </w:r>
          </w:p>
        </w:tc>
        <w:tc>
          <w:tcPr>
            <w:tcW w:w="1410" w:type="dxa"/>
            <w:vAlign w:val="bottom"/>
          </w:tcPr>
          <w:p w:rsidR="00000000" w:rsidRDefault="00000000">
            <w:pPr>
              <w:tabs>
                <w:tab w:val="decimal" w:pos="567"/>
              </w:tabs>
              <w:rPr>
                <w:sz w:val="17"/>
              </w:rPr>
            </w:pPr>
            <w:r>
              <w:rPr>
                <w:sz w:val="17"/>
              </w:rPr>
              <w:t>84,3</w:t>
            </w:r>
          </w:p>
        </w:tc>
        <w:tc>
          <w:tcPr>
            <w:tcW w:w="1410" w:type="dxa"/>
            <w:shd w:val="clear" w:color="auto" w:fill="808080"/>
            <w:vAlign w:val="bottom"/>
          </w:tcPr>
          <w:p w:rsidR="00000000" w:rsidRDefault="00000000">
            <w:pPr>
              <w:tabs>
                <w:tab w:val="decimal" w:pos="881"/>
              </w:tabs>
              <w:rPr>
                <w:sz w:val="17"/>
              </w:rPr>
            </w:pPr>
            <w:r>
              <w:rPr>
                <w:sz w:val="17"/>
              </w:rPr>
              <w:t>5 794</w:t>
            </w:r>
          </w:p>
        </w:tc>
        <w:tc>
          <w:tcPr>
            <w:tcW w:w="1410" w:type="dxa"/>
            <w:vAlign w:val="bottom"/>
          </w:tcPr>
          <w:p w:rsidR="00000000" w:rsidRDefault="00000000">
            <w:pPr>
              <w:tabs>
                <w:tab w:val="decimal" w:pos="889"/>
              </w:tabs>
              <w:rPr>
                <w:sz w:val="17"/>
              </w:rPr>
            </w:pPr>
            <w:r>
              <w:rPr>
                <w:sz w:val="17"/>
              </w:rPr>
              <w:t>4 927</w:t>
            </w:r>
          </w:p>
        </w:tc>
        <w:tc>
          <w:tcPr>
            <w:tcW w:w="1405" w:type="dxa"/>
            <w:vAlign w:val="bottom"/>
          </w:tcPr>
          <w:p w:rsidR="00000000" w:rsidRDefault="00000000">
            <w:pPr>
              <w:tabs>
                <w:tab w:val="decimal" w:pos="567"/>
              </w:tabs>
              <w:rPr>
                <w:sz w:val="17"/>
              </w:rPr>
            </w:pPr>
            <w:r>
              <w:rPr>
                <w:sz w:val="17"/>
              </w:rPr>
              <w:t>85,0</w:t>
            </w:r>
          </w:p>
        </w:tc>
      </w:tr>
      <w:tr w:rsidR="00000000">
        <w:tblPrEx>
          <w:tblCellMar>
            <w:top w:w="0" w:type="dxa"/>
            <w:bottom w:w="0" w:type="dxa"/>
          </w:tblCellMar>
        </w:tblPrEx>
        <w:tc>
          <w:tcPr>
            <w:tcW w:w="3959" w:type="dxa"/>
          </w:tcPr>
          <w:p w:rsidR="00000000" w:rsidRDefault="00000000">
            <w:pPr>
              <w:ind w:left="540"/>
              <w:rPr>
                <w:sz w:val="17"/>
              </w:rPr>
            </w:pPr>
            <w:r>
              <w:rPr>
                <w:sz w:val="17"/>
              </w:rPr>
              <w:t>Год до профессиональной подготовки</w:t>
            </w:r>
          </w:p>
        </w:tc>
        <w:tc>
          <w:tcPr>
            <w:tcW w:w="1411" w:type="dxa"/>
            <w:shd w:val="clear" w:color="auto" w:fill="808080"/>
            <w:vAlign w:val="bottom"/>
          </w:tcPr>
          <w:p w:rsidR="00000000" w:rsidRDefault="00000000">
            <w:pPr>
              <w:tabs>
                <w:tab w:val="decimal" w:pos="719"/>
              </w:tabs>
              <w:rPr>
                <w:sz w:val="17"/>
              </w:rPr>
            </w:pPr>
            <w:r>
              <w:rPr>
                <w:sz w:val="17"/>
              </w:rPr>
              <w:t>1 970</w:t>
            </w:r>
          </w:p>
        </w:tc>
        <w:tc>
          <w:tcPr>
            <w:tcW w:w="1411" w:type="dxa"/>
            <w:vAlign w:val="bottom"/>
          </w:tcPr>
          <w:p w:rsidR="00000000" w:rsidRDefault="00000000">
            <w:pPr>
              <w:tabs>
                <w:tab w:val="decimal" w:pos="867"/>
              </w:tabs>
              <w:rPr>
                <w:sz w:val="17"/>
              </w:rPr>
            </w:pPr>
            <w:r>
              <w:rPr>
                <w:sz w:val="17"/>
              </w:rPr>
              <w:t>951</w:t>
            </w:r>
          </w:p>
        </w:tc>
        <w:tc>
          <w:tcPr>
            <w:tcW w:w="1410" w:type="dxa"/>
            <w:vAlign w:val="bottom"/>
          </w:tcPr>
          <w:p w:rsidR="00000000" w:rsidRDefault="00000000">
            <w:pPr>
              <w:tabs>
                <w:tab w:val="decimal" w:pos="567"/>
              </w:tabs>
              <w:rPr>
                <w:sz w:val="17"/>
              </w:rPr>
            </w:pPr>
            <w:r>
              <w:rPr>
                <w:sz w:val="17"/>
              </w:rPr>
              <w:t>48,3</w:t>
            </w:r>
          </w:p>
        </w:tc>
        <w:tc>
          <w:tcPr>
            <w:tcW w:w="1410" w:type="dxa"/>
            <w:shd w:val="clear" w:color="auto" w:fill="808080"/>
            <w:vAlign w:val="bottom"/>
          </w:tcPr>
          <w:p w:rsidR="00000000" w:rsidRDefault="00000000">
            <w:pPr>
              <w:tabs>
                <w:tab w:val="decimal" w:pos="881"/>
              </w:tabs>
              <w:rPr>
                <w:sz w:val="17"/>
              </w:rPr>
            </w:pPr>
            <w:r>
              <w:rPr>
                <w:sz w:val="17"/>
              </w:rPr>
              <w:t>2 011</w:t>
            </w:r>
          </w:p>
        </w:tc>
        <w:tc>
          <w:tcPr>
            <w:tcW w:w="1410" w:type="dxa"/>
            <w:vAlign w:val="bottom"/>
          </w:tcPr>
          <w:p w:rsidR="00000000" w:rsidRDefault="00000000">
            <w:pPr>
              <w:tabs>
                <w:tab w:val="decimal" w:pos="889"/>
              </w:tabs>
              <w:rPr>
                <w:sz w:val="17"/>
              </w:rPr>
            </w:pPr>
            <w:r>
              <w:rPr>
                <w:sz w:val="17"/>
              </w:rPr>
              <w:t>995</w:t>
            </w:r>
          </w:p>
        </w:tc>
        <w:tc>
          <w:tcPr>
            <w:tcW w:w="1405" w:type="dxa"/>
            <w:vAlign w:val="bottom"/>
          </w:tcPr>
          <w:p w:rsidR="00000000" w:rsidRDefault="00000000">
            <w:pPr>
              <w:tabs>
                <w:tab w:val="decimal" w:pos="567"/>
              </w:tabs>
              <w:rPr>
                <w:sz w:val="17"/>
              </w:rPr>
            </w:pPr>
            <w:r>
              <w:rPr>
                <w:sz w:val="17"/>
              </w:rPr>
              <w:t>49,5</w:t>
            </w:r>
          </w:p>
        </w:tc>
      </w:tr>
      <w:tr w:rsidR="00000000">
        <w:tblPrEx>
          <w:tblCellMar>
            <w:top w:w="0" w:type="dxa"/>
            <w:bottom w:w="0" w:type="dxa"/>
          </w:tblCellMar>
        </w:tblPrEx>
        <w:tc>
          <w:tcPr>
            <w:tcW w:w="3959" w:type="dxa"/>
          </w:tcPr>
          <w:p w:rsidR="00000000" w:rsidRDefault="00000000">
            <w:pPr>
              <w:ind w:left="360"/>
              <w:rPr>
                <w:b/>
                <w:sz w:val="17"/>
              </w:rPr>
            </w:pPr>
            <w:r>
              <w:rPr>
                <w:b/>
                <w:sz w:val="17"/>
              </w:rPr>
              <w:t>Обязательные школы, всего</w:t>
            </w:r>
          </w:p>
        </w:tc>
        <w:tc>
          <w:tcPr>
            <w:tcW w:w="1411" w:type="dxa"/>
            <w:shd w:val="clear" w:color="auto" w:fill="808080"/>
            <w:vAlign w:val="bottom"/>
          </w:tcPr>
          <w:p w:rsidR="00000000" w:rsidRDefault="00000000">
            <w:pPr>
              <w:tabs>
                <w:tab w:val="decimal" w:pos="719"/>
              </w:tabs>
              <w:rPr>
                <w:sz w:val="17"/>
              </w:rPr>
            </w:pPr>
            <w:r>
              <w:rPr>
                <w:sz w:val="17"/>
              </w:rPr>
              <w:t>75 335</w:t>
            </w:r>
          </w:p>
        </w:tc>
        <w:tc>
          <w:tcPr>
            <w:tcW w:w="1411" w:type="dxa"/>
            <w:vAlign w:val="bottom"/>
          </w:tcPr>
          <w:p w:rsidR="00000000" w:rsidRDefault="00000000">
            <w:pPr>
              <w:tabs>
                <w:tab w:val="decimal" w:pos="867"/>
              </w:tabs>
              <w:rPr>
                <w:sz w:val="17"/>
              </w:rPr>
            </w:pPr>
            <w:r>
              <w:rPr>
                <w:sz w:val="17"/>
              </w:rPr>
              <w:t>57 886</w:t>
            </w:r>
          </w:p>
        </w:tc>
        <w:tc>
          <w:tcPr>
            <w:tcW w:w="1410" w:type="dxa"/>
            <w:vAlign w:val="bottom"/>
          </w:tcPr>
          <w:p w:rsidR="00000000" w:rsidRDefault="00000000">
            <w:pPr>
              <w:tabs>
                <w:tab w:val="decimal" w:pos="567"/>
              </w:tabs>
              <w:rPr>
                <w:sz w:val="17"/>
              </w:rPr>
            </w:pPr>
            <w:r>
              <w:rPr>
                <w:sz w:val="17"/>
              </w:rPr>
              <w:t>76,8</w:t>
            </w:r>
          </w:p>
        </w:tc>
        <w:tc>
          <w:tcPr>
            <w:tcW w:w="1410" w:type="dxa"/>
            <w:shd w:val="clear" w:color="auto" w:fill="808080"/>
            <w:vAlign w:val="bottom"/>
          </w:tcPr>
          <w:p w:rsidR="00000000" w:rsidRDefault="00000000">
            <w:pPr>
              <w:tabs>
                <w:tab w:val="decimal" w:pos="881"/>
              </w:tabs>
              <w:rPr>
                <w:sz w:val="17"/>
              </w:rPr>
            </w:pPr>
            <w:r>
              <w:rPr>
                <w:sz w:val="17"/>
              </w:rPr>
              <w:t>74 957</w:t>
            </w:r>
          </w:p>
        </w:tc>
        <w:tc>
          <w:tcPr>
            <w:tcW w:w="1410" w:type="dxa"/>
            <w:vAlign w:val="bottom"/>
          </w:tcPr>
          <w:p w:rsidR="00000000" w:rsidRDefault="00000000">
            <w:pPr>
              <w:tabs>
                <w:tab w:val="decimal" w:pos="889"/>
              </w:tabs>
              <w:rPr>
                <w:sz w:val="17"/>
              </w:rPr>
            </w:pPr>
            <w:r>
              <w:rPr>
                <w:sz w:val="17"/>
              </w:rPr>
              <w:t>58 077</w:t>
            </w:r>
          </w:p>
        </w:tc>
        <w:tc>
          <w:tcPr>
            <w:tcW w:w="1405" w:type="dxa"/>
            <w:vAlign w:val="bottom"/>
          </w:tcPr>
          <w:p w:rsidR="00000000" w:rsidRDefault="00000000">
            <w:pPr>
              <w:tabs>
                <w:tab w:val="decimal" w:pos="567"/>
              </w:tabs>
              <w:rPr>
                <w:sz w:val="17"/>
              </w:rPr>
            </w:pPr>
            <w:r>
              <w:rPr>
                <w:sz w:val="17"/>
              </w:rPr>
              <w:t>77,5</w:t>
            </w:r>
          </w:p>
        </w:tc>
      </w:tr>
      <w:tr w:rsidR="00000000">
        <w:tblPrEx>
          <w:tblCellMar>
            <w:top w:w="0" w:type="dxa"/>
            <w:bottom w:w="0" w:type="dxa"/>
          </w:tblCellMar>
        </w:tblPrEx>
        <w:tc>
          <w:tcPr>
            <w:tcW w:w="3959" w:type="dxa"/>
          </w:tcPr>
          <w:p w:rsidR="00000000" w:rsidRDefault="00000000">
            <w:pPr>
              <w:ind w:left="360"/>
              <w:rPr>
                <w:b/>
                <w:sz w:val="17"/>
              </w:rPr>
            </w:pPr>
            <w:r>
              <w:rPr>
                <w:b/>
                <w:sz w:val="17"/>
              </w:rPr>
              <w:t>Старшие классы общей средней школы, всего</w:t>
            </w:r>
          </w:p>
        </w:tc>
        <w:tc>
          <w:tcPr>
            <w:tcW w:w="1411" w:type="dxa"/>
            <w:shd w:val="clear" w:color="auto" w:fill="808080"/>
            <w:vAlign w:val="bottom"/>
          </w:tcPr>
          <w:p w:rsidR="00000000" w:rsidRDefault="00000000">
            <w:pPr>
              <w:tabs>
                <w:tab w:val="decimal" w:pos="719"/>
              </w:tabs>
              <w:rPr>
                <w:b/>
                <w:sz w:val="17"/>
              </w:rPr>
            </w:pPr>
            <w:r>
              <w:rPr>
                <w:b/>
                <w:sz w:val="17"/>
              </w:rPr>
              <w:t>19 668</w:t>
            </w:r>
          </w:p>
        </w:tc>
        <w:tc>
          <w:tcPr>
            <w:tcW w:w="1411" w:type="dxa"/>
            <w:vAlign w:val="bottom"/>
          </w:tcPr>
          <w:p w:rsidR="00000000" w:rsidRDefault="00000000">
            <w:pPr>
              <w:tabs>
                <w:tab w:val="decimal" w:pos="867"/>
              </w:tabs>
              <w:rPr>
                <w:b/>
                <w:sz w:val="17"/>
              </w:rPr>
            </w:pPr>
            <w:r>
              <w:rPr>
                <w:b/>
                <w:sz w:val="17"/>
              </w:rPr>
              <w:t>11 524</w:t>
            </w:r>
          </w:p>
        </w:tc>
        <w:tc>
          <w:tcPr>
            <w:tcW w:w="1410" w:type="dxa"/>
            <w:vAlign w:val="bottom"/>
          </w:tcPr>
          <w:p w:rsidR="00000000" w:rsidRDefault="00000000">
            <w:pPr>
              <w:tabs>
                <w:tab w:val="decimal" w:pos="567"/>
              </w:tabs>
              <w:rPr>
                <w:b/>
                <w:sz w:val="17"/>
              </w:rPr>
            </w:pPr>
            <w:r>
              <w:rPr>
                <w:b/>
                <w:sz w:val="17"/>
              </w:rPr>
              <w:t>58,6</w:t>
            </w:r>
          </w:p>
        </w:tc>
        <w:tc>
          <w:tcPr>
            <w:tcW w:w="1410" w:type="dxa"/>
            <w:shd w:val="clear" w:color="auto" w:fill="808080"/>
            <w:vAlign w:val="bottom"/>
          </w:tcPr>
          <w:p w:rsidR="00000000" w:rsidRDefault="00000000">
            <w:pPr>
              <w:tabs>
                <w:tab w:val="decimal" w:pos="881"/>
              </w:tabs>
              <w:rPr>
                <w:b/>
                <w:sz w:val="17"/>
              </w:rPr>
            </w:pPr>
            <w:r>
              <w:rPr>
                <w:b/>
                <w:sz w:val="17"/>
              </w:rPr>
              <w:t>19 690</w:t>
            </w:r>
          </w:p>
        </w:tc>
        <w:tc>
          <w:tcPr>
            <w:tcW w:w="1410" w:type="dxa"/>
            <w:vAlign w:val="bottom"/>
          </w:tcPr>
          <w:p w:rsidR="00000000" w:rsidRDefault="00000000">
            <w:pPr>
              <w:tabs>
                <w:tab w:val="decimal" w:pos="889"/>
              </w:tabs>
              <w:rPr>
                <w:b/>
                <w:sz w:val="17"/>
              </w:rPr>
            </w:pPr>
            <w:r>
              <w:rPr>
                <w:b/>
                <w:sz w:val="17"/>
              </w:rPr>
              <w:t>11 642</w:t>
            </w:r>
          </w:p>
        </w:tc>
        <w:tc>
          <w:tcPr>
            <w:tcW w:w="1405" w:type="dxa"/>
            <w:vAlign w:val="bottom"/>
          </w:tcPr>
          <w:p w:rsidR="00000000" w:rsidRDefault="00000000">
            <w:pPr>
              <w:tabs>
                <w:tab w:val="decimal" w:pos="567"/>
              </w:tabs>
              <w:rPr>
                <w:b/>
                <w:sz w:val="17"/>
              </w:rPr>
            </w:pPr>
            <w:r>
              <w:rPr>
                <w:b/>
                <w:sz w:val="17"/>
              </w:rPr>
              <w:t>59,1</w:t>
            </w:r>
          </w:p>
        </w:tc>
      </w:tr>
      <w:tr w:rsidR="00000000">
        <w:tblPrEx>
          <w:tblCellMar>
            <w:top w:w="0" w:type="dxa"/>
            <w:bottom w:w="0" w:type="dxa"/>
          </w:tblCellMar>
        </w:tblPrEx>
        <w:tc>
          <w:tcPr>
            <w:tcW w:w="3959" w:type="dxa"/>
          </w:tcPr>
          <w:p w:rsidR="00000000" w:rsidRDefault="00000000">
            <w:pPr>
              <w:rPr>
                <w:b/>
                <w:sz w:val="17"/>
              </w:rPr>
            </w:pPr>
            <w:r>
              <w:rPr>
                <w:b/>
                <w:sz w:val="17"/>
              </w:rPr>
              <w:t>Общие школы, всего</w:t>
            </w:r>
          </w:p>
        </w:tc>
        <w:tc>
          <w:tcPr>
            <w:tcW w:w="1411" w:type="dxa"/>
            <w:shd w:val="clear" w:color="auto" w:fill="808080"/>
            <w:vAlign w:val="bottom"/>
          </w:tcPr>
          <w:p w:rsidR="00000000" w:rsidRDefault="00000000">
            <w:pPr>
              <w:tabs>
                <w:tab w:val="decimal" w:pos="719"/>
              </w:tabs>
              <w:rPr>
                <w:b/>
                <w:sz w:val="17"/>
              </w:rPr>
            </w:pPr>
            <w:r>
              <w:rPr>
                <w:b/>
                <w:sz w:val="17"/>
              </w:rPr>
              <w:t>95 003</w:t>
            </w:r>
          </w:p>
        </w:tc>
        <w:tc>
          <w:tcPr>
            <w:tcW w:w="1411" w:type="dxa"/>
            <w:vAlign w:val="bottom"/>
          </w:tcPr>
          <w:p w:rsidR="00000000" w:rsidRDefault="00000000">
            <w:pPr>
              <w:tabs>
                <w:tab w:val="decimal" w:pos="867"/>
              </w:tabs>
              <w:rPr>
                <w:b/>
                <w:sz w:val="17"/>
              </w:rPr>
            </w:pPr>
            <w:r>
              <w:rPr>
                <w:b/>
                <w:sz w:val="17"/>
              </w:rPr>
              <w:t>69 410</w:t>
            </w:r>
          </w:p>
        </w:tc>
        <w:tc>
          <w:tcPr>
            <w:tcW w:w="1410" w:type="dxa"/>
            <w:vAlign w:val="bottom"/>
          </w:tcPr>
          <w:p w:rsidR="00000000" w:rsidRDefault="00000000">
            <w:pPr>
              <w:tabs>
                <w:tab w:val="decimal" w:pos="567"/>
              </w:tabs>
              <w:rPr>
                <w:b/>
                <w:sz w:val="17"/>
              </w:rPr>
            </w:pPr>
            <w:r>
              <w:rPr>
                <w:b/>
                <w:sz w:val="17"/>
              </w:rPr>
              <w:t>73,1</w:t>
            </w:r>
          </w:p>
        </w:tc>
        <w:tc>
          <w:tcPr>
            <w:tcW w:w="1410" w:type="dxa"/>
            <w:shd w:val="clear" w:color="auto" w:fill="808080"/>
            <w:vAlign w:val="bottom"/>
          </w:tcPr>
          <w:p w:rsidR="00000000" w:rsidRDefault="00000000">
            <w:pPr>
              <w:tabs>
                <w:tab w:val="decimal" w:pos="881"/>
              </w:tabs>
              <w:rPr>
                <w:b/>
                <w:sz w:val="17"/>
              </w:rPr>
            </w:pPr>
            <w:r>
              <w:rPr>
                <w:b/>
                <w:sz w:val="17"/>
              </w:rPr>
              <w:t>94 647</w:t>
            </w:r>
          </w:p>
        </w:tc>
        <w:tc>
          <w:tcPr>
            <w:tcW w:w="1410" w:type="dxa"/>
            <w:vAlign w:val="bottom"/>
          </w:tcPr>
          <w:p w:rsidR="00000000" w:rsidRDefault="00000000">
            <w:pPr>
              <w:tabs>
                <w:tab w:val="decimal" w:pos="889"/>
              </w:tabs>
              <w:rPr>
                <w:b/>
                <w:sz w:val="17"/>
              </w:rPr>
            </w:pPr>
            <w:r>
              <w:rPr>
                <w:b/>
                <w:sz w:val="17"/>
              </w:rPr>
              <w:t>69 719</w:t>
            </w:r>
          </w:p>
        </w:tc>
        <w:tc>
          <w:tcPr>
            <w:tcW w:w="1405" w:type="dxa"/>
            <w:vAlign w:val="bottom"/>
          </w:tcPr>
          <w:p w:rsidR="00000000" w:rsidRDefault="00000000">
            <w:pPr>
              <w:tabs>
                <w:tab w:val="decimal" w:pos="567"/>
              </w:tabs>
              <w:rPr>
                <w:b/>
                <w:sz w:val="17"/>
              </w:rPr>
            </w:pPr>
            <w:r>
              <w:rPr>
                <w:b/>
                <w:sz w:val="17"/>
              </w:rPr>
              <w:t>73,7</w:t>
            </w:r>
          </w:p>
        </w:tc>
      </w:tr>
      <w:tr w:rsidR="00000000">
        <w:tblPrEx>
          <w:tblCellMar>
            <w:top w:w="0" w:type="dxa"/>
            <w:bottom w:w="0" w:type="dxa"/>
          </w:tblCellMar>
        </w:tblPrEx>
        <w:tc>
          <w:tcPr>
            <w:tcW w:w="3959" w:type="dxa"/>
          </w:tcPr>
          <w:p w:rsidR="00000000" w:rsidRDefault="00000000">
            <w:pPr>
              <w:ind w:left="360"/>
              <w:rPr>
                <w:b/>
                <w:sz w:val="17"/>
              </w:rPr>
            </w:pPr>
            <w:r>
              <w:rPr>
                <w:b/>
                <w:sz w:val="17"/>
              </w:rPr>
              <w:t>Профессионально-техническое учил</w:t>
            </w:r>
            <w:r>
              <w:rPr>
                <w:b/>
                <w:sz w:val="17"/>
              </w:rPr>
              <w:t>и</w:t>
            </w:r>
            <w:r>
              <w:rPr>
                <w:b/>
                <w:sz w:val="17"/>
              </w:rPr>
              <w:t>ще, всего</w:t>
            </w:r>
          </w:p>
        </w:tc>
        <w:tc>
          <w:tcPr>
            <w:tcW w:w="1411" w:type="dxa"/>
            <w:shd w:val="clear" w:color="auto" w:fill="808080"/>
            <w:vAlign w:val="bottom"/>
          </w:tcPr>
          <w:p w:rsidR="00000000" w:rsidRDefault="00000000">
            <w:pPr>
              <w:tabs>
                <w:tab w:val="decimal" w:pos="719"/>
              </w:tabs>
              <w:rPr>
                <w:b/>
                <w:sz w:val="17"/>
              </w:rPr>
            </w:pPr>
            <w:r>
              <w:rPr>
                <w:b/>
                <w:sz w:val="17"/>
              </w:rPr>
              <w:t>4 664</w:t>
            </w:r>
          </w:p>
        </w:tc>
        <w:tc>
          <w:tcPr>
            <w:tcW w:w="1411" w:type="dxa"/>
            <w:vAlign w:val="bottom"/>
          </w:tcPr>
          <w:p w:rsidR="00000000" w:rsidRDefault="00000000">
            <w:pPr>
              <w:tabs>
                <w:tab w:val="decimal" w:pos="867"/>
              </w:tabs>
              <w:rPr>
                <w:b/>
                <w:sz w:val="17"/>
              </w:rPr>
            </w:pPr>
            <w:r>
              <w:rPr>
                <w:b/>
                <w:sz w:val="17"/>
              </w:rPr>
              <w:t>1 372</w:t>
            </w:r>
          </w:p>
        </w:tc>
        <w:tc>
          <w:tcPr>
            <w:tcW w:w="1410" w:type="dxa"/>
            <w:vAlign w:val="bottom"/>
          </w:tcPr>
          <w:p w:rsidR="00000000" w:rsidRDefault="00000000">
            <w:pPr>
              <w:tabs>
                <w:tab w:val="decimal" w:pos="567"/>
              </w:tabs>
              <w:rPr>
                <w:b/>
                <w:sz w:val="17"/>
              </w:rPr>
            </w:pPr>
            <w:r>
              <w:rPr>
                <w:b/>
                <w:sz w:val="17"/>
              </w:rPr>
              <w:t>29,4</w:t>
            </w:r>
          </w:p>
        </w:tc>
        <w:tc>
          <w:tcPr>
            <w:tcW w:w="1410" w:type="dxa"/>
            <w:shd w:val="clear" w:color="auto" w:fill="808080"/>
            <w:vAlign w:val="bottom"/>
          </w:tcPr>
          <w:p w:rsidR="00000000" w:rsidRDefault="00000000">
            <w:pPr>
              <w:tabs>
                <w:tab w:val="decimal" w:pos="881"/>
              </w:tabs>
              <w:rPr>
                <w:b/>
                <w:sz w:val="17"/>
              </w:rPr>
            </w:pPr>
            <w:r>
              <w:rPr>
                <w:b/>
                <w:sz w:val="17"/>
              </w:rPr>
              <w:t>4 664</w:t>
            </w:r>
          </w:p>
        </w:tc>
        <w:tc>
          <w:tcPr>
            <w:tcW w:w="1410" w:type="dxa"/>
            <w:vAlign w:val="bottom"/>
          </w:tcPr>
          <w:p w:rsidR="00000000" w:rsidRDefault="00000000">
            <w:pPr>
              <w:tabs>
                <w:tab w:val="decimal" w:pos="889"/>
              </w:tabs>
              <w:rPr>
                <w:b/>
                <w:sz w:val="17"/>
              </w:rPr>
            </w:pPr>
            <w:r>
              <w:rPr>
                <w:b/>
                <w:sz w:val="17"/>
              </w:rPr>
              <w:t>1 372</w:t>
            </w:r>
          </w:p>
        </w:tc>
        <w:tc>
          <w:tcPr>
            <w:tcW w:w="1405" w:type="dxa"/>
            <w:vAlign w:val="bottom"/>
          </w:tcPr>
          <w:p w:rsidR="00000000" w:rsidRDefault="00000000">
            <w:pPr>
              <w:tabs>
                <w:tab w:val="decimal" w:pos="567"/>
              </w:tabs>
              <w:rPr>
                <w:b/>
                <w:sz w:val="17"/>
              </w:rPr>
            </w:pPr>
            <w:r>
              <w:rPr>
                <w:b/>
                <w:sz w:val="17"/>
              </w:rPr>
              <w:t>29,4</w:t>
            </w:r>
          </w:p>
        </w:tc>
      </w:tr>
      <w:tr w:rsidR="00000000">
        <w:tblPrEx>
          <w:tblCellMar>
            <w:top w:w="0" w:type="dxa"/>
            <w:bottom w:w="0" w:type="dxa"/>
          </w:tblCellMar>
        </w:tblPrEx>
        <w:tc>
          <w:tcPr>
            <w:tcW w:w="3959" w:type="dxa"/>
          </w:tcPr>
          <w:p w:rsidR="00000000" w:rsidRDefault="00000000">
            <w:pPr>
              <w:ind w:left="540"/>
              <w:rPr>
                <w:sz w:val="17"/>
              </w:rPr>
            </w:pPr>
            <w:r>
              <w:rPr>
                <w:sz w:val="17"/>
              </w:rPr>
              <w:t>Техника, ремесла, и искусство</w:t>
            </w:r>
          </w:p>
        </w:tc>
        <w:tc>
          <w:tcPr>
            <w:tcW w:w="1411" w:type="dxa"/>
            <w:shd w:val="clear" w:color="auto" w:fill="808080"/>
            <w:vAlign w:val="bottom"/>
          </w:tcPr>
          <w:p w:rsidR="00000000" w:rsidRDefault="00000000">
            <w:pPr>
              <w:tabs>
                <w:tab w:val="decimal" w:pos="719"/>
              </w:tabs>
              <w:rPr>
                <w:sz w:val="17"/>
              </w:rPr>
            </w:pPr>
            <w:r>
              <w:rPr>
                <w:sz w:val="17"/>
              </w:rPr>
              <w:t>6 747</w:t>
            </w:r>
          </w:p>
        </w:tc>
        <w:tc>
          <w:tcPr>
            <w:tcW w:w="1411" w:type="dxa"/>
            <w:vAlign w:val="bottom"/>
          </w:tcPr>
          <w:p w:rsidR="00000000" w:rsidRDefault="00000000">
            <w:pPr>
              <w:tabs>
                <w:tab w:val="decimal" w:pos="867"/>
              </w:tabs>
              <w:rPr>
                <w:sz w:val="17"/>
              </w:rPr>
            </w:pPr>
            <w:r>
              <w:rPr>
                <w:sz w:val="17"/>
              </w:rPr>
              <w:t>1 283</w:t>
            </w:r>
          </w:p>
        </w:tc>
        <w:tc>
          <w:tcPr>
            <w:tcW w:w="1410" w:type="dxa"/>
            <w:vAlign w:val="bottom"/>
          </w:tcPr>
          <w:p w:rsidR="00000000" w:rsidRDefault="00000000">
            <w:pPr>
              <w:tabs>
                <w:tab w:val="decimal" w:pos="567"/>
              </w:tabs>
              <w:rPr>
                <w:sz w:val="17"/>
              </w:rPr>
            </w:pPr>
            <w:r>
              <w:rPr>
                <w:sz w:val="17"/>
              </w:rPr>
              <w:t>19,0</w:t>
            </w:r>
          </w:p>
        </w:tc>
        <w:tc>
          <w:tcPr>
            <w:tcW w:w="1410" w:type="dxa"/>
            <w:shd w:val="clear" w:color="auto" w:fill="808080"/>
            <w:vAlign w:val="bottom"/>
          </w:tcPr>
          <w:p w:rsidR="00000000" w:rsidRDefault="00000000">
            <w:pPr>
              <w:tabs>
                <w:tab w:val="decimal" w:pos="881"/>
              </w:tabs>
              <w:rPr>
                <w:sz w:val="17"/>
              </w:rPr>
            </w:pPr>
            <w:r>
              <w:rPr>
                <w:sz w:val="17"/>
              </w:rPr>
              <w:t>6 861</w:t>
            </w:r>
          </w:p>
        </w:tc>
        <w:tc>
          <w:tcPr>
            <w:tcW w:w="1410" w:type="dxa"/>
            <w:vAlign w:val="bottom"/>
          </w:tcPr>
          <w:p w:rsidR="00000000" w:rsidRDefault="00000000">
            <w:pPr>
              <w:tabs>
                <w:tab w:val="decimal" w:pos="889"/>
              </w:tabs>
              <w:rPr>
                <w:sz w:val="17"/>
              </w:rPr>
            </w:pPr>
            <w:r>
              <w:rPr>
                <w:sz w:val="17"/>
              </w:rPr>
              <w:t>1 238</w:t>
            </w:r>
          </w:p>
        </w:tc>
        <w:tc>
          <w:tcPr>
            <w:tcW w:w="1405" w:type="dxa"/>
            <w:vAlign w:val="bottom"/>
          </w:tcPr>
          <w:p w:rsidR="00000000" w:rsidRDefault="00000000">
            <w:pPr>
              <w:tabs>
                <w:tab w:val="decimal" w:pos="567"/>
              </w:tabs>
              <w:rPr>
                <w:sz w:val="17"/>
              </w:rPr>
            </w:pPr>
            <w:r>
              <w:rPr>
                <w:sz w:val="17"/>
              </w:rPr>
              <w:t>18,0</w:t>
            </w:r>
          </w:p>
        </w:tc>
      </w:tr>
      <w:tr w:rsidR="00000000">
        <w:tblPrEx>
          <w:tblCellMar>
            <w:top w:w="0" w:type="dxa"/>
            <w:bottom w:w="0" w:type="dxa"/>
          </w:tblCellMar>
        </w:tblPrEx>
        <w:tc>
          <w:tcPr>
            <w:tcW w:w="3959" w:type="dxa"/>
          </w:tcPr>
          <w:p w:rsidR="00000000" w:rsidRDefault="00000000">
            <w:pPr>
              <w:ind w:left="540"/>
              <w:rPr>
                <w:sz w:val="17"/>
              </w:rPr>
            </w:pPr>
            <w:r>
              <w:rPr>
                <w:sz w:val="17"/>
              </w:rPr>
              <w:t>Туризм</w:t>
            </w:r>
          </w:p>
        </w:tc>
        <w:tc>
          <w:tcPr>
            <w:tcW w:w="1411" w:type="dxa"/>
            <w:shd w:val="clear" w:color="auto" w:fill="808080"/>
            <w:vAlign w:val="bottom"/>
          </w:tcPr>
          <w:p w:rsidR="00000000" w:rsidRDefault="00000000">
            <w:pPr>
              <w:tabs>
                <w:tab w:val="decimal" w:pos="719"/>
              </w:tabs>
              <w:rPr>
                <w:sz w:val="17"/>
              </w:rPr>
            </w:pPr>
            <w:r>
              <w:rPr>
                <w:sz w:val="17"/>
              </w:rPr>
              <w:t>984</w:t>
            </w:r>
          </w:p>
        </w:tc>
        <w:tc>
          <w:tcPr>
            <w:tcW w:w="1411" w:type="dxa"/>
            <w:vAlign w:val="bottom"/>
          </w:tcPr>
          <w:p w:rsidR="00000000" w:rsidRDefault="00000000">
            <w:pPr>
              <w:tabs>
                <w:tab w:val="decimal" w:pos="867"/>
              </w:tabs>
              <w:rPr>
                <w:sz w:val="17"/>
              </w:rPr>
            </w:pPr>
            <w:r>
              <w:rPr>
                <w:sz w:val="17"/>
              </w:rPr>
              <w:t>474</w:t>
            </w:r>
          </w:p>
        </w:tc>
        <w:tc>
          <w:tcPr>
            <w:tcW w:w="1410" w:type="dxa"/>
            <w:vAlign w:val="bottom"/>
          </w:tcPr>
          <w:p w:rsidR="00000000" w:rsidRDefault="00000000">
            <w:pPr>
              <w:tabs>
                <w:tab w:val="decimal" w:pos="567"/>
              </w:tabs>
              <w:rPr>
                <w:sz w:val="17"/>
              </w:rPr>
            </w:pPr>
            <w:r>
              <w:rPr>
                <w:sz w:val="17"/>
              </w:rPr>
              <w:t>48,2</w:t>
            </w:r>
          </w:p>
        </w:tc>
        <w:tc>
          <w:tcPr>
            <w:tcW w:w="1410" w:type="dxa"/>
            <w:shd w:val="clear" w:color="auto" w:fill="808080"/>
            <w:vAlign w:val="bottom"/>
          </w:tcPr>
          <w:p w:rsidR="00000000" w:rsidRDefault="00000000">
            <w:pPr>
              <w:tabs>
                <w:tab w:val="decimal" w:pos="881"/>
              </w:tabs>
              <w:rPr>
                <w:sz w:val="17"/>
              </w:rPr>
            </w:pPr>
            <w:r>
              <w:rPr>
                <w:sz w:val="17"/>
              </w:rPr>
              <w:t>1 078</w:t>
            </w:r>
          </w:p>
        </w:tc>
        <w:tc>
          <w:tcPr>
            <w:tcW w:w="1410" w:type="dxa"/>
            <w:vAlign w:val="bottom"/>
          </w:tcPr>
          <w:p w:rsidR="00000000" w:rsidRDefault="00000000">
            <w:pPr>
              <w:tabs>
                <w:tab w:val="decimal" w:pos="889"/>
              </w:tabs>
              <w:rPr>
                <w:sz w:val="17"/>
              </w:rPr>
            </w:pPr>
            <w:r>
              <w:rPr>
                <w:sz w:val="17"/>
              </w:rPr>
              <w:t>542</w:t>
            </w:r>
          </w:p>
        </w:tc>
        <w:tc>
          <w:tcPr>
            <w:tcW w:w="1405" w:type="dxa"/>
            <w:vAlign w:val="bottom"/>
          </w:tcPr>
          <w:p w:rsidR="00000000" w:rsidRDefault="00000000">
            <w:pPr>
              <w:tabs>
                <w:tab w:val="decimal" w:pos="567"/>
              </w:tabs>
              <w:rPr>
                <w:sz w:val="17"/>
              </w:rPr>
            </w:pPr>
            <w:r>
              <w:rPr>
                <w:sz w:val="17"/>
              </w:rPr>
              <w:t>50,3</w:t>
            </w:r>
          </w:p>
        </w:tc>
      </w:tr>
      <w:tr w:rsidR="00000000">
        <w:tblPrEx>
          <w:tblCellMar>
            <w:top w:w="0" w:type="dxa"/>
            <w:bottom w:w="0" w:type="dxa"/>
          </w:tblCellMar>
        </w:tblPrEx>
        <w:tc>
          <w:tcPr>
            <w:tcW w:w="3959" w:type="dxa"/>
          </w:tcPr>
          <w:p w:rsidR="00000000" w:rsidRDefault="00000000">
            <w:pPr>
              <w:ind w:left="540"/>
              <w:rPr>
                <w:sz w:val="17"/>
              </w:rPr>
            </w:pPr>
            <w:r>
              <w:rPr>
                <w:sz w:val="17"/>
              </w:rPr>
              <w:t>Бизнесс</w:t>
            </w:r>
          </w:p>
        </w:tc>
        <w:tc>
          <w:tcPr>
            <w:tcW w:w="1411" w:type="dxa"/>
            <w:shd w:val="clear" w:color="auto" w:fill="808080"/>
            <w:vAlign w:val="bottom"/>
          </w:tcPr>
          <w:p w:rsidR="00000000" w:rsidRDefault="00000000">
            <w:pPr>
              <w:tabs>
                <w:tab w:val="decimal" w:pos="719"/>
              </w:tabs>
              <w:rPr>
                <w:sz w:val="17"/>
              </w:rPr>
            </w:pPr>
            <w:r>
              <w:rPr>
                <w:sz w:val="17"/>
              </w:rPr>
              <w:t>5 527</w:t>
            </w:r>
          </w:p>
        </w:tc>
        <w:tc>
          <w:tcPr>
            <w:tcW w:w="1411" w:type="dxa"/>
            <w:vAlign w:val="bottom"/>
          </w:tcPr>
          <w:p w:rsidR="00000000" w:rsidRDefault="00000000">
            <w:pPr>
              <w:tabs>
                <w:tab w:val="decimal" w:pos="867"/>
              </w:tabs>
              <w:rPr>
                <w:sz w:val="17"/>
              </w:rPr>
            </w:pPr>
            <w:r>
              <w:rPr>
                <w:sz w:val="17"/>
              </w:rPr>
              <w:t>3 372</w:t>
            </w:r>
          </w:p>
        </w:tc>
        <w:tc>
          <w:tcPr>
            <w:tcW w:w="1410" w:type="dxa"/>
            <w:vAlign w:val="bottom"/>
          </w:tcPr>
          <w:p w:rsidR="00000000" w:rsidRDefault="00000000">
            <w:pPr>
              <w:tabs>
                <w:tab w:val="decimal" w:pos="567"/>
              </w:tabs>
              <w:rPr>
                <w:sz w:val="17"/>
              </w:rPr>
            </w:pPr>
            <w:r>
              <w:rPr>
                <w:sz w:val="17"/>
              </w:rPr>
              <w:t>61,0</w:t>
            </w:r>
          </w:p>
        </w:tc>
        <w:tc>
          <w:tcPr>
            <w:tcW w:w="1410" w:type="dxa"/>
            <w:shd w:val="clear" w:color="auto" w:fill="808080"/>
            <w:vAlign w:val="bottom"/>
          </w:tcPr>
          <w:p w:rsidR="00000000" w:rsidRDefault="00000000">
            <w:pPr>
              <w:tabs>
                <w:tab w:val="decimal" w:pos="881"/>
              </w:tabs>
              <w:rPr>
                <w:sz w:val="17"/>
              </w:rPr>
            </w:pPr>
            <w:r>
              <w:rPr>
                <w:sz w:val="17"/>
              </w:rPr>
              <w:t>5 616</w:t>
            </w:r>
          </w:p>
        </w:tc>
        <w:tc>
          <w:tcPr>
            <w:tcW w:w="1410" w:type="dxa"/>
            <w:vAlign w:val="bottom"/>
          </w:tcPr>
          <w:p w:rsidR="00000000" w:rsidRDefault="00000000">
            <w:pPr>
              <w:tabs>
                <w:tab w:val="decimal" w:pos="889"/>
              </w:tabs>
              <w:rPr>
                <w:sz w:val="17"/>
              </w:rPr>
            </w:pPr>
            <w:r>
              <w:rPr>
                <w:sz w:val="17"/>
              </w:rPr>
              <w:t>3 450</w:t>
            </w:r>
          </w:p>
        </w:tc>
        <w:tc>
          <w:tcPr>
            <w:tcW w:w="1405" w:type="dxa"/>
            <w:vAlign w:val="bottom"/>
          </w:tcPr>
          <w:p w:rsidR="00000000" w:rsidRDefault="00000000">
            <w:pPr>
              <w:tabs>
                <w:tab w:val="decimal" w:pos="567"/>
              </w:tabs>
              <w:rPr>
                <w:sz w:val="17"/>
              </w:rPr>
            </w:pPr>
            <w:r>
              <w:rPr>
                <w:sz w:val="17"/>
              </w:rPr>
              <w:t>61,4</w:t>
            </w:r>
          </w:p>
        </w:tc>
      </w:tr>
      <w:tr w:rsidR="00000000">
        <w:tblPrEx>
          <w:tblCellMar>
            <w:top w:w="0" w:type="dxa"/>
            <w:bottom w:w="0" w:type="dxa"/>
          </w:tblCellMar>
        </w:tblPrEx>
        <w:tc>
          <w:tcPr>
            <w:tcW w:w="3959" w:type="dxa"/>
          </w:tcPr>
          <w:p w:rsidR="00000000" w:rsidRDefault="00000000">
            <w:pPr>
              <w:ind w:left="540"/>
              <w:rPr>
                <w:sz w:val="17"/>
              </w:rPr>
            </w:pPr>
            <w:r>
              <w:rPr>
                <w:sz w:val="17"/>
              </w:rPr>
              <w:t>Домоводство и коммерция</w:t>
            </w:r>
            <w:r>
              <w:rPr>
                <w:sz w:val="17"/>
                <w:vertAlign w:val="superscript"/>
              </w:rPr>
              <w:t>2</w:t>
            </w:r>
          </w:p>
        </w:tc>
        <w:tc>
          <w:tcPr>
            <w:tcW w:w="1411" w:type="dxa"/>
            <w:shd w:val="clear" w:color="auto" w:fill="808080"/>
            <w:vAlign w:val="bottom"/>
          </w:tcPr>
          <w:p w:rsidR="00000000" w:rsidRDefault="00000000">
            <w:pPr>
              <w:tabs>
                <w:tab w:val="decimal" w:pos="719"/>
              </w:tabs>
              <w:rPr>
                <w:sz w:val="17"/>
              </w:rPr>
            </w:pPr>
            <w:r>
              <w:rPr>
                <w:sz w:val="17"/>
              </w:rPr>
              <w:t>4 722</w:t>
            </w:r>
          </w:p>
        </w:tc>
        <w:tc>
          <w:tcPr>
            <w:tcW w:w="1411" w:type="dxa"/>
            <w:vAlign w:val="bottom"/>
          </w:tcPr>
          <w:p w:rsidR="00000000" w:rsidRDefault="00000000">
            <w:pPr>
              <w:tabs>
                <w:tab w:val="decimal" w:pos="867"/>
              </w:tabs>
              <w:rPr>
                <w:sz w:val="17"/>
              </w:rPr>
            </w:pPr>
            <w:r>
              <w:rPr>
                <w:sz w:val="17"/>
              </w:rPr>
              <w:t>3 768</w:t>
            </w:r>
          </w:p>
        </w:tc>
        <w:tc>
          <w:tcPr>
            <w:tcW w:w="1410" w:type="dxa"/>
            <w:vAlign w:val="bottom"/>
          </w:tcPr>
          <w:p w:rsidR="00000000" w:rsidRDefault="00000000">
            <w:pPr>
              <w:tabs>
                <w:tab w:val="decimal" w:pos="567"/>
              </w:tabs>
              <w:rPr>
                <w:sz w:val="17"/>
              </w:rPr>
            </w:pPr>
            <w:r>
              <w:rPr>
                <w:sz w:val="17"/>
              </w:rPr>
              <w:t>79,8</w:t>
            </w:r>
          </w:p>
        </w:tc>
        <w:tc>
          <w:tcPr>
            <w:tcW w:w="1410" w:type="dxa"/>
            <w:shd w:val="clear" w:color="auto" w:fill="808080"/>
            <w:vAlign w:val="bottom"/>
          </w:tcPr>
          <w:p w:rsidR="00000000" w:rsidRDefault="00000000">
            <w:pPr>
              <w:tabs>
                <w:tab w:val="decimal" w:pos="881"/>
              </w:tabs>
              <w:rPr>
                <w:sz w:val="17"/>
              </w:rPr>
            </w:pPr>
            <w:r>
              <w:rPr>
                <w:sz w:val="17"/>
              </w:rPr>
              <w:t>4 806</w:t>
            </w:r>
          </w:p>
        </w:tc>
        <w:tc>
          <w:tcPr>
            <w:tcW w:w="1410" w:type="dxa"/>
            <w:vAlign w:val="bottom"/>
          </w:tcPr>
          <w:p w:rsidR="00000000" w:rsidRDefault="00000000">
            <w:pPr>
              <w:tabs>
                <w:tab w:val="decimal" w:pos="889"/>
              </w:tabs>
              <w:rPr>
                <w:sz w:val="17"/>
              </w:rPr>
            </w:pPr>
            <w:r>
              <w:rPr>
                <w:sz w:val="17"/>
              </w:rPr>
              <w:t>3 834</w:t>
            </w:r>
          </w:p>
        </w:tc>
        <w:tc>
          <w:tcPr>
            <w:tcW w:w="1405" w:type="dxa"/>
            <w:vAlign w:val="bottom"/>
          </w:tcPr>
          <w:p w:rsidR="00000000" w:rsidRDefault="00000000">
            <w:pPr>
              <w:tabs>
                <w:tab w:val="decimal" w:pos="567"/>
              </w:tabs>
              <w:rPr>
                <w:sz w:val="17"/>
              </w:rPr>
            </w:pPr>
            <w:r>
              <w:rPr>
                <w:sz w:val="17"/>
              </w:rPr>
              <w:t>79,8</w:t>
            </w:r>
          </w:p>
        </w:tc>
      </w:tr>
      <w:tr w:rsidR="00000000">
        <w:tblPrEx>
          <w:tblCellMar>
            <w:top w:w="0" w:type="dxa"/>
            <w:bottom w:w="0" w:type="dxa"/>
          </w:tblCellMar>
        </w:tblPrEx>
        <w:tc>
          <w:tcPr>
            <w:tcW w:w="3959" w:type="dxa"/>
          </w:tcPr>
          <w:p w:rsidR="00000000" w:rsidRDefault="00000000">
            <w:pPr>
              <w:ind w:left="540"/>
              <w:rPr>
                <w:sz w:val="17"/>
              </w:rPr>
            </w:pPr>
            <w:r>
              <w:rPr>
                <w:sz w:val="17"/>
              </w:rPr>
              <w:t>Социальное попечение</w:t>
            </w:r>
          </w:p>
        </w:tc>
        <w:tc>
          <w:tcPr>
            <w:tcW w:w="1411" w:type="dxa"/>
            <w:shd w:val="clear" w:color="auto" w:fill="808080"/>
            <w:vAlign w:val="bottom"/>
          </w:tcPr>
          <w:p w:rsidR="00000000" w:rsidRDefault="00000000">
            <w:pPr>
              <w:tabs>
                <w:tab w:val="decimal" w:pos="719"/>
              </w:tabs>
              <w:rPr>
                <w:sz w:val="17"/>
              </w:rPr>
            </w:pPr>
            <w:r>
              <w:rPr>
                <w:sz w:val="17"/>
              </w:rPr>
              <w:t>72</w:t>
            </w:r>
          </w:p>
        </w:tc>
        <w:tc>
          <w:tcPr>
            <w:tcW w:w="1411" w:type="dxa"/>
            <w:vAlign w:val="bottom"/>
          </w:tcPr>
          <w:p w:rsidR="00000000" w:rsidRDefault="00000000">
            <w:pPr>
              <w:tabs>
                <w:tab w:val="decimal" w:pos="867"/>
              </w:tabs>
              <w:rPr>
                <w:sz w:val="17"/>
              </w:rPr>
            </w:pPr>
            <w:r>
              <w:rPr>
                <w:sz w:val="17"/>
              </w:rPr>
              <w:t>65</w:t>
            </w:r>
          </w:p>
        </w:tc>
        <w:tc>
          <w:tcPr>
            <w:tcW w:w="1410" w:type="dxa"/>
            <w:vAlign w:val="bottom"/>
          </w:tcPr>
          <w:p w:rsidR="00000000" w:rsidRDefault="00000000">
            <w:pPr>
              <w:tabs>
                <w:tab w:val="decimal" w:pos="567"/>
              </w:tabs>
              <w:rPr>
                <w:sz w:val="17"/>
              </w:rPr>
            </w:pPr>
            <w:r>
              <w:rPr>
                <w:sz w:val="17"/>
              </w:rPr>
              <w:t>90,3</w:t>
            </w:r>
          </w:p>
        </w:tc>
        <w:tc>
          <w:tcPr>
            <w:tcW w:w="1410" w:type="dxa"/>
            <w:shd w:val="clear" w:color="auto" w:fill="808080"/>
            <w:vAlign w:val="bottom"/>
          </w:tcPr>
          <w:p w:rsidR="00000000" w:rsidRDefault="00000000">
            <w:pPr>
              <w:tabs>
                <w:tab w:val="decimal" w:pos="881"/>
              </w:tabs>
              <w:rPr>
                <w:sz w:val="17"/>
              </w:rPr>
            </w:pPr>
            <w:r>
              <w:rPr>
                <w:sz w:val="17"/>
              </w:rPr>
              <w:t>143</w:t>
            </w:r>
          </w:p>
        </w:tc>
        <w:tc>
          <w:tcPr>
            <w:tcW w:w="1410" w:type="dxa"/>
            <w:vAlign w:val="bottom"/>
          </w:tcPr>
          <w:p w:rsidR="00000000" w:rsidRDefault="00000000">
            <w:pPr>
              <w:tabs>
                <w:tab w:val="decimal" w:pos="889"/>
              </w:tabs>
              <w:rPr>
                <w:sz w:val="17"/>
              </w:rPr>
            </w:pPr>
            <w:r>
              <w:rPr>
                <w:sz w:val="17"/>
              </w:rPr>
              <w:t>123</w:t>
            </w:r>
          </w:p>
        </w:tc>
        <w:tc>
          <w:tcPr>
            <w:tcW w:w="1405" w:type="dxa"/>
            <w:vAlign w:val="bottom"/>
          </w:tcPr>
          <w:p w:rsidR="00000000" w:rsidRDefault="00000000">
            <w:pPr>
              <w:tabs>
                <w:tab w:val="decimal" w:pos="567"/>
              </w:tabs>
              <w:rPr>
                <w:sz w:val="17"/>
              </w:rPr>
            </w:pPr>
            <w:r>
              <w:rPr>
                <w:sz w:val="17"/>
              </w:rPr>
              <w:t>86,0</w:t>
            </w:r>
          </w:p>
        </w:tc>
      </w:tr>
      <w:tr w:rsidR="00000000">
        <w:tblPrEx>
          <w:tblCellMar>
            <w:top w:w="0" w:type="dxa"/>
            <w:bottom w:w="0" w:type="dxa"/>
          </w:tblCellMar>
        </w:tblPrEx>
        <w:tc>
          <w:tcPr>
            <w:tcW w:w="3959" w:type="dxa"/>
          </w:tcPr>
          <w:p w:rsidR="00000000" w:rsidRDefault="00000000">
            <w:pPr>
              <w:ind w:left="540"/>
              <w:rPr>
                <w:sz w:val="17"/>
              </w:rPr>
            </w:pPr>
            <w:r>
              <w:rPr>
                <w:sz w:val="17"/>
              </w:rPr>
              <w:t>Сельское и лесное хозяйство</w:t>
            </w:r>
          </w:p>
        </w:tc>
        <w:tc>
          <w:tcPr>
            <w:tcW w:w="1411" w:type="dxa"/>
            <w:shd w:val="clear" w:color="auto" w:fill="808080"/>
            <w:vAlign w:val="bottom"/>
          </w:tcPr>
          <w:p w:rsidR="00000000" w:rsidRDefault="00000000">
            <w:pPr>
              <w:tabs>
                <w:tab w:val="decimal" w:pos="719"/>
              </w:tabs>
              <w:rPr>
                <w:sz w:val="17"/>
              </w:rPr>
            </w:pPr>
            <w:r>
              <w:rPr>
                <w:sz w:val="17"/>
              </w:rPr>
              <w:t>2 229</w:t>
            </w:r>
          </w:p>
        </w:tc>
        <w:tc>
          <w:tcPr>
            <w:tcW w:w="1411" w:type="dxa"/>
            <w:vAlign w:val="bottom"/>
          </w:tcPr>
          <w:p w:rsidR="00000000" w:rsidRDefault="00000000">
            <w:pPr>
              <w:tabs>
                <w:tab w:val="decimal" w:pos="867"/>
              </w:tabs>
              <w:rPr>
                <w:sz w:val="17"/>
              </w:rPr>
            </w:pPr>
            <w:r>
              <w:rPr>
                <w:sz w:val="17"/>
              </w:rPr>
              <w:t>1 154</w:t>
            </w:r>
          </w:p>
        </w:tc>
        <w:tc>
          <w:tcPr>
            <w:tcW w:w="1410" w:type="dxa"/>
            <w:vAlign w:val="bottom"/>
          </w:tcPr>
          <w:p w:rsidR="00000000" w:rsidRDefault="00000000">
            <w:pPr>
              <w:tabs>
                <w:tab w:val="decimal" w:pos="567"/>
              </w:tabs>
              <w:rPr>
                <w:sz w:val="17"/>
              </w:rPr>
            </w:pPr>
            <w:r>
              <w:rPr>
                <w:sz w:val="17"/>
              </w:rPr>
              <w:t>51,8</w:t>
            </w:r>
          </w:p>
        </w:tc>
        <w:tc>
          <w:tcPr>
            <w:tcW w:w="1410" w:type="dxa"/>
            <w:shd w:val="clear" w:color="auto" w:fill="808080"/>
            <w:vAlign w:val="bottom"/>
          </w:tcPr>
          <w:p w:rsidR="00000000" w:rsidRDefault="00000000">
            <w:pPr>
              <w:tabs>
                <w:tab w:val="decimal" w:pos="881"/>
              </w:tabs>
              <w:rPr>
                <w:sz w:val="17"/>
              </w:rPr>
            </w:pPr>
            <w:r>
              <w:rPr>
                <w:sz w:val="17"/>
              </w:rPr>
              <w:t>2 229</w:t>
            </w:r>
          </w:p>
        </w:tc>
        <w:tc>
          <w:tcPr>
            <w:tcW w:w="1410" w:type="dxa"/>
            <w:vAlign w:val="bottom"/>
          </w:tcPr>
          <w:p w:rsidR="00000000" w:rsidRDefault="00000000">
            <w:pPr>
              <w:tabs>
                <w:tab w:val="decimal" w:pos="889"/>
              </w:tabs>
              <w:rPr>
                <w:sz w:val="17"/>
              </w:rPr>
            </w:pPr>
            <w:r>
              <w:rPr>
                <w:sz w:val="17"/>
              </w:rPr>
              <w:t>1 154</w:t>
            </w:r>
          </w:p>
        </w:tc>
        <w:tc>
          <w:tcPr>
            <w:tcW w:w="1405" w:type="dxa"/>
            <w:vAlign w:val="bottom"/>
          </w:tcPr>
          <w:p w:rsidR="00000000" w:rsidRDefault="00000000">
            <w:pPr>
              <w:tabs>
                <w:tab w:val="decimal" w:pos="567"/>
              </w:tabs>
              <w:rPr>
                <w:sz w:val="17"/>
              </w:rPr>
            </w:pPr>
            <w:r>
              <w:rPr>
                <w:sz w:val="17"/>
              </w:rPr>
              <w:t>51,8</w:t>
            </w:r>
          </w:p>
        </w:tc>
      </w:tr>
      <w:tr w:rsidR="00000000">
        <w:tblPrEx>
          <w:tblCellMar>
            <w:top w:w="0" w:type="dxa"/>
            <w:bottom w:w="0" w:type="dxa"/>
          </w:tblCellMar>
        </w:tblPrEx>
        <w:tc>
          <w:tcPr>
            <w:tcW w:w="3959" w:type="dxa"/>
          </w:tcPr>
          <w:p w:rsidR="00000000" w:rsidRDefault="00000000">
            <w:pPr>
              <w:ind w:left="360"/>
              <w:rPr>
                <w:b/>
                <w:sz w:val="17"/>
              </w:rPr>
            </w:pPr>
            <w:r>
              <w:rPr>
                <w:b/>
                <w:sz w:val="17"/>
              </w:rPr>
              <w:t>Промежуточные и высшие професси</w:t>
            </w:r>
            <w:r>
              <w:rPr>
                <w:b/>
                <w:sz w:val="17"/>
              </w:rPr>
              <w:t>о</w:t>
            </w:r>
            <w:r>
              <w:rPr>
                <w:b/>
                <w:sz w:val="17"/>
              </w:rPr>
              <w:t>нально-технические училища, всего</w:t>
            </w:r>
          </w:p>
        </w:tc>
        <w:tc>
          <w:tcPr>
            <w:tcW w:w="1411" w:type="dxa"/>
            <w:shd w:val="clear" w:color="auto" w:fill="808080"/>
            <w:vAlign w:val="bottom"/>
          </w:tcPr>
          <w:p w:rsidR="00000000" w:rsidRDefault="00000000">
            <w:pPr>
              <w:tabs>
                <w:tab w:val="decimal" w:pos="719"/>
              </w:tabs>
              <w:rPr>
                <w:b/>
                <w:sz w:val="17"/>
              </w:rPr>
            </w:pPr>
            <w:r>
              <w:rPr>
                <w:b/>
                <w:sz w:val="17"/>
              </w:rPr>
              <w:t>20 281</w:t>
            </w:r>
          </w:p>
        </w:tc>
        <w:tc>
          <w:tcPr>
            <w:tcW w:w="1411" w:type="dxa"/>
            <w:vAlign w:val="bottom"/>
          </w:tcPr>
          <w:p w:rsidR="00000000" w:rsidRDefault="00000000">
            <w:pPr>
              <w:tabs>
                <w:tab w:val="decimal" w:pos="867"/>
              </w:tabs>
              <w:rPr>
                <w:b/>
                <w:sz w:val="17"/>
              </w:rPr>
            </w:pPr>
            <w:r>
              <w:rPr>
                <w:b/>
                <w:sz w:val="17"/>
              </w:rPr>
              <w:t>10 116</w:t>
            </w:r>
          </w:p>
        </w:tc>
        <w:tc>
          <w:tcPr>
            <w:tcW w:w="1410" w:type="dxa"/>
            <w:vAlign w:val="bottom"/>
          </w:tcPr>
          <w:p w:rsidR="00000000" w:rsidRDefault="00000000">
            <w:pPr>
              <w:tabs>
                <w:tab w:val="decimal" w:pos="567"/>
              </w:tabs>
              <w:rPr>
                <w:b/>
                <w:sz w:val="17"/>
              </w:rPr>
            </w:pPr>
            <w:r>
              <w:rPr>
                <w:b/>
                <w:sz w:val="17"/>
              </w:rPr>
              <w:t>49,9</w:t>
            </w:r>
          </w:p>
        </w:tc>
        <w:tc>
          <w:tcPr>
            <w:tcW w:w="1410" w:type="dxa"/>
            <w:shd w:val="clear" w:color="auto" w:fill="808080"/>
            <w:vAlign w:val="bottom"/>
          </w:tcPr>
          <w:p w:rsidR="00000000" w:rsidRDefault="00000000">
            <w:pPr>
              <w:tabs>
                <w:tab w:val="decimal" w:pos="881"/>
              </w:tabs>
              <w:rPr>
                <w:b/>
                <w:sz w:val="17"/>
              </w:rPr>
            </w:pPr>
            <w:r>
              <w:rPr>
                <w:b/>
                <w:sz w:val="17"/>
              </w:rPr>
              <w:t>20 733</w:t>
            </w:r>
          </w:p>
        </w:tc>
        <w:tc>
          <w:tcPr>
            <w:tcW w:w="1410" w:type="dxa"/>
            <w:vAlign w:val="bottom"/>
          </w:tcPr>
          <w:p w:rsidR="00000000" w:rsidRDefault="00000000">
            <w:pPr>
              <w:tabs>
                <w:tab w:val="decimal" w:pos="889"/>
              </w:tabs>
              <w:rPr>
                <w:b/>
                <w:sz w:val="17"/>
              </w:rPr>
            </w:pPr>
            <w:r>
              <w:rPr>
                <w:b/>
                <w:sz w:val="17"/>
              </w:rPr>
              <w:t>10 341</w:t>
            </w:r>
          </w:p>
        </w:tc>
        <w:tc>
          <w:tcPr>
            <w:tcW w:w="1405" w:type="dxa"/>
            <w:vAlign w:val="bottom"/>
          </w:tcPr>
          <w:p w:rsidR="00000000" w:rsidRDefault="00000000">
            <w:pPr>
              <w:tabs>
                <w:tab w:val="decimal" w:pos="567"/>
              </w:tabs>
              <w:rPr>
                <w:b/>
                <w:sz w:val="17"/>
              </w:rPr>
            </w:pPr>
            <w:r>
              <w:rPr>
                <w:b/>
                <w:sz w:val="17"/>
              </w:rPr>
              <w:t>49,9</w:t>
            </w:r>
          </w:p>
        </w:tc>
      </w:tr>
      <w:tr w:rsidR="00000000">
        <w:tblPrEx>
          <w:tblCellMar>
            <w:top w:w="0" w:type="dxa"/>
            <w:bottom w:w="0" w:type="dxa"/>
          </w:tblCellMar>
        </w:tblPrEx>
        <w:tc>
          <w:tcPr>
            <w:tcW w:w="3959" w:type="dxa"/>
          </w:tcPr>
          <w:p w:rsidR="00000000" w:rsidRDefault="00000000">
            <w:pPr>
              <w:ind w:left="360"/>
              <w:rPr>
                <w:b/>
                <w:sz w:val="17"/>
              </w:rPr>
            </w:pPr>
            <w:r>
              <w:rPr>
                <w:b/>
                <w:sz w:val="17"/>
              </w:rPr>
              <w:t>Колледжи социальной работы</w:t>
            </w:r>
          </w:p>
        </w:tc>
        <w:tc>
          <w:tcPr>
            <w:tcW w:w="1411" w:type="dxa"/>
            <w:shd w:val="clear" w:color="auto" w:fill="808080"/>
            <w:vAlign w:val="bottom"/>
          </w:tcPr>
          <w:p w:rsidR="00000000" w:rsidRDefault="00000000">
            <w:pPr>
              <w:tabs>
                <w:tab w:val="decimal" w:pos="719"/>
              </w:tabs>
              <w:rPr>
                <w:b/>
                <w:sz w:val="17"/>
              </w:rPr>
            </w:pPr>
            <w:r>
              <w:rPr>
                <w:b/>
                <w:sz w:val="17"/>
              </w:rPr>
              <w:t>205</w:t>
            </w:r>
          </w:p>
        </w:tc>
        <w:tc>
          <w:tcPr>
            <w:tcW w:w="1411" w:type="dxa"/>
            <w:vAlign w:val="bottom"/>
          </w:tcPr>
          <w:p w:rsidR="00000000" w:rsidRDefault="00000000">
            <w:pPr>
              <w:tabs>
                <w:tab w:val="decimal" w:pos="867"/>
              </w:tabs>
              <w:rPr>
                <w:b/>
                <w:sz w:val="17"/>
              </w:rPr>
            </w:pPr>
            <w:r>
              <w:rPr>
                <w:b/>
                <w:sz w:val="17"/>
              </w:rPr>
              <w:t>105</w:t>
            </w:r>
          </w:p>
        </w:tc>
        <w:tc>
          <w:tcPr>
            <w:tcW w:w="1410" w:type="dxa"/>
            <w:vAlign w:val="bottom"/>
          </w:tcPr>
          <w:p w:rsidR="00000000" w:rsidRDefault="00000000">
            <w:pPr>
              <w:tabs>
                <w:tab w:val="decimal" w:pos="567"/>
              </w:tabs>
              <w:rPr>
                <w:b/>
                <w:sz w:val="17"/>
              </w:rPr>
            </w:pPr>
            <w:r>
              <w:rPr>
                <w:b/>
                <w:sz w:val="17"/>
              </w:rPr>
              <w:t>51,2</w:t>
            </w:r>
          </w:p>
        </w:tc>
        <w:tc>
          <w:tcPr>
            <w:tcW w:w="1410" w:type="dxa"/>
            <w:shd w:val="clear" w:color="auto" w:fill="808080"/>
            <w:vAlign w:val="bottom"/>
          </w:tcPr>
          <w:p w:rsidR="00000000" w:rsidRDefault="00000000">
            <w:pPr>
              <w:tabs>
                <w:tab w:val="decimal" w:pos="881"/>
              </w:tabs>
              <w:rPr>
                <w:b/>
                <w:sz w:val="17"/>
              </w:rPr>
            </w:pPr>
            <w:r>
              <w:rPr>
                <w:b/>
                <w:sz w:val="17"/>
              </w:rPr>
              <w:t>167</w:t>
            </w:r>
          </w:p>
        </w:tc>
        <w:tc>
          <w:tcPr>
            <w:tcW w:w="1410" w:type="dxa"/>
            <w:vAlign w:val="bottom"/>
          </w:tcPr>
          <w:p w:rsidR="00000000" w:rsidRDefault="00000000">
            <w:pPr>
              <w:tabs>
                <w:tab w:val="decimal" w:pos="889"/>
              </w:tabs>
              <w:rPr>
                <w:b/>
                <w:sz w:val="17"/>
              </w:rPr>
            </w:pPr>
            <w:r>
              <w:rPr>
                <w:b/>
                <w:sz w:val="17"/>
              </w:rPr>
              <w:t>83</w:t>
            </w:r>
          </w:p>
        </w:tc>
        <w:tc>
          <w:tcPr>
            <w:tcW w:w="1405" w:type="dxa"/>
            <w:vAlign w:val="bottom"/>
          </w:tcPr>
          <w:p w:rsidR="00000000" w:rsidRDefault="00000000">
            <w:pPr>
              <w:tabs>
                <w:tab w:val="decimal" w:pos="567"/>
              </w:tabs>
              <w:rPr>
                <w:b/>
                <w:sz w:val="17"/>
              </w:rPr>
            </w:pPr>
            <w:r>
              <w:rPr>
                <w:b/>
                <w:sz w:val="17"/>
              </w:rPr>
              <w:t>49,7</w:t>
            </w:r>
          </w:p>
        </w:tc>
      </w:tr>
      <w:tr w:rsidR="00000000">
        <w:tblPrEx>
          <w:tblCellMar>
            <w:top w:w="0" w:type="dxa"/>
            <w:bottom w:w="0" w:type="dxa"/>
          </w:tblCellMar>
        </w:tblPrEx>
        <w:tc>
          <w:tcPr>
            <w:tcW w:w="3959" w:type="dxa"/>
          </w:tcPr>
          <w:p w:rsidR="00000000" w:rsidRDefault="00000000">
            <w:pPr>
              <w:ind w:left="360"/>
              <w:rPr>
                <w:b/>
                <w:sz w:val="17"/>
              </w:rPr>
            </w:pPr>
            <w:r>
              <w:rPr>
                <w:b/>
                <w:sz w:val="17"/>
              </w:rPr>
              <w:t>Профессионально-технические учил</w:t>
            </w:r>
            <w:r>
              <w:rPr>
                <w:b/>
                <w:sz w:val="17"/>
              </w:rPr>
              <w:t>и</w:t>
            </w:r>
            <w:r>
              <w:rPr>
                <w:b/>
                <w:sz w:val="17"/>
              </w:rPr>
              <w:t>ща, всего</w:t>
            </w:r>
          </w:p>
        </w:tc>
        <w:tc>
          <w:tcPr>
            <w:tcW w:w="1411" w:type="dxa"/>
            <w:shd w:val="clear" w:color="auto" w:fill="808080"/>
            <w:vAlign w:val="bottom"/>
          </w:tcPr>
          <w:p w:rsidR="00000000" w:rsidRDefault="00000000">
            <w:pPr>
              <w:tabs>
                <w:tab w:val="decimal" w:pos="719"/>
              </w:tabs>
              <w:rPr>
                <w:b/>
                <w:sz w:val="17"/>
              </w:rPr>
            </w:pPr>
            <w:r>
              <w:rPr>
                <w:b/>
                <w:sz w:val="17"/>
              </w:rPr>
              <w:t>25 150</w:t>
            </w:r>
          </w:p>
        </w:tc>
        <w:tc>
          <w:tcPr>
            <w:tcW w:w="1411" w:type="dxa"/>
            <w:vAlign w:val="bottom"/>
          </w:tcPr>
          <w:p w:rsidR="00000000" w:rsidRDefault="00000000">
            <w:pPr>
              <w:tabs>
                <w:tab w:val="decimal" w:pos="867"/>
              </w:tabs>
              <w:rPr>
                <w:b/>
                <w:sz w:val="17"/>
              </w:rPr>
            </w:pPr>
            <w:r>
              <w:rPr>
                <w:b/>
                <w:sz w:val="17"/>
              </w:rPr>
              <w:t>11 593</w:t>
            </w:r>
          </w:p>
        </w:tc>
        <w:tc>
          <w:tcPr>
            <w:tcW w:w="1410" w:type="dxa"/>
            <w:vAlign w:val="bottom"/>
          </w:tcPr>
          <w:p w:rsidR="00000000" w:rsidRDefault="00000000">
            <w:pPr>
              <w:tabs>
                <w:tab w:val="decimal" w:pos="567"/>
              </w:tabs>
              <w:rPr>
                <w:b/>
                <w:sz w:val="17"/>
              </w:rPr>
            </w:pPr>
            <w:r>
              <w:rPr>
                <w:b/>
                <w:sz w:val="17"/>
              </w:rPr>
              <w:t>46,1</w:t>
            </w:r>
          </w:p>
        </w:tc>
        <w:tc>
          <w:tcPr>
            <w:tcW w:w="1410" w:type="dxa"/>
            <w:shd w:val="clear" w:color="auto" w:fill="808080"/>
            <w:vAlign w:val="bottom"/>
          </w:tcPr>
          <w:p w:rsidR="00000000" w:rsidRDefault="00000000">
            <w:pPr>
              <w:tabs>
                <w:tab w:val="decimal" w:pos="881"/>
              </w:tabs>
              <w:rPr>
                <w:b/>
                <w:sz w:val="17"/>
              </w:rPr>
            </w:pPr>
            <w:r>
              <w:rPr>
                <w:b/>
                <w:sz w:val="17"/>
              </w:rPr>
              <w:t>25 564</w:t>
            </w:r>
          </w:p>
        </w:tc>
        <w:tc>
          <w:tcPr>
            <w:tcW w:w="1410" w:type="dxa"/>
            <w:vAlign w:val="bottom"/>
          </w:tcPr>
          <w:p w:rsidR="00000000" w:rsidRDefault="00000000">
            <w:pPr>
              <w:tabs>
                <w:tab w:val="decimal" w:pos="889"/>
              </w:tabs>
              <w:rPr>
                <w:b/>
                <w:sz w:val="17"/>
              </w:rPr>
            </w:pPr>
            <w:r>
              <w:rPr>
                <w:b/>
                <w:sz w:val="17"/>
              </w:rPr>
              <w:t>11 796</w:t>
            </w:r>
          </w:p>
        </w:tc>
        <w:tc>
          <w:tcPr>
            <w:tcW w:w="1405" w:type="dxa"/>
            <w:vAlign w:val="bottom"/>
          </w:tcPr>
          <w:p w:rsidR="00000000" w:rsidRDefault="00000000">
            <w:pPr>
              <w:tabs>
                <w:tab w:val="decimal" w:pos="567"/>
              </w:tabs>
              <w:rPr>
                <w:b/>
                <w:sz w:val="17"/>
              </w:rPr>
            </w:pPr>
            <w:r>
              <w:rPr>
                <w:b/>
                <w:sz w:val="17"/>
              </w:rPr>
              <w:t>46,1</w:t>
            </w:r>
          </w:p>
        </w:tc>
      </w:tr>
      <w:tr w:rsidR="00000000">
        <w:tblPrEx>
          <w:tblCellMar>
            <w:top w:w="0" w:type="dxa"/>
            <w:bottom w:w="0" w:type="dxa"/>
          </w:tblCellMar>
        </w:tblPrEx>
        <w:tc>
          <w:tcPr>
            <w:tcW w:w="3959" w:type="dxa"/>
          </w:tcPr>
          <w:p w:rsidR="00000000" w:rsidRDefault="00000000">
            <w:pPr>
              <w:ind w:left="360"/>
              <w:rPr>
                <w:b/>
                <w:sz w:val="17"/>
              </w:rPr>
            </w:pPr>
            <w:r>
              <w:rPr>
                <w:b/>
                <w:sz w:val="17"/>
              </w:rPr>
              <w:t>Высшие учебные заведения, всего</w:t>
            </w:r>
          </w:p>
        </w:tc>
        <w:tc>
          <w:tcPr>
            <w:tcW w:w="1411" w:type="dxa"/>
            <w:shd w:val="clear" w:color="auto" w:fill="808080"/>
            <w:vAlign w:val="bottom"/>
          </w:tcPr>
          <w:p w:rsidR="00000000" w:rsidRDefault="00000000">
            <w:pPr>
              <w:tabs>
                <w:tab w:val="decimal" w:pos="719"/>
              </w:tabs>
              <w:rPr>
                <w:b/>
                <w:sz w:val="17"/>
              </w:rPr>
            </w:pPr>
            <w:r>
              <w:rPr>
                <w:b/>
                <w:sz w:val="17"/>
              </w:rPr>
              <w:t>1 443</w:t>
            </w:r>
          </w:p>
        </w:tc>
        <w:tc>
          <w:tcPr>
            <w:tcW w:w="1411" w:type="dxa"/>
            <w:vAlign w:val="bottom"/>
          </w:tcPr>
          <w:p w:rsidR="00000000" w:rsidRDefault="00000000">
            <w:pPr>
              <w:tabs>
                <w:tab w:val="decimal" w:pos="867"/>
              </w:tabs>
              <w:rPr>
                <w:b/>
                <w:sz w:val="17"/>
              </w:rPr>
            </w:pPr>
            <w:r>
              <w:rPr>
                <w:b/>
                <w:sz w:val="17"/>
              </w:rPr>
              <w:t>1 135</w:t>
            </w:r>
          </w:p>
        </w:tc>
        <w:tc>
          <w:tcPr>
            <w:tcW w:w="1410" w:type="dxa"/>
            <w:vAlign w:val="bottom"/>
          </w:tcPr>
          <w:p w:rsidR="00000000" w:rsidRDefault="00000000">
            <w:pPr>
              <w:tabs>
                <w:tab w:val="decimal" w:pos="567"/>
              </w:tabs>
              <w:rPr>
                <w:b/>
                <w:sz w:val="17"/>
              </w:rPr>
            </w:pPr>
            <w:r>
              <w:rPr>
                <w:b/>
                <w:sz w:val="17"/>
              </w:rPr>
              <w:t>78,7</w:t>
            </w:r>
          </w:p>
        </w:tc>
        <w:tc>
          <w:tcPr>
            <w:tcW w:w="1410" w:type="dxa"/>
            <w:shd w:val="clear" w:color="auto" w:fill="808080"/>
            <w:vAlign w:val="bottom"/>
          </w:tcPr>
          <w:p w:rsidR="00000000" w:rsidRDefault="00000000">
            <w:pPr>
              <w:tabs>
                <w:tab w:val="decimal" w:pos="881"/>
              </w:tabs>
              <w:rPr>
                <w:b/>
                <w:sz w:val="17"/>
              </w:rPr>
            </w:pPr>
            <w:r>
              <w:rPr>
                <w:b/>
                <w:sz w:val="17"/>
              </w:rPr>
              <w:t>4 147</w:t>
            </w:r>
          </w:p>
        </w:tc>
        <w:tc>
          <w:tcPr>
            <w:tcW w:w="1410" w:type="dxa"/>
            <w:vAlign w:val="bottom"/>
          </w:tcPr>
          <w:p w:rsidR="00000000" w:rsidRDefault="00000000">
            <w:pPr>
              <w:tabs>
                <w:tab w:val="decimal" w:pos="889"/>
              </w:tabs>
              <w:rPr>
                <w:b/>
                <w:sz w:val="17"/>
              </w:rPr>
            </w:pPr>
            <w:r>
              <w:rPr>
                <w:b/>
                <w:sz w:val="17"/>
              </w:rPr>
              <w:t>2 345</w:t>
            </w:r>
          </w:p>
        </w:tc>
        <w:tc>
          <w:tcPr>
            <w:tcW w:w="1405" w:type="dxa"/>
            <w:vAlign w:val="bottom"/>
          </w:tcPr>
          <w:p w:rsidR="00000000" w:rsidRDefault="00000000">
            <w:pPr>
              <w:tabs>
                <w:tab w:val="decimal" w:pos="567"/>
              </w:tabs>
              <w:rPr>
                <w:b/>
                <w:sz w:val="17"/>
              </w:rPr>
            </w:pPr>
            <w:r>
              <w:rPr>
                <w:b/>
                <w:sz w:val="17"/>
              </w:rPr>
              <w:t>56,5</w:t>
            </w:r>
          </w:p>
        </w:tc>
      </w:tr>
      <w:tr w:rsidR="00000000">
        <w:tblPrEx>
          <w:tblCellMar>
            <w:top w:w="0" w:type="dxa"/>
            <w:bottom w:w="0" w:type="dxa"/>
          </w:tblCellMar>
        </w:tblPrEx>
        <w:tc>
          <w:tcPr>
            <w:tcW w:w="3959" w:type="dxa"/>
          </w:tcPr>
          <w:p w:rsidR="00000000" w:rsidRDefault="00000000">
            <w:pPr>
              <w:ind w:left="360"/>
              <w:rPr>
                <w:b/>
                <w:sz w:val="17"/>
              </w:rPr>
            </w:pPr>
            <w:r>
              <w:rPr>
                <w:b/>
                <w:sz w:val="17"/>
              </w:rPr>
              <w:t>Колледжи 3</w:t>
            </w:r>
            <w:r>
              <w:rPr>
                <w:b/>
                <w:sz w:val="17"/>
                <w:vertAlign w:val="superscript"/>
              </w:rPr>
              <w:t xml:space="preserve">го </w:t>
            </w:r>
            <w:r>
              <w:rPr>
                <w:b/>
                <w:sz w:val="17"/>
              </w:rPr>
              <w:t>уровня, всего</w:t>
            </w:r>
          </w:p>
        </w:tc>
        <w:tc>
          <w:tcPr>
            <w:tcW w:w="1411" w:type="dxa"/>
            <w:shd w:val="clear" w:color="auto" w:fill="808080"/>
            <w:vAlign w:val="bottom"/>
          </w:tcPr>
          <w:p w:rsidR="00000000" w:rsidRDefault="00000000">
            <w:pPr>
              <w:tabs>
                <w:tab w:val="decimal" w:pos="719"/>
              </w:tabs>
              <w:rPr>
                <w:b/>
                <w:sz w:val="17"/>
              </w:rPr>
            </w:pPr>
            <w:r>
              <w:rPr>
                <w:b/>
                <w:sz w:val="17"/>
              </w:rPr>
              <w:t>2 674</w:t>
            </w:r>
          </w:p>
        </w:tc>
        <w:tc>
          <w:tcPr>
            <w:tcW w:w="1411" w:type="dxa"/>
            <w:vAlign w:val="bottom"/>
          </w:tcPr>
          <w:p w:rsidR="00000000" w:rsidRDefault="00000000">
            <w:pPr>
              <w:tabs>
                <w:tab w:val="decimal" w:pos="867"/>
              </w:tabs>
              <w:rPr>
                <w:b/>
                <w:sz w:val="17"/>
              </w:rPr>
            </w:pPr>
            <w:r>
              <w:rPr>
                <w:b/>
                <w:sz w:val="17"/>
              </w:rPr>
              <w:t>1 171</w:t>
            </w:r>
          </w:p>
        </w:tc>
        <w:tc>
          <w:tcPr>
            <w:tcW w:w="1410" w:type="dxa"/>
            <w:vAlign w:val="bottom"/>
          </w:tcPr>
          <w:p w:rsidR="00000000" w:rsidRDefault="00000000">
            <w:pPr>
              <w:tabs>
                <w:tab w:val="decimal" w:pos="567"/>
              </w:tabs>
              <w:rPr>
                <w:b/>
                <w:sz w:val="17"/>
              </w:rPr>
            </w:pPr>
            <w:r>
              <w:rPr>
                <w:b/>
                <w:sz w:val="17"/>
              </w:rPr>
              <w:t>43,8</w:t>
            </w:r>
          </w:p>
        </w:tc>
        <w:tc>
          <w:tcPr>
            <w:tcW w:w="1410" w:type="dxa"/>
            <w:shd w:val="clear" w:color="auto" w:fill="808080"/>
            <w:vAlign w:val="bottom"/>
          </w:tcPr>
          <w:p w:rsidR="00000000" w:rsidRDefault="00000000">
            <w:pPr>
              <w:tabs>
                <w:tab w:val="decimal" w:pos="881"/>
              </w:tabs>
              <w:rPr>
                <w:b/>
                <w:sz w:val="17"/>
              </w:rPr>
            </w:pPr>
            <w:r>
              <w:rPr>
                <w:b/>
                <w:sz w:val="17"/>
              </w:rPr>
              <w:t>1 444</w:t>
            </w:r>
          </w:p>
        </w:tc>
        <w:tc>
          <w:tcPr>
            <w:tcW w:w="1410" w:type="dxa"/>
            <w:vAlign w:val="bottom"/>
          </w:tcPr>
          <w:p w:rsidR="00000000" w:rsidRDefault="00000000">
            <w:pPr>
              <w:tabs>
                <w:tab w:val="decimal" w:pos="889"/>
              </w:tabs>
              <w:rPr>
                <w:b/>
                <w:sz w:val="17"/>
              </w:rPr>
            </w:pPr>
            <w:r>
              <w:rPr>
                <w:b/>
                <w:sz w:val="17"/>
              </w:rPr>
              <w:t>1 138</w:t>
            </w:r>
          </w:p>
        </w:tc>
        <w:tc>
          <w:tcPr>
            <w:tcW w:w="1405" w:type="dxa"/>
            <w:vAlign w:val="bottom"/>
          </w:tcPr>
          <w:p w:rsidR="00000000" w:rsidRDefault="00000000">
            <w:pPr>
              <w:tabs>
                <w:tab w:val="decimal" w:pos="567"/>
              </w:tabs>
              <w:rPr>
                <w:b/>
                <w:sz w:val="17"/>
              </w:rPr>
            </w:pPr>
            <w:r>
              <w:rPr>
                <w:b/>
                <w:sz w:val="17"/>
              </w:rPr>
              <w:t>78,8</w:t>
            </w:r>
          </w:p>
        </w:tc>
      </w:tr>
      <w:tr w:rsidR="00000000">
        <w:tblPrEx>
          <w:tblCellMar>
            <w:top w:w="0" w:type="dxa"/>
            <w:bottom w:w="0" w:type="dxa"/>
          </w:tblCellMar>
        </w:tblPrEx>
        <w:tc>
          <w:tcPr>
            <w:tcW w:w="3959" w:type="dxa"/>
          </w:tcPr>
          <w:p w:rsidR="00000000" w:rsidRDefault="00000000">
            <w:pPr>
              <w:rPr>
                <w:b/>
                <w:sz w:val="17"/>
              </w:rPr>
            </w:pPr>
            <w:r>
              <w:rPr>
                <w:b/>
                <w:sz w:val="17"/>
              </w:rPr>
              <w:t>Педагогические, всего</w:t>
            </w:r>
          </w:p>
        </w:tc>
        <w:tc>
          <w:tcPr>
            <w:tcW w:w="1411" w:type="dxa"/>
            <w:shd w:val="clear" w:color="auto" w:fill="808080"/>
            <w:vAlign w:val="bottom"/>
          </w:tcPr>
          <w:p w:rsidR="00000000" w:rsidRDefault="00000000">
            <w:pPr>
              <w:tabs>
                <w:tab w:val="decimal" w:pos="719"/>
              </w:tabs>
              <w:rPr>
                <w:b/>
                <w:sz w:val="17"/>
              </w:rPr>
            </w:pPr>
            <w:r>
              <w:rPr>
                <w:b/>
                <w:sz w:val="17"/>
              </w:rPr>
              <w:t>4 117</w:t>
            </w:r>
          </w:p>
        </w:tc>
        <w:tc>
          <w:tcPr>
            <w:tcW w:w="1411" w:type="dxa"/>
            <w:vAlign w:val="bottom"/>
          </w:tcPr>
          <w:p w:rsidR="00000000" w:rsidRDefault="00000000">
            <w:pPr>
              <w:tabs>
                <w:tab w:val="decimal" w:pos="867"/>
              </w:tabs>
              <w:rPr>
                <w:b/>
                <w:sz w:val="17"/>
              </w:rPr>
            </w:pPr>
            <w:r>
              <w:rPr>
                <w:b/>
                <w:sz w:val="17"/>
              </w:rPr>
              <w:t>2 306</w:t>
            </w:r>
          </w:p>
        </w:tc>
        <w:tc>
          <w:tcPr>
            <w:tcW w:w="1410" w:type="dxa"/>
            <w:vAlign w:val="bottom"/>
          </w:tcPr>
          <w:p w:rsidR="00000000" w:rsidRDefault="00000000">
            <w:pPr>
              <w:tabs>
                <w:tab w:val="decimal" w:pos="567"/>
              </w:tabs>
              <w:rPr>
                <w:b/>
                <w:sz w:val="17"/>
              </w:rPr>
            </w:pPr>
            <w:r>
              <w:rPr>
                <w:b/>
                <w:sz w:val="17"/>
              </w:rPr>
              <w:t>56,0</w:t>
            </w:r>
          </w:p>
        </w:tc>
        <w:tc>
          <w:tcPr>
            <w:tcW w:w="1410" w:type="dxa"/>
            <w:shd w:val="clear" w:color="auto" w:fill="808080"/>
            <w:vAlign w:val="bottom"/>
          </w:tcPr>
          <w:p w:rsidR="00000000" w:rsidRDefault="00000000">
            <w:pPr>
              <w:tabs>
                <w:tab w:val="decimal" w:pos="881"/>
              </w:tabs>
              <w:rPr>
                <w:b/>
                <w:sz w:val="17"/>
              </w:rPr>
            </w:pPr>
            <w:r>
              <w:rPr>
                <w:b/>
                <w:sz w:val="17"/>
              </w:rPr>
              <w:t>2 703</w:t>
            </w:r>
          </w:p>
        </w:tc>
        <w:tc>
          <w:tcPr>
            <w:tcW w:w="1410" w:type="dxa"/>
            <w:vAlign w:val="bottom"/>
          </w:tcPr>
          <w:p w:rsidR="00000000" w:rsidRDefault="00000000">
            <w:pPr>
              <w:tabs>
                <w:tab w:val="decimal" w:pos="889"/>
              </w:tabs>
              <w:rPr>
                <w:b/>
                <w:sz w:val="17"/>
              </w:rPr>
            </w:pPr>
            <w:r>
              <w:rPr>
                <w:b/>
                <w:sz w:val="17"/>
              </w:rPr>
              <w:t>1 207</w:t>
            </w:r>
          </w:p>
        </w:tc>
        <w:tc>
          <w:tcPr>
            <w:tcW w:w="1405" w:type="dxa"/>
            <w:vAlign w:val="bottom"/>
          </w:tcPr>
          <w:p w:rsidR="00000000" w:rsidRDefault="00000000">
            <w:pPr>
              <w:tabs>
                <w:tab w:val="decimal" w:pos="567"/>
              </w:tabs>
              <w:rPr>
                <w:b/>
                <w:sz w:val="17"/>
              </w:rPr>
            </w:pPr>
            <w:r>
              <w:rPr>
                <w:b/>
                <w:sz w:val="17"/>
              </w:rPr>
              <w:t>44,7</w:t>
            </w:r>
          </w:p>
        </w:tc>
      </w:tr>
      <w:tr w:rsidR="00000000">
        <w:tblPrEx>
          <w:tblCellMar>
            <w:top w:w="0" w:type="dxa"/>
            <w:bottom w:w="0" w:type="dxa"/>
          </w:tblCellMar>
        </w:tblPrEx>
        <w:tc>
          <w:tcPr>
            <w:tcW w:w="3959" w:type="dxa"/>
            <w:tcBorders>
              <w:bottom w:val="single" w:sz="12" w:space="0" w:color="auto"/>
            </w:tcBorders>
            <w:shd w:val="clear" w:color="auto" w:fill="808080"/>
          </w:tcPr>
          <w:p w:rsidR="00000000" w:rsidRDefault="00000000">
            <w:pPr>
              <w:rPr>
                <w:b/>
                <w:sz w:val="17"/>
              </w:rPr>
            </w:pPr>
            <w:r>
              <w:rPr>
                <w:b/>
                <w:sz w:val="17"/>
              </w:rPr>
              <w:t>Всего по всем учебным заведениям</w:t>
            </w:r>
          </w:p>
        </w:tc>
        <w:tc>
          <w:tcPr>
            <w:tcW w:w="1411" w:type="dxa"/>
            <w:tcBorders>
              <w:bottom w:val="single" w:sz="12" w:space="0" w:color="auto"/>
            </w:tcBorders>
            <w:shd w:val="clear" w:color="auto" w:fill="808080"/>
            <w:vAlign w:val="bottom"/>
          </w:tcPr>
          <w:p w:rsidR="00000000" w:rsidRDefault="00000000">
            <w:pPr>
              <w:tabs>
                <w:tab w:val="decimal" w:pos="719"/>
              </w:tabs>
              <w:rPr>
                <w:b/>
                <w:sz w:val="17"/>
              </w:rPr>
            </w:pPr>
            <w:r>
              <w:rPr>
                <w:b/>
                <w:sz w:val="17"/>
              </w:rPr>
              <w:t>124 270</w:t>
            </w:r>
          </w:p>
        </w:tc>
        <w:tc>
          <w:tcPr>
            <w:tcW w:w="1411" w:type="dxa"/>
            <w:tcBorders>
              <w:bottom w:val="single" w:sz="12" w:space="0" w:color="auto"/>
            </w:tcBorders>
            <w:shd w:val="clear" w:color="auto" w:fill="808080"/>
            <w:vAlign w:val="bottom"/>
          </w:tcPr>
          <w:p w:rsidR="00000000" w:rsidRDefault="00000000">
            <w:pPr>
              <w:tabs>
                <w:tab w:val="decimal" w:pos="867"/>
              </w:tabs>
              <w:rPr>
                <w:b/>
                <w:sz w:val="17"/>
              </w:rPr>
            </w:pPr>
            <w:r>
              <w:rPr>
                <w:b/>
                <w:sz w:val="17"/>
              </w:rPr>
              <w:t>83 309</w:t>
            </w:r>
          </w:p>
        </w:tc>
        <w:tc>
          <w:tcPr>
            <w:tcW w:w="1410" w:type="dxa"/>
            <w:tcBorders>
              <w:bottom w:val="single" w:sz="12" w:space="0" w:color="auto"/>
            </w:tcBorders>
            <w:shd w:val="clear" w:color="auto" w:fill="808080"/>
            <w:vAlign w:val="bottom"/>
          </w:tcPr>
          <w:p w:rsidR="00000000" w:rsidRDefault="00000000">
            <w:pPr>
              <w:tabs>
                <w:tab w:val="decimal" w:pos="567"/>
              </w:tabs>
              <w:rPr>
                <w:b/>
                <w:sz w:val="17"/>
              </w:rPr>
            </w:pPr>
            <w:r>
              <w:rPr>
                <w:b/>
                <w:sz w:val="17"/>
              </w:rPr>
              <w:t>67,0</w:t>
            </w:r>
          </w:p>
        </w:tc>
        <w:tc>
          <w:tcPr>
            <w:tcW w:w="1410" w:type="dxa"/>
            <w:tcBorders>
              <w:bottom w:val="single" w:sz="12" w:space="0" w:color="auto"/>
            </w:tcBorders>
            <w:shd w:val="clear" w:color="auto" w:fill="808080"/>
            <w:vAlign w:val="bottom"/>
          </w:tcPr>
          <w:p w:rsidR="00000000" w:rsidRDefault="00000000">
            <w:pPr>
              <w:tabs>
                <w:tab w:val="decimal" w:pos="881"/>
              </w:tabs>
              <w:rPr>
                <w:b/>
                <w:sz w:val="17"/>
              </w:rPr>
            </w:pPr>
            <w:r>
              <w:rPr>
                <w:b/>
                <w:sz w:val="17"/>
              </w:rPr>
              <w:t>124 358</w:t>
            </w:r>
          </w:p>
        </w:tc>
        <w:tc>
          <w:tcPr>
            <w:tcW w:w="1410" w:type="dxa"/>
            <w:tcBorders>
              <w:bottom w:val="single" w:sz="12" w:space="0" w:color="auto"/>
            </w:tcBorders>
            <w:shd w:val="clear" w:color="auto" w:fill="808080"/>
            <w:vAlign w:val="bottom"/>
          </w:tcPr>
          <w:p w:rsidR="00000000" w:rsidRDefault="00000000">
            <w:pPr>
              <w:tabs>
                <w:tab w:val="decimal" w:pos="889"/>
              </w:tabs>
              <w:rPr>
                <w:b/>
                <w:sz w:val="17"/>
              </w:rPr>
            </w:pPr>
            <w:r>
              <w:rPr>
                <w:b/>
                <w:sz w:val="17"/>
              </w:rPr>
              <w:t>83 860</w:t>
            </w:r>
          </w:p>
        </w:tc>
        <w:tc>
          <w:tcPr>
            <w:tcW w:w="1405" w:type="dxa"/>
            <w:tcBorders>
              <w:bottom w:val="single" w:sz="12" w:space="0" w:color="auto"/>
            </w:tcBorders>
            <w:shd w:val="clear" w:color="auto" w:fill="808080"/>
            <w:vAlign w:val="bottom"/>
          </w:tcPr>
          <w:p w:rsidR="00000000" w:rsidRDefault="00000000">
            <w:pPr>
              <w:tabs>
                <w:tab w:val="decimal" w:pos="567"/>
              </w:tabs>
              <w:rPr>
                <w:b/>
                <w:sz w:val="17"/>
              </w:rPr>
            </w:pPr>
            <w:r>
              <w:rPr>
                <w:b/>
                <w:sz w:val="17"/>
              </w:rPr>
              <w:t>67,4</w:t>
            </w:r>
          </w:p>
        </w:tc>
      </w:tr>
    </w:tbl>
    <w:p w:rsidR="00000000" w:rsidRDefault="00000000">
      <w:pPr>
        <w:pStyle w:val="50"/>
      </w:pPr>
    </w:p>
    <w:p w:rsidR="00000000" w:rsidRDefault="00000000">
      <w:pPr>
        <w:ind w:left="426" w:hanging="437"/>
        <w:rPr>
          <w:sz w:val="17"/>
        </w:rPr>
      </w:pPr>
      <w:r>
        <w:rPr>
          <w:sz w:val="17"/>
          <w:vertAlign w:val="superscript"/>
        </w:rPr>
        <w:t>1</w:t>
      </w:r>
      <w:r>
        <w:rPr>
          <w:sz w:val="17"/>
        </w:rPr>
        <w:tab/>
        <w:t>Включая находящихся в декретном отпуске, или в учебном отпуске, а также персонал, работающий неполный рабочий день, исключая учителей в училищах по подготовке воспитателей для детский садов, в специализированных медицинских школах, школах для подготовки высшего парамед</w:t>
      </w:r>
      <w:r>
        <w:rPr>
          <w:sz w:val="17"/>
        </w:rPr>
        <w:t>и</w:t>
      </w:r>
      <w:r>
        <w:rPr>
          <w:sz w:val="17"/>
        </w:rPr>
        <w:t>цинского персонала, школах для подготовки учителей физкультуры и тренеров, а также в других шк</w:t>
      </w:r>
      <w:r>
        <w:rPr>
          <w:sz w:val="17"/>
        </w:rPr>
        <w:t>о</w:t>
      </w:r>
      <w:r>
        <w:rPr>
          <w:sz w:val="17"/>
        </w:rPr>
        <w:t>лах, имеющих свой собственный статут.</w:t>
      </w:r>
    </w:p>
    <w:p w:rsidR="00000000" w:rsidRDefault="00000000">
      <w:pPr>
        <w:ind w:left="426" w:hanging="437"/>
        <w:rPr>
          <w:sz w:val="17"/>
        </w:rPr>
      </w:pPr>
      <w:r>
        <w:rPr>
          <w:sz w:val="17"/>
          <w:vertAlign w:val="superscript"/>
        </w:rPr>
        <w:t>2</w:t>
      </w:r>
      <w:r>
        <w:rPr>
          <w:sz w:val="17"/>
        </w:rPr>
        <w:tab/>
        <w:t>Включая школы парикмахеров и промышленного искусства.</w:t>
      </w:r>
    </w:p>
    <w:p w:rsidR="00000000" w:rsidRDefault="00000000">
      <w:pPr>
        <w:ind w:left="426" w:hanging="437"/>
        <w:rPr>
          <w:sz w:val="17"/>
        </w:rPr>
      </w:pPr>
    </w:p>
    <w:p w:rsidR="00000000" w:rsidRDefault="00000000">
      <w:pPr>
        <w:ind w:left="426" w:hanging="437"/>
      </w:pPr>
      <w:r>
        <w:rPr>
          <w:i/>
          <w:sz w:val="17"/>
        </w:rPr>
        <w:t>Источник</w:t>
      </w:r>
      <w:r>
        <w:rPr>
          <w:sz w:val="17"/>
        </w:rPr>
        <w:t>: Статистическое управление Австрии.</w:t>
      </w:r>
    </w:p>
    <w:p w:rsidR="00000000" w:rsidRDefault="00000000">
      <w:pPr>
        <w:pageBreakBefore/>
        <w:rPr>
          <w:b/>
        </w:rPr>
      </w:pPr>
      <w:r>
        <w:rPr>
          <w:b/>
        </w:rPr>
        <w:t>Выпускники средних школ</w:t>
      </w:r>
    </w:p>
    <w:p w:rsidR="00000000" w:rsidRDefault="00000000">
      <w:pPr>
        <w:pStyle w:val="SingleTxt"/>
        <w:tabs>
          <w:tab w:val="clear" w:pos="1267"/>
        </w:tabs>
        <w:ind w:left="0"/>
      </w:pPr>
      <w:r>
        <w:rPr>
          <w:b/>
        </w:rPr>
        <w:t>Австрийские и иностранные выпускники</w:t>
      </w:r>
      <w:r>
        <w:rPr>
          <w:b/>
          <w:vertAlign w:val="superscript"/>
        </w:rPr>
        <w:t>1 </w:t>
      </w:r>
      <w:r>
        <w:rPr>
          <w:b/>
        </w:rPr>
        <w:t>средних школ по разбивке по видам школ и полу, выпускные классы 1990, 1999–2003 годов</w:t>
      </w:r>
    </w:p>
    <w:tbl>
      <w:tblPr>
        <w:tblW w:w="0" w:type="auto"/>
        <w:tblInd w:w="-106" w:type="dxa"/>
        <w:tblLayout w:type="fixed"/>
        <w:tblLook w:val="01E0" w:firstRow="1" w:lastRow="1" w:firstColumn="1" w:lastColumn="1" w:noHBand="0" w:noVBand="0"/>
      </w:tblPr>
      <w:tblGrid>
        <w:gridCol w:w="2035"/>
        <w:gridCol w:w="1073"/>
        <w:gridCol w:w="722"/>
        <w:gridCol w:w="872"/>
        <w:gridCol w:w="722"/>
        <w:gridCol w:w="872"/>
        <w:gridCol w:w="722"/>
        <w:gridCol w:w="872"/>
        <w:gridCol w:w="722"/>
        <w:gridCol w:w="872"/>
        <w:gridCol w:w="722"/>
        <w:gridCol w:w="872"/>
        <w:gridCol w:w="722"/>
        <w:gridCol w:w="616"/>
      </w:tblGrid>
      <w:tr w:rsidR="00000000">
        <w:tblPrEx>
          <w:tblCellMar>
            <w:top w:w="0" w:type="dxa"/>
            <w:bottom w:w="0" w:type="dxa"/>
          </w:tblCellMar>
        </w:tblPrEx>
        <w:trPr>
          <w:cantSplit/>
          <w:tblHeader/>
        </w:trPr>
        <w:tc>
          <w:tcPr>
            <w:tcW w:w="2035" w:type="dxa"/>
            <w:vMerge w:val="restart"/>
            <w:tcBorders>
              <w:top w:val="single" w:sz="4" w:space="0" w:color="auto"/>
            </w:tcBorders>
            <w:vAlign w:val="bottom"/>
          </w:tcPr>
          <w:p w:rsidR="00000000" w:rsidRDefault="00000000">
            <w:pPr>
              <w:rPr>
                <w:i/>
                <w:sz w:val="17"/>
              </w:rPr>
            </w:pPr>
            <w:r>
              <w:rPr>
                <w:i/>
                <w:sz w:val="17"/>
              </w:rPr>
              <w:t>Вид школы</w:t>
            </w:r>
          </w:p>
        </w:tc>
        <w:tc>
          <w:tcPr>
            <w:tcW w:w="10381" w:type="dxa"/>
            <w:gridSpan w:val="13"/>
            <w:tcBorders>
              <w:top w:val="single" w:sz="4" w:space="0" w:color="auto"/>
              <w:bottom w:val="single" w:sz="4" w:space="0" w:color="auto"/>
            </w:tcBorders>
            <w:vAlign w:val="bottom"/>
          </w:tcPr>
          <w:p w:rsidR="00000000" w:rsidRDefault="00000000">
            <w:pPr>
              <w:jc w:val="center"/>
              <w:rPr>
                <w:i/>
                <w:sz w:val="17"/>
              </w:rPr>
            </w:pPr>
            <w:r>
              <w:rPr>
                <w:i/>
                <w:sz w:val="17"/>
              </w:rPr>
              <w:t>Выпускной год</w:t>
            </w:r>
          </w:p>
        </w:tc>
      </w:tr>
      <w:tr w:rsidR="00000000">
        <w:tblPrEx>
          <w:tblCellMar>
            <w:top w:w="0" w:type="dxa"/>
            <w:bottom w:w="0" w:type="dxa"/>
          </w:tblCellMar>
        </w:tblPrEx>
        <w:trPr>
          <w:cantSplit/>
          <w:tblHeader/>
        </w:trPr>
        <w:tc>
          <w:tcPr>
            <w:tcW w:w="2035" w:type="dxa"/>
            <w:vMerge/>
          </w:tcPr>
          <w:p w:rsidR="00000000" w:rsidRDefault="00000000">
            <w:pPr>
              <w:rPr>
                <w:sz w:val="17"/>
              </w:rPr>
            </w:pPr>
          </w:p>
        </w:tc>
        <w:tc>
          <w:tcPr>
            <w:tcW w:w="1073" w:type="dxa"/>
            <w:tcBorders>
              <w:top w:val="single" w:sz="4" w:space="0" w:color="auto"/>
              <w:bottom w:val="single" w:sz="4" w:space="0" w:color="auto"/>
            </w:tcBorders>
            <w:vAlign w:val="bottom"/>
          </w:tcPr>
          <w:p w:rsidR="00000000" w:rsidRDefault="00000000">
            <w:pPr>
              <w:jc w:val="center"/>
              <w:rPr>
                <w:i/>
                <w:sz w:val="17"/>
              </w:rPr>
            </w:pPr>
          </w:p>
        </w:tc>
        <w:tc>
          <w:tcPr>
            <w:tcW w:w="1594" w:type="dxa"/>
            <w:gridSpan w:val="2"/>
            <w:tcBorders>
              <w:top w:val="single" w:sz="4" w:space="0" w:color="auto"/>
              <w:bottom w:val="single" w:sz="4" w:space="0" w:color="auto"/>
            </w:tcBorders>
            <w:vAlign w:val="bottom"/>
          </w:tcPr>
          <w:p w:rsidR="00000000" w:rsidRDefault="00000000">
            <w:pPr>
              <w:jc w:val="center"/>
              <w:rPr>
                <w:i/>
                <w:sz w:val="17"/>
              </w:rPr>
            </w:pPr>
            <w:r>
              <w:rPr>
                <w:i/>
                <w:sz w:val="17"/>
              </w:rPr>
              <w:t>1990</w:t>
            </w:r>
          </w:p>
        </w:tc>
        <w:tc>
          <w:tcPr>
            <w:tcW w:w="1594" w:type="dxa"/>
            <w:gridSpan w:val="2"/>
            <w:tcBorders>
              <w:top w:val="single" w:sz="4" w:space="0" w:color="auto"/>
              <w:bottom w:val="single" w:sz="4" w:space="0" w:color="auto"/>
            </w:tcBorders>
            <w:vAlign w:val="bottom"/>
          </w:tcPr>
          <w:p w:rsidR="00000000" w:rsidRDefault="00000000">
            <w:pPr>
              <w:jc w:val="center"/>
              <w:rPr>
                <w:i/>
                <w:sz w:val="17"/>
              </w:rPr>
            </w:pPr>
            <w:r>
              <w:rPr>
                <w:i/>
                <w:sz w:val="17"/>
              </w:rPr>
              <w:t>1999</w:t>
            </w:r>
          </w:p>
        </w:tc>
        <w:tc>
          <w:tcPr>
            <w:tcW w:w="1594" w:type="dxa"/>
            <w:gridSpan w:val="2"/>
            <w:tcBorders>
              <w:top w:val="single" w:sz="4" w:space="0" w:color="auto"/>
              <w:bottom w:val="single" w:sz="4" w:space="0" w:color="auto"/>
            </w:tcBorders>
            <w:vAlign w:val="bottom"/>
          </w:tcPr>
          <w:p w:rsidR="00000000" w:rsidRDefault="00000000">
            <w:pPr>
              <w:jc w:val="center"/>
              <w:rPr>
                <w:i/>
                <w:sz w:val="17"/>
              </w:rPr>
            </w:pPr>
            <w:r>
              <w:rPr>
                <w:i/>
                <w:sz w:val="17"/>
              </w:rPr>
              <w:t>2000</w:t>
            </w:r>
          </w:p>
        </w:tc>
        <w:tc>
          <w:tcPr>
            <w:tcW w:w="1594" w:type="dxa"/>
            <w:gridSpan w:val="2"/>
            <w:tcBorders>
              <w:top w:val="single" w:sz="4" w:space="0" w:color="auto"/>
              <w:bottom w:val="single" w:sz="4" w:space="0" w:color="auto"/>
            </w:tcBorders>
            <w:vAlign w:val="bottom"/>
          </w:tcPr>
          <w:p w:rsidR="00000000" w:rsidRDefault="00000000">
            <w:pPr>
              <w:jc w:val="center"/>
              <w:rPr>
                <w:i/>
                <w:sz w:val="17"/>
              </w:rPr>
            </w:pPr>
            <w:r>
              <w:rPr>
                <w:i/>
                <w:sz w:val="17"/>
              </w:rPr>
              <w:t>2001</w:t>
            </w:r>
          </w:p>
        </w:tc>
        <w:tc>
          <w:tcPr>
            <w:tcW w:w="1594" w:type="dxa"/>
            <w:gridSpan w:val="2"/>
            <w:tcBorders>
              <w:top w:val="single" w:sz="4" w:space="0" w:color="auto"/>
              <w:bottom w:val="single" w:sz="4" w:space="0" w:color="auto"/>
            </w:tcBorders>
            <w:vAlign w:val="bottom"/>
          </w:tcPr>
          <w:p w:rsidR="00000000" w:rsidRDefault="00000000">
            <w:pPr>
              <w:jc w:val="center"/>
              <w:rPr>
                <w:i/>
                <w:sz w:val="17"/>
              </w:rPr>
            </w:pPr>
            <w:r>
              <w:rPr>
                <w:i/>
                <w:sz w:val="17"/>
              </w:rPr>
              <w:t>2002</w:t>
            </w:r>
          </w:p>
        </w:tc>
        <w:tc>
          <w:tcPr>
            <w:tcW w:w="1338" w:type="dxa"/>
            <w:gridSpan w:val="2"/>
            <w:tcBorders>
              <w:top w:val="single" w:sz="4" w:space="0" w:color="auto"/>
              <w:bottom w:val="single" w:sz="4" w:space="0" w:color="auto"/>
            </w:tcBorders>
            <w:vAlign w:val="bottom"/>
          </w:tcPr>
          <w:p w:rsidR="00000000" w:rsidRDefault="00000000">
            <w:pPr>
              <w:jc w:val="center"/>
              <w:rPr>
                <w:i/>
                <w:sz w:val="17"/>
              </w:rPr>
            </w:pPr>
            <w:r>
              <w:rPr>
                <w:i/>
                <w:sz w:val="17"/>
              </w:rPr>
              <w:t>2003</w:t>
            </w:r>
          </w:p>
        </w:tc>
      </w:tr>
      <w:tr w:rsidR="00000000">
        <w:tblPrEx>
          <w:tblCellMar>
            <w:top w:w="0" w:type="dxa"/>
            <w:bottom w:w="0" w:type="dxa"/>
          </w:tblCellMar>
        </w:tblPrEx>
        <w:trPr>
          <w:cantSplit/>
          <w:tblHeader/>
        </w:trPr>
        <w:tc>
          <w:tcPr>
            <w:tcW w:w="2035" w:type="dxa"/>
            <w:vMerge/>
            <w:tcBorders>
              <w:bottom w:val="single" w:sz="12" w:space="0" w:color="auto"/>
            </w:tcBorders>
          </w:tcPr>
          <w:p w:rsidR="00000000" w:rsidRDefault="00000000">
            <w:pPr>
              <w:rPr>
                <w:sz w:val="17"/>
              </w:rPr>
            </w:pPr>
          </w:p>
        </w:tc>
        <w:tc>
          <w:tcPr>
            <w:tcW w:w="1073" w:type="dxa"/>
            <w:tcBorders>
              <w:top w:val="single" w:sz="4" w:space="0" w:color="auto"/>
              <w:bottom w:val="single" w:sz="12" w:space="0" w:color="auto"/>
            </w:tcBorders>
            <w:vAlign w:val="bottom"/>
          </w:tcPr>
          <w:p w:rsidR="00000000" w:rsidRDefault="00000000">
            <w:pPr>
              <w:jc w:val="center"/>
              <w:rPr>
                <w:i/>
                <w:sz w:val="17"/>
              </w:rPr>
            </w:pPr>
          </w:p>
        </w:tc>
        <w:tc>
          <w:tcPr>
            <w:tcW w:w="722" w:type="dxa"/>
            <w:tcBorders>
              <w:top w:val="single" w:sz="4" w:space="0" w:color="auto"/>
              <w:bottom w:val="single" w:sz="12" w:space="0" w:color="auto"/>
            </w:tcBorders>
            <w:shd w:val="clear" w:color="auto" w:fill="808080"/>
            <w:vAlign w:val="bottom"/>
          </w:tcPr>
          <w:p w:rsidR="00000000" w:rsidRDefault="00000000">
            <w:pPr>
              <w:jc w:val="center"/>
              <w:rPr>
                <w:i/>
                <w:sz w:val="17"/>
              </w:rPr>
            </w:pPr>
            <w:r>
              <w:rPr>
                <w:i/>
                <w:sz w:val="17"/>
              </w:rPr>
              <w:t>Всего</w:t>
            </w:r>
          </w:p>
        </w:tc>
        <w:tc>
          <w:tcPr>
            <w:tcW w:w="872" w:type="dxa"/>
            <w:tcBorders>
              <w:top w:val="single" w:sz="4" w:space="0" w:color="auto"/>
              <w:bottom w:val="single" w:sz="12" w:space="0" w:color="auto"/>
            </w:tcBorders>
            <w:vAlign w:val="bottom"/>
          </w:tcPr>
          <w:p w:rsidR="00000000" w:rsidRDefault="00000000">
            <w:pPr>
              <w:jc w:val="center"/>
              <w:rPr>
                <w:i/>
                <w:sz w:val="17"/>
              </w:rPr>
            </w:pPr>
            <w:r>
              <w:rPr>
                <w:i/>
                <w:sz w:val="17"/>
              </w:rPr>
              <w:t>% женщин</w:t>
            </w:r>
          </w:p>
        </w:tc>
        <w:tc>
          <w:tcPr>
            <w:tcW w:w="722" w:type="dxa"/>
            <w:tcBorders>
              <w:top w:val="single" w:sz="4" w:space="0" w:color="auto"/>
              <w:bottom w:val="single" w:sz="12" w:space="0" w:color="auto"/>
            </w:tcBorders>
            <w:shd w:val="clear" w:color="auto" w:fill="808080"/>
            <w:vAlign w:val="bottom"/>
          </w:tcPr>
          <w:p w:rsidR="00000000" w:rsidRDefault="00000000">
            <w:pPr>
              <w:jc w:val="center"/>
              <w:rPr>
                <w:i/>
                <w:sz w:val="17"/>
              </w:rPr>
            </w:pPr>
            <w:r>
              <w:rPr>
                <w:i/>
                <w:sz w:val="17"/>
              </w:rPr>
              <w:t>Всего</w:t>
            </w:r>
          </w:p>
        </w:tc>
        <w:tc>
          <w:tcPr>
            <w:tcW w:w="872" w:type="dxa"/>
            <w:tcBorders>
              <w:top w:val="single" w:sz="4" w:space="0" w:color="auto"/>
              <w:bottom w:val="single" w:sz="12" w:space="0" w:color="auto"/>
            </w:tcBorders>
            <w:vAlign w:val="bottom"/>
          </w:tcPr>
          <w:p w:rsidR="00000000" w:rsidRDefault="00000000">
            <w:pPr>
              <w:jc w:val="center"/>
              <w:rPr>
                <w:i/>
                <w:sz w:val="17"/>
              </w:rPr>
            </w:pPr>
            <w:r>
              <w:rPr>
                <w:i/>
                <w:sz w:val="17"/>
              </w:rPr>
              <w:t>% женщин</w:t>
            </w:r>
          </w:p>
        </w:tc>
        <w:tc>
          <w:tcPr>
            <w:tcW w:w="722" w:type="dxa"/>
            <w:tcBorders>
              <w:top w:val="single" w:sz="4" w:space="0" w:color="auto"/>
              <w:bottom w:val="single" w:sz="12" w:space="0" w:color="auto"/>
            </w:tcBorders>
            <w:shd w:val="clear" w:color="auto" w:fill="808080"/>
            <w:vAlign w:val="bottom"/>
          </w:tcPr>
          <w:p w:rsidR="00000000" w:rsidRDefault="00000000">
            <w:pPr>
              <w:jc w:val="center"/>
              <w:rPr>
                <w:i/>
                <w:sz w:val="17"/>
              </w:rPr>
            </w:pPr>
            <w:r>
              <w:rPr>
                <w:i/>
                <w:sz w:val="17"/>
              </w:rPr>
              <w:t>Всего</w:t>
            </w:r>
          </w:p>
        </w:tc>
        <w:tc>
          <w:tcPr>
            <w:tcW w:w="872" w:type="dxa"/>
            <w:tcBorders>
              <w:top w:val="single" w:sz="4" w:space="0" w:color="auto"/>
              <w:bottom w:val="single" w:sz="12" w:space="0" w:color="auto"/>
            </w:tcBorders>
            <w:vAlign w:val="bottom"/>
          </w:tcPr>
          <w:p w:rsidR="00000000" w:rsidRDefault="00000000">
            <w:pPr>
              <w:jc w:val="center"/>
              <w:rPr>
                <w:i/>
                <w:sz w:val="17"/>
              </w:rPr>
            </w:pPr>
            <w:r>
              <w:rPr>
                <w:i/>
                <w:sz w:val="17"/>
              </w:rPr>
              <w:t>% женщин</w:t>
            </w:r>
          </w:p>
        </w:tc>
        <w:tc>
          <w:tcPr>
            <w:tcW w:w="722" w:type="dxa"/>
            <w:tcBorders>
              <w:top w:val="single" w:sz="4" w:space="0" w:color="auto"/>
              <w:bottom w:val="single" w:sz="12" w:space="0" w:color="auto"/>
            </w:tcBorders>
            <w:shd w:val="clear" w:color="auto" w:fill="808080"/>
            <w:vAlign w:val="bottom"/>
          </w:tcPr>
          <w:p w:rsidR="00000000" w:rsidRDefault="00000000">
            <w:pPr>
              <w:jc w:val="center"/>
              <w:rPr>
                <w:i/>
                <w:sz w:val="17"/>
              </w:rPr>
            </w:pPr>
            <w:r>
              <w:rPr>
                <w:i/>
                <w:sz w:val="17"/>
              </w:rPr>
              <w:t>Всего</w:t>
            </w:r>
          </w:p>
        </w:tc>
        <w:tc>
          <w:tcPr>
            <w:tcW w:w="872" w:type="dxa"/>
            <w:tcBorders>
              <w:top w:val="single" w:sz="4" w:space="0" w:color="auto"/>
              <w:bottom w:val="single" w:sz="12" w:space="0" w:color="auto"/>
            </w:tcBorders>
            <w:vAlign w:val="bottom"/>
          </w:tcPr>
          <w:p w:rsidR="00000000" w:rsidRDefault="00000000">
            <w:pPr>
              <w:jc w:val="center"/>
              <w:rPr>
                <w:i/>
                <w:sz w:val="17"/>
              </w:rPr>
            </w:pPr>
            <w:r>
              <w:rPr>
                <w:i/>
                <w:sz w:val="17"/>
              </w:rPr>
              <w:t>% женщин</w:t>
            </w:r>
          </w:p>
        </w:tc>
        <w:tc>
          <w:tcPr>
            <w:tcW w:w="722" w:type="dxa"/>
            <w:tcBorders>
              <w:top w:val="single" w:sz="4" w:space="0" w:color="auto"/>
              <w:bottom w:val="single" w:sz="12" w:space="0" w:color="auto"/>
            </w:tcBorders>
            <w:shd w:val="clear" w:color="auto" w:fill="808080"/>
            <w:vAlign w:val="bottom"/>
          </w:tcPr>
          <w:p w:rsidR="00000000" w:rsidRDefault="00000000">
            <w:pPr>
              <w:jc w:val="center"/>
              <w:rPr>
                <w:i/>
                <w:sz w:val="17"/>
              </w:rPr>
            </w:pPr>
            <w:r>
              <w:rPr>
                <w:i/>
                <w:sz w:val="17"/>
              </w:rPr>
              <w:t>Всего</w:t>
            </w:r>
          </w:p>
        </w:tc>
        <w:tc>
          <w:tcPr>
            <w:tcW w:w="872" w:type="dxa"/>
            <w:tcBorders>
              <w:top w:val="single" w:sz="4" w:space="0" w:color="auto"/>
              <w:bottom w:val="single" w:sz="12" w:space="0" w:color="auto"/>
            </w:tcBorders>
            <w:vAlign w:val="bottom"/>
          </w:tcPr>
          <w:p w:rsidR="00000000" w:rsidRDefault="00000000">
            <w:pPr>
              <w:jc w:val="center"/>
              <w:rPr>
                <w:i/>
                <w:sz w:val="17"/>
              </w:rPr>
            </w:pPr>
            <w:r>
              <w:rPr>
                <w:i/>
                <w:sz w:val="17"/>
              </w:rPr>
              <w:t>% женщин</w:t>
            </w:r>
          </w:p>
        </w:tc>
        <w:tc>
          <w:tcPr>
            <w:tcW w:w="722" w:type="dxa"/>
            <w:tcBorders>
              <w:top w:val="single" w:sz="4" w:space="0" w:color="auto"/>
              <w:bottom w:val="single" w:sz="12" w:space="0" w:color="auto"/>
            </w:tcBorders>
            <w:shd w:val="clear" w:color="auto" w:fill="808080"/>
            <w:vAlign w:val="bottom"/>
          </w:tcPr>
          <w:p w:rsidR="00000000" w:rsidRDefault="00000000">
            <w:pPr>
              <w:jc w:val="center"/>
              <w:rPr>
                <w:i/>
                <w:sz w:val="17"/>
              </w:rPr>
            </w:pPr>
            <w:r>
              <w:rPr>
                <w:i/>
                <w:sz w:val="17"/>
              </w:rPr>
              <w:t>Всего</w:t>
            </w:r>
          </w:p>
        </w:tc>
        <w:tc>
          <w:tcPr>
            <w:tcW w:w="616" w:type="dxa"/>
            <w:tcBorders>
              <w:top w:val="single" w:sz="4" w:space="0" w:color="auto"/>
              <w:bottom w:val="single" w:sz="12" w:space="0" w:color="auto"/>
            </w:tcBorders>
            <w:vAlign w:val="bottom"/>
          </w:tcPr>
          <w:p w:rsidR="00000000" w:rsidRDefault="00000000">
            <w:pPr>
              <w:jc w:val="center"/>
              <w:rPr>
                <w:i/>
                <w:sz w:val="17"/>
              </w:rPr>
            </w:pPr>
            <w:r>
              <w:rPr>
                <w:i/>
                <w:sz w:val="17"/>
              </w:rPr>
              <w:t>% женщин</w:t>
            </w:r>
          </w:p>
        </w:tc>
      </w:tr>
      <w:tr w:rsidR="00000000">
        <w:tblPrEx>
          <w:tblCellMar>
            <w:top w:w="0" w:type="dxa"/>
            <w:bottom w:w="0" w:type="dxa"/>
          </w:tblCellMar>
        </w:tblPrEx>
        <w:tc>
          <w:tcPr>
            <w:tcW w:w="2035" w:type="dxa"/>
            <w:tcBorders>
              <w:top w:val="single" w:sz="12" w:space="0" w:color="auto"/>
            </w:tcBorders>
          </w:tcPr>
          <w:p w:rsidR="00000000" w:rsidRDefault="00000000">
            <w:pPr>
              <w:ind w:left="252" w:hanging="252"/>
              <w:rPr>
                <w:sz w:val="17"/>
              </w:rPr>
            </w:pPr>
            <w:r>
              <w:rPr>
                <w:sz w:val="17"/>
              </w:rPr>
              <w:t>Общеобразовательные школы (граммат</w:t>
            </w:r>
            <w:r>
              <w:rPr>
                <w:sz w:val="17"/>
              </w:rPr>
              <w:t>и</w:t>
            </w:r>
            <w:r>
              <w:rPr>
                <w:sz w:val="17"/>
              </w:rPr>
              <w:t>ческие шк</w:t>
            </w:r>
            <w:r>
              <w:rPr>
                <w:sz w:val="17"/>
              </w:rPr>
              <w:t>о</w:t>
            </w:r>
            <w:r>
              <w:rPr>
                <w:sz w:val="17"/>
              </w:rPr>
              <w:t>лы)</w:t>
            </w:r>
            <w:r>
              <w:rPr>
                <w:sz w:val="17"/>
                <w:vertAlign w:val="superscript"/>
              </w:rPr>
              <w:t>2 </w:t>
            </w:r>
          </w:p>
        </w:tc>
        <w:tc>
          <w:tcPr>
            <w:tcW w:w="1073" w:type="dxa"/>
            <w:tcBorders>
              <w:top w:val="single" w:sz="12" w:space="0" w:color="auto"/>
            </w:tcBorders>
          </w:tcPr>
          <w:p w:rsidR="00000000" w:rsidRDefault="00000000">
            <w:pPr>
              <w:rPr>
                <w:sz w:val="17"/>
              </w:rPr>
            </w:pPr>
            <w:r>
              <w:rPr>
                <w:sz w:val="17"/>
              </w:rPr>
              <w:t>Мужчины</w:t>
            </w:r>
          </w:p>
        </w:tc>
        <w:tc>
          <w:tcPr>
            <w:tcW w:w="722" w:type="dxa"/>
            <w:tcBorders>
              <w:top w:val="single" w:sz="12" w:space="0" w:color="auto"/>
            </w:tcBorders>
            <w:shd w:val="clear" w:color="auto" w:fill="808080"/>
            <w:vAlign w:val="bottom"/>
          </w:tcPr>
          <w:p w:rsidR="00000000" w:rsidRDefault="00000000">
            <w:pPr>
              <w:pStyle w:val="Header"/>
              <w:tabs>
                <w:tab w:val="clear" w:pos="4320"/>
                <w:tab w:val="clear" w:pos="8640"/>
              </w:tabs>
              <w:spacing w:line="200" w:lineRule="exact"/>
              <w:jc w:val="right"/>
              <w:rPr>
                <w:noProof w:val="0"/>
                <w:spacing w:val="4"/>
                <w:w w:val="103"/>
                <w:kern w:val="14"/>
              </w:rPr>
            </w:pPr>
            <w:r>
              <w:rPr>
                <w:noProof w:val="0"/>
                <w:spacing w:val="4"/>
                <w:w w:val="103"/>
                <w:kern w:val="14"/>
              </w:rPr>
              <w:t>5 204</w:t>
            </w:r>
          </w:p>
        </w:tc>
        <w:tc>
          <w:tcPr>
            <w:tcW w:w="872" w:type="dxa"/>
            <w:tcBorders>
              <w:top w:val="single" w:sz="12" w:space="0" w:color="auto"/>
            </w:tcBorders>
            <w:vAlign w:val="bottom"/>
          </w:tcPr>
          <w:p w:rsidR="00000000" w:rsidRDefault="00000000">
            <w:pPr>
              <w:tabs>
                <w:tab w:val="decimal" w:pos="284"/>
              </w:tabs>
              <w:rPr>
                <w:sz w:val="17"/>
              </w:rPr>
            </w:pPr>
          </w:p>
        </w:tc>
        <w:tc>
          <w:tcPr>
            <w:tcW w:w="722" w:type="dxa"/>
            <w:tcBorders>
              <w:top w:val="single" w:sz="12" w:space="0" w:color="auto"/>
            </w:tcBorders>
            <w:shd w:val="clear" w:color="auto" w:fill="808080"/>
            <w:vAlign w:val="bottom"/>
          </w:tcPr>
          <w:p w:rsidR="00000000" w:rsidRDefault="00000000">
            <w:pPr>
              <w:jc w:val="right"/>
              <w:rPr>
                <w:sz w:val="17"/>
              </w:rPr>
            </w:pPr>
            <w:r>
              <w:rPr>
                <w:sz w:val="17"/>
              </w:rPr>
              <w:t>5 816</w:t>
            </w:r>
          </w:p>
        </w:tc>
        <w:tc>
          <w:tcPr>
            <w:tcW w:w="872" w:type="dxa"/>
            <w:tcBorders>
              <w:top w:val="single" w:sz="12" w:space="0" w:color="auto"/>
            </w:tcBorders>
            <w:vAlign w:val="bottom"/>
          </w:tcPr>
          <w:p w:rsidR="00000000" w:rsidRDefault="00000000">
            <w:pPr>
              <w:tabs>
                <w:tab w:val="decimal" w:pos="284"/>
              </w:tabs>
              <w:rPr>
                <w:sz w:val="17"/>
              </w:rPr>
            </w:pPr>
          </w:p>
        </w:tc>
        <w:tc>
          <w:tcPr>
            <w:tcW w:w="722" w:type="dxa"/>
            <w:tcBorders>
              <w:top w:val="single" w:sz="12" w:space="0" w:color="auto"/>
            </w:tcBorders>
            <w:shd w:val="clear" w:color="auto" w:fill="808080"/>
            <w:vAlign w:val="bottom"/>
          </w:tcPr>
          <w:p w:rsidR="00000000" w:rsidRDefault="00000000">
            <w:pPr>
              <w:jc w:val="right"/>
              <w:rPr>
                <w:sz w:val="17"/>
              </w:rPr>
            </w:pPr>
            <w:r>
              <w:rPr>
                <w:sz w:val="17"/>
              </w:rPr>
              <w:t>5 531</w:t>
            </w:r>
          </w:p>
        </w:tc>
        <w:tc>
          <w:tcPr>
            <w:tcW w:w="872" w:type="dxa"/>
            <w:tcBorders>
              <w:top w:val="single" w:sz="12" w:space="0" w:color="auto"/>
            </w:tcBorders>
            <w:vAlign w:val="bottom"/>
          </w:tcPr>
          <w:p w:rsidR="00000000" w:rsidRDefault="00000000">
            <w:pPr>
              <w:tabs>
                <w:tab w:val="decimal" w:pos="284"/>
              </w:tabs>
              <w:rPr>
                <w:sz w:val="17"/>
              </w:rPr>
            </w:pPr>
          </w:p>
        </w:tc>
        <w:tc>
          <w:tcPr>
            <w:tcW w:w="722" w:type="dxa"/>
            <w:tcBorders>
              <w:top w:val="single" w:sz="12" w:space="0" w:color="auto"/>
            </w:tcBorders>
            <w:shd w:val="clear" w:color="auto" w:fill="808080"/>
            <w:vAlign w:val="bottom"/>
          </w:tcPr>
          <w:p w:rsidR="00000000" w:rsidRDefault="00000000">
            <w:pPr>
              <w:jc w:val="right"/>
              <w:rPr>
                <w:sz w:val="17"/>
              </w:rPr>
            </w:pPr>
            <w:r>
              <w:rPr>
                <w:sz w:val="17"/>
              </w:rPr>
              <w:t>5 368</w:t>
            </w:r>
          </w:p>
        </w:tc>
        <w:tc>
          <w:tcPr>
            <w:tcW w:w="872" w:type="dxa"/>
            <w:tcBorders>
              <w:top w:val="single" w:sz="12" w:space="0" w:color="auto"/>
            </w:tcBorders>
            <w:vAlign w:val="bottom"/>
          </w:tcPr>
          <w:p w:rsidR="00000000" w:rsidRDefault="00000000">
            <w:pPr>
              <w:tabs>
                <w:tab w:val="decimal" w:pos="284"/>
              </w:tabs>
              <w:rPr>
                <w:sz w:val="17"/>
              </w:rPr>
            </w:pPr>
          </w:p>
        </w:tc>
        <w:tc>
          <w:tcPr>
            <w:tcW w:w="722" w:type="dxa"/>
            <w:tcBorders>
              <w:top w:val="single" w:sz="12" w:space="0" w:color="auto"/>
            </w:tcBorders>
            <w:shd w:val="clear" w:color="auto" w:fill="808080"/>
            <w:vAlign w:val="bottom"/>
          </w:tcPr>
          <w:p w:rsidR="00000000" w:rsidRDefault="00000000">
            <w:pPr>
              <w:jc w:val="right"/>
              <w:rPr>
                <w:sz w:val="17"/>
              </w:rPr>
            </w:pPr>
            <w:r>
              <w:rPr>
                <w:sz w:val="17"/>
              </w:rPr>
              <w:t>4 974</w:t>
            </w:r>
          </w:p>
        </w:tc>
        <w:tc>
          <w:tcPr>
            <w:tcW w:w="872" w:type="dxa"/>
            <w:tcBorders>
              <w:top w:val="single" w:sz="12" w:space="0" w:color="auto"/>
            </w:tcBorders>
            <w:vAlign w:val="bottom"/>
          </w:tcPr>
          <w:p w:rsidR="00000000" w:rsidRDefault="00000000">
            <w:pPr>
              <w:tabs>
                <w:tab w:val="decimal" w:pos="284"/>
              </w:tabs>
              <w:rPr>
                <w:sz w:val="17"/>
              </w:rPr>
            </w:pPr>
          </w:p>
        </w:tc>
        <w:tc>
          <w:tcPr>
            <w:tcW w:w="722" w:type="dxa"/>
            <w:tcBorders>
              <w:top w:val="single" w:sz="12" w:space="0" w:color="auto"/>
            </w:tcBorders>
            <w:shd w:val="clear" w:color="auto" w:fill="808080"/>
            <w:vAlign w:val="bottom"/>
          </w:tcPr>
          <w:p w:rsidR="00000000" w:rsidRDefault="00000000">
            <w:pPr>
              <w:jc w:val="right"/>
              <w:rPr>
                <w:sz w:val="17"/>
              </w:rPr>
            </w:pPr>
            <w:r>
              <w:rPr>
                <w:sz w:val="17"/>
              </w:rPr>
              <w:t>5 071</w:t>
            </w:r>
          </w:p>
        </w:tc>
        <w:tc>
          <w:tcPr>
            <w:tcW w:w="616" w:type="dxa"/>
            <w:tcBorders>
              <w:top w:val="single" w:sz="12" w:space="0" w:color="auto"/>
            </w:tcBorders>
            <w:vAlign w:val="bottom"/>
          </w:tcPr>
          <w:p w:rsidR="00000000" w:rsidRDefault="00000000">
            <w:pPr>
              <w:pStyle w:val="Header"/>
              <w:tabs>
                <w:tab w:val="clear" w:pos="4320"/>
                <w:tab w:val="clear" w:pos="8640"/>
                <w:tab w:val="decimal" w:pos="107"/>
              </w:tabs>
              <w:spacing w:line="200" w:lineRule="exact"/>
              <w:rPr>
                <w:noProof w:val="0"/>
                <w:spacing w:val="4"/>
                <w:w w:val="103"/>
                <w:kern w:val="14"/>
              </w:rPr>
            </w:pPr>
          </w:p>
        </w:tc>
      </w:tr>
      <w:tr w:rsidR="00000000">
        <w:tblPrEx>
          <w:tblCellMar>
            <w:top w:w="0" w:type="dxa"/>
            <w:bottom w:w="0" w:type="dxa"/>
          </w:tblCellMar>
        </w:tblPrEx>
        <w:tc>
          <w:tcPr>
            <w:tcW w:w="2035" w:type="dxa"/>
          </w:tcPr>
          <w:p w:rsidR="00000000" w:rsidRDefault="00000000">
            <w:pPr>
              <w:rPr>
                <w:sz w:val="17"/>
              </w:rPr>
            </w:pPr>
            <w:r>
              <w:rPr>
                <w:sz w:val="17"/>
              </w:rPr>
              <w:t>(5-12 класс)</w:t>
            </w:r>
          </w:p>
        </w:tc>
        <w:tc>
          <w:tcPr>
            <w:tcW w:w="1073" w:type="dxa"/>
          </w:tcPr>
          <w:p w:rsidR="00000000" w:rsidRDefault="00000000">
            <w:pPr>
              <w:rPr>
                <w:sz w:val="17"/>
              </w:rPr>
            </w:pPr>
            <w:r>
              <w:rPr>
                <w:sz w:val="17"/>
              </w:rPr>
              <w:t>Женщины</w:t>
            </w:r>
          </w:p>
        </w:tc>
        <w:tc>
          <w:tcPr>
            <w:tcW w:w="722" w:type="dxa"/>
            <w:shd w:val="clear" w:color="auto" w:fill="808080"/>
            <w:vAlign w:val="bottom"/>
          </w:tcPr>
          <w:p w:rsidR="00000000" w:rsidRDefault="00000000">
            <w:pPr>
              <w:jc w:val="right"/>
              <w:rPr>
                <w:sz w:val="17"/>
              </w:rPr>
            </w:pPr>
            <w:r>
              <w:rPr>
                <w:sz w:val="17"/>
              </w:rPr>
              <w:t>5 820</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7 246</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7 277</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6 980</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6 478</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6 551</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sz w:val="17"/>
              </w:rPr>
            </w:pPr>
            <w:r>
              <w:rPr>
                <w:sz w:val="17"/>
              </w:rPr>
              <w:t>Всего</w:t>
            </w:r>
          </w:p>
        </w:tc>
        <w:tc>
          <w:tcPr>
            <w:tcW w:w="722" w:type="dxa"/>
            <w:shd w:val="clear" w:color="auto" w:fill="808080"/>
            <w:vAlign w:val="bottom"/>
          </w:tcPr>
          <w:p w:rsidR="00000000" w:rsidRDefault="00000000">
            <w:pPr>
              <w:jc w:val="right"/>
              <w:rPr>
                <w:sz w:val="17"/>
              </w:rPr>
            </w:pPr>
            <w:r>
              <w:rPr>
                <w:sz w:val="17"/>
              </w:rPr>
              <w:t>11 024</w:t>
            </w:r>
          </w:p>
        </w:tc>
        <w:tc>
          <w:tcPr>
            <w:tcW w:w="872" w:type="dxa"/>
            <w:vAlign w:val="bottom"/>
          </w:tcPr>
          <w:p w:rsidR="00000000" w:rsidRDefault="00000000">
            <w:pPr>
              <w:tabs>
                <w:tab w:val="decimal" w:pos="284"/>
              </w:tabs>
              <w:rPr>
                <w:sz w:val="17"/>
              </w:rPr>
            </w:pPr>
            <w:r>
              <w:rPr>
                <w:sz w:val="17"/>
              </w:rPr>
              <w:t>52,8</w:t>
            </w:r>
          </w:p>
        </w:tc>
        <w:tc>
          <w:tcPr>
            <w:tcW w:w="722" w:type="dxa"/>
            <w:shd w:val="clear" w:color="auto" w:fill="808080"/>
            <w:vAlign w:val="bottom"/>
          </w:tcPr>
          <w:p w:rsidR="00000000" w:rsidRDefault="00000000">
            <w:pPr>
              <w:jc w:val="right"/>
              <w:rPr>
                <w:sz w:val="17"/>
              </w:rPr>
            </w:pPr>
            <w:r>
              <w:rPr>
                <w:sz w:val="17"/>
              </w:rPr>
              <w:t>13 062</w:t>
            </w:r>
          </w:p>
        </w:tc>
        <w:tc>
          <w:tcPr>
            <w:tcW w:w="872" w:type="dxa"/>
            <w:vAlign w:val="bottom"/>
          </w:tcPr>
          <w:p w:rsidR="00000000" w:rsidRDefault="00000000">
            <w:pPr>
              <w:tabs>
                <w:tab w:val="decimal" w:pos="284"/>
              </w:tabs>
              <w:rPr>
                <w:sz w:val="17"/>
              </w:rPr>
            </w:pPr>
            <w:r>
              <w:rPr>
                <w:sz w:val="17"/>
              </w:rPr>
              <w:t>55,5</w:t>
            </w:r>
          </w:p>
        </w:tc>
        <w:tc>
          <w:tcPr>
            <w:tcW w:w="722" w:type="dxa"/>
            <w:shd w:val="clear" w:color="auto" w:fill="808080"/>
            <w:vAlign w:val="bottom"/>
          </w:tcPr>
          <w:p w:rsidR="00000000" w:rsidRDefault="00000000">
            <w:pPr>
              <w:jc w:val="right"/>
              <w:rPr>
                <w:sz w:val="17"/>
              </w:rPr>
            </w:pPr>
            <w:r>
              <w:rPr>
                <w:sz w:val="17"/>
              </w:rPr>
              <w:t>12 808</w:t>
            </w:r>
          </w:p>
        </w:tc>
        <w:tc>
          <w:tcPr>
            <w:tcW w:w="872" w:type="dxa"/>
            <w:vAlign w:val="bottom"/>
          </w:tcPr>
          <w:p w:rsidR="00000000" w:rsidRDefault="00000000">
            <w:pPr>
              <w:tabs>
                <w:tab w:val="decimal" w:pos="284"/>
              </w:tabs>
              <w:rPr>
                <w:sz w:val="17"/>
              </w:rPr>
            </w:pPr>
            <w:r>
              <w:rPr>
                <w:sz w:val="17"/>
              </w:rPr>
              <w:t>56,8</w:t>
            </w:r>
          </w:p>
        </w:tc>
        <w:tc>
          <w:tcPr>
            <w:tcW w:w="722" w:type="dxa"/>
            <w:shd w:val="clear" w:color="auto" w:fill="808080"/>
            <w:vAlign w:val="bottom"/>
          </w:tcPr>
          <w:p w:rsidR="00000000" w:rsidRDefault="00000000">
            <w:pPr>
              <w:jc w:val="right"/>
              <w:rPr>
                <w:sz w:val="17"/>
              </w:rPr>
            </w:pPr>
            <w:r>
              <w:rPr>
                <w:sz w:val="17"/>
              </w:rPr>
              <w:t>12 348</w:t>
            </w:r>
          </w:p>
        </w:tc>
        <w:tc>
          <w:tcPr>
            <w:tcW w:w="872" w:type="dxa"/>
            <w:vAlign w:val="bottom"/>
          </w:tcPr>
          <w:p w:rsidR="00000000" w:rsidRDefault="00000000">
            <w:pPr>
              <w:tabs>
                <w:tab w:val="decimal" w:pos="284"/>
              </w:tabs>
              <w:rPr>
                <w:sz w:val="17"/>
              </w:rPr>
            </w:pPr>
            <w:r>
              <w:rPr>
                <w:sz w:val="17"/>
              </w:rPr>
              <w:t>56,5</w:t>
            </w:r>
          </w:p>
        </w:tc>
        <w:tc>
          <w:tcPr>
            <w:tcW w:w="722" w:type="dxa"/>
            <w:shd w:val="clear" w:color="auto" w:fill="808080"/>
            <w:vAlign w:val="bottom"/>
          </w:tcPr>
          <w:p w:rsidR="00000000" w:rsidRDefault="00000000">
            <w:pPr>
              <w:jc w:val="right"/>
              <w:rPr>
                <w:sz w:val="17"/>
              </w:rPr>
            </w:pPr>
            <w:r>
              <w:rPr>
                <w:sz w:val="17"/>
              </w:rPr>
              <w:t>11 452</w:t>
            </w:r>
          </w:p>
        </w:tc>
        <w:tc>
          <w:tcPr>
            <w:tcW w:w="872" w:type="dxa"/>
            <w:vAlign w:val="bottom"/>
          </w:tcPr>
          <w:p w:rsidR="00000000" w:rsidRDefault="00000000">
            <w:pPr>
              <w:tabs>
                <w:tab w:val="decimal" w:pos="284"/>
              </w:tabs>
              <w:rPr>
                <w:sz w:val="17"/>
              </w:rPr>
            </w:pPr>
            <w:r>
              <w:rPr>
                <w:sz w:val="17"/>
              </w:rPr>
              <w:t>56,6</w:t>
            </w:r>
          </w:p>
        </w:tc>
        <w:tc>
          <w:tcPr>
            <w:tcW w:w="722" w:type="dxa"/>
            <w:shd w:val="clear" w:color="auto" w:fill="808080"/>
            <w:vAlign w:val="bottom"/>
          </w:tcPr>
          <w:p w:rsidR="00000000" w:rsidRDefault="00000000">
            <w:pPr>
              <w:jc w:val="right"/>
              <w:rPr>
                <w:sz w:val="17"/>
              </w:rPr>
            </w:pPr>
            <w:r>
              <w:rPr>
                <w:sz w:val="17"/>
              </w:rPr>
              <w:t>11 622</w:t>
            </w:r>
          </w:p>
        </w:tc>
        <w:tc>
          <w:tcPr>
            <w:tcW w:w="616" w:type="dxa"/>
            <w:vAlign w:val="bottom"/>
          </w:tcPr>
          <w:p w:rsidR="00000000" w:rsidRDefault="00000000">
            <w:pPr>
              <w:tabs>
                <w:tab w:val="decimal" w:pos="107"/>
              </w:tabs>
              <w:rPr>
                <w:sz w:val="17"/>
              </w:rPr>
            </w:pPr>
            <w:r>
              <w:rPr>
                <w:sz w:val="17"/>
              </w:rPr>
              <w:t>56,4</w:t>
            </w:r>
          </w:p>
        </w:tc>
      </w:tr>
      <w:tr w:rsidR="00000000">
        <w:tblPrEx>
          <w:tblCellMar>
            <w:top w:w="0" w:type="dxa"/>
            <w:bottom w:w="0" w:type="dxa"/>
          </w:tblCellMar>
        </w:tblPrEx>
        <w:tc>
          <w:tcPr>
            <w:tcW w:w="2035" w:type="dxa"/>
          </w:tcPr>
          <w:p w:rsidR="00000000" w:rsidRDefault="00000000">
            <w:pPr>
              <w:rPr>
                <w:sz w:val="17"/>
              </w:rPr>
            </w:pPr>
            <w:r>
              <w:rPr>
                <w:sz w:val="17"/>
              </w:rPr>
              <w:t>Грамматические шк</w:t>
            </w:r>
            <w:r>
              <w:rPr>
                <w:sz w:val="17"/>
              </w:rPr>
              <w:t>о</w:t>
            </w:r>
            <w:r>
              <w:rPr>
                <w:sz w:val="17"/>
              </w:rPr>
              <w:t xml:space="preserve">лы </w:t>
            </w:r>
          </w:p>
        </w:tc>
        <w:tc>
          <w:tcPr>
            <w:tcW w:w="1073" w:type="dxa"/>
          </w:tcPr>
          <w:p w:rsidR="00000000" w:rsidRDefault="00000000">
            <w:pPr>
              <w:rPr>
                <w:sz w:val="17"/>
              </w:rPr>
            </w:pPr>
            <w:r>
              <w:rPr>
                <w:sz w:val="17"/>
              </w:rPr>
              <w:t>Мужчины</w:t>
            </w:r>
          </w:p>
        </w:tc>
        <w:tc>
          <w:tcPr>
            <w:tcW w:w="722" w:type="dxa"/>
            <w:shd w:val="clear" w:color="auto" w:fill="808080"/>
            <w:vAlign w:val="bottom"/>
          </w:tcPr>
          <w:p w:rsidR="00000000" w:rsidRDefault="00000000">
            <w:pPr>
              <w:jc w:val="right"/>
              <w:rPr>
                <w:sz w:val="17"/>
              </w:rPr>
            </w:pPr>
            <w:r>
              <w:rPr>
                <w:sz w:val="17"/>
              </w:rPr>
              <w:t>1 730</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1 725</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1 617</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1 573</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1 493</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1 551</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r>
              <w:rPr>
                <w:sz w:val="17"/>
              </w:rPr>
              <w:t>(9-12 класс)</w:t>
            </w:r>
          </w:p>
        </w:tc>
        <w:tc>
          <w:tcPr>
            <w:tcW w:w="1073" w:type="dxa"/>
          </w:tcPr>
          <w:p w:rsidR="00000000" w:rsidRDefault="00000000">
            <w:pPr>
              <w:rPr>
                <w:sz w:val="17"/>
              </w:rPr>
            </w:pPr>
            <w:r>
              <w:rPr>
                <w:sz w:val="17"/>
              </w:rPr>
              <w:t>Женщины</w:t>
            </w:r>
          </w:p>
        </w:tc>
        <w:tc>
          <w:tcPr>
            <w:tcW w:w="722" w:type="dxa"/>
            <w:shd w:val="clear" w:color="auto" w:fill="808080"/>
            <w:vAlign w:val="bottom"/>
          </w:tcPr>
          <w:p w:rsidR="00000000" w:rsidRDefault="00000000">
            <w:pPr>
              <w:jc w:val="right"/>
              <w:rPr>
                <w:sz w:val="17"/>
              </w:rPr>
            </w:pPr>
            <w:r>
              <w:rPr>
                <w:sz w:val="17"/>
              </w:rPr>
              <w:t>2 357</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3 221</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3 182</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2 944</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2 825</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2 779</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sz w:val="17"/>
              </w:rPr>
            </w:pPr>
            <w:r>
              <w:rPr>
                <w:sz w:val="17"/>
              </w:rPr>
              <w:t>Всего</w:t>
            </w:r>
          </w:p>
        </w:tc>
        <w:tc>
          <w:tcPr>
            <w:tcW w:w="722" w:type="dxa"/>
            <w:shd w:val="clear" w:color="auto" w:fill="808080"/>
            <w:vAlign w:val="bottom"/>
          </w:tcPr>
          <w:p w:rsidR="00000000" w:rsidRDefault="00000000">
            <w:pPr>
              <w:jc w:val="right"/>
              <w:rPr>
                <w:sz w:val="17"/>
              </w:rPr>
            </w:pPr>
            <w:r>
              <w:rPr>
                <w:sz w:val="17"/>
              </w:rPr>
              <w:t>4 087</w:t>
            </w:r>
          </w:p>
        </w:tc>
        <w:tc>
          <w:tcPr>
            <w:tcW w:w="872" w:type="dxa"/>
            <w:vAlign w:val="bottom"/>
          </w:tcPr>
          <w:p w:rsidR="00000000" w:rsidRDefault="00000000">
            <w:pPr>
              <w:tabs>
                <w:tab w:val="decimal" w:pos="284"/>
              </w:tabs>
              <w:rPr>
                <w:sz w:val="17"/>
              </w:rPr>
            </w:pPr>
            <w:r>
              <w:rPr>
                <w:sz w:val="17"/>
              </w:rPr>
              <w:t>57,7</w:t>
            </w:r>
          </w:p>
        </w:tc>
        <w:tc>
          <w:tcPr>
            <w:tcW w:w="722" w:type="dxa"/>
            <w:shd w:val="clear" w:color="auto" w:fill="808080"/>
            <w:vAlign w:val="bottom"/>
          </w:tcPr>
          <w:p w:rsidR="00000000" w:rsidRDefault="00000000">
            <w:pPr>
              <w:jc w:val="right"/>
              <w:rPr>
                <w:sz w:val="17"/>
              </w:rPr>
            </w:pPr>
            <w:r>
              <w:rPr>
                <w:sz w:val="17"/>
              </w:rPr>
              <w:t>4 946</w:t>
            </w:r>
          </w:p>
        </w:tc>
        <w:tc>
          <w:tcPr>
            <w:tcW w:w="872" w:type="dxa"/>
            <w:vAlign w:val="bottom"/>
          </w:tcPr>
          <w:p w:rsidR="00000000" w:rsidRDefault="00000000">
            <w:pPr>
              <w:tabs>
                <w:tab w:val="decimal" w:pos="284"/>
              </w:tabs>
              <w:rPr>
                <w:sz w:val="17"/>
              </w:rPr>
            </w:pPr>
            <w:r>
              <w:rPr>
                <w:sz w:val="17"/>
              </w:rPr>
              <w:t>65,1</w:t>
            </w:r>
          </w:p>
        </w:tc>
        <w:tc>
          <w:tcPr>
            <w:tcW w:w="722" w:type="dxa"/>
            <w:shd w:val="clear" w:color="auto" w:fill="808080"/>
            <w:vAlign w:val="bottom"/>
          </w:tcPr>
          <w:p w:rsidR="00000000" w:rsidRDefault="00000000">
            <w:pPr>
              <w:jc w:val="right"/>
              <w:rPr>
                <w:sz w:val="17"/>
              </w:rPr>
            </w:pPr>
            <w:r>
              <w:rPr>
                <w:sz w:val="17"/>
              </w:rPr>
              <w:t>4 799</w:t>
            </w:r>
          </w:p>
        </w:tc>
        <w:tc>
          <w:tcPr>
            <w:tcW w:w="872" w:type="dxa"/>
            <w:vAlign w:val="bottom"/>
          </w:tcPr>
          <w:p w:rsidR="00000000" w:rsidRDefault="00000000">
            <w:pPr>
              <w:tabs>
                <w:tab w:val="decimal" w:pos="284"/>
              </w:tabs>
              <w:rPr>
                <w:sz w:val="17"/>
              </w:rPr>
            </w:pPr>
            <w:r>
              <w:rPr>
                <w:sz w:val="17"/>
              </w:rPr>
              <w:t>66,3</w:t>
            </w:r>
          </w:p>
        </w:tc>
        <w:tc>
          <w:tcPr>
            <w:tcW w:w="722" w:type="dxa"/>
            <w:shd w:val="clear" w:color="auto" w:fill="808080"/>
            <w:vAlign w:val="bottom"/>
          </w:tcPr>
          <w:p w:rsidR="00000000" w:rsidRDefault="00000000">
            <w:pPr>
              <w:jc w:val="right"/>
              <w:rPr>
                <w:sz w:val="17"/>
              </w:rPr>
            </w:pPr>
            <w:r>
              <w:rPr>
                <w:sz w:val="17"/>
              </w:rPr>
              <w:t>4 517</w:t>
            </w:r>
          </w:p>
        </w:tc>
        <w:tc>
          <w:tcPr>
            <w:tcW w:w="872" w:type="dxa"/>
            <w:vAlign w:val="bottom"/>
          </w:tcPr>
          <w:p w:rsidR="00000000" w:rsidRDefault="00000000">
            <w:pPr>
              <w:tabs>
                <w:tab w:val="decimal" w:pos="284"/>
              </w:tabs>
              <w:rPr>
                <w:sz w:val="17"/>
              </w:rPr>
            </w:pPr>
            <w:r>
              <w:rPr>
                <w:sz w:val="17"/>
              </w:rPr>
              <w:t>65,2</w:t>
            </w:r>
          </w:p>
        </w:tc>
        <w:tc>
          <w:tcPr>
            <w:tcW w:w="722" w:type="dxa"/>
            <w:shd w:val="clear" w:color="auto" w:fill="808080"/>
            <w:vAlign w:val="bottom"/>
          </w:tcPr>
          <w:p w:rsidR="00000000" w:rsidRDefault="00000000">
            <w:pPr>
              <w:jc w:val="right"/>
              <w:rPr>
                <w:sz w:val="17"/>
              </w:rPr>
            </w:pPr>
            <w:r>
              <w:rPr>
                <w:sz w:val="17"/>
              </w:rPr>
              <w:t>4 318</w:t>
            </w:r>
          </w:p>
        </w:tc>
        <w:tc>
          <w:tcPr>
            <w:tcW w:w="872" w:type="dxa"/>
            <w:vAlign w:val="bottom"/>
          </w:tcPr>
          <w:p w:rsidR="00000000" w:rsidRDefault="00000000">
            <w:pPr>
              <w:tabs>
                <w:tab w:val="decimal" w:pos="284"/>
              </w:tabs>
              <w:rPr>
                <w:sz w:val="17"/>
              </w:rPr>
            </w:pPr>
            <w:r>
              <w:rPr>
                <w:sz w:val="17"/>
              </w:rPr>
              <w:t>65,4</w:t>
            </w:r>
          </w:p>
        </w:tc>
        <w:tc>
          <w:tcPr>
            <w:tcW w:w="722" w:type="dxa"/>
            <w:shd w:val="clear" w:color="auto" w:fill="808080"/>
            <w:vAlign w:val="bottom"/>
          </w:tcPr>
          <w:p w:rsidR="00000000" w:rsidRDefault="00000000">
            <w:pPr>
              <w:jc w:val="right"/>
              <w:rPr>
                <w:sz w:val="17"/>
              </w:rPr>
            </w:pPr>
            <w:r>
              <w:rPr>
                <w:sz w:val="17"/>
              </w:rPr>
              <w:t>4 330</w:t>
            </w:r>
          </w:p>
        </w:tc>
        <w:tc>
          <w:tcPr>
            <w:tcW w:w="616" w:type="dxa"/>
            <w:vAlign w:val="bottom"/>
          </w:tcPr>
          <w:p w:rsidR="00000000" w:rsidRDefault="00000000">
            <w:pPr>
              <w:tabs>
                <w:tab w:val="decimal" w:pos="107"/>
              </w:tabs>
              <w:rPr>
                <w:sz w:val="17"/>
              </w:rPr>
            </w:pPr>
            <w:r>
              <w:rPr>
                <w:sz w:val="17"/>
              </w:rPr>
              <w:t>64,2</w:t>
            </w:r>
          </w:p>
        </w:tc>
      </w:tr>
      <w:tr w:rsidR="00000000">
        <w:tblPrEx>
          <w:tblCellMar>
            <w:top w:w="0" w:type="dxa"/>
            <w:bottom w:w="0" w:type="dxa"/>
          </w:tblCellMar>
        </w:tblPrEx>
        <w:tc>
          <w:tcPr>
            <w:tcW w:w="2035" w:type="dxa"/>
          </w:tcPr>
          <w:p w:rsidR="00000000" w:rsidRDefault="00000000">
            <w:pPr>
              <w:rPr>
                <w:sz w:val="17"/>
              </w:rPr>
            </w:pPr>
            <w:r>
              <w:rPr>
                <w:sz w:val="17"/>
              </w:rPr>
              <w:t xml:space="preserve">Общеобразовательные школы </w:t>
            </w:r>
          </w:p>
        </w:tc>
        <w:tc>
          <w:tcPr>
            <w:tcW w:w="1073" w:type="dxa"/>
          </w:tcPr>
          <w:p w:rsidR="00000000" w:rsidRDefault="00000000">
            <w:pPr>
              <w:rPr>
                <w:sz w:val="17"/>
              </w:rPr>
            </w:pPr>
            <w:r>
              <w:rPr>
                <w:sz w:val="17"/>
              </w:rPr>
              <w:t>Мужчины</w:t>
            </w:r>
          </w:p>
        </w:tc>
        <w:tc>
          <w:tcPr>
            <w:tcW w:w="722" w:type="dxa"/>
            <w:shd w:val="clear" w:color="auto" w:fill="808080"/>
            <w:vAlign w:val="bottom"/>
          </w:tcPr>
          <w:p w:rsidR="00000000" w:rsidRDefault="00000000">
            <w:pPr>
              <w:jc w:val="right"/>
              <w:rPr>
                <w:sz w:val="17"/>
              </w:rPr>
            </w:pPr>
            <w:r>
              <w:rPr>
                <w:sz w:val="17"/>
              </w:rPr>
              <w:t>234</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227</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202</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183</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175</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158</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r>
              <w:rPr>
                <w:sz w:val="17"/>
              </w:rPr>
              <w:t>(специальных типов)</w:t>
            </w:r>
            <w:r>
              <w:rPr>
                <w:sz w:val="17"/>
                <w:vertAlign w:val="superscript"/>
              </w:rPr>
              <w:t>3</w:t>
            </w:r>
          </w:p>
        </w:tc>
        <w:tc>
          <w:tcPr>
            <w:tcW w:w="1073" w:type="dxa"/>
          </w:tcPr>
          <w:p w:rsidR="00000000" w:rsidRDefault="00000000">
            <w:pPr>
              <w:rPr>
                <w:sz w:val="17"/>
              </w:rPr>
            </w:pPr>
            <w:r>
              <w:rPr>
                <w:sz w:val="17"/>
              </w:rPr>
              <w:t>Женщины</w:t>
            </w:r>
          </w:p>
        </w:tc>
        <w:tc>
          <w:tcPr>
            <w:tcW w:w="722" w:type="dxa"/>
            <w:shd w:val="clear" w:color="auto" w:fill="808080"/>
            <w:vAlign w:val="bottom"/>
          </w:tcPr>
          <w:p w:rsidR="00000000" w:rsidRDefault="00000000">
            <w:pPr>
              <w:jc w:val="right"/>
              <w:rPr>
                <w:sz w:val="17"/>
              </w:rPr>
            </w:pPr>
            <w:r>
              <w:rPr>
                <w:sz w:val="17"/>
              </w:rPr>
              <w:t>128</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253</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239</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207</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236</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208</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sz w:val="17"/>
              </w:rPr>
            </w:pPr>
            <w:r>
              <w:rPr>
                <w:sz w:val="17"/>
              </w:rPr>
              <w:t>Всего</w:t>
            </w:r>
          </w:p>
        </w:tc>
        <w:tc>
          <w:tcPr>
            <w:tcW w:w="722" w:type="dxa"/>
            <w:shd w:val="clear" w:color="auto" w:fill="808080"/>
            <w:vAlign w:val="bottom"/>
          </w:tcPr>
          <w:p w:rsidR="00000000" w:rsidRDefault="00000000">
            <w:pPr>
              <w:jc w:val="right"/>
              <w:rPr>
                <w:sz w:val="17"/>
              </w:rPr>
            </w:pPr>
            <w:r>
              <w:rPr>
                <w:sz w:val="17"/>
              </w:rPr>
              <w:t>362</w:t>
            </w:r>
          </w:p>
        </w:tc>
        <w:tc>
          <w:tcPr>
            <w:tcW w:w="872" w:type="dxa"/>
            <w:vAlign w:val="bottom"/>
          </w:tcPr>
          <w:p w:rsidR="00000000" w:rsidRDefault="00000000">
            <w:pPr>
              <w:tabs>
                <w:tab w:val="decimal" w:pos="284"/>
              </w:tabs>
              <w:rPr>
                <w:sz w:val="17"/>
              </w:rPr>
            </w:pPr>
            <w:r>
              <w:rPr>
                <w:sz w:val="17"/>
              </w:rPr>
              <w:t>35,4</w:t>
            </w:r>
          </w:p>
        </w:tc>
        <w:tc>
          <w:tcPr>
            <w:tcW w:w="722" w:type="dxa"/>
            <w:shd w:val="clear" w:color="auto" w:fill="808080"/>
            <w:vAlign w:val="bottom"/>
          </w:tcPr>
          <w:p w:rsidR="00000000" w:rsidRDefault="00000000">
            <w:pPr>
              <w:jc w:val="right"/>
              <w:rPr>
                <w:sz w:val="17"/>
              </w:rPr>
            </w:pPr>
            <w:r>
              <w:rPr>
                <w:sz w:val="17"/>
              </w:rPr>
              <w:t>480</w:t>
            </w:r>
          </w:p>
        </w:tc>
        <w:tc>
          <w:tcPr>
            <w:tcW w:w="872" w:type="dxa"/>
            <w:vAlign w:val="bottom"/>
          </w:tcPr>
          <w:p w:rsidR="00000000" w:rsidRDefault="00000000">
            <w:pPr>
              <w:tabs>
                <w:tab w:val="decimal" w:pos="284"/>
              </w:tabs>
              <w:rPr>
                <w:sz w:val="17"/>
              </w:rPr>
            </w:pPr>
            <w:r>
              <w:rPr>
                <w:sz w:val="17"/>
              </w:rPr>
              <w:t>52,7</w:t>
            </w:r>
          </w:p>
        </w:tc>
        <w:tc>
          <w:tcPr>
            <w:tcW w:w="722" w:type="dxa"/>
            <w:shd w:val="clear" w:color="auto" w:fill="808080"/>
            <w:vAlign w:val="bottom"/>
          </w:tcPr>
          <w:p w:rsidR="00000000" w:rsidRDefault="00000000">
            <w:pPr>
              <w:jc w:val="right"/>
              <w:rPr>
                <w:sz w:val="17"/>
              </w:rPr>
            </w:pPr>
            <w:r>
              <w:rPr>
                <w:sz w:val="17"/>
              </w:rPr>
              <w:t>441</w:t>
            </w:r>
          </w:p>
        </w:tc>
        <w:tc>
          <w:tcPr>
            <w:tcW w:w="872" w:type="dxa"/>
            <w:vAlign w:val="bottom"/>
          </w:tcPr>
          <w:p w:rsidR="00000000" w:rsidRDefault="00000000">
            <w:pPr>
              <w:tabs>
                <w:tab w:val="decimal" w:pos="284"/>
              </w:tabs>
              <w:rPr>
                <w:sz w:val="17"/>
              </w:rPr>
            </w:pPr>
            <w:r>
              <w:rPr>
                <w:sz w:val="17"/>
              </w:rPr>
              <w:t>54,2</w:t>
            </w:r>
          </w:p>
        </w:tc>
        <w:tc>
          <w:tcPr>
            <w:tcW w:w="722" w:type="dxa"/>
            <w:shd w:val="clear" w:color="auto" w:fill="808080"/>
            <w:vAlign w:val="bottom"/>
          </w:tcPr>
          <w:p w:rsidR="00000000" w:rsidRDefault="00000000">
            <w:pPr>
              <w:jc w:val="right"/>
              <w:rPr>
                <w:sz w:val="17"/>
              </w:rPr>
            </w:pPr>
            <w:r>
              <w:rPr>
                <w:sz w:val="17"/>
              </w:rPr>
              <w:t>390</w:t>
            </w:r>
          </w:p>
        </w:tc>
        <w:tc>
          <w:tcPr>
            <w:tcW w:w="872" w:type="dxa"/>
            <w:vAlign w:val="bottom"/>
          </w:tcPr>
          <w:p w:rsidR="00000000" w:rsidRDefault="00000000">
            <w:pPr>
              <w:tabs>
                <w:tab w:val="decimal" w:pos="284"/>
              </w:tabs>
              <w:rPr>
                <w:sz w:val="17"/>
              </w:rPr>
            </w:pPr>
            <w:r>
              <w:rPr>
                <w:sz w:val="17"/>
              </w:rPr>
              <w:t>53,1</w:t>
            </w:r>
          </w:p>
        </w:tc>
        <w:tc>
          <w:tcPr>
            <w:tcW w:w="722" w:type="dxa"/>
            <w:shd w:val="clear" w:color="auto" w:fill="808080"/>
            <w:vAlign w:val="bottom"/>
          </w:tcPr>
          <w:p w:rsidR="00000000" w:rsidRDefault="00000000">
            <w:pPr>
              <w:jc w:val="right"/>
              <w:rPr>
                <w:sz w:val="17"/>
              </w:rPr>
            </w:pPr>
            <w:r>
              <w:rPr>
                <w:sz w:val="17"/>
              </w:rPr>
              <w:t>411</w:t>
            </w:r>
          </w:p>
        </w:tc>
        <w:tc>
          <w:tcPr>
            <w:tcW w:w="872" w:type="dxa"/>
            <w:vAlign w:val="bottom"/>
          </w:tcPr>
          <w:p w:rsidR="00000000" w:rsidRDefault="00000000">
            <w:pPr>
              <w:tabs>
                <w:tab w:val="decimal" w:pos="284"/>
              </w:tabs>
              <w:rPr>
                <w:sz w:val="17"/>
              </w:rPr>
            </w:pPr>
            <w:r>
              <w:rPr>
                <w:sz w:val="17"/>
              </w:rPr>
              <w:t>57,4</w:t>
            </w:r>
          </w:p>
        </w:tc>
        <w:tc>
          <w:tcPr>
            <w:tcW w:w="722" w:type="dxa"/>
            <w:shd w:val="clear" w:color="auto" w:fill="808080"/>
            <w:vAlign w:val="bottom"/>
          </w:tcPr>
          <w:p w:rsidR="00000000" w:rsidRDefault="00000000">
            <w:pPr>
              <w:jc w:val="right"/>
              <w:rPr>
                <w:sz w:val="17"/>
              </w:rPr>
            </w:pPr>
            <w:r>
              <w:rPr>
                <w:sz w:val="17"/>
              </w:rPr>
              <w:t>366</w:t>
            </w:r>
          </w:p>
        </w:tc>
        <w:tc>
          <w:tcPr>
            <w:tcW w:w="616" w:type="dxa"/>
            <w:vAlign w:val="bottom"/>
          </w:tcPr>
          <w:p w:rsidR="00000000" w:rsidRDefault="00000000">
            <w:pPr>
              <w:tabs>
                <w:tab w:val="decimal" w:pos="107"/>
              </w:tabs>
              <w:rPr>
                <w:sz w:val="17"/>
              </w:rPr>
            </w:pPr>
            <w:r>
              <w:rPr>
                <w:sz w:val="17"/>
              </w:rPr>
              <w:t>56,8</w:t>
            </w:r>
          </w:p>
        </w:tc>
      </w:tr>
      <w:tr w:rsidR="00000000">
        <w:tblPrEx>
          <w:tblCellMar>
            <w:top w:w="0" w:type="dxa"/>
            <w:bottom w:w="0" w:type="dxa"/>
          </w:tblCellMar>
        </w:tblPrEx>
        <w:tc>
          <w:tcPr>
            <w:tcW w:w="2035" w:type="dxa"/>
          </w:tcPr>
          <w:p w:rsidR="00000000" w:rsidRDefault="00000000">
            <w:pPr>
              <w:rPr>
                <w:b/>
                <w:sz w:val="17"/>
              </w:rPr>
            </w:pPr>
            <w:r>
              <w:rPr>
                <w:b/>
                <w:sz w:val="17"/>
              </w:rPr>
              <w:t>Средние общеобраз</w:t>
            </w:r>
            <w:r>
              <w:rPr>
                <w:b/>
                <w:sz w:val="17"/>
              </w:rPr>
              <w:t>о</w:t>
            </w:r>
            <w:r>
              <w:rPr>
                <w:b/>
                <w:sz w:val="17"/>
              </w:rPr>
              <w:t>вательные школы, всего</w:t>
            </w:r>
          </w:p>
        </w:tc>
        <w:tc>
          <w:tcPr>
            <w:tcW w:w="1073" w:type="dxa"/>
          </w:tcPr>
          <w:p w:rsidR="00000000" w:rsidRDefault="00000000">
            <w:pPr>
              <w:rPr>
                <w:b/>
                <w:sz w:val="17"/>
              </w:rPr>
            </w:pPr>
            <w:r>
              <w:rPr>
                <w:b/>
                <w:sz w:val="17"/>
              </w:rPr>
              <w:t>Мужчины</w:t>
            </w:r>
          </w:p>
        </w:tc>
        <w:tc>
          <w:tcPr>
            <w:tcW w:w="722" w:type="dxa"/>
            <w:shd w:val="clear" w:color="auto" w:fill="808080"/>
            <w:vAlign w:val="bottom"/>
          </w:tcPr>
          <w:p w:rsidR="00000000" w:rsidRDefault="00000000">
            <w:pPr>
              <w:jc w:val="right"/>
              <w:rPr>
                <w:b/>
                <w:sz w:val="17"/>
              </w:rPr>
            </w:pPr>
            <w:r>
              <w:rPr>
                <w:b/>
                <w:sz w:val="17"/>
              </w:rPr>
              <w:t>7 168</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7 768</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7 350</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7 124</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6 642</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6 780</w:t>
            </w:r>
          </w:p>
        </w:tc>
        <w:tc>
          <w:tcPr>
            <w:tcW w:w="616" w:type="dxa"/>
            <w:vAlign w:val="bottom"/>
          </w:tcPr>
          <w:p w:rsidR="00000000" w:rsidRDefault="00000000">
            <w:pPr>
              <w:tabs>
                <w:tab w:val="decimal" w:pos="107"/>
              </w:tabs>
              <w:rPr>
                <w:b/>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b/>
                <w:sz w:val="17"/>
              </w:rPr>
            </w:pPr>
            <w:r>
              <w:rPr>
                <w:b/>
                <w:sz w:val="17"/>
              </w:rPr>
              <w:t>Женщ</w:t>
            </w:r>
            <w:r>
              <w:rPr>
                <w:b/>
                <w:sz w:val="17"/>
              </w:rPr>
              <w:t>и</w:t>
            </w:r>
            <w:r>
              <w:rPr>
                <w:b/>
                <w:sz w:val="17"/>
              </w:rPr>
              <w:t>ны</w:t>
            </w:r>
          </w:p>
        </w:tc>
        <w:tc>
          <w:tcPr>
            <w:tcW w:w="722" w:type="dxa"/>
            <w:shd w:val="clear" w:color="auto" w:fill="808080"/>
            <w:vAlign w:val="bottom"/>
          </w:tcPr>
          <w:p w:rsidR="00000000" w:rsidRDefault="00000000">
            <w:pPr>
              <w:jc w:val="right"/>
              <w:rPr>
                <w:b/>
                <w:sz w:val="17"/>
              </w:rPr>
            </w:pPr>
            <w:r>
              <w:rPr>
                <w:b/>
                <w:sz w:val="17"/>
              </w:rPr>
              <w:t>8 305</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10 720</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10 698</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10 131</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9 539</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9 538</w:t>
            </w:r>
          </w:p>
        </w:tc>
        <w:tc>
          <w:tcPr>
            <w:tcW w:w="616" w:type="dxa"/>
            <w:vAlign w:val="bottom"/>
          </w:tcPr>
          <w:p w:rsidR="00000000" w:rsidRDefault="00000000">
            <w:pPr>
              <w:tabs>
                <w:tab w:val="decimal" w:pos="107"/>
              </w:tabs>
              <w:rPr>
                <w:b/>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b/>
                <w:sz w:val="17"/>
              </w:rPr>
            </w:pPr>
            <w:r>
              <w:rPr>
                <w:b/>
                <w:sz w:val="17"/>
              </w:rPr>
              <w:t>Всего</w:t>
            </w:r>
          </w:p>
        </w:tc>
        <w:tc>
          <w:tcPr>
            <w:tcW w:w="722" w:type="dxa"/>
            <w:shd w:val="clear" w:color="auto" w:fill="808080"/>
            <w:vAlign w:val="bottom"/>
          </w:tcPr>
          <w:p w:rsidR="00000000" w:rsidRDefault="00000000">
            <w:pPr>
              <w:jc w:val="right"/>
              <w:rPr>
                <w:b/>
                <w:sz w:val="17"/>
              </w:rPr>
            </w:pPr>
            <w:r>
              <w:rPr>
                <w:b/>
                <w:sz w:val="17"/>
              </w:rPr>
              <w:t>15 473</w:t>
            </w:r>
          </w:p>
        </w:tc>
        <w:tc>
          <w:tcPr>
            <w:tcW w:w="872" w:type="dxa"/>
            <w:vAlign w:val="bottom"/>
          </w:tcPr>
          <w:p w:rsidR="00000000" w:rsidRDefault="00000000">
            <w:pPr>
              <w:tabs>
                <w:tab w:val="decimal" w:pos="284"/>
              </w:tabs>
              <w:rPr>
                <w:b/>
                <w:sz w:val="17"/>
              </w:rPr>
            </w:pPr>
            <w:r>
              <w:rPr>
                <w:b/>
                <w:sz w:val="17"/>
              </w:rPr>
              <w:t>53,7</w:t>
            </w:r>
          </w:p>
        </w:tc>
        <w:tc>
          <w:tcPr>
            <w:tcW w:w="722" w:type="dxa"/>
            <w:shd w:val="clear" w:color="auto" w:fill="808080"/>
            <w:vAlign w:val="bottom"/>
          </w:tcPr>
          <w:p w:rsidR="00000000" w:rsidRDefault="00000000">
            <w:pPr>
              <w:jc w:val="right"/>
              <w:rPr>
                <w:b/>
                <w:sz w:val="17"/>
              </w:rPr>
            </w:pPr>
            <w:r>
              <w:rPr>
                <w:b/>
                <w:sz w:val="17"/>
              </w:rPr>
              <w:t>18 488</w:t>
            </w:r>
          </w:p>
        </w:tc>
        <w:tc>
          <w:tcPr>
            <w:tcW w:w="872" w:type="dxa"/>
            <w:vAlign w:val="bottom"/>
          </w:tcPr>
          <w:p w:rsidR="00000000" w:rsidRDefault="00000000">
            <w:pPr>
              <w:tabs>
                <w:tab w:val="decimal" w:pos="284"/>
              </w:tabs>
              <w:rPr>
                <w:b/>
                <w:sz w:val="17"/>
              </w:rPr>
            </w:pPr>
            <w:r>
              <w:rPr>
                <w:b/>
                <w:sz w:val="17"/>
              </w:rPr>
              <w:t>58,0</w:t>
            </w:r>
          </w:p>
        </w:tc>
        <w:tc>
          <w:tcPr>
            <w:tcW w:w="722" w:type="dxa"/>
            <w:shd w:val="clear" w:color="auto" w:fill="808080"/>
            <w:vAlign w:val="bottom"/>
          </w:tcPr>
          <w:p w:rsidR="00000000" w:rsidRDefault="00000000">
            <w:pPr>
              <w:jc w:val="right"/>
              <w:rPr>
                <w:b/>
                <w:sz w:val="17"/>
              </w:rPr>
            </w:pPr>
            <w:r>
              <w:rPr>
                <w:b/>
                <w:sz w:val="17"/>
              </w:rPr>
              <w:t>18 048</w:t>
            </w:r>
          </w:p>
        </w:tc>
        <w:tc>
          <w:tcPr>
            <w:tcW w:w="872" w:type="dxa"/>
            <w:vAlign w:val="bottom"/>
          </w:tcPr>
          <w:p w:rsidR="00000000" w:rsidRDefault="00000000">
            <w:pPr>
              <w:tabs>
                <w:tab w:val="decimal" w:pos="284"/>
              </w:tabs>
              <w:rPr>
                <w:b/>
                <w:sz w:val="17"/>
              </w:rPr>
            </w:pPr>
            <w:r>
              <w:rPr>
                <w:b/>
                <w:sz w:val="17"/>
              </w:rPr>
              <w:t>59,3</w:t>
            </w:r>
          </w:p>
        </w:tc>
        <w:tc>
          <w:tcPr>
            <w:tcW w:w="722" w:type="dxa"/>
            <w:shd w:val="clear" w:color="auto" w:fill="808080"/>
            <w:vAlign w:val="bottom"/>
          </w:tcPr>
          <w:p w:rsidR="00000000" w:rsidRDefault="00000000">
            <w:pPr>
              <w:jc w:val="right"/>
              <w:rPr>
                <w:b/>
                <w:sz w:val="17"/>
              </w:rPr>
            </w:pPr>
            <w:r>
              <w:rPr>
                <w:b/>
                <w:sz w:val="17"/>
              </w:rPr>
              <w:t>17 255</w:t>
            </w:r>
          </w:p>
        </w:tc>
        <w:tc>
          <w:tcPr>
            <w:tcW w:w="872" w:type="dxa"/>
            <w:vAlign w:val="bottom"/>
          </w:tcPr>
          <w:p w:rsidR="00000000" w:rsidRDefault="00000000">
            <w:pPr>
              <w:tabs>
                <w:tab w:val="decimal" w:pos="284"/>
              </w:tabs>
              <w:rPr>
                <w:b/>
                <w:sz w:val="17"/>
              </w:rPr>
            </w:pPr>
            <w:r>
              <w:rPr>
                <w:b/>
                <w:sz w:val="17"/>
              </w:rPr>
              <w:t>58,7</w:t>
            </w:r>
          </w:p>
        </w:tc>
        <w:tc>
          <w:tcPr>
            <w:tcW w:w="722" w:type="dxa"/>
            <w:shd w:val="clear" w:color="auto" w:fill="808080"/>
            <w:vAlign w:val="bottom"/>
          </w:tcPr>
          <w:p w:rsidR="00000000" w:rsidRDefault="00000000">
            <w:pPr>
              <w:jc w:val="right"/>
              <w:rPr>
                <w:b/>
                <w:sz w:val="17"/>
              </w:rPr>
            </w:pPr>
            <w:r>
              <w:rPr>
                <w:b/>
                <w:sz w:val="17"/>
              </w:rPr>
              <w:t>16 181</w:t>
            </w:r>
          </w:p>
        </w:tc>
        <w:tc>
          <w:tcPr>
            <w:tcW w:w="872" w:type="dxa"/>
            <w:vAlign w:val="bottom"/>
          </w:tcPr>
          <w:p w:rsidR="00000000" w:rsidRDefault="00000000">
            <w:pPr>
              <w:tabs>
                <w:tab w:val="decimal" w:pos="284"/>
              </w:tabs>
              <w:rPr>
                <w:b/>
                <w:sz w:val="17"/>
              </w:rPr>
            </w:pPr>
            <w:r>
              <w:rPr>
                <w:b/>
                <w:sz w:val="17"/>
              </w:rPr>
              <w:t>59,0</w:t>
            </w:r>
          </w:p>
        </w:tc>
        <w:tc>
          <w:tcPr>
            <w:tcW w:w="722" w:type="dxa"/>
            <w:shd w:val="clear" w:color="auto" w:fill="808080"/>
            <w:vAlign w:val="bottom"/>
          </w:tcPr>
          <w:p w:rsidR="00000000" w:rsidRDefault="00000000">
            <w:pPr>
              <w:jc w:val="right"/>
              <w:rPr>
                <w:b/>
                <w:sz w:val="17"/>
              </w:rPr>
            </w:pPr>
            <w:r>
              <w:rPr>
                <w:b/>
                <w:sz w:val="17"/>
              </w:rPr>
              <w:t>16 318</w:t>
            </w:r>
          </w:p>
        </w:tc>
        <w:tc>
          <w:tcPr>
            <w:tcW w:w="616" w:type="dxa"/>
            <w:vAlign w:val="bottom"/>
          </w:tcPr>
          <w:p w:rsidR="00000000" w:rsidRDefault="00000000">
            <w:pPr>
              <w:tabs>
                <w:tab w:val="decimal" w:pos="107"/>
              </w:tabs>
              <w:rPr>
                <w:b/>
                <w:sz w:val="17"/>
              </w:rPr>
            </w:pPr>
            <w:r>
              <w:rPr>
                <w:b/>
                <w:sz w:val="17"/>
              </w:rPr>
              <w:t>58,5</w:t>
            </w:r>
          </w:p>
        </w:tc>
      </w:tr>
      <w:tr w:rsidR="00000000">
        <w:tblPrEx>
          <w:tblCellMar>
            <w:top w:w="0" w:type="dxa"/>
            <w:bottom w:w="0" w:type="dxa"/>
          </w:tblCellMar>
        </w:tblPrEx>
        <w:tc>
          <w:tcPr>
            <w:tcW w:w="2035" w:type="dxa"/>
          </w:tcPr>
          <w:p w:rsidR="00000000" w:rsidRDefault="00000000">
            <w:pPr>
              <w:rPr>
                <w:sz w:val="17"/>
                <w:vertAlign w:val="superscript"/>
              </w:rPr>
            </w:pPr>
            <w:r>
              <w:rPr>
                <w:sz w:val="17"/>
              </w:rPr>
              <w:t>Профессионально-технические училища</w:t>
            </w:r>
            <w:r>
              <w:rPr>
                <w:sz w:val="17"/>
                <w:vertAlign w:val="superscript"/>
              </w:rPr>
              <w:t>4</w:t>
            </w:r>
          </w:p>
          <w:p w:rsidR="00000000" w:rsidRDefault="00000000">
            <w:pPr>
              <w:pStyle w:val="Header"/>
              <w:tabs>
                <w:tab w:val="clear" w:pos="4320"/>
                <w:tab w:val="clear" w:pos="8640"/>
              </w:tabs>
              <w:spacing w:line="200" w:lineRule="exact"/>
              <w:ind w:left="142"/>
              <w:rPr>
                <w:noProof w:val="0"/>
                <w:spacing w:val="4"/>
                <w:w w:val="103"/>
                <w:kern w:val="14"/>
              </w:rPr>
            </w:pPr>
            <w:r>
              <w:rPr>
                <w:noProof w:val="0"/>
                <w:spacing w:val="4"/>
                <w:w w:val="103"/>
                <w:kern w:val="14"/>
              </w:rPr>
              <w:t>(техника, торговля и искусс</w:t>
            </w:r>
            <w:r>
              <w:rPr>
                <w:noProof w:val="0"/>
                <w:spacing w:val="4"/>
                <w:w w:val="103"/>
                <w:kern w:val="14"/>
              </w:rPr>
              <w:t>т</w:t>
            </w:r>
            <w:r>
              <w:rPr>
                <w:noProof w:val="0"/>
                <w:spacing w:val="4"/>
                <w:w w:val="103"/>
                <w:kern w:val="14"/>
              </w:rPr>
              <w:t>во)</w:t>
            </w:r>
          </w:p>
        </w:tc>
        <w:tc>
          <w:tcPr>
            <w:tcW w:w="1073" w:type="dxa"/>
          </w:tcPr>
          <w:p w:rsidR="00000000" w:rsidRDefault="00000000">
            <w:pPr>
              <w:rPr>
                <w:sz w:val="17"/>
              </w:rPr>
            </w:pPr>
            <w:r>
              <w:rPr>
                <w:sz w:val="17"/>
              </w:rPr>
              <w:t>Мужчины</w:t>
            </w:r>
          </w:p>
        </w:tc>
        <w:tc>
          <w:tcPr>
            <w:tcW w:w="722" w:type="dxa"/>
            <w:shd w:val="clear" w:color="auto" w:fill="808080"/>
            <w:vAlign w:val="bottom"/>
          </w:tcPr>
          <w:p w:rsidR="00000000" w:rsidRDefault="00000000">
            <w:pPr>
              <w:jc w:val="right"/>
              <w:rPr>
                <w:sz w:val="17"/>
              </w:rPr>
            </w:pPr>
            <w:r>
              <w:rPr>
                <w:sz w:val="17"/>
              </w:rPr>
              <w:t>5 343</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5 584</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5 799</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6 167</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6 260</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6 437</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sz w:val="17"/>
              </w:rPr>
            </w:pPr>
            <w:r>
              <w:rPr>
                <w:sz w:val="17"/>
              </w:rPr>
              <w:t>Женщины</w:t>
            </w:r>
          </w:p>
        </w:tc>
        <w:tc>
          <w:tcPr>
            <w:tcW w:w="722" w:type="dxa"/>
            <w:shd w:val="clear" w:color="auto" w:fill="808080"/>
            <w:vAlign w:val="bottom"/>
          </w:tcPr>
          <w:p w:rsidR="00000000" w:rsidRDefault="00000000">
            <w:pPr>
              <w:jc w:val="right"/>
              <w:rPr>
                <w:sz w:val="17"/>
              </w:rPr>
            </w:pPr>
            <w:r>
              <w:rPr>
                <w:sz w:val="17"/>
              </w:rPr>
              <w:t>1 108</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1 298</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1 508</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1 627</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1 892</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2 081</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sz w:val="17"/>
              </w:rPr>
            </w:pPr>
            <w:r>
              <w:rPr>
                <w:sz w:val="17"/>
              </w:rPr>
              <w:t>Всего</w:t>
            </w:r>
          </w:p>
        </w:tc>
        <w:tc>
          <w:tcPr>
            <w:tcW w:w="722" w:type="dxa"/>
            <w:shd w:val="clear" w:color="auto" w:fill="808080"/>
            <w:vAlign w:val="bottom"/>
          </w:tcPr>
          <w:p w:rsidR="00000000" w:rsidRDefault="00000000">
            <w:pPr>
              <w:jc w:val="right"/>
              <w:rPr>
                <w:sz w:val="17"/>
              </w:rPr>
            </w:pPr>
            <w:r>
              <w:rPr>
                <w:sz w:val="17"/>
              </w:rPr>
              <w:t>6 451</w:t>
            </w:r>
          </w:p>
        </w:tc>
        <w:tc>
          <w:tcPr>
            <w:tcW w:w="872" w:type="dxa"/>
            <w:vAlign w:val="bottom"/>
          </w:tcPr>
          <w:p w:rsidR="00000000" w:rsidRDefault="00000000">
            <w:pPr>
              <w:tabs>
                <w:tab w:val="decimal" w:pos="284"/>
              </w:tabs>
              <w:rPr>
                <w:sz w:val="17"/>
              </w:rPr>
            </w:pPr>
            <w:r>
              <w:rPr>
                <w:sz w:val="17"/>
              </w:rPr>
              <w:t>17,2</w:t>
            </w:r>
          </w:p>
        </w:tc>
        <w:tc>
          <w:tcPr>
            <w:tcW w:w="722" w:type="dxa"/>
            <w:shd w:val="clear" w:color="auto" w:fill="808080"/>
            <w:vAlign w:val="bottom"/>
          </w:tcPr>
          <w:p w:rsidR="00000000" w:rsidRDefault="00000000">
            <w:pPr>
              <w:jc w:val="right"/>
              <w:rPr>
                <w:sz w:val="17"/>
              </w:rPr>
            </w:pPr>
            <w:r>
              <w:rPr>
                <w:sz w:val="17"/>
              </w:rPr>
              <w:t>6 882</w:t>
            </w:r>
          </w:p>
        </w:tc>
        <w:tc>
          <w:tcPr>
            <w:tcW w:w="872" w:type="dxa"/>
            <w:vAlign w:val="bottom"/>
          </w:tcPr>
          <w:p w:rsidR="00000000" w:rsidRDefault="00000000">
            <w:pPr>
              <w:tabs>
                <w:tab w:val="decimal" w:pos="284"/>
              </w:tabs>
              <w:rPr>
                <w:sz w:val="17"/>
              </w:rPr>
            </w:pPr>
            <w:r>
              <w:rPr>
                <w:sz w:val="17"/>
              </w:rPr>
              <w:t>18,9</w:t>
            </w:r>
          </w:p>
        </w:tc>
        <w:tc>
          <w:tcPr>
            <w:tcW w:w="722" w:type="dxa"/>
            <w:shd w:val="clear" w:color="auto" w:fill="808080"/>
            <w:vAlign w:val="bottom"/>
          </w:tcPr>
          <w:p w:rsidR="00000000" w:rsidRDefault="00000000">
            <w:pPr>
              <w:jc w:val="right"/>
              <w:rPr>
                <w:sz w:val="17"/>
              </w:rPr>
            </w:pPr>
            <w:r>
              <w:rPr>
                <w:sz w:val="17"/>
              </w:rPr>
              <w:t>7 307</w:t>
            </w:r>
          </w:p>
        </w:tc>
        <w:tc>
          <w:tcPr>
            <w:tcW w:w="872" w:type="dxa"/>
            <w:vAlign w:val="bottom"/>
          </w:tcPr>
          <w:p w:rsidR="00000000" w:rsidRDefault="00000000">
            <w:pPr>
              <w:tabs>
                <w:tab w:val="decimal" w:pos="284"/>
              </w:tabs>
              <w:rPr>
                <w:sz w:val="17"/>
              </w:rPr>
            </w:pPr>
            <w:r>
              <w:rPr>
                <w:sz w:val="17"/>
              </w:rPr>
              <w:t>20,6</w:t>
            </w:r>
          </w:p>
        </w:tc>
        <w:tc>
          <w:tcPr>
            <w:tcW w:w="722" w:type="dxa"/>
            <w:shd w:val="clear" w:color="auto" w:fill="808080"/>
            <w:vAlign w:val="bottom"/>
          </w:tcPr>
          <w:p w:rsidR="00000000" w:rsidRDefault="00000000">
            <w:pPr>
              <w:jc w:val="right"/>
              <w:rPr>
                <w:sz w:val="17"/>
              </w:rPr>
            </w:pPr>
            <w:r>
              <w:rPr>
                <w:sz w:val="17"/>
              </w:rPr>
              <w:t>7 794</w:t>
            </w:r>
          </w:p>
        </w:tc>
        <w:tc>
          <w:tcPr>
            <w:tcW w:w="872" w:type="dxa"/>
            <w:vAlign w:val="bottom"/>
          </w:tcPr>
          <w:p w:rsidR="00000000" w:rsidRDefault="00000000">
            <w:pPr>
              <w:tabs>
                <w:tab w:val="decimal" w:pos="284"/>
              </w:tabs>
              <w:rPr>
                <w:sz w:val="17"/>
              </w:rPr>
            </w:pPr>
            <w:r>
              <w:rPr>
                <w:sz w:val="17"/>
              </w:rPr>
              <w:t>20,9</w:t>
            </w:r>
          </w:p>
        </w:tc>
        <w:tc>
          <w:tcPr>
            <w:tcW w:w="722" w:type="dxa"/>
            <w:shd w:val="clear" w:color="auto" w:fill="808080"/>
            <w:vAlign w:val="bottom"/>
          </w:tcPr>
          <w:p w:rsidR="00000000" w:rsidRDefault="00000000">
            <w:pPr>
              <w:jc w:val="right"/>
              <w:rPr>
                <w:sz w:val="17"/>
              </w:rPr>
            </w:pPr>
            <w:r>
              <w:rPr>
                <w:sz w:val="17"/>
              </w:rPr>
              <w:t>8 152</w:t>
            </w:r>
          </w:p>
        </w:tc>
        <w:tc>
          <w:tcPr>
            <w:tcW w:w="872" w:type="dxa"/>
            <w:vAlign w:val="bottom"/>
          </w:tcPr>
          <w:p w:rsidR="00000000" w:rsidRDefault="00000000">
            <w:pPr>
              <w:tabs>
                <w:tab w:val="decimal" w:pos="284"/>
              </w:tabs>
              <w:rPr>
                <w:sz w:val="17"/>
              </w:rPr>
            </w:pPr>
            <w:r>
              <w:rPr>
                <w:sz w:val="17"/>
              </w:rPr>
              <w:t>23,2</w:t>
            </w:r>
          </w:p>
        </w:tc>
        <w:tc>
          <w:tcPr>
            <w:tcW w:w="722" w:type="dxa"/>
            <w:shd w:val="clear" w:color="auto" w:fill="808080"/>
            <w:vAlign w:val="bottom"/>
          </w:tcPr>
          <w:p w:rsidR="00000000" w:rsidRDefault="00000000">
            <w:pPr>
              <w:jc w:val="right"/>
              <w:rPr>
                <w:sz w:val="17"/>
              </w:rPr>
            </w:pPr>
            <w:r>
              <w:rPr>
                <w:sz w:val="17"/>
              </w:rPr>
              <w:t>8 518</w:t>
            </w:r>
          </w:p>
        </w:tc>
        <w:tc>
          <w:tcPr>
            <w:tcW w:w="616" w:type="dxa"/>
            <w:vAlign w:val="bottom"/>
          </w:tcPr>
          <w:p w:rsidR="00000000" w:rsidRDefault="00000000">
            <w:pPr>
              <w:tabs>
                <w:tab w:val="decimal" w:pos="107"/>
              </w:tabs>
              <w:rPr>
                <w:sz w:val="17"/>
              </w:rPr>
            </w:pPr>
            <w:r>
              <w:rPr>
                <w:sz w:val="17"/>
              </w:rPr>
              <w:t>24,4</w:t>
            </w:r>
          </w:p>
        </w:tc>
      </w:tr>
      <w:tr w:rsidR="00000000">
        <w:tblPrEx>
          <w:tblCellMar>
            <w:top w:w="0" w:type="dxa"/>
            <w:bottom w:w="0" w:type="dxa"/>
          </w:tblCellMar>
        </w:tblPrEx>
        <w:tc>
          <w:tcPr>
            <w:tcW w:w="2035" w:type="dxa"/>
          </w:tcPr>
          <w:p w:rsidR="00000000" w:rsidRDefault="00000000">
            <w:pPr>
              <w:rPr>
                <w:sz w:val="17"/>
              </w:rPr>
            </w:pPr>
            <w:r>
              <w:rPr>
                <w:sz w:val="17"/>
              </w:rPr>
              <w:t>Профессионально-технические училища</w:t>
            </w:r>
          </w:p>
          <w:p w:rsidR="00000000" w:rsidRDefault="00000000">
            <w:pPr>
              <w:ind w:left="142"/>
              <w:rPr>
                <w:sz w:val="17"/>
              </w:rPr>
            </w:pPr>
            <w:r>
              <w:rPr>
                <w:sz w:val="17"/>
              </w:rPr>
              <w:t>(бизнес)</w:t>
            </w:r>
          </w:p>
        </w:tc>
        <w:tc>
          <w:tcPr>
            <w:tcW w:w="1073" w:type="dxa"/>
          </w:tcPr>
          <w:p w:rsidR="00000000" w:rsidRDefault="00000000">
            <w:pPr>
              <w:rPr>
                <w:sz w:val="17"/>
              </w:rPr>
            </w:pPr>
            <w:r>
              <w:rPr>
                <w:sz w:val="17"/>
              </w:rPr>
              <w:t>Мужчины</w:t>
            </w:r>
          </w:p>
        </w:tc>
        <w:tc>
          <w:tcPr>
            <w:tcW w:w="722" w:type="dxa"/>
            <w:shd w:val="clear" w:color="auto" w:fill="808080"/>
            <w:vAlign w:val="bottom"/>
          </w:tcPr>
          <w:p w:rsidR="00000000" w:rsidRDefault="00000000">
            <w:pPr>
              <w:jc w:val="right"/>
              <w:rPr>
                <w:sz w:val="17"/>
              </w:rPr>
            </w:pPr>
            <w:r>
              <w:rPr>
                <w:sz w:val="17"/>
              </w:rPr>
              <w:t>2 191</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2 190</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2 500</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2 638</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2 437</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2 402</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sz w:val="17"/>
              </w:rPr>
            </w:pPr>
            <w:r>
              <w:rPr>
                <w:sz w:val="17"/>
              </w:rPr>
              <w:t>Женщины</w:t>
            </w:r>
          </w:p>
        </w:tc>
        <w:tc>
          <w:tcPr>
            <w:tcW w:w="722" w:type="dxa"/>
            <w:shd w:val="clear" w:color="auto" w:fill="808080"/>
            <w:vAlign w:val="bottom"/>
          </w:tcPr>
          <w:p w:rsidR="00000000" w:rsidRDefault="00000000">
            <w:pPr>
              <w:jc w:val="right"/>
              <w:rPr>
                <w:sz w:val="17"/>
              </w:rPr>
            </w:pPr>
            <w:r>
              <w:rPr>
                <w:sz w:val="17"/>
              </w:rPr>
              <w:t>3 849</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3 539</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4 077</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4 103</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4 041</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4 232</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sz w:val="17"/>
              </w:rPr>
            </w:pPr>
            <w:r>
              <w:rPr>
                <w:sz w:val="17"/>
              </w:rPr>
              <w:t>Всего</w:t>
            </w:r>
          </w:p>
        </w:tc>
        <w:tc>
          <w:tcPr>
            <w:tcW w:w="722" w:type="dxa"/>
            <w:shd w:val="clear" w:color="auto" w:fill="808080"/>
            <w:vAlign w:val="bottom"/>
          </w:tcPr>
          <w:p w:rsidR="00000000" w:rsidRDefault="00000000">
            <w:pPr>
              <w:jc w:val="right"/>
              <w:rPr>
                <w:sz w:val="17"/>
              </w:rPr>
            </w:pPr>
            <w:r>
              <w:rPr>
                <w:sz w:val="17"/>
              </w:rPr>
              <w:t>6 040</w:t>
            </w:r>
          </w:p>
        </w:tc>
        <w:tc>
          <w:tcPr>
            <w:tcW w:w="872" w:type="dxa"/>
            <w:vAlign w:val="bottom"/>
          </w:tcPr>
          <w:p w:rsidR="00000000" w:rsidRDefault="00000000">
            <w:pPr>
              <w:tabs>
                <w:tab w:val="decimal" w:pos="284"/>
              </w:tabs>
              <w:rPr>
                <w:sz w:val="17"/>
              </w:rPr>
            </w:pPr>
            <w:r>
              <w:rPr>
                <w:sz w:val="17"/>
              </w:rPr>
              <w:t>63,7</w:t>
            </w:r>
          </w:p>
        </w:tc>
        <w:tc>
          <w:tcPr>
            <w:tcW w:w="722" w:type="dxa"/>
            <w:shd w:val="clear" w:color="auto" w:fill="808080"/>
            <w:vAlign w:val="bottom"/>
          </w:tcPr>
          <w:p w:rsidR="00000000" w:rsidRDefault="00000000">
            <w:pPr>
              <w:jc w:val="right"/>
              <w:rPr>
                <w:sz w:val="17"/>
              </w:rPr>
            </w:pPr>
            <w:r>
              <w:rPr>
                <w:sz w:val="17"/>
              </w:rPr>
              <w:t>5 729</w:t>
            </w:r>
          </w:p>
        </w:tc>
        <w:tc>
          <w:tcPr>
            <w:tcW w:w="872" w:type="dxa"/>
            <w:vAlign w:val="bottom"/>
          </w:tcPr>
          <w:p w:rsidR="00000000" w:rsidRDefault="00000000">
            <w:pPr>
              <w:tabs>
                <w:tab w:val="decimal" w:pos="284"/>
              </w:tabs>
              <w:rPr>
                <w:sz w:val="17"/>
              </w:rPr>
            </w:pPr>
            <w:r>
              <w:rPr>
                <w:sz w:val="17"/>
              </w:rPr>
              <w:t>61,8</w:t>
            </w:r>
          </w:p>
        </w:tc>
        <w:tc>
          <w:tcPr>
            <w:tcW w:w="722" w:type="dxa"/>
            <w:shd w:val="clear" w:color="auto" w:fill="808080"/>
            <w:vAlign w:val="bottom"/>
          </w:tcPr>
          <w:p w:rsidR="00000000" w:rsidRDefault="00000000">
            <w:pPr>
              <w:jc w:val="right"/>
              <w:rPr>
                <w:sz w:val="17"/>
              </w:rPr>
            </w:pPr>
            <w:r>
              <w:rPr>
                <w:sz w:val="17"/>
              </w:rPr>
              <w:t>6 577</w:t>
            </w:r>
          </w:p>
        </w:tc>
        <w:tc>
          <w:tcPr>
            <w:tcW w:w="872" w:type="dxa"/>
            <w:vAlign w:val="bottom"/>
          </w:tcPr>
          <w:p w:rsidR="00000000" w:rsidRDefault="00000000">
            <w:pPr>
              <w:tabs>
                <w:tab w:val="decimal" w:pos="284"/>
              </w:tabs>
              <w:rPr>
                <w:sz w:val="17"/>
              </w:rPr>
            </w:pPr>
            <w:r>
              <w:rPr>
                <w:sz w:val="17"/>
              </w:rPr>
              <w:t>62,0</w:t>
            </w:r>
          </w:p>
        </w:tc>
        <w:tc>
          <w:tcPr>
            <w:tcW w:w="722" w:type="dxa"/>
            <w:shd w:val="clear" w:color="auto" w:fill="808080"/>
            <w:vAlign w:val="bottom"/>
          </w:tcPr>
          <w:p w:rsidR="00000000" w:rsidRDefault="00000000">
            <w:pPr>
              <w:jc w:val="right"/>
              <w:rPr>
                <w:sz w:val="17"/>
              </w:rPr>
            </w:pPr>
            <w:r>
              <w:rPr>
                <w:sz w:val="17"/>
              </w:rPr>
              <w:t>6 741</w:t>
            </w:r>
          </w:p>
        </w:tc>
        <w:tc>
          <w:tcPr>
            <w:tcW w:w="872" w:type="dxa"/>
            <w:vAlign w:val="bottom"/>
          </w:tcPr>
          <w:p w:rsidR="00000000" w:rsidRDefault="00000000">
            <w:pPr>
              <w:tabs>
                <w:tab w:val="decimal" w:pos="284"/>
              </w:tabs>
              <w:rPr>
                <w:sz w:val="17"/>
              </w:rPr>
            </w:pPr>
            <w:r>
              <w:rPr>
                <w:sz w:val="17"/>
              </w:rPr>
              <w:t>60,9</w:t>
            </w:r>
          </w:p>
        </w:tc>
        <w:tc>
          <w:tcPr>
            <w:tcW w:w="722" w:type="dxa"/>
            <w:shd w:val="clear" w:color="auto" w:fill="808080"/>
            <w:vAlign w:val="bottom"/>
          </w:tcPr>
          <w:p w:rsidR="00000000" w:rsidRDefault="00000000">
            <w:pPr>
              <w:jc w:val="right"/>
              <w:rPr>
                <w:sz w:val="17"/>
              </w:rPr>
            </w:pPr>
            <w:r>
              <w:rPr>
                <w:sz w:val="17"/>
              </w:rPr>
              <w:t>6 478</w:t>
            </w:r>
          </w:p>
        </w:tc>
        <w:tc>
          <w:tcPr>
            <w:tcW w:w="872" w:type="dxa"/>
            <w:vAlign w:val="bottom"/>
          </w:tcPr>
          <w:p w:rsidR="00000000" w:rsidRDefault="00000000">
            <w:pPr>
              <w:tabs>
                <w:tab w:val="decimal" w:pos="284"/>
              </w:tabs>
              <w:rPr>
                <w:sz w:val="17"/>
              </w:rPr>
            </w:pPr>
            <w:r>
              <w:rPr>
                <w:sz w:val="17"/>
              </w:rPr>
              <w:t>62,4</w:t>
            </w:r>
          </w:p>
        </w:tc>
        <w:tc>
          <w:tcPr>
            <w:tcW w:w="722" w:type="dxa"/>
            <w:shd w:val="clear" w:color="auto" w:fill="808080"/>
            <w:vAlign w:val="bottom"/>
          </w:tcPr>
          <w:p w:rsidR="00000000" w:rsidRDefault="00000000">
            <w:pPr>
              <w:jc w:val="right"/>
              <w:rPr>
                <w:sz w:val="17"/>
              </w:rPr>
            </w:pPr>
            <w:r>
              <w:rPr>
                <w:sz w:val="17"/>
              </w:rPr>
              <w:t>6 634</w:t>
            </w:r>
          </w:p>
        </w:tc>
        <w:tc>
          <w:tcPr>
            <w:tcW w:w="616" w:type="dxa"/>
            <w:vAlign w:val="bottom"/>
          </w:tcPr>
          <w:p w:rsidR="00000000" w:rsidRDefault="00000000">
            <w:pPr>
              <w:tabs>
                <w:tab w:val="decimal" w:pos="107"/>
              </w:tabs>
              <w:rPr>
                <w:sz w:val="17"/>
              </w:rPr>
            </w:pPr>
            <w:r>
              <w:rPr>
                <w:sz w:val="17"/>
              </w:rPr>
              <w:t>63,8</w:t>
            </w:r>
          </w:p>
        </w:tc>
      </w:tr>
      <w:tr w:rsidR="00000000">
        <w:tblPrEx>
          <w:tblCellMar>
            <w:top w:w="0" w:type="dxa"/>
            <w:bottom w:w="0" w:type="dxa"/>
          </w:tblCellMar>
        </w:tblPrEx>
        <w:tc>
          <w:tcPr>
            <w:tcW w:w="2035" w:type="dxa"/>
          </w:tcPr>
          <w:p w:rsidR="00000000" w:rsidRDefault="00000000">
            <w:pPr>
              <w:rPr>
                <w:sz w:val="17"/>
                <w:lang w:val="fr-LU"/>
              </w:rPr>
            </w:pPr>
            <w:r>
              <w:rPr>
                <w:sz w:val="17"/>
              </w:rPr>
              <w:t>Профессионально те</w:t>
            </w:r>
            <w:r>
              <w:rPr>
                <w:sz w:val="17"/>
              </w:rPr>
              <w:t>х</w:t>
            </w:r>
            <w:r>
              <w:rPr>
                <w:sz w:val="17"/>
              </w:rPr>
              <w:t>нические училища</w:t>
            </w:r>
          </w:p>
          <w:p w:rsidR="00000000" w:rsidRDefault="00000000">
            <w:pPr>
              <w:ind w:left="142"/>
              <w:rPr>
                <w:sz w:val="17"/>
              </w:rPr>
            </w:pPr>
            <w:r>
              <w:rPr>
                <w:sz w:val="17"/>
              </w:rPr>
              <w:t>(домоводство и то</w:t>
            </w:r>
            <w:r>
              <w:rPr>
                <w:sz w:val="17"/>
              </w:rPr>
              <w:t>р</w:t>
            </w:r>
            <w:r>
              <w:rPr>
                <w:sz w:val="17"/>
              </w:rPr>
              <w:t>говля)</w:t>
            </w:r>
          </w:p>
        </w:tc>
        <w:tc>
          <w:tcPr>
            <w:tcW w:w="1073" w:type="dxa"/>
          </w:tcPr>
          <w:p w:rsidR="00000000" w:rsidRDefault="00000000">
            <w:pPr>
              <w:rPr>
                <w:sz w:val="17"/>
              </w:rPr>
            </w:pPr>
            <w:r>
              <w:rPr>
                <w:sz w:val="17"/>
              </w:rPr>
              <w:t>Мужчины</w:t>
            </w:r>
          </w:p>
        </w:tc>
        <w:tc>
          <w:tcPr>
            <w:tcW w:w="722" w:type="dxa"/>
            <w:shd w:val="clear" w:color="auto" w:fill="808080"/>
            <w:vAlign w:val="bottom"/>
          </w:tcPr>
          <w:p w:rsidR="00000000" w:rsidRDefault="00000000">
            <w:pPr>
              <w:jc w:val="right"/>
              <w:rPr>
                <w:sz w:val="17"/>
              </w:rPr>
            </w:pPr>
            <w:r>
              <w:rPr>
                <w:sz w:val="17"/>
              </w:rPr>
              <w:t>12</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122</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161</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197</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190</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212</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sz w:val="17"/>
              </w:rPr>
            </w:pPr>
            <w:r>
              <w:rPr>
                <w:sz w:val="17"/>
              </w:rPr>
              <w:t>Женщины</w:t>
            </w:r>
          </w:p>
        </w:tc>
        <w:tc>
          <w:tcPr>
            <w:tcW w:w="722" w:type="dxa"/>
            <w:shd w:val="clear" w:color="auto" w:fill="808080"/>
            <w:vAlign w:val="bottom"/>
          </w:tcPr>
          <w:p w:rsidR="00000000" w:rsidRDefault="00000000">
            <w:pPr>
              <w:jc w:val="right"/>
              <w:rPr>
                <w:sz w:val="17"/>
              </w:rPr>
            </w:pPr>
            <w:r>
              <w:rPr>
                <w:sz w:val="17"/>
              </w:rPr>
              <w:t>2 390</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3 032</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3 395</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3 599</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3 659</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9 938</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sz w:val="17"/>
              </w:rPr>
            </w:pPr>
            <w:r>
              <w:rPr>
                <w:sz w:val="17"/>
              </w:rPr>
              <w:t>Всего</w:t>
            </w:r>
          </w:p>
        </w:tc>
        <w:tc>
          <w:tcPr>
            <w:tcW w:w="722" w:type="dxa"/>
            <w:shd w:val="clear" w:color="auto" w:fill="808080"/>
            <w:vAlign w:val="bottom"/>
          </w:tcPr>
          <w:p w:rsidR="00000000" w:rsidRDefault="00000000">
            <w:pPr>
              <w:jc w:val="right"/>
              <w:rPr>
                <w:sz w:val="17"/>
              </w:rPr>
            </w:pPr>
            <w:r>
              <w:rPr>
                <w:sz w:val="17"/>
              </w:rPr>
              <w:t>2 402</w:t>
            </w:r>
          </w:p>
        </w:tc>
        <w:tc>
          <w:tcPr>
            <w:tcW w:w="872" w:type="dxa"/>
            <w:vAlign w:val="bottom"/>
          </w:tcPr>
          <w:p w:rsidR="00000000" w:rsidRDefault="00000000">
            <w:pPr>
              <w:tabs>
                <w:tab w:val="decimal" w:pos="284"/>
              </w:tabs>
              <w:rPr>
                <w:sz w:val="17"/>
              </w:rPr>
            </w:pPr>
            <w:r>
              <w:rPr>
                <w:sz w:val="17"/>
              </w:rPr>
              <w:t>99,5</w:t>
            </w:r>
          </w:p>
        </w:tc>
        <w:tc>
          <w:tcPr>
            <w:tcW w:w="722" w:type="dxa"/>
            <w:shd w:val="clear" w:color="auto" w:fill="808080"/>
            <w:vAlign w:val="bottom"/>
          </w:tcPr>
          <w:p w:rsidR="00000000" w:rsidRDefault="00000000">
            <w:pPr>
              <w:jc w:val="right"/>
              <w:rPr>
                <w:sz w:val="17"/>
              </w:rPr>
            </w:pPr>
            <w:r>
              <w:rPr>
                <w:sz w:val="17"/>
              </w:rPr>
              <w:t>3 154</w:t>
            </w:r>
          </w:p>
        </w:tc>
        <w:tc>
          <w:tcPr>
            <w:tcW w:w="872" w:type="dxa"/>
            <w:vAlign w:val="bottom"/>
          </w:tcPr>
          <w:p w:rsidR="00000000" w:rsidRDefault="00000000">
            <w:pPr>
              <w:tabs>
                <w:tab w:val="decimal" w:pos="284"/>
              </w:tabs>
              <w:rPr>
                <w:sz w:val="17"/>
              </w:rPr>
            </w:pPr>
            <w:r>
              <w:rPr>
                <w:sz w:val="17"/>
              </w:rPr>
              <w:t>96,1</w:t>
            </w:r>
          </w:p>
        </w:tc>
        <w:tc>
          <w:tcPr>
            <w:tcW w:w="722" w:type="dxa"/>
            <w:shd w:val="clear" w:color="auto" w:fill="808080"/>
            <w:vAlign w:val="bottom"/>
          </w:tcPr>
          <w:p w:rsidR="00000000" w:rsidRDefault="00000000">
            <w:pPr>
              <w:jc w:val="right"/>
              <w:rPr>
                <w:sz w:val="17"/>
              </w:rPr>
            </w:pPr>
            <w:r>
              <w:rPr>
                <w:sz w:val="17"/>
              </w:rPr>
              <w:t>3 556</w:t>
            </w:r>
          </w:p>
        </w:tc>
        <w:tc>
          <w:tcPr>
            <w:tcW w:w="872" w:type="dxa"/>
            <w:vAlign w:val="bottom"/>
          </w:tcPr>
          <w:p w:rsidR="00000000" w:rsidRDefault="00000000">
            <w:pPr>
              <w:tabs>
                <w:tab w:val="decimal" w:pos="284"/>
              </w:tabs>
              <w:rPr>
                <w:sz w:val="17"/>
              </w:rPr>
            </w:pPr>
            <w:r>
              <w:rPr>
                <w:sz w:val="17"/>
              </w:rPr>
              <w:t>95,5</w:t>
            </w:r>
          </w:p>
        </w:tc>
        <w:tc>
          <w:tcPr>
            <w:tcW w:w="722" w:type="dxa"/>
            <w:shd w:val="clear" w:color="auto" w:fill="808080"/>
            <w:vAlign w:val="bottom"/>
          </w:tcPr>
          <w:p w:rsidR="00000000" w:rsidRDefault="00000000">
            <w:pPr>
              <w:jc w:val="right"/>
              <w:rPr>
                <w:sz w:val="17"/>
              </w:rPr>
            </w:pPr>
            <w:r>
              <w:rPr>
                <w:sz w:val="17"/>
              </w:rPr>
              <w:t>3 796</w:t>
            </w:r>
          </w:p>
        </w:tc>
        <w:tc>
          <w:tcPr>
            <w:tcW w:w="872" w:type="dxa"/>
            <w:vAlign w:val="bottom"/>
          </w:tcPr>
          <w:p w:rsidR="00000000" w:rsidRDefault="00000000">
            <w:pPr>
              <w:tabs>
                <w:tab w:val="decimal" w:pos="284"/>
              </w:tabs>
              <w:rPr>
                <w:sz w:val="17"/>
              </w:rPr>
            </w:pPr>
            <w:r>
              <w:rPr>
                <w:sz w:val="17"/>
              </w:rPr>
              <w:t>94,8</w:t>
            </w:r>
          </w:p>
        </w:tc>
        <w:tc>
          <w:tcPr>
            <w:tcW w:w="722" w:type="dxa"/>
            <w:shd w:val="clear" w:color="auto" w:fill="808080"/>
            <w:vAlign w:val="bottom"/>
          </w:tcPr>
          <w:p w:rsidR="00000000" w:rsidRDefault="00000000">
            <w:pPr>
              <w:jc w:val="right"/>
              <w:rPr>
                <w:sz w:val="17"/>
              </w:rPr>
            </w:pPr>
            <w:r>
              <w:rPr>
                <w:sz w:val="17"/>
              </w:rPr>
              <w:t>3 849</w:t>
            </w:r>
          </w:p>
        </w:tc>
        <w:tc>
          <w:tcPr>
            <w:tcW w:w="872" w:type="dxa"/>
            <w:vAlign w:val="bottom"/>
          </w:tcPr>
          <w:p w:rsidR="00000000" w:rsidRDefault="00000000">
            <w:pPr>
              <w:tabs>
                <w:tab w:val="decimal" w:pos="284"/>
              </w:tabs>
              <w:rPr>
                <w:sz w:val="17"/>
              </w:rPr>
            </w:pPr>
            <w:r>
              <w:rPr>
                <w:sz w:val="17"/>
              </w:rPr>
              <w:t>95,1</w:t>
            </w:r>
          </w:p>
        </w:tc>
        <w:tc>
          <w:tcPr>
            <w:tcW w:w="722" w:type="dxa"/>
            <w:shd w:val="clear" w:color="auto" w:fill="808080"/>
            <w:vAlign w:val="bottom"/>
          </w:tcPr>
          <w:p w:rsidR="00000000" w:rsidRDefault="00000000">
            <w:pPr>
              <w:jc w:val="right"/>
              <w:rPr>
                <w:sz w:val="17"/>
              </w:rPr>
            </w:pPr>
            <w:r>
              <w:rPr>
                <w:sz w:val="17"/>
              </w:rPr>
              <w:t>4 150</w:t>
            </w:r>
          </w:p>
        </w:tc>
        <w:tc>
          <w:tcPr>
            <w:tcW w:w="616" w:type="dxa"/>
            <w:vAlign w:val="bottom"/>
          </w:tcPr>
          <w:p w:rsidR="00000000" w:rsidRDefault="00000000">
            <w:pPr>
              <w:tabs>
                <w:tab w:val="decimal" w:pos="107"/>
              </w:tabs>
              <w:rPr>
                <w:sz w:val="17"/>
              </w:rPr>
            </w:pPr>
            <w:r>
              <w:rPr>
                <w:sz w:val="17"/>
              </w:rPr>
              <w:t>94,9</w:t>
            </w:r>
          </w:p>
        </w:tc>
      </w:tr>
      <w:tr w:rsidR="00000000">
        <w:tblPrEx>
          <w:tblCellMar>
            <w:top w:w="0" w:type="dxa"/>
            <w:bottom w:w="0" w:type="dxa"/>
          </w:tblCellMar>
        </w:tblPrEx>
        <w:tc>
          <w:tcPr>
            <w:tcW w:w="2035" w:type="dxa"/>
          </w:tcPr>
          <w:p w:rsidR="00000000" w:rsidRDefault="00000000">
            <w:pPr>
              <w:rPr>
                <w:sz w:val="17"/>
              </w:rPr>
            </w:pPr>
            <w:r>
              <w:rPr>
                <w:sz w:val="17"/>
              </w:rPr>
              <w:t xml:space="preserve">Профессионально-технические училища </w:t>
            </w:r>
          </w:p>
          <w:p w:rsidR="00000000" w:rsidRDefault="00000000">
            <w:pPr>
              <w:ind w:left="142"/>
              <w:rPr>
                <w:sz w:val="17"/>
              </w:rPr>
            </w:pPr>
            <w:r>
              <w:rPr>
                <w:sz w:val="17"/>
              </w:rPr>
              <w:t>(сельское хозяйство, лесное хозяйство)</w:t>
            </w:r>
          </w:p>
        </w:tc>
        <w:tc>
          <w:tcPr>
            <w:tcW w:w="1073" w:type="dxa"/>
          </w:tcPr>
          <w:p w:rsidR="00000000" w:rsidRDefault="00000000">
            <w:pPr>
              <w:pStyle w:val="Header"/>
              <w:tabs>
                <w:tab w:val="clear" w:pos="4320"/>
                <w:tab w:val="clear" w:pos="8640"/>
              </w:tabs>
              <w:spacing w:line="200" w:lineRule="exact"/>
              <w:rPr>
                <w:noProof w:val="0"/>
                <w:spacing w:val="4"/>
                <w:w w:val="103"/>
                <w:kern w:val="14"/>
              </w:rPr>
            </w:pPr>
            <w:r>
              <w:rPr>
                <w:noProof w:val="0"/>
                <w:spacing w:val="4"/>
                <w:w w:val="103"/>
                <w:kern w:val="14"/>
              </w:rPr>
              <w:t>Мужчины</w:t>
            </w:r>
          </w:p>
        </w:tc>
        <w:tc>
          <w:tcPr>
            <w:tcW w:w="722" w:type="dxa"/>
            <w:shd w:val="clear" w:color="auto" w:fill="808080"/>
            <w:vAlign w:val="bottom"/>
          </w:tcPr>
          <w:p w:rsidR="00000000" w:rsidRDefault="00000000">
            <w:pPr>
              <w:jc w:val="right"/>
              <w:rPr>
                <w:sz w:val="17"/>
              </w:rPr>
            </w:pPr>
            <w:r>
              <w:rPr>
                <w:sz w:val="17"/>
              </w:rPr>
              <w:t>360</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394</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396</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354</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357</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vertAlign w:val="superscript"/>
              </w:rPr>
            </w:pPr>
            <w:r>
              <w:rPr>
                <w:sz w:val="17"/>
              </w:rPr>
              <w:t>(357)</w:t>
            </w:r>
            <w:r>
              <w:rPr>
                <w:sz w:val="17"/>
                <w:vertAlign w:val="superscript"/>
              </w:rPr>
              <w:t>5</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rPr>
          <w:trHeight w:val="80"/>
        </w:trPr>
        <w:tc>
          <w:tcPr>
            <w:tcW w:w="2035" w:type="dxa"/>
          </w:tcPr>
          <w:p w:rsidR="00000000" w:rsidRDefault="00000000">
            <w:pPr>
              <w:rPr>
                <w:sz w:val="17"/>
              </w:rPr>
            </w:pPr>
          </w:p>
        </w:tc>
        <w:tc>
          <w:tcPr>
            <w:tcW w:w="1073" w:type="dxa"/>
          </w:tcPr>
          <w:p w:rsidR="00000000" w:rsidRDefault="00000000">
            <w:pPr>
              <w:rPr>
                <w:sz w:val="17"/>
              </w:rPr>
            </w:pPr>
            <w:r>
              <w:rPr>
                <w:sz w:val="17"/>
              </w:rPr>
              <w:t>Женщины</w:t>
            </w:r>
          </w:p>
        </w:tc>
        <w:tc>
          <w:tcPr>
            <w:tcW w:w="722" w:type="dxa"/>
            <w:shd w:val="clear" w:color="auto" w:fill="808080"/>
            <w:vAlign w:val="bottom"/>
          </w:tcPr>
          <w:p w:rsidR="00000000" w:rsidRDefault="00000000">
            <w:pPr>
              <w:jc w:val="right"/>
              <w:rPr>
                <w:sz w:val="17"/>
              </w:rPr>
            </w:pPr>
            <w:r>
              <w:rPr>
                <w:sz w:val="17"/>
              </w:rPr>
              <w:t>158</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231</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252</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270</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rPr>
            </w:pPr>
            <w:r>
              <w:rPr>
                <w:sz w:val="17"/>
              </w:rPr>
              <w:t>238</w:t>
            </w:r>
          </w:p>
        </w:tc>
        <w:tc>
          <w:tcPr>
            <w:tcW w:w="872" w:type="dxa"/>
            <w:vAlign w:val="bottom"/>
          </w:tcPr>
          <w:p w:rsidR="00000000" w:rsidRDefault="00000000">
            <w:pPr>
              <w:tabs>
                <w:tab w:val="decimal" w:pos="284"/>
              </w:tabs>
              <w:rPr>
                <w:sz w:val="17"/>
              </w:rPr>
            </w:pPr>
          </w:p>
        </w:tc>
        <w:tc>
          <w:tcPr>
            <w:tcW w:w="722" w:type="dxa"/>
            <w:shd w:val="clear" w:color="auto" w:fill="808080"/>
            <w:vAlign w:val="bottom"/>
          </w:tcPr>
          <w:p w:rsidR="00000000" w:rsidRDefault="00000000">
            <w:pPr>
              <w:jc w:val="right"/>
              <w:rPr>
                <w:sz w:val="17"/>
                <w:vertAlign w:val="superscript"/>
              </w:rPr>
            </w:pPr>
            <w:r>
              <w:rPr>
                <w:sz w:val="17"/>
              </w:rPr>
              <w:t>(238)</w:t>
            </w:r>
            <w:r>
              <w:rPr>
                <w:sz w:val="17"/>
                <w:vertAlign w:val="superscript"/>
              </w:rPr>
              <w:t>5</w:t>
            </w:r>
          </w:p>
        </w:tc>
        <w:tc>
          <w:tcPr>
            <w:tcW w:w="616" w:type="dxa"/>
            <w:vAlign w:val="bottom"/>
          </w:tcPr>
          <w:p w:rsidR="00000000" w:rsidRDefault="00000000">
            <w:pPr>
              <w:tabs>
                <w:tab w:val="decimal" w:pos="107"/>
              </w:tabs>
              <w:rPr>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sz w:val="17"/>
              </w:rPr>
            </w:pPr>
            <w:r>
              <w:rPr>
                <w:sz w:val="17"/>
              </w:rPr>
              <w:t>Всего</w:t>
            </w:r>
          </w:p>
        </w:tc>
        <w:tc>
          <w:tcPr>
            <w:tcW w:w="722" w:type="dxa"/>
            <w:shd w:val="clear" w:color="auto" w:fill="808080"/>
            <w:vAlign w:val="bottom"/>
          </w:tcPr>
          <w:p w:rsidR="00000000" w:rsidRDefault="00000000">
            <w:pPr>
              <w:jc w:val="right"/>
              <w:rPr>
                <w:sz w:val="17"/>
              </w:rPr>
            </w:pPr>
            <w:r>
              <w:rPr>
                <w:sz w:val="17"/>
              </w:rPr>
              <w:t>518</w:t>
            </w:r>
          </w:p>
        </w:tc>
        <w:tc>
          <w:tcPr>
            <w:tcW w:w="872" w:type="dxa"/>
            <w:vAlign w:val="bottom"/>
          </w:tcPr>
          <w:p w:rsidR="00000000" w:rsidRDefault="00000000">
            <w:pPr>
              <w:tabs>
                <w:tab w:val="decimal" w:pos="284"/>
              </w:tabs>
              <w:rPr>
                <w:sz w:val="17"/>
              </w:rPr>
            </w:pPr>
            <w:r>
              <w:rPr>
                <w:sz w:val="17"/>
              </w:rPr>
              <w:t>30,5</w:t>
            </w:r>
          </w:p>
        </w:tc>
        <w:tc>
          <w:tcPr>
            <w:tcW w:w="722" w:type="dxa"/>
            <w:shd w:val="clear" w:color="auto" w:fill="808080"/>
            <w:vAlign w:val="bottom"/>
          </w:tcPr>
          <w:p w:rsidR="00000000" w:rsidRDefault="00000000">
            <w:pPr>
              <w:jc w:val="right"/>
              <w:rPr>
                <w:sz w:val="17"/>
              </w:rPr>
            </w:pPr>
            <w:r>
              <w:rPr>
                <w:sz w:val="17"/>
              </w:rPr>
              <w:t>625</w:t>
            </w:r>
          </w:p>
        </w:tc>
        <w:tc>
          <w:tcPr>
            <w:tcW w:w="872" w:type="dxa"/>
            <w:vAlign w:val="bottom"/>
          </w:tcPr>
          <w:p w:rsidR="00000000" w:rsidRDefault="00000000">
            <w:pPr>
              <w:tabs>
                <w:tab w:val="decimal" w:pos="284"/>
              </w:tabs>
              <w:rPr>
                <w:sz w:val="17"/>
              </w:rPr>
            </w:pPr>
            <w:r>
              <w:rPr>
                <w:sz w:val="17"/>
              </w:rPr>
              <w:t>37,0</w:t>
            </w:r>
          </w:p>
        </w:tc>
        <w:tc>
          <w:tcPr>
            <w:tcW w:w="722" w:type="dxa"/>
            <w:shd w:val="clear" w:color="auto" w:fill="808080"/>
            <w:vAlign w:val="bottom"/>
          </w:tcPr>
          <w:p w:rsidR="00000000" w:rsidRDefault="00000000">
            <w:pPr>
              <w:jc w:val="right"/>
              <w:rPr>
                <w:sz w:val="17"/>
              </w:rPr>
            </w:pPr>
            <w:r>
              <w:rPr>
                <w:sz w:val="17"/>
              </w:rPr>
              <w:t>648</w:t>
            </w:r>
          </w:p>
        </w:tc>
        <w:tc>
          <w:tcPr>
            <w:tcW w:w="872" w:type="dxa"/>
            <w:vAlign w:val="bottom"/>
          </w:tcPr>
          <w:p w:rsidR="00000000" w:rsidRDefault="00000000">
            <w:pPr>
              <w:tabs>
                <w:tab w:val="decimal" w:pos="284"/>
              </w:tabs>
              <w:rPr>
                <w:sz w:val="17"/>
              </w:rPr>
            </w:pPr>
            <w:r>
              <w:rPr>
                <w:sz w:val="17"/>
              </w:rPr>
              <w:t>38,9</w:t>
            </w:r>
          </w:p>
        </w:tc>
        <w:tc>
          <w:tcPr>
            <w:tcW w:w="722" w:type="dxa"/>
            <w:shd w:val="clear" w:color="auto" w:fill="808080"/>
            <w:vAlign w:val="bottom"/>
          </w:tcPr>
          <w:p w:rsidR="00000000" w:rsidRDefault="00000000">
            <w:pPr>
              <w:jc w:val="right"/>
              <w:rPr>
                <w:sz w:val="17"/>
              </w:rPr>
            </w:pPr>
            <w:r>
              <w:rPr>
                <w:sz w:val="17"/>
              </w:rPr>
              <w:t>624</w:t>
            </w:r>
          </w:p>
        </w:tc>
        <w:tc>
          <w:tcPr>
            <w:tcW w:w="872" w:type="dxa"/>
            <w:vAlign w:val="bottom"/>
          </w:tcPr>
          <w:p w:rsidR="00000000" w:rsidRDefault="00000000">
            <w:pPr>
              <w:tabs>
                <w:tab w:val="decimal" w:pos="284"/>
              </w:tabs>
              <w:rPr>
                <w:sz w:val="17"/>
              </w:rPr>
            </w:pPr>
            <w:r>
              <w:rPr>
                <w:sz w:val="17"/>
              </w:rPr>
              <w:t>43,3</w:t>
            </w:r>
          </w:p>
        </w:tc>
        <w:tc>
          <w:tcPr>
            <w:tcW w:w="722" w:type="dxa"/>
            <w:shd w:val="clear" w:color="auto" w:fill="808080"/>
            <w:vAlign w:val="bottom"/>
          </w:tcPr>
          <w:p w:rsidR="00000000" w:rsidRDefault="00000000">
            <w:pPr>
              <w:jc w:val="right"/>
              <w:rPr>
                <w:sz w:val="17"/>
              </w:rPr>
            </w:pPr>
            <w:r>
              <w:rPr>
                <w:sz w:val="17"/>
              </w:rPr>
              <w:t>595</w:t>
            </w:r>
          </w:p>
        </w:tc>
        <w:tc>
          <w:tcPr>
            <w:tcW w:w="872" w:type="dxa"/>
            <w:vAlign w:val="bottom"/>
          </w:tcPr>
          <w:p w:rsidR="00000000" w:rsidRDefault="00000000">
            <w:pPr>
              <w:tabs>
                <w:tab w:val="decimal" w:pos="284"/>
              </w:tabs>
              <w:rPr>
                <w:sz w:val="17"/>
              </w:rPr>
            </w:pPr>
            <w:r>
              <w:rPr>
                <w:sz w:val="17"/>
              </w:rPr>
              <w:t>40,0</w:t>
            </w:r>
          </w:p>
        </w:tc>
        <w:tc>
          <w:tcPr>
            <w:tcW w:w="722" w:type="dxa"/>
            <w:shd w:val="clear" w:color="auto" w:fill="808080"/>
            <w:vAlign w:val="bottom"/>
          </w:tcPr>
          <w:p w:rsidR="00000000" w:rsidRDefault="00000000">
            <w:pPr>
              <w:jc w:val="right"/>
              <w:rPr>
                <w:sz w:val="17"/>
                <w:vertAlign w:val="superscript"/>
              </w:rPr>
            </w:pPr>
            <w:r>
              <w:rPr>
                <w:sz w:val="17"/>
              </w:rPr>
              <w:t>(595)</w:t>
            </w:r>
            <w:r>
              <w:rPr>
                <w:sz w:val="17"/>
                <w:vertAlign w:val="superscript"/>
              </w:rPr>
              <w:t>5</w:t>
            </w:r>
          </w:p>
        </w:tc>
        <w:tc>
          <w:tcPr>
            <w:tcW w:w="616" w:type="dxa"/>
            <w:vAlign w:val="bottom"/>
          </w:tcPr>
          <w:p w:rsidR="00000000" w:rsidRDefault="00000000">
            <w:pPr>
              <w:tabs>
                <w:tab w:val="decimal" w:pos="107"/>
              </w:tabs>
              <w:rPr>
                <w:sz w:val="17"/>
              </w:rPr>
            </w:pPr>
            <w:r>
              <w:rPr>
                <w:sz w:val="17"/>
              </w:rPr>
              <w:t>40,0</w:t>
            </w:r>
          </w:p>
        </w:tc>
      </w:tr>
      <w:tr w:rsidR="00000000">
        <w:tblPrEx>
          <w:tblCellMar>
            <w:top w:w="0" w:type="dxa"/>
            <w:bottom w:w="0" w:type="dxa"/>
          </w:tblCellMar>
        </w:tblPrEx>
        <w:tc>
          <w:tcPr>
            <w:tcW w:w="2035" w:type="dxa"/>
          </w:tcPr>
          <w:p w:rsidR="00000000" w:rsidRDefault="00000000">
            <w:pPr>
              <w:rPr>
                <w:b/>
                <w:sz w:val="17"/>
              </w:rPr>
            </w:pPr>
            <w:r>
              <w:rPr>
                <w:b/>
                <w:sz w:val="17"/>
              </w:rPr>
              <w:t>Профессионально-технические учил</w:t>
            </w:r>
            <w:r>
              <w:rPr>
                <w:b/>
                <w:sz w:val="17"/>
              </w:rPr>
              <w:t>и</w:t>
            </w:r>
            <w:r>
              <w:rPr>
                <w:b/>
                <w:sz w:val="17"/>
              </w:rPr>
              <w:t>ща, всего</w:t>
            </w:r>
            <w:r>
              <w:rPr>
                <w:b/>
                <w:sz w:val="17"/>
                <w:vertAlign w:val="superscript"/>
              </w:rPr>
              <w:t>6</w:t>
            </w:r>
          </w:p>
        </w:tc>
        <w:tc>
          <w:tcPr>
            <w:tcW w:w="1073" w:type="dxa"/>
          </w:tcPr>
          <w:p w:rsidR="00000000" w:rsidRDefault="00000000">
            <w:pPr>
              <w:rPr>
                <w:b/>
                <w:sz w:val="17"/>
              </w:rPr>
            </w:pPr>
            <w:r>
              <w:rPr>
                <w:b/>
                <w:sz w:val="17"/>
              </w:rPr>
              <w:t>Мужчины</w:t>
            </w:r>
          </w:p>
        </w:tc>
        <w:tc>
          <w:tcPr>
            <w:tcW w:w="722" w:type="dxa"/>
            <w:shd w:val="clear" w:color="auto" w:fill="808080"/>
            <w:vAlign w:val="bottom"/>
          </w:tcPr>
          <w:p w:rsidR="00000000" w:rsidRDefault="00000000">
            <w:pPr>
              <w:jc w:val="right"/>
              <w:rPr>
                <w:b/>
                <w:sz w:val="17"/>
              </w:rPr>
            </w:pPr>
            <w:r>
              <w:rPr>
                <w:b/>
                <w:sz w:val="17"/>
              </w:rPr>
              <w:t>7 906</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8 290</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8 856</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9 398</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9 241</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9 408</w:t>
            </w:r>
          </w:p>
        </w:tc>
        <w:tc>
          <w:tcPr>
            <w:tcW w:w="616" w:type="dxa"/>
            <w:vAlign w:val="bottom"/>
          </w:tcPr>
          <w:p w:rsidR="00000000" w:rsidRDefault="00000000">
            <w:pPr>
              <w:tabs>
                <w:tab w:val="decimal" w:pos="107"/>
              </w:tabs>
              <w:rPr>
                <w:b/>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b/>
                <w:sz w:val="17"/>
              </w:rPr>
            </w:pPr>
            <w:r>
              <w:rPr>
                <w:b/>
                <w:sz w:val="17"/>
              </w:rPr>
              <w:t>Женщ</w:t>
            </w:r>
            <w:r>
              <w:rPr>
                <w:b/>
                <w:sz w:val="17"/>
              </w:rPr>
              <w:t>и</w:t>
            </w:r>
            <w:r>
              <w:rPr>
                <w:b/>
                <w:sz w:val="17"/>
              </w:rPr>
              <w:t>ны</w:t>
            </w:r>
          </w:p>
        </w:tc>
        <w:tc>
          <w:tcPr>
            <w:tcW w:w="722" w:type="dxa"/>
            <w:shd w:val="clear" w:color="auto" w:fill="808080"/>
            <w:vAlign w:val="bottom"/>
          </w:tcPr>
          <w:p w:rsidR="00000000" w:rsidRDefault="00000000">
            <w:pPr>
              <w:jc w:val="right"/>
              <w:rPr>
                <w:b/>
                <w:sz w:val="17"/>
              </w:rPr>
            </w:pPr>
            <w:r>
              <w:rPr>
                <w:b/>
                <w:sz w:val="17"/>
              </w:rPr>
              <w:t>7 505</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8 100</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9 232</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9 581</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9 862</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10 489</w:t>
            </w:r>
          </w:p>
        </w:tc>
        <w:tc>
          <w:tcPr>
            <w:tcW w:w="616" w:type="dxa"/>
            <w:vAlign w:val="bottom"/>
          </w:tcPr>
          <w:p w:rsidR="00000000" w:rsidRDefault="00000000">
            <w:pPr>
              <w:tabs>
                <w:tab w:val="decimal" w:pos="107"/>
              </w:tabs>
              <w:rPr>
                <w:b/>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b/>
                <w:sz w:val="17"/>
              </w:rPr>
            </w:pPr>
            <w:r>
              <w:rPr>
                <w:b/>
                <w:sz w:val="17"/>
              </w:rPr>
              <w:t>Всего</w:t>
            </w:r>
          </w:p>
        </w:tc>
        <w:tc>
          <w:tcPr>
            <w:tcW w:w="722" w:type="dxa"/>
            <w:shd w:val="clear" w:color="auto" w:fill="808080"/>
            <w:vAlign w:val="bottom"/>
          </w:tcPr>
          <w:p w:rsidR="00000000" w:rsidRDefault="00000000">
            <w:pPr>
              <w:jc w:val="right"/>
              <w:rPr>
                <w:b/>
                <w:sz w:val="17"/>
              </w:rPr>
            </w:pPr>
            <w:r>
              <w:rPr>
                <w:b/>
                <w:sz w:val="17"/>
              </w:rPr>
              <w:t>15 411</w:t>
            </w:r>
          </w:p>
        </w:tc>
        <w:tc>
          <w:tcPr>
            <w:tcW w:w="872" w:type="dxa"/>
            <w:vAlign w:val="bottom"/>
          </w:tcPr>
          <w:p w:rsidR="00000000" w:rsidRDefault="00000000">
            <w:pPr>
              <w:tabs>
                <w:tab w:val="decimal" w:pos="284"/>
              </w:tabs>
              <w:rPr>
                <w:b/>
                <w:sz w:val="17"/>
              </w:rPr>
            </w:pPr>
            <w:r>
              <w:rPr>
                <w:b/>
                <w:sz w:val="17"/>
              </w:rPr>
              <w:t>48,7</w:t>
            </w:r>
          </w:p>
        </w:tc>
        <w:tc>
          <w:tcPr>
            <w:tcW w:w="722" w:type="dxa"/>
            <w:shd w:val="clear" w:color="auto" w:fill="808080"/>
            <w:vAlign w:val="bottom"/>
          </w:tcPr>
          <w:p w:rsidR="00000000" w:rsidRDefault="00000000">
            <w:pPr>
              <w:jc w:val="right"/>
              <w:rPr>
                <w:b/>
                <w:sz w:val="17"/>
              </w:rPr>
            </w:pPr>
            <w:r>
              <w:rPr>
                <w:b/>
                <w:sz w:val="17"/>
              </w:rPr>
              <w:t>16 390</w:t>
            </w:r>
          </w:p>
        </w:tc>
        <w:tc>
          <w:tcPr>
            <w:tcW w:w="872" w:type="dxa"/>
            <w:vAlign w:val="bottom"/>
          </w:tcPr>
          <w:p w:rsidR="00000000" w:rsidRDefault="00000000">
            <w:pPr>
              <w:tabs>
                <w:tab w:val="decimal" w:pos="284"/>
              </w:tabs>
              <w:rPr>
                <w:b/>
                <w:sz w:val="17"/>
              </w:rPr>
            </w:pPr>
            <w:r>
              <w:rPr>
                <w:b/>
                <w:sz w:val="17"/>
              </w:rPr>
              <w:t>49,4</w:t>
            </w:r>
          </w:p>
        </w:tc>
        <w:tc>
          <w:tcPr>
            <w:tcW w:w="722" w:type="dxa"/>
            <w:shd w:val="clear" w:color="auto" w:fill="808080"/>
            <w:vAlign w:val="bottom"/>
          </w:tcPr>
          <w:p w:rsidR="00000000" w:rsidRDefault="00000000">
            <w:pPr>
              <w:jc w:val="right"/>
              <w:rPr>
                <w:b/>
                <w:sz w:val="17"/>
              </w:rPr>
            </w:pPr>
            <w:r>
              <w:rPr>
                <w:b/>
                <w:sz w:val="17"/>
              </w:rPr>
              <w:t>18 088</w:t>
            </w:r>
          </w:p>
        </w:tc>
        <w:tc>
          <w:tcPr>
            <w:tcW w:w="872" w:type="dxa"/>
            <w:vAlign w:val="bottom"/>
          </w:tcPr>
          <w:p w:rsidR="00000000" w:rsidRDefault="00000000">
            <w:pPr>
              <w:tabs>
                <w:tab w:val="decimal" w:pos="284"/>
              </w:tabs>
              <w:rPr>
                <w:b/>
                <w:sz w:val="17"/>
              </w:rPr>
            </w:pPr>
            <w:r>
              <w:rPr>
                <w:b/>
                <w:sz w:val="17"/>
              </w:rPr>
              <w:t>51,0</w:t>
            </w:r>
          </w:p>
        </w:tc>
        <w:tc>
          <w:tcPr>
            <w:tcW w:w="722" w:type="dxa"/>
            <w:shd w:val="clear" w:color="auto" w:fill="808080"/>
            <w:vAlign w:val="bottom"/>
          </w:tcPr>
          <w:p w:rsidR="00000000" w:rsidRDefault="00000000">
            <w:pPr>
              <w:jc w:val="right"/>
              <w:rPr>
                <w:b/>
                <w:sz w:val="17"/>
              </w:rPr>
            </w:pPr>
            <w:r>
              <w:rPr>
                <w:b/>
                <w:sz w:val="17"/>
              </w:rPr>
              <w:t>18 979</w:t>
            </w:r>
          </w:p>
        </w:tc>
        <w:tc>
          <w:tcPr>
            <w:tcW w:w="872" w:type="dxa"/>
            <w:vAlign w:val="bottom"/>
          </w:tcPr>
          <w:p w:rsidR="00000000" w:rsidRDefault="00000000">
            <w:pPr>
              <w:tabs>
                <w:tab w:val="decimal" w:pos="284"/>
              </w:tabs>
              <w:rPr>
                <w:b/>
                <w:sz w:val="17"/>
              </w:rPr>
            </w:pPr>
            <w:r>
              <w:rPr>
                <w:b/>
                <w:sz w:val="17"/>
              </w:rPr>
              <w:t>50,5</w:t>
            </w:r>
          </w:p>
        </w:tc>
        <w:tc>
          <w:tcPr>
            <w:tcW w:w="722" w:type="dxa"/>
            <w:shd w:val="clear" w:color="auto" w:fill="808080"/>
            <w:vAlign w:val="bottom"/>
          </w:tcPr>
          <w:p w:rsidR="00000000" w:rsidRDefault="00000000">
            <w:pPr>
              <w:jc w:val="right"/>
              <w:rPr>
                <w:b/>
                <w:sz w:val="17"/>
              </w:rPr>
            </w:pPr>
            <w:r>
              <w:rPr>
                <w:b/>
                <w:sz w:val="17"/>
              </w:rPr>
              <w:t>19 103</w:t>
            </w:r>
          </w:p>
        </w:tc>
        <w:tc>
          <w:tcPr>
            <w:tcW w:w="872" w:type="dxa"/>
            <w:vAlign w:val="bottom"/>
          </w:tcPr>
          <w:p w:rsidR="00000000" w:rsidRDefault="00000000">
            <w:pPr>
              <w:tabs>
                <w:tab w:val="decimal" w:pos="284"/>
              </w:tabs>
              <w:rPr>
                <w:b/>
                <w:sz w:val="17"/>
              </w:rPr>
            </w:pPr>
            <w:r>
              <w:rPr>
                <w:b/>
                <w:sz w:val="17"/>
              </w:rPr>
              <w:t>51,6</w:t>
            </w:r>
          </w:p>
        </w:tc>
        <w:tc>
          <w:tcPr>
            <w:tcW w:w="722" w:type="dxa"/>
            <w:shd w:val="clear" w:color="auto" w:fill="808080"/>
            <w:vAlign w:val="bottom"/>
          </w:tcPr>
          <w:p w:rsidR="00000000" w:rsidRDefault="00000000">
            <w:pPr>
              <w:jc w:val="right"/>
              <w:rPr>
                <w:b/>
                <w:sz w:val="17"/>
              </w:rPr>
            </w:pPr>
            <w:r>
              <w:rPr>
                <w:b/>
                <w:sz w:val="17"/>
              </w:rPr>
              <w:t>19 897</w:t>
            </w:r>
          </w:p>
        </w:tc>
        <w:tc>
          <w:tcPr>
            <w:tcW w:w="616" w:type="dxa"/>
            <w:vAlign w:val="bottom"/>
          </w:tcPr>
          <w:p w:rsidR="00000000" w:rsidRDefault="00000000">
            <w:pPr>
              <w:tabs>
                <w:tab w:val="decimal" w:pos="107"/>
              </w:tabs>
              <w:rPr>
                <w:b/>
                <w:sz w:val="17"/>
              </w:rPr>
            </w:pPr>
            <w:r>
              <w:rPr>
                <w:b/>
                <w:sz w:val="17"/>
              </w:rPr>
              <w:t>52,7</w:t>
            </w:r>
          </w:p>
        </w:tc>
      </w:tr>
      <w:tr w:rsidR="00000000">
        <w:tblPrEx>
          <w:tblCellMar>
            <w:top w:w="0" w:type="dxa"/>
            <w:bottom w:w="0" w:type="dxa"/>
          </w:tblCellMar>
        </w:tblPrEx>
        <w:tc>
          <w:tcPr>
            <w:tcW w:w="2035" w:type="dxa"/>
          </w:tcPr>
          <w:p w:rsidR="00000000" w:rsidRDefault="00000000">
            <w:pPr>
              <w:rPr>
                <w:b/>
                <w:sz w:val="17"/>
              </w:rPr>
            </w:pPr>
            <w:r>
              <w:rPr>
                <w:b/>
                <w:sz w:val="17"/>
              </w:rPr>
              <w:t>Высшие учебные з</w:t>
            </w:r>
            <w:r>
              <w:rPr>
                <w:b/>
                <w:sz w:val="17"/>
              </w:rPr>
              <w:t>а</w:t>
            </w:r>
            <w:r>
              <w:rPr>
                <w:b/>
                <w:sz w:val="17"/>
              </w:rPr>
              <w:t>ведения</w:t>
            </w:r>
            <w:r>
              <w:rPr>
                <w:b/>
                <w:sz w:val="17"/>
                <w:vertAlign w:val="superscript"/>
              </w:rPr>
              <w:t>7</w:t>
            </w:r>
          </w:p>
        </w:tc>
        <w:tc>
          <w:tcPr>
            <w:tcW w:w="1073" w:type="dxa"/>
          </w:tcPr>
          <w:p w:rsidR="00000000" w:rsidRDefault="00000000">
            <w:pPr>
              <w:rPr>
                <w:b/>
                <w:sz w:val="17"/>
              </w:rPr>
            </w:pPr>
            <w:r>
              <w:rPr>
                <w:b/>
                <w:sz w:val="17"/>
              </w:rPr>
              <w:t>Мужчины</w:t>
            </w:r>
          </w:p>
        </w:tc>
        <w:tc>
          <w:tcPr>
            <w:tcW w:w="722" w:type="dxa"/>
            <w:shd w:val="clear" w:color="auto" w:fill="808080"/>
            <w:vAlign w:val="bottom"/>
          </w:tcPr>
          <w:p w:rsidR="00000000" w:rsidRDefault="00000000">
            <w:pPr>
              <w:jc w:val="right"/>
              <w:rPr>
                <w:b/>
                <w:sz w:val="17"/>
              </w:rPr>
            </w:pPr>
            <w:r>
              <w:rPr>
                <w:b/>
                <w:sz w:val="17"/>
              </w:rPr>
              <w:t>19</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38</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40</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47</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53</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44</w:t>
            </w:r>
          </w:p>
        </w:tc>
        <w:tc>
          <w:tcPr>
            <w:tcW w:w="616" w:type="dxa"/>
            <w:vAlign w:val="bottom"/>
          </w:tcPr>
          <w:p w:rsidR="00000000" w:rsidRDefault="00000000">
            <w:pPr>
              <w:tabs>
                <w:tab w:val="decimal" w:pos="107"/>
              </w:tabs>
              <w:rPr>
                <w:b/>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b/>
                <w:sz w:val="17"/>
              </w:rPr>
            </w:pPr>
            <w:r>
              <w:rPr>
                <w:b/>
                <w:sz w:val="17"/>
              </w:rPr>
              <w:t>Женщ</w:t>
            </w:r>
            <w:r>
              <w:rPr>
                <w:b/>
                <w:sz w:val="17"/>
              </w:rPr>
              <w:t>и</w:t>
            </w:r>
            <w:r>
              <w:rPr>
                <w:b/>
                <w:sz w:val="17"/>
              </w:rPr>
              <w:t>ны</w:t>
            </w:r>
          </w:p>
        </w:tc>
        <w:tc>
          <w:tcPr>
            <w:tcW w:w="722" w:type="dxa"/>
            <w:shd w:val="clear" w:color="auto" w:fill="808080"/>
            <w:vAlign w:val="bottom"/>
          </w:tcPr>
          <w:p w:rsidR="00000000" w:rsidRDefault="00000000">
            <w:pPr>
              <w:jc w:val="right"/>
              <w:rPr>
                <w:b/>
                <w:sz w:val="17"/>
              </w:rPr>
            </w:pPr>
            <w:r>
              <w:rPr>
                <w:b/>
                <w:sz w:val="17"/>
              </w:rPr>
              <w:t>841</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1 625</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1 541</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1 539</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1 575</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1 551</w:t>
            </w:r>
          </w:p>
        </w:tc>
        <w:tc>
          <w:tcPr>
            <w:tcW w:w="616" w:type="dxa"/>
            <w:vAlign w:val="bottom"/>
          </w:tcPr>
          <w:p w:rsidR="00000000" w:rsidRDefault="00000000">
            <w:pPr>
              <w:tabs>
                <w:tab w:val="decimal" w:pos="107"/>
              </w:tabs>
              <w:rPr>
                <w:b/>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b/>
                <w:sz w:val="17"/>
              </w:rPr>
            </w:pPr>
            <w:r>
              <w:rPr>
                <w:b/>
                <w:sz w:val="17"/>
              </w:rPr>
              <w:t>Всего</w:t>
            </w:r>
          </w:p>
        </w:tc>
        <w:tc>
          <w:tcPr>
            <w:tcW w:w="722" w:type="dxa"/>
            <w:shd w:val="clear" w:color="auto" w:fill="808080"/>
            <w:vAlign w:val="bottom"/>
          </w:tcPr>
          <w:p w:rsidR="00000000" w:rsidRDefault="00000000">
            <w:pPr>
              <w:jc w:val="right"/>
              <w:rPr>
                <w:b/>
                <w:sz w:val="17"/>
              </w:rPr>
            </w:pPr>
            <w:r>
              <w:rPr>
                <w:b/>
                <w:sz w:val="17"/>
              </w:rPr>
              <w:t>860</w:t>
            </w:r>
          </w:p>
        </w:tc>
        <w:tc>
          <w:tcPr>
            <w:tcW w:w="872" w:type="dxa"/>
            <w:vAlign w:val="bottom"/>
          </w:tcPr>
          <w:p w:rsidR="00000000" w:rsidRDefault="00000000">
            <w:pPr>
              <w:tabs>
                <w:tab w:val="decimal" w:pos="284"/>
              </w:tabs>
              <w:rPr>
                <w:b/>
                <w:sz w:val="17"/>
              </w:rPr>
            </w:pPr>
            <w:r>
              <w:rPr>
                <w:b/>
                <w:sz w:val="17"/>
              </w:rPr>
              <w:t>97,8</w:t>
            </w:r>
          </w:p>
        </w:tc>
        <w:tc>
          <w:tcPr>
            <w:tcW w:w="722" w:type="dxa"/>
            <w:shd w:val="clear" w:color="auto" w:fill="808080"/>
            <w:vAlign w:val="bottom"/>
          </w:tcPr>
          <w:p w:rsidR="00000000" w:rsidRDefault="00000000">
            <w:pPr>
              <w:jc w:val="right"/>
              <w:rPr>
                <w:b/>
                <w:sz w:val="17"/>
              </w:rPr>
            </w:pPr>
            <w:r>
              <w:rPr>
                <w:b/>
                <w:sz w:val="17"/>
              </w:rPr>
              <w:t>1 663</w:t>
            </w:r>
          </w:p>
        </w:tc>
        <w:tc>
          <w:tcPr>
            <w:tcW w:w="872" w:type="dxa"/>
            <w:vAlign w:val="bottom"/>
          </w:tcPr>
          <w:p w:rsidR="00000000" w:rsidRDefault="00000000">
            <w:pPr>
              <w:tabs>
                <w:tab w:val="decimal" w:pos="284"/>
              </w:tabs>
              <w:rPr>
                <w:b/>
                <w:sz w:val="17"/>
              </w:rPr>
            </w:pPr>
            <w:r>
              <w:rPr>
                <w:b/>
                <w:sz w:val="17"/>
              </w:rPr>
              <w:t>97,7</w:t>
            </w:r>
          </w:p>
        </w:tc>
        <w:tc>
          <w:tcPr>
            <w:tcW w:w="722" w:type="dxa"/>
            <w:shd w:val="clear" w:color="auto" w:fill="808080"/>
            <w:vAlign w:val="bottom"/>
          </w:tcPr>
          <w:p w:rsidR="00000000" w:rsidRDefault="00000000">
            <w:pPr>
              <w:jc w:val="right"/>
              <w:rPr>
                <w:b/>
                <w:sz w:val="17"/>
              </w:rPr>
            </w:pPr>
            <w:r>
              <w:rPr>
                <w:b/>
                <w:sz w:val="17"/>
              </w:rPr>
              <w:t>1 581</w:t>
            </w:r>
          </w:p>
        </w:tc>
        <w:tc>
          <w:tcPr>
            <w:tcW w:w="872" w:type="dxa"/>
            <w:vAlign w:val="bottom"/>
          </w:tcPr>
          <w:p w:rsidR="00000000" w:rsidRDefault="00000000">
            <w:pPr>
              <w:tabs>
                <w:tab w:val="decimal" w:pos="284"/>
              </w:tabs>
              <w:rPr>
                <w:b/>
                <w:sz w:val="17"/>
              </w:rPr>
            </w:pPr>
            <w:r>
              <w:rPr>
                <w:b/>
                <w:sz w:val="17"/>
              </w:rPr>
              <w:t>97,5</w:t>
            </w:r>
          </w:p>
        </w:tc>
        <w:tc>
          <w:tcPr>
            <w:tcW w:w="722" w:type="dxa"/>
            <w:shd w:val="clear" w:color="auto" w:fill="808080"/>
            <w:vAlign w:val="bottom"/>
          </w:tcPr>
          <w:p w:rsidR="00000000" w:rsidRDefault="00000000">
            <w:pPr>
              <w:jc w:val="right"/>
              <w:rPr>
                <w:b/>
                <w:sz w:val="17"/>
              </w:rPr>
            </w:pPr>
            <w:r>
              <w:rPr>
                <w:b/>
                <w:sz w:val="17"/>
              </w:rPr>
              <w:t>1 586</w:t>
            </w:r>
          </w:p>
        </w:tc>
        <w:tc>
          <w:tcPr>
            <w:tcW w:w="872" w:type="dxa"/>
            <w:vAlign w:val="bottom"/>
          </w:tcPr>
          <w:p w:rsidR="00000000" w:rsidRDefault="00000000">
            <w:pPr>
              <w:tabs>
                <w:tab w:val="decimal" w:pos="284"/>
              </w:tabs>
              <w:rPr>
                <w:b/>
                <w:sz w:val="17"/>
              </w:rPr>
            </w:pPr>
            <w:r>
              <w:rPr>
                <w:b/>
                <w:sz w:val="17"/>
              </w:rPr>
              <w:t>97,0</w:t>
            </w:r>
          </w:p>
        </w:tc>
        <w:tc>
          <w:tcPr>
            <w:tcW w:w="722" w:type="dxa"/>
            <w:shd w:val="clear" w:color="auto" w:fill="808080"/>
            <w:vAlign w:val="bottom"/>
          </w:tcPr>
          <w:p w:rsidR="00000000" w:rsidRDefault="00000000">
            <w:pPr>
              <w:jc w:val="right"/>
              <w:rPr>
                <w:b/>
                <w:sz w:val="17"/>
              </w:rPr>
            </w:pPr>
            <w:r>
              <w:rPr>
                <w:b/>
                <w:sz w:val="17"/>
              </w:rPr>
              <w:t>1 628</w:t>
            </w:r>
          </w:p>
        </w:tc>
        <w:tc>
          <w:tcPr>
            <w:tcW w:w="872" w:type="dxa"/>
            <w:vAlign w:val="bottom"/>
          </w:tcPr>
          <w:p w:rsidR="00000000" w:rsidRDefault="00000000">
            <w:pPr>
              <w:tabs>
                <w:tab w:val="decimal" w:pos="284"/>
              </w:tabs>
              <w:rPr>
                <w:b/>
                <w:sz w:val="17"/>
              </w:rPr>
            </w:pPr>
            <w:r>
              <w:rPr>
                <w:b/>
                <w:sz w:val="17"/>
              </w:rPr>
              <w:t>96,7</w:t>
            </w:r>
          </w:p>
        </w:tc>
        <w:tc>
          <w:tcPr>
            <w:tcW w:w="722" w:type="dxa"/>
            <w:shd w:val="clear" w:color="auto" w:fill="808080"/>
            <w:vAlign w:val="bottom"/>
          </w:tcPr>
          <w:p w:rsidR="00000000" w:rsidRDefault="00000000">
            <w:pPr>
              <w:jc w:val="right"/>
              <w:rPr>
                <w:b/>
                <w:sz w:val="17"/>
              </w:rPr>
            </w:pPr>
            <w:r>
              <w:rPr>
                <w:b/>
                <w:sz w:val="17"/>
              </w:rPr>
              <w:t>1 595</w:t>
            </w:r>
          </w:p>
        </w:tc>
        <w:tc>
          <w:tcPr>
            <w:tcW w:w="616" w:type="dxa"/>
            <w:vAlign w:val="bottom"/>
          </w:tcPr>
          <w:p w:rsidR="00000000" w:rsidRDefault="00000000">
            <w:pPr>
              <w:tabs>
                <w:tab w:val="decimal" w:pos="107"/>
              </w:tabs>
              <w:rPr>
                <w:b/>
                <w:sz w:val="17"/>
              </w:rPr>
            </w:pPr>
            <w:r>
              <w:rPr>
                <w:b/>
                <w:sz w:val="17"/>
              </w:rPr>
              <w:t>97,2</w:t>
            </w:r>
          </w:p>
        </w:tc>
      </w:tr>
      <w:tr w:rsidR="00000000">
        <w:tblPrEx>
          <w:tblCellMar>
            <w:top w:w="0" w:type="dxa"/>
            <w:bottom w:w="0" w:type="dxa"/>
          </w:tblCellMar>
        </w:tblPrEx>
        <w:tc>
          <w:tcPr>
            <w:tcW w:w="2035" w:type="dxa"/>
          </w:tcPr>
          <w:p w:rsidR="00000000" w:rsidRDefault="00000000">
            <w:pPr>
              <w:rPr>
                <w:b/>
                <w:sz w:val="17"/>
              </w:rPr>
            </w:pPr>
            <w:r>
              <w:rPr>
                <w:b/>
                <w:sz w:val="17"/>
              </w:rPr>
              <w:t>Всего</w:t>
            </w:r>
          </w:p>
        </w:tc>
        <w:tc>
          <w:tcPr>
            <w:tcW w:w="1073" w:type="dxa"/>
          </w:tcPr>
          <w:p w:rsidR="00000000" w:rsidRDefault="00000000">
            <w:pPr>
              <w:rPr>
                <w:b/>
                <w:sz w:val="17"/>
              </w:rPr>
            </w:pPr>
            <w:r>
              <w:rPr>
                <w:b/>
                <w:sz w:val="17"/>
              </w:rPr>
              <w:t>Мужчины</w:t>
            </w:r>
          </w:p>
        </w:tc>
        <w:tc>
          <w:tcPr>
            <w:tcW w:w="722" w:type="dxa"/>
            <w:shd w:val="clear" w:color="auto" w:fill="808080"/>
            <w:vAlign w:val="bottom"/>
          </w:tcPr>
          <w:p w:rsidR="00000000" w:rsidRDefault="00000000">
            <w:pPr>
              <w:jc w:val="right"/>
              <w:rPr>
                <w:b/>
                <w:sz w:val="17"/>
              </w:rPr>
            </w:pPr>
            <w:r>
              <w:rPr>
                <w:b/>
                <w:sz w:val="17"/>
              </w:rPr>
              <w:t>15 093</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16 096</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16 246</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16 569</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15 936</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16 232</w:t>
            </w:r>
          </w:p>
        </w:tc>
        <w:tc>
          <w:tcPr>
            <w:tcW w:w="616" w:type="dxa"/>
            <w:vAlign w:val="bottom"/>
          </w:tcPr>
          <w:p w:rsidR="00000000" w:rsidRDefault="00000000">
            <w:pPr>
              <w:tabs>
                <w:tab w:val="decimal" w:pos="107"/>
              </w:tabs>
              <w:rPr>
                <w:b/>
                <w:sz w:val="17"/>
              </w:rPr>
            </w:pPr>
          </w:p>
        </w:tc>
      </w:tr>
      <w:tr w:rsidR="00000000">
        <w:tblPrEx>
          <w:tblCellMar>
            <w:top w:w="0" w:type="dxa"/>
            <w:bottom w:w="0" w:type="dxa"/>
          </w:tblCellMar>
        </w:tblPrEx>
        <w:tc>
          <w:tcPr>
            <w:tcW w:w="2035" w:type="dxa"/>
          </w:tcPr>
          <w:p w:rsidR="00000000" w:rsidRDefault="00000000">
            <w:pPr>
              <w:rPr>
                <w:sz w:val="17"/>
              </w:rPr>
            </w:pPr>
          </w:p>
        </w:tc>
        <w:tc>
          <w:tcPr>
            <w:tcW w:w="1073" w:type="dxa"/>
          </w:tcPr>
          <w:p w:rsidR="00000000" w:rsidRDefault="00000000">
            <w:pPr>
              <w:rPr>
                <w:b/>
                <w:sz w:val="17"/>
              </w:rPr>
            </w:pPr>
            <w:r>
              <w:rPr>
                <w:b/>
                <w:sz w:val="17"/>
              </w:rPr>
              <w:t>Женщ</w:t>
            </w:r>
            <w:r>
              <w:rPr>
                <w:b/>
                <w:sz w:val="17"/>
              </w:rPr>
              <w:t>и</w:t>
            </w:r>
            <w:r>
              <w:rPr>
                <w:b/>
                <w:sz w:val="17"/>
              </w:rPr>
              <w:t>ны</w:t>
            </w:r>
          </w:p>
        </w:tc>
        <w:tc>
          <w:tcPr>
            <w:tcW w:w="722" w:type="dxa"/>
            <w:shd w:val="clear" w:color="auto" w:fill="808080"/>
            <w:vAlign w:val="bottom"/>
          </w:tcPr>
          <w:p w:rsidR="00000000" w:rsidRDefault="00000000">
            <w:pPr>
              <w:jc w:val="right"/>
              <w:rPr>
                <w:b/>
                <w:sz w:val="17"/>
              </w:rPr>
            </w:pPr>
            <w:r>
              <w:rPr>
                <w:b/>
                <w:sz w:val="17"/>
              </w:rPr>
              <w:t>16 779</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20 445</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21 471</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21 251</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20 976</w:t>
            </w:r>
          </w:p>
        </w:tc>
        <w:tc>
          <w:tcPr>
            <w:tcW w:w="872" w:type="dxa"/>
            <w:vAlign w:val="bottom"/>
          </w:tcPr>
          <w:p w:rsidR="00000000" w:rsidRDefault="00000000">
            <w:pPr>
              <w:tabs>
                <w:tab w:val="decimal" w:pos="284"/>
              </w:tabs>
              <w:rPr>
                <w:b/>
                <w:sz w:val="17"/>
              </w:rPr>
            </w:pPr>
          </w:p>
        </w:tc>
        <w:tc>
          <w:tcPr>
            <w:tcW w:w="722" w:type="dxa"/>
            <w:shd w:val="clear" w:color="auto" w:fill="808080"/>
            <w:vAlign w:val="bottom"/>
          </w:tcPr>
          <w:p w:rsidR="00000000" w:rsidRDefault="00000000">
            <w:pPr>
              <w:jc w:val="right"/>
              <w:rPr>
                <w:b/>
                <w:sz w:val="17"/>
              </w:rPr>
            </w:pPr>
            <w:r>
              <w:rPr>
                <w:b/>
                <w:sz w:val="17"/>
              </w:rPr>
              <w:t>21 578</w:t>
            </w:r>
          </w:p>
        </w:tc>
        <w:tc>
          <w:tcPr>
            <w:tcW w:w="616" w:type="dxa"/>
            <w:vAlign w:val="bottom"/>
          </w:tcPr>
          <w:p w:rsidR="00000000" w:rsidRDefault="00000000">
            <w:pPr>
              <w:tabs>
                <w:tab w:val="decimal" w:pos="107"/>
              </w:tabs>
              <w:rPr>
                <w:b/>
                <w:sz w:val="17"/>
              </w:rPr>
            </w:pPr>
          </w:p>
        </w:tc>
      </w:tr>
      <w:tr w:rsidR="00000000">
        <w:tblPrEx>
          <w:tblCellMar>
            <w:top w:w="0" w:type="dxa"/>
            <w:bottom w:w="0" w:type="dxa"/>
          </w:tblCellMar>
        </w:tblPrEx>
        <w:tc>
          <w:tcPr>
            <w:tcW w:w="2035" w:type="dxa"/>
            <w:tcBorders>
              <w:bottom w:val="single" w:sz="12" w:space="0" w:color="auto"/>
            </w:tcBorders>
          </w:tcPr>
          <w:p w:rsidR="00000000" w:rsidRDefault="00000000">
            <w:pPr>
              <w:rPr>
                <w:sz w:val="17"/>
              </w:rPr>
            </w:pPr>
          </w:p>
        </w:tc>
        <w:tc>
          <w:tcPr>
            <w:tcW w:w="1073" w:type="dxa"/>
            <w:tcBorders>
              <w:bottom w:val="single" w:sz="12" w:space="0" w:color="auto"/>
            </w:tcBorders>
          </w:tcPr>
          <w:p w:rsidR="00000000" w:rsidRDefault="00000000">
            <w:pPr>
              <w:pStyle w:val="Heading5"/>
              <w:rPr>
                <w:rFonts w:eastAsia="Times New Roman"/>
                <w:snapToGrid/>
              </w:rPr>
            </w:pPr>
            <w:r>
              <w:rPr>
                <w:rFonts w:eastAsia="Times New Roman"/>
                <w:snapToGrid/>
              </w:rPr>
              <w:t>Всего</w:t>
            </w:r>
          </w:p>
        </w:tc>
        <w:tc>
          <w:tcPr>
            <w:tcW w:w="722" w:type="dxa"/>
            <w:tcBorders>
              <w:bottom w:val="single" w:sz="12" w:space="0" w:color="auto"/>
            </w:tcBorders>
            <w:shd w:val="clear" w:color="auto" w:fill="808080"/>
            <w:vAlign w:val="bottom"/>
          </w:tcPr>
          <w:p w:rsidR="00000000" w:rsidRDefault="00000000">
            <w:pPr>
              <w:jc w:val="right"/>
              <w:rPr>
                <w:b/>
                <w:sz w:val="17"/>
              </w:rPr>
            </w:pPr>
            <w:r>
              <w:rPr>
                <w:b/>
                <w:sz w:val="17"/>
              </w:rPr>
              <w:t>31 872</w:t>
            </w:r>
          </w:p>
        </w:tc>
        <w:tc>
          <w:tcPr>
            <w:tcW w:w="872" w:type="dxa"/>
            <w:tcBorders>
              <w:bottom w:val="single" w:sz="12" w:space="0" w:color="auto"/>
            </w:tcBorders>
            <w:vAlign w:val="bottom"/>
          </w:tcPr>
          <w:p w:rsidR="00000000" w:rsidRDefault="00000000">
            <w:pPr>
              <w:tabs>
                <w:tab w:val="decimal" w:pos="284"/>
              </w:tabs>
              <w:rPr>
                <w:b/>
                <w:sz w:val="17"/>
              </w:rPr>
            </w:pPr>
            <w:r>
              <w:rPr>
                <w:b/>
                <w:sz w:val="17"/>
              </w:rPr>
              <w:t>52,6</w:t>
            </w:r>
          </w:p>
        </w:tc>
        <w:tc>
          <w:tcPr>
            <w:tcW w:w="722" w:type="dxa"/>
            <w:tcBorders>
              <w:bottom w:val="single" w:sz="12" w:space="0" w:color="auto"/>
            </w:tcBorders>
            <w:shd w:val="clear" w:color="auto" w:fill="808080"/>
            <w:vAlign w:val="bottom"/>
          </w:tcPr>
          <w:p w:rsidR="00000000" w:rsidRDefault="00000000">
            <w:pPr>
              <w:jc w:val="right"/>
              <w:rPr>
                <w:b/>
                <w:sz w:val="17"/>
              </w:rPr>
            </w:pPr>
            <w:r>
              <w:rPr>
                <w:b/>
                <w:sz w:val="17"/>
              </w:rPr>
              <w:t>36 541</w:t>
            </w:r>
          </w:p>
        </w:tc>
        <w:tc>
          <w:tcPr>
            <w:tcW w:w="872" w:type="dxa"/>
            <w:tcBorders>
              <w:bottom w:val="single" w:sz="12" w:space="0" w:color="auto"/>
            </w:tcBorders>
            <w:vAlign w:val="bottom"/>
          </w:tcPr>
          <w:p w:rsidR="00000000" w:rsidRDefault="00000000">
            <w:pPr>
              <w:tabs>
                <w:tab w:val="decimal" w:pos="284"/>
              </w:tabs>
              <w:rPr>
                <w:b/>
                <w:sz w:val="17"/>
              </w:rPr>
            </w:pPr>
            <w:r>
              <w:rPr>
                <w:b/>
                <w:sz w:val="17"/>
              </w:rPr>
              <w:t>56,0</w:t>
            </w:r>
          </w:p>
        </w:tc>
        <w:tc>
          <w:tcPr>
            <w:tcW w:w="722" w:type="dxa"/>
            <w:tcBorders>
              <w:bottom w:val="single" w:sz="12" w:space="0" w:color="auto"/>
            </w:tcBorders>
            <w:shd w:val="clear" w:color="auto" w:fill="808080"/>
            <w:vAlign w:val="bottom"/>
          </w:tcPr>
          <w:p w:rsidR="00000000" w:rsidRDefault="00000000">
            <w:pPr>
              <w:jc w:val="right"/>
              <w:rPr>
                <w:b/>
                <w:sz w:val="17"/>
              </w:rPr>
            </w:pPr>
            <w:r>
              <w:rPr>
                <w:b/>
                <w:sz w:val="17"/>
              </w:rPr>
              <w:t>37 717</w:t>
            </w:r>
          </w:p>
        </w:tc>
        <w:tc>
          <w:tcPr>
            <w:tcW w:w="872" w:type="dxa"/>
            <w:tcBorders>
              <w:bottom w:val="single" w:sz="12" w:space="0" w:color="auto"/>
            </w:tcBorders>
            <w:vAlign w:val="bottom"/>
          </w:tcPr>
          <w:p w:rsidR="00000000" w:rsidRDefault="00000000">
            <w:pPr>
              <w:tabs>
                <w:tab w:val="decimal" w:pos="284"/>
              </w:tabs>
              <w:rPr>
                <w:b/>
                <w:sz w:val="17"/>
              </w:rPr>
            </w:pPr>
            <w:r>
              <w:rPr>
                <w:b/>
                <w:sz w:val="17"/>
              </w:rPr>
              <w:t>56,9</w:t>
            </w:r>
          </w:p>
        </w:tc>
        <w:tc>
          <w:tcPr>
            <w:tcW w:w="722" w:type="dxa"/>
            <w:tcBorders>
              <w:bottom w:val="single" w:sz="12" w:space="0" w:color="auto"/>
            </w:tcBorders>
            <w:shd w:val="clear" w:color="auto" w:fill="808080"/>
            <w:vAlign w:val="bottom"/>
          </w:tcPr>
          <w:p w:rsidR="00000000" w:rsidRDefault="00000000">
            <w:pPr>
              <w:jc w:val="right"/>
              <w:rPr>
                <w:b/>
                <w:sz w:val="17"/>
              </w:rPr>
            </w:pPr>
            <w:r>
              <w:rPr>
                <w:b/>
                <w:sz w:val="17"/>
              </w:rPr>
              <w:t>37 820</w:t>
            </w:r>
          </w:p>
        </w:tc>
        <w:tc>
          <w:tcPr>
            <w:tcW w:w="872" w:type="dxa"/>
            <w:tcBorders>
              <w:bottom w:val="single" w:sz="12" w:space="0" w:color="auto"/>
            </w:tcBorders>
            <w:vAlign w:val="bottom"/>
          </w:tcPr>
          <w:p w:rsidR="00000000" w:rsidRDefault="00000000">
            <w:pPr>
              <w:tabs>
                <w:tab w:val="decimal" w:pos="284"/>
              </w:tabs>
              <w:rPr>
                <w:b/>
                <w:sz w:val="17"/>
              </w:rPr>
            </w:pPr>
            <w:r>
              <w:rPr>
                <w:b/>
                <w:sz w:val="17"/>
              </w:rPr>
              <w:t>56,2</w:t>
            </w:r>
          </w:p>
        </w:tc>
        <w:tc>
          <w:tcPr>
            <w:tcW w:w="722" w:type="dxa"/>
            <w:tcBorders>
              <w:bottom w:val="single" w:sz="12" w:space="0" w:color="auto"/>
            </w:tcBorders>
            <w:shd w:val="clear" w:color="auto" w:fill="808080"/>
            <w:vAlign w:val="bottom"/>
          </w:tcPr>
          <w:p w:rsidR="00000000" w:rsidRDefault="00000000">
            <w:pPr>
              <w:jc w:val="right"/>
              <w:rPr>
                <w:b/>
                <w:sz w:val="17"/>
              </w:rPr>
            </w:pPr>
            <w:r>
              <w:rPr>
                <w:b/>
                <w:sz w:val="17"/>
              </w:rPr>
              <w:t>36 912</w:t>
            </w:r>
          </w:p>
        </w:tc>
        <w:tc>
          <w:tcPr>
            <w:tcW w:w="872" w:type="dxa"/>
            <w:tcBorders>
              <w:bottom w:val="single" w:sz="12" w:space="0" w:color="auto"/>
            </w:tcBorders>
            <w:vAlign w:val="bottom"/>
          </w:tcPr>
          <w:p w:rsidR="00000000" w:rsidRDefault="00000000">
            <w:pPr>
              <w:tabs>
                <w:tab w:val="decimal" w:pos="284"/>
              </w:tabs>
              <w:rPr>
                <w:b/>
                <w:sz w:val="17"/>
              </w:rPr>
            </w:pPr>
            <w:r>
              <w:rPr>
                <w:b/>
                <w:sz w:val="17"/>
              </w:rPr>
              <w:t>56,8</w:t>
            </w:r>
          </w:p>
        </w:tc>
        <w:tc>
          <w:tcPr>
            <w:tcW w:w="722" w:type="dxa"/>
            <w:tcBorders>
              <w:bottom w:val="single" w:sz="12" w:space="0" w:color="auto"/>
            </w:tcBorders>
            <w:shd w:val="clear" w:color="auto" w:fill="808080"/>
            <w:vAlign w:val="bottom"/>
          </w:tcPr>
          <w:p w:rsidR="00000000" w:rsidRDefault="00000000">
            <w:pPr>
              <w:jc w:val="right"/>
              <w:rPr>
                <w:b/>
                <w:sz w:val="17"/>
              </w:rPr>
            </w:pPr>
            <w:r>
              <w:rPr>
                <w:b/>
                <w:sz w:val="17"/>
              </w:rPr>
              <w:t>37 810</w:t>
            </w:r>
          </w:p>
        </w:tc>
        <w:tc>
          <w:tcPr>
            <w:tcW w:w="616" w:type="dxa"/>
            <w:tcBorders>
              <w:bottom w:val="single" w:sz="12" w:space="0" w:color="auto"/>
            </w:tcBorders>
            <w:vAlign w:val="bottom"/>
          </w:tcPr>
          <w:p w:rsidR="00000000" w:rsidRDefault="00000000">
            <w:pPr>
              <w:tabs>
                <w:tab w:val="decimal" w:pos="107"/>
              </w:tabs>
              <w:rPr>
                <w:b/>
                <w:sz w:val="17"/>
              </w:rPr>
            </w:pPr>
            <w:r>
              <w:rPr>
                <w:b/>
                <w:sz w:val="17"/>
              </w:rPr>
              <w:t>57,1</w:t>
            </w:r>
          </w:p>
        </w:tc>
      </w:tr>
    </w:tbl>
    <w:p w:rsidR="00000000" w:rsidRDefault="00000000">
      <w:pPr>
        <w:spacing w:before="120"/>
        <w:ind w:left="283" w:hanging="272"/>
        <w:jc w:val="both"/>
        <w:rPr>
          <w:sz w:val="17"/>
        </w:rPr>
      </w:pPr>
      <w:r>
        <w:rPr>
          <w:sz w:val="17"/>
          <w:vertAlign w:val="superscript"/>
        </w:rPr>
        <w:t>1</w:t>
      </w:r>
      <w:r>
        <w:rPr>
          <w:sz w:val="17"/>
        </w:rPr>
        <w:tab/>
        <w:t>Австрийские и иностранные учащиеся выпускных классов средней школы, получившие аттестат зрелости; за исключением курсов профессионально-технической подг</w:t>
      </w:r>
      <w:r>
        <w:rPr>
          <w:sz w:val="17"/>
        </w:rPr>
        <w:t>о</w:t>
      </w:r>
      <w:r>
        <w:rPr>
          <w:sz w:val="17"/>
        </w:rPr>
        <w:t>товки; данные по состоянию на октябрь предыдущего года.</w:t>
      </w:r>
    </w:p>
    <w:p w:rsidR="00000000" w:rsidRDefault="00000000">
      <w:pPr>
        <w:ind w:left="284" w:hanging="270"/>
        <w:jc w:val="both"/>
        <w:rPr>
          <w:sz w:val="17"/>
        </w:rPr>
      </w:pPr>
      <w:r>
        <w:rPr>
          <w:sz w:val="17"/>
          <w:vertAlign w:val="superscript"/>
        </w:rPr>
        <w:t>2</w:t>
      </w:r>
      <w:r>
        <w:rPr>
          <w:sz w:val="17"/>
        </w:rPr>
        <w:tab/>
        <w:t>Три вида грамматических школ со специализацией на различных предметах в зависимости от их типа (гимназии, реальные училища и профессионал</w:t>
      </w:r>
      <w:r>
        <w:rPr>
          <w:sz w:val="17"/>
        </w:rPr>
        <w:t>ь</w:t>
      </w:r>
      <w:r>
        <w:rPr>
          <w:sz w:val="17"/>
        </w:rPr>
        <w:t>но техн</w:t>
      </w:r>
      <w:r>
        <w:rPr>
          <w:sz w:val="17"/>
        </w:rPr>
        <w:t>и</w:t>
      </w:r>
      <w:r>
        <w:rPr>
          <w:sz w:val="17"/>
        </w:rPr>
        <w:t>ческие гимназии).</w:t>
      </w:r>
    </w:p>
    <w:p w:rsidR="00000000" w:rsidRDefault="00000000">
      <w:pPr>
        <w:ind w:left="284" w:hanging="270"/>
        <w:jc w:val="both"/>
        <w:rPr>
          <w:sz w:val="17"/>
        </w:rPr>
      </w:pPr>
      <w:r>
        <w:rPr>
          <w:sz w:val="17"/>
          <w:vertAlign w:val="superscript"/>
        </w:rPr>
        <w:t>3</w:t>
      </w:r>
      <w:r>
        <w:rPr>
          <w:sz w:val="17"/>
        </w:rPr>
        <w:tab/>
        <w:t>Грамматические школы и средние общеобразовательные школы рабочей молодежи.</w:t>
      </w:r>
    </w:p>
    <w:p w:rsidR="00000000" w:rsidRDefault="00000000">
      <w:pPr>
        <w:ind w:left="284" w:hanging="270"/>
        <w:jc w:val="both"/>
        <w:rPr>
          <w:sz w:val="17"/>
        </w:rPr>
      </w:pPr>
      <w:r>
        <w:rPr>
          <w:sz w:val="17"/>
          <w:vertAlign w:val="superscript"/>
        </w:rPr>
        <w:t>4</w:t>
      </w:r>
      <w:r>
        <w:rPr>
          <w:sz w:val="17"/>
        </w:rPr>
        <w:tab/>
        <w:t>Включая колледжи туризма и колледжи для портных.</w:t>
      </w:r>
    </w:p>
    <w:p w:rsidR="00000000" w:rsidRDefault="00000000">
      <w:pPr>
        <w:ind w:left="284" w:hanging="270"/>
        <w:jc w:val="both"/>
        <w:rPr>
          <w:sz w:val="17"/>
        </w:rPr>
      </w:pPr>
      <w:r>
        <w:rPr>
          <w:sz w:val="17"/>
          <w:vertAlign w:val="superscript"/>
        </w:rPr>
        <w:t>5</w:t>
      </w:r>
      <w:r>
        <w:rPr>
          <w:sz w:val="17"/>
        </w:rPr>
        <w:tab/>
        <w:t>Для выпускного 2003 года последних данных пока нет из-за различных графиков учебного процесса в школах</w:t>
      </w:r>
    </w:p>
    <w:p w:rsidR="00000000" w:rsidRDefault="00000000">
      <w:pPr>
        <w:ind w:left="284" w:hanging="270"/>
        <w:jc w:val="both"/>
        <w:rPr>
          <w:sz w:val="17"/>
        </w:rPr>
      </w:pPr>
      <w:r>
        <w:rPr>
          <w:sz w:val="17"/>
          <w:vertAlign w:val="superscript"/>
        </w:rPr>
        <w:t>6</w:t>
      </w:r>
      <w:r>
        <w:rPr>
          <w:sz w:val="17"/>
        </w:rPr>
        <w:tab/>
        <w:t>Каждый вид включает специальные формы (для рабочей молодежи, продолжение образование).</w:t>
      </w:r>
    </w:p>
    <w:p w:rsidR="00000000" w:rsidRDefault="00000000">
      <w:pPr>
        <w:ind w:left="284" w:hanging="270"/>
        <w:jc w:val="both"/>
      </w:pPr>
      <w:r>
        <w:rPr>
          <w:sz w:val="17"/>
          <w:vertAlign w:val="superscript"/>
        </w:rPr>
        <w:t>7</w:t>
      </w:r>
      <w:r>
        <w:tab/>
      </w:r>
      <w:r>
        <w:rPr>
          <w:sz w:val="17"/>
        </w:rPr>
        <w:t>Колледжи для подготовки воспитателей детских садов и колледжи социального образования</w:t>
      </w:r>
      <w:r>
        <w:t>.</w:t>
      </w:r>
    </w:p>
    <w:p w:rsidR="00000000" w:rsidRDefault="00000000">
      <w:pPr>
        <w:ind w:left="284" w:hanging="270"/>
        <w:jc w:val="both"/>
        <w:rPr>
          <w:rFonts w:ascii="Arial" w:hAnsi="Arial"/>
          <w:b/>
          <w:lang w:eastAsia="de-DE"/>
        </w:rPr>
      </w:pPr>
      <w:r>
        <w:br w:type="page"/>
      </w:r>
      <w:r>
        <w:rPr>
          <w:b/>
          <w:lang w:eastAsia="de-DE"/>
        </w:rPr>
        <w:t>Доля школ различных типов, доля учащихся/студентов в разбивке по видам школ</w:t>
      </w:r>
    </w:p>
    <w:p w:rsidR="00000000" w:rsidRDefault="00000000">
      <w:pPr>
        <w:pStyle w:val="SingleTxt"/>
        <w:tabs>
          <w:tab w:val="clear" w:pos="1267"/>
        </w:tabs>
        <w:ind w:left="0"/>
        <w:rPr>
          <w:b/>
          <w:lang w:eastAsia="de-DE"/>
        </w:rPr>
      </w:pPr>
      <w:r>
        <w:rPr>
          <w:b/>
          <w:lang w:eastAsia="de-DE"/>
        </w:rPr>
        <w:t>Учебный год 2002/03</w:t>
      </w:r>
    </w:p>
    <w:tbl>
      <w:tblPr>
        <w:tblW w:w="0" w:type="auto"/>
        <w:tblInd w:w="-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249"/>
        <w:gridCol w:w="1050"/>
        <w:gridCol w:w="920"/>
        <w:gridCol w:w="920"/>
        <w:gridCol w:w="833"/>
        <w:gridCol w:w="833"/>
        <w:gridCol w:w="920"/>
        <w:gridCol w:w="920"/>
        <w:gridCol w:w="833"/>
        <w:gridCol w:w="920"/>
        <w:gridCol w:w="616"/>
        <w:gridCol w:w="747"/>
        <w:gridCol w:w="747"/>
        <w:gridCol w:w="832"/>
      </w:tblGrid>
      <w:tr w:rsidR="00000000">
        <w:tblPrEx>
          <w:tblCellMar>
            <w:top w:w="0" w:type="dxa"/>
            <w:bottom w:w="0" w:type="dxa"/>
          </w:tblCellMar>
        </w:tblPrEx>
        <w:trPr>
          <w:cantSplit/>
          <w:trHeight w:val="1266"/>
          <w:tblHeader/>
        </w:trPr>
        <w:tc>
          <w:tcPr>
            <w:tcW w:w="1249" w:type="dxa"/>
            <w:tcBorders>
              <w:left w:val="nil"/>
              <w:bottom w:val="single" w:sz="12" w:space="0" w:color="auto"/>
              <w:right w:val="nil"/>
            </w:tcBorders>
            <w:vAlign w:val="bottom"/>
          </w:tcPr>
          <w:p w:rsidR="00000000" w:rsidRDefault="00000000">
            <w:pPr>
              <w:pStyle w:val="Heading7"/>
              <w:autoSpaceDE w:val="0"/>
              <w:autoSpaceDN w:val="0"/>
              <w:spacing w:line="170" w:lineRule="exact"/>
              <w:rPr>
                <w:sz w:val="15"/>
                <w:lang w:eastAsia="de-DE"/>
              </w:rPr>
            </w:pPr>
            <w:r>
              <w:rPr>
                <w:sz w:val="15"/>
                <w:lang w:eastAsia="de-DE"/>
              </w:rPr>
              <w:t>Тип школы</w:t>
            </w:r>
          </w:p>
        </w:tc>
        <w:tc>
          <w:tcPr>
            <w:tcW w:w="1050" w:type="dxa"/>
            <w:tcBorders>
              <w:left w:val="nil"/>
              <w:bottom w:val="single" w:sz="12" w:space="0" w:color="auto"/>
              <w:right w:val="nil"/>
            </w:tcBorders>
            <w:textDirection w:val="btLr"/>
            <w:vAlign w:val="center"/>
          </w:tcPr>
          <w:p w:rsidR="00000000" w:rsidRDefault="00000000">
            <w:pPr>
              <w:overflowPunct w:val="0"/>
              <w:autoSpaceDE w:val="0"/>
              <w:autoSpaceDN w:val="0"/>
              <w:adjustRightInd w:val="0"/>
              <w:spacing w:line="170" w:lineRule="exact"/>
              <w:textAlignment w:val="baseline"/>
              <w:rPr>
                <w:b/>
                <w:i/>
                <w:sz w:val="15"/>
                <w:lang w:eastAsia="de-DE"/>
              </w:rPr>
            </w:pPr>
            <w:r>
              <w:rPr>
                <w:b/>
                <w:i/>
                <w:sz w:val="15"/>
                <w:lang w:eastAsia="de-DE"/>
              </w:rPr>
              <w:t>Всего уч</w:t>
            </w:r>
            <w:r>
              <w:rPr>
                <w:b/>
                <w:i/>
                <w:sz w:val="15"/>
                <w:lang w:eastAsia="de-DE"/>
              </w:rPr>
              <w:t>а</w:t>
            </w:r>
            <w:r>
              <w:rPr>
                <w:b/>
                <w:i/>
                <w:sz w:val="15"/>
                <w:lang w:eastAsia="de-DE"/>
              </w:rPr>
              <w:t>щихся/</w:t>
            </w:r>
            <w:r>
              <w:rPr>
                <w:b/>
                <w:i/>
                <w:sz w:val="15"/>
                <w:lang w:eastAsia="de-DE"/>
              </w:rPr>
              <w:br/>
              <w:t>студентов</w:t>
            </w:r>
            <w:r>
              <w:rPr>
                <w:b/>
                <w:i/>
                <w:sz w:val="15"/>
                <w:lang w:val="en-GB" w:eastAsia="de-DE"/>
              </w:rPr>
              <w:t>l</w:t>
            </w:r>
          </w:p>
        </w:tc>
        <w:tc>
          <w:tcPr>
            <w:tcW w:w="920"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Начальные школы</w:t>
            </w:r>
          </w:p>
        </w:tc>
        <w:tc>
          <w:tcPr>
            <w:tcW w:w="920"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Общеобразов</w:t>
            </w:r>
            <w:r>
              <w:rPr>
                <w:i/>
                <w:sz w:val="15"/>
                <w:lang w:eastAsia="de-DE"/>
              </w:rPr>
              <w:t>а</w:t>
            </w:r>
            <w:r>
              <w:rPr>
                <w:i/>
                <w:sz w:val="15"/>
                <w:lang w:eastAsia="de-DE"/>
              </w:rPr>
              <w:t>тельные и сре</w:t>
            </w:r>
            <w:r>
              <w:rPr>
                <w:i/>
                <w:sz w:val="15"/>
                <w:lang w:eastAsia="de-DE"/>
              </w:rPr>
              <w:t>д</w:t>
            </w:r>
            <w:r>
              <w:rPr>
                <w:i/>
                <w:sz w:val="15"/>
                <w:lang w:eastAsia="de-DE"/>
              </w:rPr>
              <w:t>ние школы</w:t>
            </w:r>
          </w:p>
        </w:tc>
        <w:tc>
          <w:tcPr>
            <w:tcW w:w="833"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Специальные школы</w:t>
            </w:r>
          </w:p>
        </w:tc>
        <w:tc>
          <w:tcPr>
            <w:tcW w:w="833"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Год до профе</w:t>
            </w:r>
            <w:r>
              <w:rPr>
                <w:i/>
                <w:sz w:val="15"/>
                <w:lang w:eastAsia="de-DE"/>
              </w:rPr>
              <w:t>с</w:t>
            </w:r>
            <w:r>
              <w:rPr>
                <w:i/>
                <w:sz w:val="15"/>
                <w:lang w:eastAsia="de-DE"/>
              </w:rPr>
              <w:t>сиональной по</w:t>
            </w:r>
            <w:r>
              <w:rPr>
                <w:i/>
                <w:sz w:val="15"/>
                <w:lang w:eastAsia="de-DE"/>
              </w:rPr>
              <w:t>д</w:t>
            </w:r>
            <w:r>
              <w:rPr>
                <w:i/>
                <w:sz w:val="15"/>
                <w:lang w:eastAsia="de-DE"/>
              </w:rPr>
              <w:t>готовки</w:t>
            </w:r>
          </w:p>
        </w:tc>
        <w:tc>
          <w:tcPr>
            <w:tcW w:w="920"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Специальные средние школы</w:t>
            </w:r>
          </w:p>
        </w:tc>
        <w:tc>
          <w:tcPr>
            <w:tcW w:w="920"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Профессионал</w:t>
            </w:r>
            <w:r>
              <w:rPr>
                <w:i/>
                <w:sz w:val="15"/>
                <w:lang w:eastAsia="de-DE"/>
              </w:rPr>
              <w:t>ь</w:t>
            </w:r>
            <w:r>
              <w:rPr>
                <w:i/>
                <w:sz w:val="15"/>
                <w:lang w:eastAsia="de-DE"/>
              </w:rPr>
              <w:t>но-технические уч</w:t>
            </w:r>
            <w:r>
              <w:rPr>
                <w:i/>
                <w:sz w:val="15"/>
                <w:lang w:eastAsia="de-DE"/>
              </w:rPr>
              <w:t>и</w:t>
            </w:r>
            <w:r>
              <w:rPr>
                <w:i/>
                <w:sz w:val="15"/>
                <w:lang w:eastAsia="de-DE"/>
              </w:rPr>
              <w:t>лища</w:t>
            </w:r>
          </w:p>
        </w:tc>
        <w:tc>
          <w:tcPr>
            <w:tcW w:w="833"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Нижние, средние профессионал</w:t>
            </w:r>
            <w:r>
              <w:rPr>
                <w:i/>
                <w:sz w:val="15"/>
                <w:lang w:eastAsia="de-DE"/>
              </w:rPr>
              <w:t>ь</w:t>
            </w:r>
            <w:r>
              <w:rPr>
                <w:i/>
                <w:sz w:val="15"/>
                <w:lang w:eastAsia="de-DE"/>
              </w:rPr>
              <w:t>но-технические уч</w:t>
            </w:r>
            <w:r>
              <w:rPr>
                <w:i/>
                <w:sz w:val="15"/>
                <w:lang w:eastAsia="de-DE"/>
              </w:rPr>
              <w:t>и</w:t>
            </w:r>
            <w:r>
              <w:rPr>
                <w:i/>
                <w:sz w:val="15"/>
                <w:lang w:eastAsia="de-DE"/>
              </w:rPr>
              <w:t>лища</w:t>
            </w:r>
          </w:p>
        </w:tc>
        <w:tc>
          <w:tcPr>
            <w:tcW w:w="920"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Высшие, средние профе</w:t>
            </w:r>
            <w:r>
              <w:rPr>
                <w:i/>
                <w:sz w:val="15"/>
                <w:lang w:eastAsia="de-DE"/>
              </w:rPr>
              <w:t>с</w:t>
            </w:r>
            <w:r>
              <w:rPr>
                <w:i/>
                <w:sz w:val="15"/>
                <w:lang w:eastAsia="de-DE"/>
              </w:rPr>
              <w:t>сионально-технические уч</w:t>
            </w:r>
            <w:r>
              <w:rPr>
                <w:i/>
                <w:sz w:val="15"/>
                <w:lang w:eastAsia="de-DE"/>
              </w:rPr>
              <w:t>и</w:t>
            </w:r>
            <w:r>
              <w:rPr>
                <w:i/>
                <w:sz w:val="15"/>
                <w:lang w:eastAsia="de-DE"/>
              </w:rPr>
              <w:t>лища</w:t>
            </w:r>
          </w:p>
        </w:tc>
        <w:tc>
          <w:tcPr>
            <w:tcW w:w="616"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Профессионал</w:t>
            </w:r>
            <w:r>
              <w:rPr>
                <w:i/>
                <w:sz w:val="15"/>
                <w:lang w:eastAsia="de-DE"/>
              </w:rPr>
              <w:t>ь</w:t>
            </w:r>
            <w:r>
              <w:rPr>
                <w:i/>
                <w:sz w:val="15"/>
                <w:lang w:eastAsia="de-DE"/>
              </w:rPr>
              <w:t>но-технические уч</w:t>
            </w:r>
            <w:r>
              <w:rPr>
                <w:i/>
                <w:sz w:val="15"/>
                <w:lang w:eastAsia="de-DE"/>
              </w:rPr>
              <w:t>и</w:t>
            </w:r>
            <w:r>
              <w:rPr>
                <w:i/>
                <w:sz w:val="15"/>
                <w:lang w:eastAsia="de-DE"/>
              </w:rPr>
              <w:t>лища</w:t>
            </w:r>
          </w:p>
        </w:tc>
        <w:tc>
          <w:tcPr>
            <w:tcW w:w="747"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Промежуточные учебные завед</w:t>
            </w:r>
            <w:r>
              <w:rPr>
                <w:i/>
                <w:sz w:val="15"/>
                <w:lang w:eastAsia="de-DE"/>
              </w:rPr>
              <w:t>е</w:t>
            </w:r>
            <w:r>
              <w:rPr>
                <w:i/>
                <w:sz w:val="15"/>
                <w:lang w:eastAsia="de-DE"/>
              </w:rPr>
              <w:t>ния</w:t>
            </w:r>
          </w:p>
        </w:tc>
        <w:tc>
          <w:tcPr>
            <w:tcW w:w="747"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Высшие учебные завед</w:t>
            </w:r>
            <w:r>
              <w:rPr>
                <w:i/>
                <w:sz w:val="15"/>
                <w:lang w:eastAsia="de-DE"/>
              </w:rPr>
              <w:t>е</w:t>
            </w:r>
            <w:r>
              <w:rPr>
                <w:i/>
                <w:sz w:val="15"/>
                <w:lang w:eastAsia="de-DE"/>
              </w:rPr>
              <w:t>ния</w:t>
            </w:r>
          </w:p>
        </w:tc>
        <w:tc>
          <w:tcPr>
            <w:tcW w:w="832" w:type="dxa"/>
            <w:tcBorders>
              <w:left w:val="nil"/>
              <w:bottom w:val="single" w:sz="12" w:space="0" w:color="auto"/>
              <w:right w:val="nil"/>
            </w:tcBorders>
            <w:textDirection w:val="btLr"/>
            <w:vAlign w:val="center"/>
          </w:tcPr>
          <w:p w:rsidR="00000000" w:rsidRDefault="00000000">
            <w:pPr>
              <w:autoSpaceDE w:val="0"/>
              <w:autoSpaceDN w:val="0"/>
              <w:spacing w:line="170" w:lineRule="exact"/>
              <w:rPr>
                <w:i/>
                <w:sz w:val="15"/>
                <w:lang w:eastAsia="de-DE"/>
              </w:rPr>
            </w:pPr>
            <w:r>
              <w:rPr>
                <w:i/>
                <w:sz w:val="15"/>
                <w:lang w:eastAsia="de-DE"/>
              </w:rPr>
              <w:t>Педагогические училища и уче</w:t>
            </w:r>
            <w:r>
              <w:rPr>
                <w:i/>
                <w:sz w:val="15"/>
                <w:lang w:eastAsia="de-DE"/>
              </w:rPr>
              <w:t>б</w:t>
            </w:r>
            <w:r>
              <w:rPr>
                <w:i/>
                <w:sz w:val="15"/>
                <w:lang w:eastAsia="de-DE"/>
              </w:rPr>
              <w:t>ные заведения</w:t>
            </w:r>
          </w:p>
        </w:tc>
      </w:tr>
      <w:tr w:rsidR="00000000">
        <w:tblPrEx>
          <w:tblCellMar>
            <w:top w:w="0" w:type="dxa"/>
            <w:bottom w:w="0" w:type="dxa"/>
          </w:tblCellMar>
        </w:tblPrEx>
        <w:tc>
          <w:tcPr>
            <w:tcW w:w="1249" w:type="dxa"/>
            <w:tcBorders>
              <w:top w:val="single" w:sz="12" w:space="0" w:color="auto"/>
              <w:left w:val="nil"/>
              <w:bottom w:val="nil"/>
              <w:right w:val="nil"/>
            </w:tcBorders>
            <w:vAlign w:val="bottom"/>
          </w:tcPr>
          <w:p w:rsidR="00000000" w:rsidRDefault="00000000">
            <w:pPr>
              <w:autoSpaceDE w:val="0"/>
              <w:autoSpaceDN w:val="0"/>
              <w:spacing w:before="40" w:line="170" w:lineRule="exact"/>
              <w:rPr>
                <w:b/>
                <w:sz w:val="17"/>
                <w:lang w:eastAsia="de-DE"/>
              </w:rPr>
            </w:pPr>
            <w:r>
              <w:rPr>
                <w:b/>
                <w:sz w:val="17"/>
                <w:lang w:eastAsia="de-DE"/>
              </w:rPr>
              <w:t>Дошкольный период</w:t>
            </w:r>
          </w:p>
        </w:tc>
        <w:tc>
          <w:tcPr>
            <w:tcW w:w="1050" w:type="dxa"/>
            <w:tcBorders>
              <w:top w:val="single" w:sz="12" w:space="0" w:color="auto"/>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7 222</w:t>
            </w:r>
          </w:p>
        </w:tc>
        <w:tc>
          <w:tcPr>
            <w:tcW w:w="920" w:type="dxa"/>
            <w:tcBorders>
              <w:top w:val="single" w:sz="12" w:space="0" w:color="auto"/>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7 148</w:t>
            </w:r>
          </w:p>
        </w:tc>
        <w:tc>
          <w:tcPr>
            <w:tcW w:w="920" w:type="dxa"/>
            <w:tcBorders>
              <w:top w:val="single" w:sz="12" w:space="0" w:color="auto"/>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833" w:type="dxa"/>
            <w:tcBorders>
              <w:top w:val="single" w:sz="12" w:space="0" w:color="auto"/>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74</w:t>
            </w:r>
          </w:p>
        </w:tc>
        <w:tc>
          <w:tcPr>
            <w:tcW w:w="833" w:type="dxa"/>
            <w:tcBorders>
              <w:top w:val="single" w:sz="12" w:space="0" w:color="auto"/>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920" w:type="dxa"/>
            <w:tcBorders>
              <w:top w:val="single" w:sz="12" w:space="0" w:color="auto"/>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920" w:type="dxa"/>
            <w:tcBorders>
              <w:top w:val="single" w:sz="12" w:space="0" w:color="auto"/>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833" w:type="dxa"/>
            <w:tcBorders>
              <w:top w:val="single" w:sz="12" w:space="0" w:color="auto"/>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920" w:type="dxa"/>
            <w:tcBorders>
              <w:top w:val="single" w:sz="12" w:space="0" w:color="auto"/>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616" w:type="dxa"/>
            <w:tcBorders>
              <w:top w:val="single" w:sz="12" w:space="0" w:color="auto"/>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c>
          <w:tcPr>
            <w:tcW w:w="747" w:type="dxa"/>
            <w:tcBorders>
              <w:top w:val="single" w:sz="12" w:space="0" w:color="auto"/>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c>
          <w:tcPr>
            <w:tcW w:w="747" w:type="dxa"/>
            <w:tcBorders>
              <w:top w:val="single" w:sz="12" w:space="0" w:color="auto"/>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c>
          <w:tcPr>
            <w:tcW w:w="832" w:type="dxa"/>
            <w:tcBorders>
              <w:top w:val="single" w:sz="12" w:space="0" w:color="auto"/>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autoSpaceDE w:val="0"/>
              <w:autoSpaceDN w:val="0"/>
              <w:spacing w:before="40" w:line="170" w:lineRule="exact"/>
              <w:rPr>
                <w:b/>
                <w:sz w:val="17"/>
                <w:lang w:eastAsia="de-DE"/>
              </w:rPr>
            </w:pPr>
            <w:r>
              <w:rPr>
                <w:b/>
                <w:sz w:val="17"/>
                <w:lang w:eastAsia="de-DE"/>
              </w:rPr>
              <w:t xml:space="preserve">Доля в </w:t>
            </w:r>
            <w:r>
              <w:rPr>
                <w:b/>
                <w:i/>
                <w:sz w:val="17"/>
                <w:lang w:eastAsia="de-DE"/>
              </w:rPr>
              <w:t>%</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100,0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99,0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1,0</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autoSpaceDE w:val="0"/>
              <w:autoSpaceDN w:val="0"/>
              <w:spacing w:before="40" w:line="170" w:lineRule="exact"/>
              <w:rPr>
                <w:b/>
                <w:sz w:val="17"/>
                <w:lang w:eastAsia="de-DE"/>
              </w:rPr>
            </w:pPr>
            <w:r>
              <w:rPr>
                <w:b/>
                <w:sz w:val="17"/>
                <w:lang w:eastAsia="de-DE"/>
              </w:rPr>
              <w:t>1</w:t>
            </w:r>
            <w:r>
              <w:rPr>
                <w:b/>
                <w:sz w:val="17"/>
                <w:vertAlign w:val="superscript"/>
                <w:lang w:eastAsia="de-DE"/>
              </w:rPr>
              <w:t>ЫЙ</w:t>
            </w:r>
            <w:r>
              <w:rPr>
                <w:b/>
                <w:sz w:val="17"/>
                <w:lang w:eastAsia="de-DE"/>
              </w:rPr>
              <w:t> – 4</w:t>
            </w:r>
            <w:r>
              <w:rPr>
                <w:b/>
                <w:sz w:val="17"/>
                <w:vertAlign w:val="superscript"/>
                <w:lang w:eastAsia="de-DE"/>
              </w:rPr>
              <w:t>ЫЙ</w:t>
            </w:r>
            <w:r>
              <w:rPr>
                <w:b/>
                <w:sz w:val="17"/>
                <w:lang w:eastAsia="de-DE"/>
              </w:rPr>
              <w:t xml:space="preserve"> класс</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378,401</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373 919</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4 482</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autoSpaceDE w:val="0"/>
              <w:autoSpaceDN w:val="0"/>
              <w:spacing w:before="40" w:line="170" w:lineRule="exact"/>
              <w:rPr>
                <w:b/>
                <w:sz w:val="17"/>
                <w:lang w:eastAsia="de-DE"/>
              </w:rPr>
            </w:pPr>
            <w:r>
              <w:rPr>
                <w:b/>
                <w:sz w:val="17"/>
                <w:lang w:eastAsia="de-DE"/>
              </w:rPr>
              <w:t xml:space="preserve">Доля в </w:t>
            </w:r>
            <w:r>
              <w:rPr>
                <w:b/>
                <w:i/>
                <w:sz w:val="17"/>
                <w:lang w:eastAsia="de-DE"/>
              </w:rPr>
              <w:t>%</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100,0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98,9</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1,2</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t>1</w:t>
            </w:r>
            <w:r>
              <w:rPr>
                <w:sz w:val="17"/>
                <w:vertAlign w:val="superscript"/>
                <w:lang w:eastAsia="de-DE"/>
              </w:rPr>
              <w:t>ый</w:t>
            </w:r>
            <w:r>
              <w:rPr>
                <w:sz w:val="17"/>
                <w:lang w:eastAsia="de-DE"/>
              </w:rPr>
              <w:t xml:space="preserve"> класс</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93 298</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92 489</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809</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100,0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99,1</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0,9</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t>4</w:t>
            </w:r>
            <w:r>
              <w:rPr>
                <w:sz w:val="17"/>
                <w:vertAlign w:val="superscript"/>
                <w:lang w:eastAsia="de-DE"/>
              </w:rPr>
              <w:t>ый</w:t>
            </w:r>
            <w:r>
              <w:rPr>
                <w:sz w:val="17"/>
                <w:lang w:eastAsia="de-DE"/>
              </w:rPr>
              <w:t xml:space="preserve"> класс</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97 536</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96 059</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1 477</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100,0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98,5</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1,5</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b/>
                <w:sz w:val="17"/>
                <w:lang w:eastAsia="de-DE"/>
              </w:rPr>
            </w:pPr>
            <w:r>
              <w:rPr>
                <w:b/>
                <w:sz w:val="17"/>
                <w:lang w:eastAsia="de-DE"/>
              </w:rPr>
              <w:t>5</w:t>
            </w:r>
            <w:r>
              <w:rPr>
                <w:b/>
                <w:sz w:val="17"/>
                <w:vertAlign w:val="superscript"/>
                <w:lang w:eastAsia="de-DE"/>
              </w:rPr>
              <w:t>ый</w:t>
            </w:r>
            <w:r>
              <w:rPr>
                <w:b/>
                <w:sz w:val="17"/>
                <w:lang w:eastAsia="de-DE"/>
              </w:rPr>
              <w:t> – 8</w:t>
            </w:r>
            <w:r>
              <w:rPr>
                <w:b/>
                <w:sz w:val="17"/>
                <w:vertAlign w:val="superscript"/>
                <w:lang w:eastAsia="de-DE"/>
              </w:rPr>
              <w:t>ой</w:t>
            </w:r>
            <w:r>
              <w:rPr>
                <w:b/>
                <w:sz w:val="17"/>
                <w:lang w:eastAsia="de-DE"/>
              </w:rPr>
              <w:t xml:space="preserve"> класс</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389 106 </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73</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268 058</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7 524</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112 984</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467</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b/>
                <w:sz w:val="17"/>
                <w:lang w:eastAsia="de-DE"/>
              </w:rPr>
            </w:pPr>
            <w:r>
              <w:rPr>
                <w:b/>
                <w:sz w:val="17"/>
                <w:lang w:eastAsia="de-DE"/>
              </w:rPr>
              <w:t xml:space="preserve">Доля в </w:t>
            </w:r>
            <w:r>
              <w:rPr>
                <w:b/>
                <w:i/>
                <w:sz w:val="17"/>
                <w:lang w:eastAsia="de-DE"/>
              </w:rPr>
              <w:t>%</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100,0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68,9</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1,9</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29,0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0,1</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t>5</w:t>
            </w:r>
            <w:r>
              <w:rPr>
                <w:sz w:val="17"/>
                <w:vertAlign w:val="superscript"/>
                <w:lang w:eastAsia="de-DE"/>
              </w:rPr>
              <w:t>ый</w:t>
            </w:r>
            <w:r>
              <w:rPr>
                <w:sz w:val="17"/>
                <w:lang w:eastAsia="de-DE"/>
              </w:rPr>
              <w:t xml:space="preserve"> класс</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97 981</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16</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66 435</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1557</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29 973</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100,0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67,8</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1,6</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30,6</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t>8</w:t>
            </w:r>
            <w:r>
              <w:rPr>
                <w:sz w:val="17"/>
                <w:vertAlign w:val="superscript"/>
                <w:lang w:eastAsia="de-DE"/>
              </w:rPr>
              <w:t>ой</w:t>
            </w:r>
            <w:r>
              <w:rPr>
                <w:sz w:val="17"/>
                <w:lang w:eastAsia="de-DE"/>
              </w:rPr>
              <w:t xml:space="preserve"> класс</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96 933</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23</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67 562</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2 191</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26 690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467</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100,0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69,7</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2,3</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27,5</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0,5</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b/>
                <w:sz w:val="17"/>
                <w:lang w:eastAsia="de-DE"/>
              </w:rPr>
            </w:pPr>
            <w:r>
              <w:rPr>
                <w:b/>
                <w:sz w:val="17"/>
                <w:lang w:eastAsia="de-DE"/>
              </w:rPr>
              <w:t>Начиная с 9</w:t>
            </w:r>
            <w:r>
              <w:rPr>
                <w:b/>
                <w:sz w:val="17"/>
                <w:vertAlign w:val="superscript"/>
                <w:lang w:eastAsia="de-DE"/>
              </w:rPr>
              <w:t>го</w:t>
            </w:r>
            <w:r>
              <w:rPr>
                <w:b/>
                <w:sz w:val="17"/>
                <w:lang w:eastAsia="de-DE"/>
              </w:rPr>
              <w:t xml:space="preserve"> класса</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434 879</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1 386</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20 626</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76 769</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130 597</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50 100</w:t>
            </w:r>
          </w:p>
        </w:tc>
        <w:tc>
          <w:tcPr>
            <w:tcW w:w="920" w:type="dxa"/>
            <w:tcBorders>
              <w:top w:val="nil"/>
              <w:left w:val="nil"/>
              <w:bottom w:val="nil"/>
              <w:right w:val="nil"/>
            </w:tcBorders>
            <w:vAlign w:val="bottom"/>
          </w:tcPr>
          <w:p w:rsidR="00000000" w:rsidRDefault="00000000">
            <w:pPr>
              <w:pStyle w:val="Footer"/>
              <w:tabs>
                <w:tab w:val="clear" w:pos="4320"/>
                <w:tab w:val="clear" w:pos="8640"/>
                <w:tab w:val="decimal" w:pos="594"/>
              </w:tabs>
              <w:autoSpaceDE w:val="0"/>
              <w:autoSpaceDN w:val="0"/>
              <w:spacing w:before="40" w:line="170" w:lineRule="exact"/>
              <w:rPr>
                <w:noProof w:val="0"/>
                <w:spacing w:val="4"/>
                <w:w w:val="103"/>
                <w:kern w:val="14"/>
                <w:lang w:eastAsia="de-DE"/>
              </w:rPr>
            </w:pPr>
            <w:r>
              <w:rPr>
                <w:noProof w:val="0"/>
                <w:spacing w:val="4"/>
                <w:w w:val="103"/>
                <w:kern w:val="14"/>
                <w:lang w:eastAsia="de-DE"/>
              </w:rPr>
              <w:t>128 173</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826</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3 820</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8 942</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13 640</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b/>
                <w:sz w:val="17"/>
                <w:lang w:eastAsia="de-DE"/>
              </w:rPr>
            </w:pPr>
            <w:r>
              <w:rPr>
                <w:b/>
                <w:sz w:val="17"/>
                <w:lang w:eastAsia="de-DE"/>
              </w:rPr>
              <w:t xml:space="preserve">Доля в </w:t>
            </w:r>
            <w:r>
              <w:rPr>
                <w:b/>
                <w:i/>
                <w:sz w:val="17"/>
                <w:lang w:eastAsia="de-DE"/>
              </w:rPr>
              <w:t>%</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100,0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0,3</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4,7</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17,7</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30,0</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11,5</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29,5</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0,2</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0,9</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2,1</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3,1</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t>9</w:t>
            </w:r>
            <w:r>
              <w:rPr>
                <w:sz w:val="17"/>
                <w:vertAlign w:val="superscript"/>
                <w:lang w:eastAsia="de-DE"/>
              </w:rPr>
              <w:t>ый</w:t>
            </w:r>
            <w:r>
              <w:rPr>
                <w:sz w:val="17"/>
                <w:lang w:eastAsia="de-DE"/>
              </w:rPr>
              <w:t xml:space="preserve"> класс</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97 002</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1 386</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20 626</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22 143</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20 555</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30 532</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1 760</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100,0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1,4</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21,3</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22,8</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21,2</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31,5</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1,8</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t>10</w:t>
            </w:r>
            <w:r>
              <w:rPr>
                <w:sz w:val="17"/>
                <w:vertAlign w:val="superscript"/>
                <w:lang w:eastAsia="de-DE"/>
              </w:rPr>
              <w:t>ый</w:t>
            </w:r>
            <w:r>
              <w:rPr>
                <w:sz w:val="17"/>
                <w:lang w:eastAsia="de-DE"/>
              </w:rPr>
              <w:t xml:space="preserve"> класс</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103 108</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18 885</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40 427</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12 927</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25 713</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3 435</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1 620</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101</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t xml:space="preserve">Доля в </w:t>
            </w:r>
            <w:r>
              <w:rPr>
                <w:i/>
                <w:sz w:val="17"/>
                <w:lang w:eastAsia="de-DE"/>
              </w:rPr>
              <w:t>%</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100,0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18,3</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39,2</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12,5</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24,9</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3,3</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1,6</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0,1</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t>12</w:t>
            </w:r>
            <w:r>
              <w:rPr>
                <w:sz w:val="17"/>
                <w:vertAlign w:val="superscript"/>
                <w:lang w:eastAsia="de-DE"/>
              </w:rPr>
              <w:t>ый</w:t>
            </w:r>
            <w:r>
              <w:rPr>
                <w:sz w:val="17"/>
                <w:lang w:eastAsia="de-DE"/>
              </w:rPr>
              <w:t xml:space="preserve"> класс</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82 022</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16 945</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38 528</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2 128</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sz w:val="17"/>
                <w:lang w:eastAsia="de-DE"/>
              </w:rPr>
            </w:pPr>
            <w:r>
              <w:rPr>
                <w:sz w:val="17"/>
                <w:lang w:eastAsia="de-DE"/>
              </w:rPr>
              <w:t>22 786</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48</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1 482</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sz w:val="17"/>
                <w:lang w:eastAsia="de-DE"/>
              </w:rPr>
            </w:pPr>
            <w:r>
              <w:rPr>
                <w:sz w:val="17"/>
                <w:lang w:eastAsia="de-DE"/>
              </w:rPr>
              <w:t>105</w:t>
            </w:r>
          </w:p>
        </w:tc>
      </w:tr>
      <w:tr w:rsidR="00000000">
        <w:tblPrEx>
          <w:tblCellMar>
            <w:top w:w="0" w:type="dxa"/>
            <w:bottom w:w="0" w:type="dxa"/>
          </w:tblCellMar>
        </w:tblPrEx>
        <w:tc>
          <w:tcPr>
            <w:tcW w:w="1249" w:type="dxa"/>
            <w:tcBorders>
              <w:top w:val="nil"/>
              <w:left w:val="nil"/>
              <w:bottom w:val="nil"/>
              <w:right w:val="nil"/>
            </w:tcBorders>
            <w:vAlign w:val="bottom"/>
          </w:tcPr>
          <w:p w:rsidR="00000000" w:rsidRDefault="00000000">
            <w:pPr>
              <w:tabs>
                <w:tab w:val="left" w:pos="142"/>
                <w:tab w:val="left" w:pos="28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100,0</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20,7</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47,0</w:t>
            </w:r>
          </w:p>
        </w:tc>
        <w:tc>
          <w:tcPr>
            <w:tcW w:w="833"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2,6</w:t>
            </w:r>
          </w:p>
        </w:tc>
        <w:tc>
          <w:tcPr>
            <w:tcW w:w="920" w:type="dxa"/>
            <w:tcBorders>
              <w:top w:val="nil"/>
              <w:left w:val="nil"/>
              <w:bottom w:val="nil"/>
              <w:right w:val="nil"/>
            </w:tcBorders>
            <w:vAlign w:val="bottom"/>
          </w:tcPr>
          <w:p w:rsidR="00000000" w:rsidRDefault="00000000">
            <w:pPr>
              <w:tabs>
                <w:tab w:val="decimal" w:pos="594"/>
              </w:tabs>
              <w:autoSpaceDE w:val="0"/>
              <w:autoSpaceDN w:val="0"/>
              <w:spacing w:before="40" w:line="170" w:lineRule="exact"/>
              <w:rPr>
                <w:i/>
                <w:sz w:val="17"/>
                <w:lang w:eastAsia="de-DE"/>
              </w:rPr>
            </w:pPr>
            <w:r>
              <w:rPr>
                <w:i/>
                <w:sz w:val="17"/>
                <w:lang w:eastAsia="de-DE"/>
              </w:rPr>
              <w:t>27,8</w:t>
            </w:r>
          </w:p>
        </w:tc>
        <w:tc>
          <w:tcPr>
            <w:tcW w:w="616"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0,1</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w:t>
            </w:r>
          </w:p>
        </w:tc>
        <w:tc>
          <w:tcPr>
            <w:tcW w:w="747"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1,8</w:t>
            </w:r>
          </w:p>
        </w:tc>
        <w:tc>
          <w:tcPr>
            <w:tcW w:w="832" w:type="dxa"/>
            <w:tcBorders>
              <w:top w:val="nil"/>
              <w:left w:val="nil"/>
              <w:bottom w:val="nil"/>
              <w:right w:val="nil"/>
            </w:tcBorders>
            <w:vAlign w:val="bottom"/>
          </w:tcPr>
          <w:p w:rsidR="00000000" w:rsidRDefault="00000000">
            <w:pPr>
              <w:tabs>
                <w:tab w:val="decimal" w:pos="397"/>
              </w:tabs>
              <w:autoSpaceDE w:val="0"/>
              <w:autoSpaceDN w:val="0"/>
              <w:spacing w:before="40" w:line="170" w:lineRule="exact"/>
              <w:rPr>
                <w:i/>
                <w:sz w:val="17"/>
                <w:lang w:eastAsia="de-DE"/>
              </w:rPr>
            </w:pPr>
            <w:r>
              <w:rPr>
                <w:i/>
                <w:sz w:val="17"/>
                <w:lang w:eastAsia="de-DE"/>
              </w:rPr>
              <w:t>0,1</w:t>
            </w:r>
          </w:p>
        </w:tc>
      </w:tr>
      <w:tr w:rsidR="00000000">
        <w:tblPrEx>
          <w:tblCellMar>
            <w:top w:w="0" w:type="dxa"/>
            <w:bottom w:w="0" w:type="dxa"/>
          </w:tblCellMar>
        </w:tblPrEx>
        <w:tc>
          <w:tcPr>
            <w:tcW w:w="1249" w:type="dxa"/>
            <w:tcBorders>
              <w:top w:val="nil"/>
              <w:left w:val="nil"/>
              <w:bottom w:val="nil"/>
              <w:right w:val="nil"/>
            </w:tcBorders>
            <w:shd w:val="clear" w:color="auto" w:fill="C0C0C0"/>
            <w:vAlign w:val="bottom"/>
          </w:tcPr>
          <w:p w:rsidR="00000000" w:rsidRDefault="00000000">
            <w:pPr>
              <w:autoSpaceDE w:val="0"/>
              <w:autoSpaceDN w:val="0"/>
              <w:spacing w:before="40" w:line="170" w:lineRule="exact"/>
              <w:rPr>
                <w:b/>
                <w:sz w:val="17"/>
                <w:lang w:eastAsia="de-DE"/>
              </w:rPr>
            </w:pPr>
            <w:r>
              <w:rPr>
                <w:b/>
                <w:sz w:val="17"/>
                <w:lang w:eastAsia="de-DE"/>
              </w:rPr>
              <w:t>Всего</w:t>
            </w:r>
          </w:p>
        </w:tc>
        <w:tc>
          <w:tcPr>
            <w:tcW w:w="105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1 209 608</w:t>
            </w:r>
          </w:p>
        </w:tc>
        <w:tc>
          <w:tcPr>
            <w:tcW w:w="92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381 140</w:t>
            </w:r>
          </w:p>
        </w:tc>
        <w:tc>
          <w:tcPr>
            <w:tcW w:w="92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268 058</w:t>
            </w:r>
          </w:p>
        </w:tc>
        <w:tc>
          <w:tcPr>
            <w:tcW w:w="833"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13 466</w:t>
            </w:r>
          </w:p>
        </w:tc>
        <w:tc>
          <w:tcPr>
            <w:tcW w:w="833"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20 626</w:t>
            </w:r>
          </w:p>
        </w:tc>
        <w:tc>
          <w:tcPr>
            <w:tcW w:w="92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189 753</w:t>
            </w:r>
          </w:p>
        </w:tc>
        <w:tc>
          <w:tcPr>
            <w:tcW w:w="92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130 597</w:t>
            </w:r>
          </w:p>
        </w:tc>
        <w:tc>
          <w:tcPr>
            <w:tcW w:w="833"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50 567</w:t>
            </w:r>
          </w:p>
        </w:tc>
        <w:tc>
          <w:tcPr>
            <w:tcW w:w="920" w:type="dxa"/>
            <w:tcBorders>
              <w:top w:val="nil"/>
              <w:left w:val="nil"/>
              <w:bottom w:val="nil"/>
              <w:right w:val="nil"/>
            </w:tcBorders>
            <w:shd w:val="clear" w:color="auto" w:fill="C0C0C0"/>
            <w:vAlign w:val="bottom"/>
          </w:tcPr>
          <w:p w:rsidR="00000000" w:rsidRDefault="00000000">
            <w:pPr>
              <w:tabs>
                <w:tab w:val="decimal" w:pos="594"/>
              </w:tabs>
              <w:autoSpaceDE w:val="0"/>
              <w:autoSpaceDN w:val="0"/>
              <w:spacing w:before="40" w:line="170" w:lineRule="exact"/>
              <w:rPr>
                <w:b/>
                <w:sz w:val="17"/>
                <w:lang w:eastAsia="de-DE"/>
              </w:rPr>
            </w:pPr>
            <w:r>
              <w:rPr>
                <w:b/>
                <w:sz w:val="17"/>
                <w:lang w:eastAsia="de-DE"/>
              </w:rPr>
              <w:t>128 173</w:t>
            </w:r>
          </w:p>
        </w:tc>
        <w:tc>
          <w:tcPr>
            <w:tcW w:w="616" w:type="dxa"/>
            <w:tcBorders>
              <w:top w:val="nil"/>
              <w:left w:val="nil"/>
              <w:bottom w:val="nil"/>
              <w:right w:val="nil"/>
            </w:tcBorders>
            <w:shd w:val="clear" w:color="auto" w:fill="C0C0C0"/>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826</w:t>
            </w:r>
          </w:p>
        </w:tc>
        <w:tc>
          <w:tcPr>
            <w:tcW w:w="747" w:type="dxa"/>
            <w:tcBorders>
              <w:top w:val="nil"/>
              <w:left w:val="nil"/>
              <w:bottom w:val="nil"/>
              <w:right w:val="nil"/>
            </w:tcBorders>
            <w:shd w:val="clear" w:color="auto" w:fill="C0C0C0"/>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3 820</w:t>
            </w:r>
          </w:p>
        </w:tc>
        <w:tc>
          <w:tcPr>
            <w:tcW w:w="747" w:type="dxa"/>
            <w:tcBorders>
              <w:top w:val="nil"/>
              <w:left w:val="nil"/>
              <w:bottom w:val="nil"/>
              <w:right w:val="nil"/>
            </w:tcBorders>
            <w:shd w:val="clear" w:color="auto" w:fill="C0C0C0"/>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8 942</w:t>
            </w:r>
          </w:p>
        </w:tc>
        <w:tc>
          <w:tcPr>
            <w:tcW w:w="832" w:type="dxa"/>
            <w:tcBorders>
              <w:top w:val="nil"/>
              <w:left w:val="nil"/>
              <w:bottom w:val="nil"/>
              <w:right w:val="nil"/>
            </w:tcBorders>
            <w:shd w:val="clear" w:color="auto" w:fill="C0C0C0"/>
            <w:vAlign w:val="bottom"/>
          </w:tcPr>
          <w:p w:rsidR="00000000" w:rsidRDefault="00000000">
            <w:pPr>
              <w:tabs>
                <w:tab w:val="decimal" w:pos="397"/>
              </w:tabs>
              <w:autoSpaceDE w:val="0"/>
              <w:autoSpaceDN w:val="0"/>
              <w:spacing w:before="40" w:line="170" w:lineRule="exact"/>
              <w:rPr>
                <w:b/>
                <w:sz w:val="17"/>
                <w:lang w:eastAsia="de-DE"/>
              </w:rPr>
            </w:pPr>
            <w:r>
              <w:rPr>
                <w:b/>
                <w:sz w:val="17"/>
                <w:lang w:eastAsia="de-DE"/>
              </w:rPr>
              <w:t>13 640</w:t>
            </w:r>
          </w:p>
        </w:tc>
      </w:tr>
      <w:tr w:rsidR="00000000">
        <w:tblPrEx>
          <w:tblCellMar>
            <w:top w:w="0" w:type="dxa"/>
            <w:bottom w:w="0" w:type="dxa"/>
          </w:tblCellMar>
        </w:tblPrEx>
        <w:tc>
          <w:tcPr>
            <w:tcW w:w="1249" w:type="dxa"/>
            <w:tcBorders>
              <w:top w:val="nil"/>
              <w:left w:val="nil"/>
              <w:bottom w:val="single" w:sz="12" w:space="0" w:color="auto"/>
              <w:right w:val="nil"/>
            </w:tcBorders>
            <w:shd w:val="clear" w:color="auto" w:fill="C0C0C0"/>
            <w:vAlign w:val="bottom"/>
          </w:tcPr>
          <w:p w:rsidR="00000000" w:rsidRDefault="00000000">
            <w:pPr>
              <w:autoSpaceDE w:val="0"/>
              <w:autoSpaceDN w:val="0"/>
              <w:spacing w:before="40" w:line="170" w:lineRule="exact"/>
              <w:rPr>
                <w:b/>
                <w:sz w:val="17"/>
                <w:lang w:eastAsia="de-DE"/>
              </w:rPr>
            </w:pPr>
            <w:r>
              <w:rPr>
                <w:b/>
                <w:sz w:val="17"/>
                <w:lang w:eastAsia="de-DE"/>
              </w:rPr>
              <w:t xml:space="preserve">Доля в </w:t>
            </w:r>
            <w:r>
              <w:rPr>
                <w:b/>
                <w:i/>
                <w:sz w:val="17"/>
                <w:lang w:eastAsia="de-DE"/>
              </w:rPr>
              <w:t>%</w:t>
            </w:r>
          </w:p>
        </w:tc>
        <w:tc>
          <w:tcPr>
            <w:tcW w:w="1050" w:type="dxa"/>
            <w:tcBorders>
              <w:top w:val="nil"/>
              <w:left w:val="nil"/>
              <w:bottom w:val="single" w:sz="12" w:space="0" w:color="auto"/>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100,0</w:t>
            </w:r>
          </w:p>
        </w:tc>
        <w:tc>
          <w:tcPr>
            <w:tcW w:w="920" w:type="dxa"/>
            <w:tcBorders>
              <w:top w:val="nil"/>
              <w:left w:val="nil"/>
              <w:bottom w:val="single" w:sz="12" w:space="0" w:color="auto"/>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31,5</w:t>
            </w:r>
          </w:p>
        </w:tc>
        <w:tc>
          <w:tcPr>
            <w:tcW w:w="920" w:type="dxa"/>
            <w:tcBorders>
              <w:top w:val="nil"/>
              <w:left w:val="nil"/>
              <w:bottom w:val="single" w:sz="12" w:space="0" w:color="auto"/>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22,2</w:t>
            </w:r>
          </w:p>
        </w:tc>
        <w:tc>
          <w:tcPr>
            <w:tcW w:w="833" w:type="dxa"/>
            <w:tcBorders>
              <w:top w:val="nil"/>
              <w:left w:val="nil"/>
              <w:bottom w:val="single" w:sz="12" w:space="0" w:color="auto"/>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1,1</w:t>
            </w:r>
          </w:p>
        </w:tc>
        <w:tc>
          <w:tcPr>
            <w:tcW w:w="833" w:type="dxa"/>
            <w:tcBorders>
              <w:top w:val="nil"/>
              <w:left w:val="nil"/>
              <w:bottom w:val="single" w:sz="12" w:space="0" w:color="auto"/>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1,7</w:t>
            </w:r>
          </w:p>
        </w:tc>
        <w:tc>
          <w:tcPr>
            <w:tcW w:w="920" w:type="dxa"/>
            <w:tcBorders>
              <w:top w:val="nil"/>
              <w:left w:val="nil"/>
              <w:bottom w:val="single" w:sz="12" w:space="0" w:color="auto"/>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15,7</w:t>
            </w:r>
          </w:p>
        </w:tc>
        <w:tc>
          <w:tcPr>
            <w:tcW w:w="920" w:type="dxa"/>
            <w:tcBorders>
              <w:top w:val="nil"/>
              <w:left w:val="nil"/>
              <w:bottom w:val="single" w:sz="12" w:space="0" w:color="auto"/>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10,8</w:t>
            </w:r>
          </w:p>
        </w:tc>
        <w:tc>
          <w:tcPr>
            <w:tcW w:w="833" w:type="dxa"/>
            <w:tcBorders>
              <w:top w:val="nil"/>
              <w:left w:val="nil"/>
              <w:bottom w:val="single" w:sz="12" w:space="0" w:color="auto"/>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4,2</w:t>
            </w:r>
          </w:p>
        </w:tc>
        <w:tc>
          <w:tcPr>
            <w:tcW w:w="920" w:type="dxa"/>
            <w:tcBorders>
              <w:top w:val="nil"/>
              <w:left w:val="nil"/>
              <w:bottom w:val="single" w:sz="12" w:space="0" w:color="auto"/>
              <w:right w:val="nil"/>
            </w:tcBorders>
            <w:shd w:val="clear" w:color="auto" w:fill="C0C0C0"/>
            <w:vAlign w:val="bottom"/>
          </w:tcPr>
          <w:p w:rsidR="00000000" w:rsidRDefault="00000000">
            <w:pPr>
              <w:tabs>
                <w:tab w:val="decimal" w:pos="594"/>
              </w:tabs>
              <w:autoSpaceDE w:val="0"/>
              <w:autoSpaceDN w:val="0"/>
              <w:spacing w:before="40" w:line="170" w:lineRule="exact"/>
              <w:rPr>
                <w:b/>
                <w:i/>
                <w:sz w:val="17"/>
                <w:lang w:eastAsia="de-DE"/>
              </w:rPr>
            </w:pPr>
            <w:r>
              <w:rPr>
                <w:b/>
                <w:i/>
                <w:sz w:val="17"/>
                <w:lang w:eastAsia="de-DE"/>
              </w:rPr>
              <w:t>10,6</w:t>
            </w:r>
          </w:p>
        </w:tc>
        <w:tc>
          <w:tcPr>
            <w:tcW w:w="616" w:type="dxa"/>
            <w:tcBorders>
              <w:top w:val="nil"/>
              <w:left w:val="nil"/>
              <w:bottom w:val="single" w:sz="12" w:space="0" w:color="auto"/>
              <w:right w:val="nil"/>
            </w:tcBorders>
            <w:shd w:val="clear" w:color="auto" w:fill="C0C0C0"/>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0,1</w:t>
            </w:r>
          </w:p>
        </w:tc>
        <w:tc>
          <w:tcPr>
            <w:tcW w:w="747" w:type="dxa"/>
            <w:tcBorders>
              <w:top w:val="nil"/>
              <w:left w:val="nil"/>
              <w:bottom w:val="single" w:sz="12" w:space="0" w:color="auto"/>
              <w:right w:val="nil"/>
            </w:tcBorders>
            <w:shd w:val="clear" w:color="auto" w:fill="C0C0C0"/>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0,3</w:t>
            </w:r>
          </w:p>
        </w:tc>
        <w:tc>
          <w:tcPr>
            <w:tcW w:w="747" w:type="dxa"/>
            <w:tcBorders>
              <w:top w:val="nil"/>
              <w:left w:val="nil"/>
              <w:bottom w:val="single" w:sz="12" w:space="0" w:color="auto"/>
              <w:right w:val="nil"/>
            </w:tcBorders>
            <w:shd w:val="clear" w:color="auto" w:fill="C0C0C0"/>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0,7</w:t>
            </w:r>
          </w:p>
        </w:tc>
        <w:tc>
          <w:tcPr>
            <w:tcW w:w="832" w:type="dxa"/>
            <w:tcBorders>
              <w:top w:val="nil"/>
              <w:left w:val="nil"/>
              <w:bottom w:val="single" w:sz="12" w:space="0" w:color="auto"/>
              <w:right w:val="nil"/>
            </w:tcBorders>
            <w:shd w:val="clear" w:color="auto" w:fill="C0C0C0"/>
            <w:vAlign w:val="bottom"/>
          </w:tcPr>
          <w:p w:rsidR="00000000" w:rsidRDefault="00000000">
            <w:pPr>
              <w:tabs>
                <w:tab w:val="decimal" w:pos="397"/>
              </w:tabs>
              <w:autoSpaceDE w:val="0"/>
              <w:autoSpaceDN w:val="0"/>
              <w:spacing w:before="40" w:line="170" w:lineRule="exact"/>
              <w:rPr>
                <w:b/>
                <w:i/>
                <w:sz w:val="17"/>
                <w:lang w:eastAsia="de-DE"/>
              </w:rPr>
            </w:pPr>
            <w:r>
              <w:rPr>
                <w:b/>
                <w:i/>
                <w:sz w:val="17"/>
                <w:lang w:eastAsia="de-DE"/>
              </w:rPr>
              <w:t>1,1</w:t>
            </w:r>
          </w:p>
        </w:tc>
      </w:tr>
    </w:tbl>
    <w:p w:rsidR="00000000" w:rsidRDefault="00000000">
      <w:pPr>
        <w:keepNext/>
        <w:autoSpaceDE w:val="0"/>
        <w:autoSpaceDN w:val="0"/>
        <w:outlineLvl w:val="2"/>
        <w:rPr>
          <w:rFonts w:ascii="Verdana" w:hAnsi="Verdana"/>
          <w:b/>
          <w:sz w:val="22"/>
          <w:lang w:eastAsia="de-DE"/>
        </w:rPr>
      </w:pPr>
    </w:p>
    <w:p w:rsidR="00000000" w:rsidRDefault="00000000">
      <w:pPr>
        <w:pStyle w:val="SingleTxt"/>
        <w:pageBreakBefore/>
        <w:tabs>
          <w:tab w:val="clear" w:pos="1267"/>
        </w:tabs>
        <w:ind w:left="0"/>
        <w:rPr>
          <w:b/>
          <w:lang w:eastAsia="de-DE"/>
        </w:rPr>
      </w:pPr>
      <w:r>
        <w:rPr>
          <w:b/>
          <w:lang w:eastAsia="de-DE"/>
        </w:rPr>
        <w:t>Доля школ различных типов, доля учащихся/студентов мужчин в зависимости от типа школы</w:t>
      </w:r>
    </w:p>
    <w:p w:rsidR="00000000" w:rsidRDefault="00000000">
      <w:pPr>
        <w:pStyle w:val="SingleTxt"/>
        <w:tabs>
          <w:tab w:val="clear" w:pos="1267"/>
        </w:tabs>
        <w:ind w:left="0"/>
        <w:rPr>
          <w:b/>
          <w:lang w:eastAsia="de-DE"/>
        </w:rPr>
      </w:pPr>
      <w:r>
        <w:rPr>
          <w:b/>
          <w:lang w:eastAsia="de-DE"/>
        </w:rPr>
        <w:t>Академический год 2002/03</w:t>
      </w:r>
    </w:p>
    <w:tbl>
      <w:tblPr>
        <w:tblW w:w="0" w:type="auto"/>
        <w:tblInd w:w="-68" w:type="dxa"/>
        <w:tblLayout w:type="fixed"/>
        <w:tblCellMar>
          <w:left w:w="70" w:type="dxa"/>
          <w:right w:w="70" w:type="dxa"/>
        </w:tblCellMar>
        <w:tblLook w:val="0000" w:firstRow="0" w:lastRow="0" w:firstColumn="0" w:lastColumn="0" w:noHBand="0" w:noVBand="0"/>
      </w:tblPr>
      <w:tblGrid>
        <w:gridCol w:w="1249"/>
        <w:gridCol w:w="983"/>
        <w:gridCol w:w="983"/>
        <w:gridCol w:w="983"/>
        <w:gridCol w:w="800"/>
        <w:gridCol w:w="892"/>
        <w:gridCol w:w="892"/>
        <w:gridCol w:w="892"/>
        <w:gridCol w:w="892"/>
        <w:gridCol w:w="892"/>
        <w:gridCol w:w="661"/>
        <w:gridCol w:w="800"/>
        <w:gridCol w:w="661"/>
        <w:gridCol w:w="800"/>
      </w:tblGrid>
      <w:tr w:rsidR="00000000">
        <w:tblPrEx>
          <w:tblCellMar>
            <w:top w:w="0" w:type="dxa"/>
            <w:bottom w:w="0" w:type="dxa"/>
          </w:tblCellMar>
        </w:tblPrEx>
        <w:trPr>
          <w:cantSplit/>
          <w:trHeight w:val="1407"/>
          <w:tblHeader/>
        </w:trPr>
        <w:tc>
          <w:tcPr>
            <w:tcW w:w="1249" w:type="dxa"/>
            <w:tcBorders>
              <w:top w:val="single" w:sz="6" w:space="0" w:color="auto"/>
              <w:bottom w:val="single" w:sz="12" w:space="0" w:color="auto"/>
            </w:tcBorders>
            <w:vAlign w:val="bottom"/>
          </w:tcPr>
          <w:p w:rsidR="00000000" w:rsidRDefault="00000000">
            <w:pPr>
              <w:pStyle w:val="Heading7"/>
              <w:autoSpaceDE w:val="0"/>
              <w:autoSpaceDN w:val="0"/>
              <w:spacing w:line="170" w:lineRule="exact"/>
              <w:rPr>
                <w:lang w:eastAsia="de-DE"/>
              </w:rPr>
            </w:pPr>
            <w:r>
              <w:rPr>
                <w:lang w:eastAsia="de-DE"/>
              </w:rPr>
              <w:t>Тип школы</w:t>
            </w:r>
          </w:p>
        </w:tc>
        <w:tc>
          <w:tcPr>
            <w:tcW w:w="983" w:type="dxa"/>
            <w:tcBorders>
              <w:top w:val="single" w:sz="6" w:space="0" w:color="auto"/>
              <w:bottom w:val="single" w:sz="12" w:space="0" w:color="auto"/>
            </w:tcBorders>
            <w:textDirection w:val="btLr"/>
            <w:vAlign w:val="center"/>
          </w:tcPr>
          <w:p w:rsidR="00000000" w:rsidRDefault="00000000">
            <w:pPr>
              <w:overflowPunct w:val="0"/>
              <w:autoSpaceDE w:val="0"/>
              <w:autoSpaceDN w:val="0"/>
              <w:adjustRightInd w:val="0"/>
              <w:spacing w:line="170" w:lineRule="exact"/>
              <w:textAlignment w:val="baseline"/>
              <w:rPr>
                <w:i/>
                <w:sz w:val="15"/>
                <w:lang w:eastAsia="de-DE"/>
              </w:rPr>
            </w:pPr>
            <w:r>
              <w:rPr>
                <w:i/>
                <w:sz w:val="15"/>
                <w:lang w:eastAsia="de-DE"/>
              </w:rPr>
              <w:t>Всего уч</w:t>
            </w:r>
            <w:r>
              <w:rPr>
                <w:i/>
                <w:sz w:val="15"/>
                <w:lang w:eastAsia="de-DE"/>
              </w:rPr>
              <w:t>а</w:t>
            </w:r>
            <w:r>
              <w:rPr>
                <w:i/>
                <w:sz w:val="15"/>
                <w:lang w:eastAsia="de-DE"/>
              </w:rPr>
              <w:t>щихся</w:t>
            </w:r>
            <w:r>
              <w:rPr>
                <w:i/>
                <w:sz w:val="15"/>
                <w:lang w:eastAsia="de-DE"/>
              </w:rPr>
              <w:br/>
              <w:t>/студентов мужчин</w:t>
            </w:r>
            <w:r>
              <w:rPr>
                <w:i/>
                <w:sz w:val="15"/>
                <w:lang w:val="en-GB" w:eastAsia="de-DE"/>
              </w:rPr>
              <w:t>l</w:t>
            </w:r>
          </w:p>
        </w:tc>
        <w:tc>
          <w:tcPr>
            <w:tcW w:w="983"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Начальные школы</w:t>
            </w:r>
          </w:p>
        </w:tc>
        <w:tc>
          <w:tcPr>
            <w:tcW w:w="983"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Общеобразовател</w:t>
            </w:r>
            <w:r>
              <w:rPr>
                <w:i/>
                <w:sz w:val="15"/>
                <w:lang w:eastAsia="de-DE"/>
              </w:rPr>
              <w:t>ь</w:t>
            </w:r>
            <w:r>
              <w:rPr>
                <w:i/>
                <w:sz w:val="15"/>
                <w:lang w:eastAsia="de-DE"/>
              </w:rPr>
              <w:t>ные и средние шк</w:t>
            </w:r>
            <w:r>
              <w:rPr>
                <w:i/>
                <w:sz w:val="15"/>
                <w:lang w:eastAsia="de-DE"/>
              </w:rPr>
              <w:t>о</w:t>
            </w:r>
            <w:r>
              <w:rPr>
                <w:i/>
                <w:sz w:val="15"/>
                <w:lang w:eastAsia="de-DE"/>
              </w:rPr>
              <w:t>лы</w:t>
            </w:r>
          </w:p>
        </w:tc>
        <w:tc>
          <w:tcPr>
            <w:tcW w:w="800"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Спец</w:t>
            </w:r>
            <w:r>
              <w:rPr>
                <w:i/>
                <w:sz w:val="15"/>
                <w:lang w:eastAsia="de-DE"/>
              </w:rPr>
              <w:t>и</w:t>
            </w:r>
            <w:r>
              <w:rPr>
                <w:i/>
                <w:sz w:val="15"/>
                <w:lang w:eastAsia="de-DE"/>
              </w:rPr>
              <w:t>альные школы</w:t>
            </w:r>
          </w:p>
        </w:tc>
        <w:tc>
          <w:tcPr>
            <w:tcW w:w="892"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Год до професси</w:t>
            </w:r>
            <w:r>
              <w:rPr>
                <w:i/>
                <w:sz w:val="15"/>
                <w:lang w:eastAsia="de-DE"/>
              </w:rPr>
              <w:t>о</w:t>
            </w:r>
            <w:r>
              <w:rPr>
                <w:i/>
                <w:sz w:val="15"/>
                <w:lang w:eastAsia="de-DE"/>
              </w:rPr>
              <w:t>нальной по</w:t>
            </w:r>
            <w:r>
              <w:rPr>
                <w:i/>
                <w:sz w:val="15"/>
                <w:lang w:eastAsia="de-DE"/>
              </w:rPr>
              <w:t>д</w:t>
            </w:r>
            <w:r>
              <w:rPr>
                <w:i/>
                <w:sz w:val="15"/>
                <w:lang w:eastAsia="de-DE"/>
              </w:rPr>
              <w:t>готовки</w:t>
            </w:r>
          </w:p>
        </w:tc>
        <w:tc>
          <w:tcPr>
            <w:tcW w:w="892"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Специальные сре</w:t>
            </w:r>
            <w:r>
              <w:rPr>
                <w:i/>
                <w:sz w:val="15"/>
                <w:lang w:eastAsia="de-DE"/>
              </w:rPr>
              <w:t>д</w:t>
            </w:r>
            <w:r>
              <w:rPr>
                <w:i/>
                <w:sz w:val="15"/>
                <w:lang w:eastAsia="de-DE"/>
              </w:rPr>
              <w:t>ние школы</w:t>
            </w:r>
          </w:p>
        </w:tc>
        <w:tc>
          <w:tcPr>
            <w:tcW w:w="892"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Профессионал</w:t>
            </w:r>
            <w:r>
              <w:rPr>
                <w:i/>
                <w:sz w:val="15"/>
                <w:lang w:eastAsia="de-DE"/>
              </w:rPr>
              <w:t>ь</w:t>
            </w:r>
            <w:r>
              <w:rPr>
                <w:i/>
                <w:sz w:val="15"/>
                <w:lang w:eastAsia="de-DE"/>
              </w:rPr>
              <w:t>но-технические учил</w:t>
            </w:r>
            <w:r>
              <w:rPr>
                <w:i/>
                <w:sz w:val="15"/>
                <w:lang w:eastAsia="de-DE"/>
              </w:rPr>
              <w:t>и</w:t>
            </w:r>
            <w:r>
              <w:rPr>
                <w:i/>
                <w:sz w:val="15"/>
                <w:lang w:eastAsia="de-DE"/>
              </w:rPr>
              <w:t>ща</w:t>
            </w:r>
          </w:p>
        </w:tc>
        <w:tc>
          <w:tcPr>
            <w:tcW w:w="892"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Нижние, средние профессионал</w:t>
            </w:r>
            <w:r>
              <w:rPr>
                <w:i/>
                <w:sz w:val="15"/>
                <w:lang w:eastAsia="de-DE"/>
              </w:rPr>
              <w:t>ь</w:t>
            </w:r>
            <w:r>
              <w:rPr>
                <w:i/>
                <w:sz w:val="15"/>
                <w:lang w:eastAsia="de-DE"/>
              </w:rPr>
              <w:t>но-технические учил</w:t>
            </w:r>
            <w:r>
              <w:rPr>
                <w:i/>
                <w:sz w:val="15"/>
                <w:lang w:eastAsia="de-DE"/>
              </w:rPr>
              <w:t>и</w:t>
            </w:r>
            <w:r>
              <w:rPr>
                <w:i/>
                <w:sz w:val="15"/>
                <w:lang w:eastAsia="de-DE"/>
              </w:rPr>
              <w:t>ща</w:t>
            </w:r>
          </w:p>
        </w:tc>
        <w:tc>
          <w:tcPr>
            <w:tcW w:w="892"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Высшие, средние профессионал</w:t>
            </w:r>
            <w:r>
              <w:rPr>
                <w:i/>
                <w:sz w:val="15"/>
                <w:lang w:eastAsia="de-DE"/>
              </w:rPr>
              <w:t>ь</w:t>
            </w:r>
            <w:r>
              <w:rPr>
                <w:i/>
                <w:sz w:val="15"/>
                <w:lang w:eastAsia="de-DE"/>
              </w:rPr>
              <w:t>но-технические учил</w:t>
            </w:r>
            <w:r>
              <w:rPr>
                <w:i/>
                <w:sz w:val="15"/>
                <w:lang w:eastAsia="de-DE"/>
              </w:rPr>
              <w:t>и</w:t>
            </w:r>
            <w:r>
              <w:rPr>
                <w:i/>
                <w:sz w:val="15"/>
                <w:lang w:eastAsia="de-DE"/>
              </w:rPr>
              <w:t>ща</w:t>
            </w:r>
          </w:p>
        </w:tc>
        <w:tc>
          <w:tcPr>
            <w:tcW w:w="661"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Профессионал</w:t>
            </w:r>
            <w:r>
              <w:rPr>
                <w:i/>
                <w:sz w:val="15"/>
                <w:lang w:eastAsia="de-DE"/>
              </w:rPr>
              <w:t>ь</w:t>
            </w:r>
            <w:r>
              <w:rPr>
                <w:i/>
                <w:sz w:val="15"/>
                <w:lang w:eastAsia="de-DE"/>
              </w:rPr>
              <w:t>но-технические учил</w:t>
            </w:r>
            <w:r>
              <w:rPr>
                <w:i/>
                <w:sz w:val="15"/>
                <w:lang w:eastAsia="de-DE"/>
              </w:rPr>
              <w:t>и</w:t>
            </w:r>
            <w:r>
              <w:rPr>
                <w:i/>
                <w:sz w:val="15"/>
                <w:lang w:eastAsia="de-DE"/>
              </w:rPr>
              <w:t>ща</w:t>
            </w:r>
          </w:p>
        </w:tc>
        <w:tc>
          <w:tcPr>
            <w:tcW w:w="800"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Промежуточные учебные завед</w:t>
            </w:r>
            <w:r>
              <w:rPr>
                <w:i/>
                <w:sz w:val="15"/>
                <w:lang w:eastAsia="de-DE"/>
              </w:rPr>
              <w:t>е</w:t>
            </w:r>
            <w:r>
              <w:rPr>
                <w:i/>
                <w:sz w:val="15"/>
                <w:lang w:eastAsia="de-DE"/>
              </w:rPr>
              <w:t>ния</w:t>
            </w:r>
          </w:p>
        </w:tc>
        <w:tc>
          <w:tcPr>
            <w:tcW w:w="661"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Высшие учебные зав</w:t>
            </w:r>
            <w:r>
              <w:rPr>
                <w:i/>
                <w:sz w:val="15"/>
                <w:lang w:eastAsia="de-DE"/>
              </w:rPr>
              <w:t>е</w:t>
            </w:r>
            <w:r>
              <w:rPr>
                <w:i/>
                <w:sz w:val="15"/>
                <w:lang w:eastAsia="de-DE"/>
              </w:rPr>
              <w:t>дения</w:t>
            </w:r>
          </w:p>
        </w:tc>
        <w:tc>
          <w:tcPr>
            <w:tcW w:w="800" w:type="dxa"/>
            <w:tcBorders>
              <w:top w:val="single" w:sz="6" w:space="0" w:color="auto"/>
              <w:bottom w:val="single" w:sz="12" w:space="0" w:color="auto"/>
            </w:tcBorders>
            <w:textDirection w:val="btLr"/>
            <w:vAlign w:val="center"/>
          </w:tcPr>
          <w:p w:rsidR="00000000" w:rsidRDefault="00000000">
            <w:pPr>
              <w:autoSpaceDE w:val="0"/>
              <w:autoSpaceDN w:val="0"/>
              <w:spacing w:line="170" w:lineRule="exact"/>
              <w:rPr>
                <w:i/>
                <w:sz w:val="15"/>
                <w:lang w:eastAsia="de-DE"/>
              </w:rPr>
            </w:pPr>
            <w:r>
              <w:rPr>
                <w:i/>
                <w:sz w:val="15"/>
                <w:lang w:eastAsia="de-DE"/>
              </w:rPr>
              <w:t>Педагогические училища и учебные з</w:t>
            </w:r>
            <w:r>
              <w:rPr>
                <w:i/>
                <w:sz w:val="15"/>
                <w:lang w:eastAsia="de-DE"/>
              </w:rPr>
              <w:t>а</w:t>
            </w:r>
            <w:r>
              <w:rPr>
                <w:i/>
                <w:sz w:val="15"/>
                <w:lang w:eastAsia="de-DE"/>
              </w:rPr>
              <w:t>ведения</w:t>
            </w:r>
          </w:p>
        </w:tc>
      </w:tr>
      <w:tr w:rsidR="00000000">
        <w:tblPrEx>
          <w:tblCellMar>
            <w:top w:w="0" w:type="dxa"/>
            <w:bottom w:w="0" w:type="dxa"/>
          </w:tblCellMar>
        </w:tblPrEx>
        <w:tc>
          <w:tcPr>
            <w:tcW w:w="1249" w:type="dxa"/>
            <w:tcBorders>
              <w:top w:val="single" w:sz="12" w:space="0" w:color="auto"/>
            </w:tcBorders>
            <w:vAlign w:val="bottom"/>
          </w:tcPr>
          <w:p w:rsidR="00000000" w:rsidRDefault="00000000">
            <w:pPr>
              <w:tabs>
                <w:tab w:val="left" w:pos="142"/>
                <w:tab w:val="left" w:pos="284"/>
                <w:tab w:val="left" w:pos="709"/>
                <w:tab w:val="left" w:pos="1134"/>
              </w:tabs>
              <w:autoSpaceDE w:val="0"/>
              <w:autoSpaceDN w:val="0"/>
              <w:spacing w:before="40" w:line="170" w:lineRule="exact"/>
              <w:rPr>
                <w:b/>
                <w:sz w:val="17"/>
                <w:lang w:eastAsia="de-DE"/>
              </w:rPr>
            </w:pPr>
            <w:r>
              <w:rPr>
                <w:b/>
                <w:sz w:val="17"/>
                <w:lang w:eastAsia="de-DE"/>
              </w:rPr>
              <w:t>Дошкольный период</w:t>
            </w:r>
          </w:p>
        </w:tc>
        <w:tc>
          <w:tcPr>
            <w:tcW w:w="983" w:type="dxa"/>
            <w:tcBorders>
              <w:top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4 498</w:t>
            </w:r>
          </w:p>
        </w:tc>
        <w:tc>
          <w:tcPr>
            <w:tcW w:w="983"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4 445</w:t>
            </w:r>
          </w:p>
        </w:tc>
        <w:tc>
          <w:tcPr>
            <w:tcW w:w="983"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00"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53</w:t>
            </w:r>
          </w:p>
        </w:tc>
        <w:tc>
          <w:tcPr>
            <w:tcW w:w="892"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92"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92"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92"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92"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661"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00"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661"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00" w:type="dxa"/>
            <w:tcBorders>
              <w:top w:val="single" w:sz="12" w:space="0" w:color="auto"/>
            </w:tcBorders>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b/>
                <w:sz w:val="17"/>
                <w:lang w:eastAsia="de-DE"/>
              </w:rPr>
            </w:pPr>
            <w:r>
              <w:rPr>
                <w:b/>
                <w:sz w:val="17"/>
                <w:lang w:eastAsia="de-DE"/>
              </w:rPr>
              <w:t xml:space="preserve">Доля в </w:t>
            </w:r>
            <w:r>
              <w:rPr>
                <w:b/>
                <w:i/>
                <w:sz w:val="17"/>
                <w:lang w:eastAsia="de-DE"/>
              </w:rPr>
              <w:t>%</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100,0</w:t>
            </w:r>
          </w:p>
        </w:tc>
        <w:tc>
          <w:tcPr>
            <w:tcW w:w="983"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98,8</w:t>
            </w:r>
          </w:p>
        </w:tc>
        <w:tc>
          <w:tcPr>
            <w:tcW w:w="983"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1,2</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b/>
                <w:sz w:val="17"/>
                <w:lang w:eastAsia="de-DE"/>
              </w:rPr>
            </w:pPr>
            <w:r>
              <w:rPr>
                <w:b/>
                <w:sz w:val="17"/>
                <w:lang w:eastAsia="de-DE"/>
              </w:rPr>
              <w:t>1</w:t>
            </w:r>
            <w:r>
              <w:rPr>
                <w:b/>
                <w:sz w:val="17"/>
                <w:vertAlign w:val="superscript"/>
                <w:lang w:eastAsia="de-DE"/>
              </w:rPr>
              <w:t>ЫЙ</w:t>
            </w:r>
            <w:r>
              <w:rPr>
                <w:b/>
                <w:sz w:val="17"/>
                <w:lang w:eastAsia="de-DE"/>
              </w:rPr>
              <w:t> – 4</w:t>
            </w:r>
            <w:r>
              <w:rPr>
                <w:b/>
                <w:sz w:val="17"/>
                <w:vertAlign w:val="superscript"/>
                <w:lang w:eastAsia="de-DE"/>
              </w:rPr>
              <w:t>ЫЙ</w:t>
            </w:r>
            <w:r>
              <w:rPr>
                <w:b/>
                <w:sz w:val="17"/>
                <w:lang w:eastAsia="de-DE"/>
              </w:rPr>
              <w:t xml:space="preserve"> класс</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194 699</w:t>
            </w:r>
          </w:p>
        </w:tc>
        <w:tc>
          <w:tcPr>
            <w:tcW w:w="983"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191 827</w:t>
            </w:r>
          </w:p>
        </w:tc>
        <w:tc>
          <w:tcPr>
            <w:tcW w:w="983"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2 872</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b/>
                <w:sz w:val="17"/>
                <w:lang w:eastAsia="de-DE"/>
              </w:rPr>
            </w:pPr>
            <w:r>
              <w:rPr>
                <w:b/>
                <w:sz w:val="17"/>
                <w:lang w:eastAsia="de-DE"/>
              </w:rPr>
              <w:t xml:space="preserve">Доля в </w:t>
            </w:r>
            <w:r>
              <w:rPr>
                <w:b/>
                <w:i/>
                <w:sz w:val="17"/>
                <w:lang w:eastAsia="de-DE"/>
              </w:rPr>
              <w:t>%</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100,0</w:t>
            </w:r>
          </w:p>
        </w:tc>
        <w:tc>
          <w:tcPr>
            <w:tcW w:w="983"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98,5</w:t>
            </w:r>
          </w:p>
        </w:tc>
        <w:tc>
          <w:tcPr>
            <w:tcW w:w="983"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1,5</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t>1</w:t>
            </w:r>
            <w:r>
              <w:rPr>
                <w:sz w:val="17"/>
                <w:vertAlign w:val="superscript"/>
                <w:lang w:eastAsia="de-DE"/>
              </w:rPr>
              <w:t>ый</w:t>
            </w:r>
            <w:r>
              <w:rPr>
                <w:sz w:val="17"/>
                <w:lang w:eastAsia="de-DE"/>
              </w:rPr>
              <w:t xml:space="preserve"> класс</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48 079</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47 589</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490</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100,0</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99,0</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1,0</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t>4</w:t>
            </w:r>
            <w:r>
              <w:rPr>
                <w:sz w:val="17"/>
                <w:vertAlign w:val="superscript"/>
                <w:lang w:eastAsia="de-DE"/>
              </w:rPr>
              <w:t>ый</w:t>
            </w:r>
            <w:r>
              <w:rPr>
                <w:sz w:val="17"/>
                <w:lang w:eastAsia="de-DE"/>
              </w:rPr>
              <w:t xml:space="preserve"> класс</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50 213</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49 263</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950</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100,0</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98,1</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1,9</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b/>
                <w:sz w:val="17"/>
                <w:lang w:eastAsia="de-DE"/>
              </w:rPr>
            </w:pPr>
            <w:r>
              <w:rPr>
                <w:b/>
                <w:sz w:val="17"/>
                <w:lang w:eastAsia="de-DE"/>
              </w:rPr>
              <w:t>5</w:t>
            </w:r>
            <w:r>
              <w:rPr>
                <w:b/>
                <w:sz w:val="17"/>
                <w:vertAlign w:val="superscript"/>
                <w:lang w:eastAsia="de-DE"/>
              </w:rPr>
              <w:t>ый</w:t>
            </w:r>
            <w:r>
              <w:rPr>
                <w:b/>
                <w:sz w:val="17"/>
                <w:lang w:eastAsia="de-DE"/>
              </w:rPr>
              <w:t> – 8</w:t>
            </w:r>
            <w:r>
              <w:rPr>
                <w:b/>
                <w:sz w:val="17"/>
                <w:vertAlign w:val="superscript"/>
                <w:lang w:eastAsia="de-DE"/>
              </w:rPr>
              <w:t>ой</w:t>
            </w:r>
            <w:r>
              <w:rPr>
                <w:b/>
                <w:sz w:val="17"/>
                <w:lang w:eastAsia="de-DE"/>
              </w:rPr>
              <w:t xml:space="preserve"> класс</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200 442</w:t>
            </w:r>
          </w:p>
        </w:tc>
        <w:tc>
          <w:tcPr>
            <w:tcW w:w="983"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35</w:t>
            </w:r>
          </w:p>
        </w:tc>
        <w:tc>
          <w:tcPr>
            <w:tcW w:w="983"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140 852</w:t>
            </w:r>
          </w:p>
        </w:tc>
        <w:tc>
          <w:tcPr>
            <w:tcW w:w="800"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4 830</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54 336</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389</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b/>
                <w:sz w:val="17"/>
                <w:lang w:eastAsia="de-DE"/>
              </w:rPr>
            </w:pPr>
            <w:r>
              <w:rPr>
                <w:b/>
                <w:sz w:val="17"/>
                <w:lang w:eastAsia="de-DE"/>
              </w:rPr>
              <w:t xml:space="preserve">Доля в </w:t>
            </w:r>
            <w:r>
              <w:rPr>
                <w:b/>
                <w:i/>
                <w:sz w:val="17"/>
                <w:lang w:eastAsia="de-DE"/>
              </w:rPr>
              <w:t>%</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100,0</w:t>
            </w:r>
          </w:p>
        </w:tc>
        <w:tc>
          <w:tcPr>
            <w:tcW w:w="983"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0,0</w:t>
            </w:r>
          </w:p>
        </w:tc>
        <w:tc>
          <w:tcPr>
            <w:tcW w:w="983"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70,3</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2,4</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27,1</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0,2</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t>5</w:t>
            </w:r>
            <w:r>
              <w:rPr>
                <w:sz w:val="17"/>
                <w:vertAlign w:val="superscript"/>
                <w:lang w:eastAsia="de-DE"/>
              </w:rPr>
              <w:t>ый</w:t>
            </w:r>
            <w:r>
              <w:rPr>
                <w:sz w:val="17"/>
                <w:lang w:eastAsia="de-DE"/>
              </w:rPr>
              <w:t xml:space="preserve"> класс</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50 682</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8</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35 072</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995</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14 607</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100,0</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0,0</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69,2</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2,0</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28,8</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t>8</w:t>
            </w:r>
            <w:r>
              <w:rPr>
                <w:sz w:val="17"/>
                <w:vertAlign w:val="superscript"/>
                <w:lang w:eastAsia="de-DE"/>
              </w:rPr>
              <w:t>ой</w:t>
            </w:r>
            <w:r>
              <w:rPr>
                <w:sz w:val="17"/>
                <w:lang w:eastAsia="de-DE"/>
              </w:rPr>
              <w:t xml:space="preserve"> класс</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49 814</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10</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35 227</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1 429</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12 759</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389</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100,0</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0,0</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70,7</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2,9</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25,6</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0,8</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b/>
                <w:sz w:val="17"/>
                <w:lang w:eastAsia="de-DE"/>
              </w:rPr>
            </w:pPr>
            <w:r>
              <w:rPr>
                <w:b/>
                <w:sz w:val="17"/>
                <w:lang w:eastAsia="de-DE"/>
              </w:rPr>
              <w:t>Начиная с 9</w:t>
            </w:r>
            <w:r>
              <w:rPr>
                <w:b/>
                <w:sz w:val="17"/>
                <w:vertAlign w:val="superscript"/>
                <w:lang w:eastAsia="de-DE"/>
              </w:rPr>
              <w:t>го</w:t>
            </w:r>
            <w:r>
              <w:rPr>
                <w:b/>
                <w:sz w:val="17"/>
                <w:lang w:eastAsia="de-DE"/>
              </w:rPr>
              <w:t xml:space="preserve"> класса</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227 007</w:t>
            </w:r>
          </w:p>
        </w:tc>
        <w:tc>
          <w:tcPr>
            <w:tcW w:w="983"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983"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850</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13 381</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32 749</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86 712</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23 824</w:t>
            </w:r>
          </w:p>
        </w:tc>
        <w:tc>
          <w:tcPr>
            <w:tcW w:w="892"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63 358</w:t>
            </w:r>
          </w:p>
        </w:tc>
        <w:tc>
          <w:tcPr>
            <w:tcW w:w="661"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185</w:t>
            </w:r>
          </w:p>
        </w:tc>
        <w:tc>
          <w:tcPr>
            <w:tcW w:w="800"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2 726</w:t>
            </w:r>
          </w:p>
        </w:tc>
        <w:tc>
          <w:tcPr>
            <w:tcW w:w="661"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362</w:t>
            </w:r>
          </w:p>
        </w:tc>
        <w:tc>
          <w:tcPr>
            <w:tcW w:w="800" w:type="dxa"/>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2 860</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b/>
                <w:sz w:val="17"/>
                <w:lang w:eastAsia="de-DE"/>
              </w:rPr>
            </w:pPr>
            <w:r>
              <w:rPr>
                <w:b/>
                <w:sz w:val="17"/>
                <w:lang w:eastAsia="de-DE"/>
              </w:rPr>
              <w:t xml:space="preserve">Доля в </w:t>
            </w:r>
            <w:r>
              <w:rPr>
                <w:b/>
                <w:i/>
                <w:sz w:val="17"/>
                <w:lang w:eastAsia="de-DE"/>
              </w:rPr>
              <w:t>%</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100,0</w:t>
            </w:r>
          </w:p>
        </w:tc>
        <w:tc>
          <w:tcPr>
            <w:tcW w:w="983"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983"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0,4</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5,9</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14,4</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38,2</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10,5</w:t>
            </w:r>
          </w:p>
        </w:tc>
        <w:tc>
          <w:tcPr>
            <w:tcW w:w="892"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27,9</w:t>
            </w:r>
          </w:p>
        </w:tc>
        <w:tc>
          <w:tcPr>
            <w:tcW w:w="661"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0,1</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1,2</w:t>
            </w:r>
          </w:p>
        </w:tc>
        <w:tc>
          <w:tcPr>
            <w:tcW w:w="661"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0,2</w:t>
            </w:r>
          </w:p>
        </w:tc>
        <w:tc>
          <w:tcPr>
            <w:tcW w:w="800" w:type="dxa"/>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1,3</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t>9</w:t>
            </w:r>
            <w:r>
              <w:rPr>
                <w:sz w:val="17"/>
                <w:vertAlign w:val="superscript"/>
                <w:lang w:eastAsia="de-DE"/>
              </w:rPr>
              <w:t>ый</w:t>
            </w:r>
            <w:r>
              <w:rPr>
                <w:sz w:val="17"/>
                <w:lang w:eastAsia="de-DE"/>
              </w:rPr>
              <w:t xml:space="preserve"> класс</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47 811</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850</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13 381</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9 701</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8 620</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15 194</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65</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100,0</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1,8</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28,0</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20,3</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18,0</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31,8</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0,1</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t>10</w:t>
            </w:r>
            <w:r>
              <w:rPr>
                <w:sz w:val="17"/>
                <w:vertAlign w:val="superscript"/>
                <w:lang w:eastAsia="de-DE"/>
              </w:rPr>
              <w:t>ый</w:t>
            </w:r>
            <w:r>
              <w:rPr>
                <w:sz w:val="17"/>
                <w:lang w:eastAsia="de-DE"/>
              </w:rPr>
              <w:t xml:space="preserve"> класс</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54 459</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8 094</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26 161</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5 337</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12 371</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2 431</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53</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12</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100,0</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14,9</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48,0</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9,8</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22,7</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4,5</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0,1</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0,0</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t>12</w:t>
            </w:r>
            <w:r>
              <w:rPr>
                <w:sz w:val="17"/>
                <w:vertAlign w:val="superscript"/>
                <w:lang w:eastAsia="de-DE"/>
              </w:rPr>
              <w:t>ый</w:t>
            </w:r>
            <w:r>
              <w:rPr>
                <w:sz w:val="17"/>
                <w:lang w:eastAsia="de-DE"/>
              </w:rPr>
              <w:t xml:space="preserve"> класс</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44 920</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983"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7 075</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24 572</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1 715</w:t>
            </w:r>
          </w:p>
        </w:tc>
        <w:tc>
          <w:tcPr>
            <w:tcW w:w="892"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11 496</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11</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43</w:t>
            </w:r>
          </w:p>
        </w:tc>
        <w:tc>
          <w:tcPr>
            <w:tcW w:w="800" w:type="dxa"/>
            <w:vAlign w:val="bottom"/>
          </w:tcPr>
          <w:p w:rsidR="00000000" w:rsidRDefault="00000000">
            <w:pPr>
              <w:tabs>
                <w:tab w:val="decimal" w:pos="452"/>
              </w:tabs>
              <w:autoSpaceDE w:val="0"/>
              <w:autoSpaceDN w:val="0"/>
              <w:spacing w:before="40" w:line="170" w:lineRule="exact"/>
              <w:ind w:right="246"/>
              <w:rPr>
                <w:sz w:val="17"/>
                <w:lang w:eastAsia="de-DE"/>
              </w:rPr>
            </w:pPr>
            <w:r>
              <w:rPr>
                <w:sz w:val="17"/>
                <w:lang w:eastAsia="de-DE"/>
              </w:rPr>
              <w:t>8</w:t>
            </w:r>
          </w:p>
        </w:tc>
      </w:tr>
      <w:tr w:rsidR="00000000">
        <w:tblPrEx>
          <w:tblCellMar>
            <w:top w:w="0" w:type="dxa"/>
            <w:bottom w:w="0" w:type="dxa"/>
          </w:tblCellMar>
        </w:tblPrEx>
        <w:tc>
          <w:tcPr>
            <w:tcW w:w="1249" w:type="dxa"/>
            <w:vAlign w:val="bottom"/>
          </w:tcPr>
          <w:p w:rsidR="00000000" w:rsidRDefault="00000000">
            <w:pPr>
              <w:tabs>
                <w:tab w:val="left" w:pos="142"/>
                <w:tab w:val="left" w:pos="284"/>
                <w:tab w:val="left" w:pos="709"/>
                <w:tab w:val="left" w:pos="1134"/>
              </w:tabs>
              <w:autoSpaceDE w:val="0"/>
              <w:autoSpaceDN w:val="0"/>
              <w:spacing w:before="40" w:line="17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100,0</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983"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15,8</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54,7</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3,8</w:t>
            </w:r>
          </w:p>
        </w:tc>
        <w:tc>
          <w:tcPr>
            <w:tcW w:w="892"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25,6</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0,0</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w:t>
            </w:r>
          </w:p>
        </w:tc>
        <w:tc>
          <w:tcPr>
            <w:tcW w:w="661"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0,1</w:t>
            </w:r>
          </w:p>
        </w:tc>
        <w:tc>
          <w:tcPr>
            <w:tcW w:w="800" w:type="dxa"/>
            <w:vAlign w:val="bottom"/>
          </w:tcPr>
          <w:p w:rsidR="00000000" w:rsidRDefault="00000000">
            <w:pPr>
              <w:tabs>
                <w:tab w:val="decimal" w:pos="452"/>
              </w:tabs>
              <w:autoSpaceDE w:val="0"/>
              <w:autoSpaceDN w:val="0"/>
              <w:spacing w:before="40" w:line="170" w:lineRule="exact"/>
              <w:ind w:right="246"/>
              <w:rPr>
                <w:i/>
                <w:sz w:val="17"/>
                <w:lang w:eastAsia="de-DE"/>
              </w:rPr>
            </w:pPr>
            <w:r>
              <w:rPr>
                <w:i/>
                <w:sz w:val="17"/>
                <w:lang w:eastAsia="de-DE"/>
              </w:rPr>
              <w:t>0,0</w:t>
            </w:r>
          </w:p>
        </w:tc>
      </w:tr>
      <w:tr w:rsidR="00000000">
        <w:tblPrEx>
          <w:tblCellMar>
            <w:top w:w="0" w:type="dxa"/>
            <w:bottom w:w="0" w:type="dxa"/>
          </w:tblCellMar>
        </w:tblPrEx>
        <w:tc>
          <w:tcPr>
            <w:tcW w:w="1249" w:type="dxa"/>
            <w:shd w:val="clear" w:color="auto" w:fill="C0C0C0"/>
            <w:vAlign w:val="bottom"/>
          </w:tcPr>
          <w:p w:rsidR="00000000" w:rsidRDefault="00000000">
            <w:pPr>
              <w:tabs>
                <w:tab w:val="left" w:pos="142"/>
                <w:tab w:val="left" w:pos="284"/>
              </w:tabs>
              <w:autoSpaceDE w:val="0"/>
              <w:autoSpaceDN w:val="0"/>
              <w:spacing w:before="40" w:line="170" w:lineRule="exact"/>
              <w:rPr>
                <w:b/>
                <w:sz w:val="17"/>
                <w:lang w:eastAsia="de-DE"/>
              </w:rPr>
            </w:pPr>
            <w:r>
              <w:rPr>
                <w:b/>
                <w:sz w:val="17"/>
                <w:lang w:eastAsia="de-DE"/>
              </w:rPr>
              <w:t>Всего</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626 646</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196 307</w:t>
            </w:r>
          </w:p>
        </w:tc>
        <w:tc>
          <w:tcPr>
            <w:tcW w:w="983"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140 852</w:t>
            </w:r>
          </w:p>
        </w:tc>
        <w:tc>
          <w:tcPr>
            <w:tcW w:w="800"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8 605</w:t>
            </w:r>
          </w:p>
        </w:tc>
        <w:tc>
          <w:tcPr>
            <w:tcW w:w="892"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13 381</w:t>
            </w:r>
          </w:p>
        </w:tc>
        <w:tc>
          <w:tcPr>
            <w:tcW w:w="892"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87 085</w:t>
            </w:r>
          </w:p>
        </w:tc>
        <w:tc>
          <w:tcPr>
            <w:tcW w:w="892"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86 712</w:t>
            </w:r>
          </w:p>
        </w:tc>
        <w:tc>
          <w:tcPr>
            <w:tcW w:w="892"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24 213</w:t>
            </w:r>
          </w:p>
        </w:tc>
        <w:tc>
          <w:tcPr>
            <w:tcW w:w="892"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63 358</w:t>
            </w:r>
          </w:p>
        </w:tc>
        <w:tc>
          <w:tcPr>
            <w:tcW w:w="661"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185</w:t>
            </w:r>
          </w:p>
        </w:tc>
        <w:tc>
          <w:tcPr>
            <w:tcW w:w="800"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2 726</w:t>
            </w:r>
          </w:p>
        </w:tc>
        <w:tc>
          <w:tcPr>
            <w:tcW w:w="661"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362</w:t>
            </w:r>
          </w:p>
        </w:tc>
        <w:tc>
          <w:tcPr>
            <w:tcW w:w="800" w:type="dxa"/>
            <w:shd w:val="clear" w:color="auto" w:fill="C0C0C0"/>
            <w:vAlign w:val="bottom"/>
          </w:tcPr>
          <w:p w:rsidR="00000000" w:rsidRDefault="00000000">
            <w:pPr>
              <w:tabs>
                <w:tab w:val="decimal" w:pos="452"/>
              </w:tabs>
              <w:autoSpaceDE w:val="0"/>
              <w:autoSpaceDN w:val="0"/>
              <w:spacing w:before="40" w:line="170" w:lineRule="exact"/>
              <w:ind w:right="246"/>
              <w:rPr>
                <w:b/>
                <w:sz w:val="17"/>
                <w:lang w:eastAsia="de-DE"/>
              </w:rPr>
            </w:pPr>
            <w:r>
              <w:rPr>
                <w:b/>
                <w:sz w:val="17"/>
                <w:lang w:eastAsia="de-DE"/>
              </w:rPr>
              <w:t>2 860</w:t>
            </w:r>
          </w:p>
        </w:tc>
      </w:tr>
      <w:tr w:rsidR="00000000">
        <w:tblPrEx>
          <w:tblCellMar>
            <w:top w:w="0" w:type="dxa"/>
            <w:bottom w:w="0" w:type="dxa"/>
          </w:tblCellMar>
        </w:tblPrEx>
        <w:tc>
          <w:tcPr>
            <w:tcW w:w="1249" w:type="dxa"/>
            <w:tcBorders>
              <w:bottom w:val="single" w:sz="12" w:space="0" w:color="auto"/>
            </w:tcBorders>
            <w:shd w:val="clear" w:color="auto" w:fill="C0C0C0"/>
            <w:vAlign w:val="bottom"/>
          </w:tcPr>
          <w:p w:rsidR="00000000" w:rsidRDefault="00000000">
            <w:pPr>
              <w:tabs>
                <w:tab w:val="left" w:pos="142"/>
                <w:tab w:val="left" w:pos="284"/>
              </w:tabs>
              <w:autoSpaceDE w:val="0"/>
              <w:autoSpaceDN w:val="0"/>
              <w:spacing w:before="40" w:line="170" w:lineRule="exact"/>
              <w:rPr>
                <w:b/>
                <w:sz w:val="17"/>
                <w:lang w:eastAsia="de-DE"/>
              </w:rPr>
            </w:pPr>
            <w:r>
              <w:rPr>
                <w:b/>
                <w:sz w:val="17"/>
                <w:lang w:eastAsia="de-DE"/>
              </w:rPr>
              <w:t xml:space="preserve">Доля в </w:t>
            </w:r>
            <w:r>
              <w:rPr>
                <w:b/>
                <w:i/>
                <w:sz w:val="17"/>
                <w:lang w:eastAsia="de-DE"/>
              </w:rPr>
              <w:t>%</w:t>
            </w:r>
          </w:p>
        </w:tc>
        <w:tc>
          <w:tcPr>
            <w:tcW w:w="983"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100,0</w:t>
            </w:r>
          </w:p>
        </w:tc>
        <w:tc>
          <w:tcPr>
            <w:tcW w:w="983"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31,3</w:t>
            </w:r>
          </w:p>
        </w:tc>
        <w:tc>
          <w:tcPr>
            <w:tcW w:w="983"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22,5</w:t>
            </w:r>
          </w:p>
        </w:tc>
        <w:tc>
          <w:tcPr>
            <w:tcW w:w="800"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1,4</w:t>
            </w:r>
          </w:p>
        </w:tc>
        <w:tc>
          <w:tcPr>
            <w:tcW w:w="892"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2,1</w:t>
            </w:r>
          </w:p>
        </w:tc>
        <w:tc>
          <w:tcPr>
            <w:tcW w:w="892"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13,9</w:t>
            </w:r>
          </w:p>
        </w:tc>
        <w:tc>
          <w:tcPr>
            <w:tcW w:w="892"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13,8</w:t>
            </w:r>
          </w:p>
        </w:tc>
        <w:tc>
          <w:tcPr>
            <w:tcW w:w="892"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3,9</w:t>
            </w:r>
          </w:p>
        </w:tc>
        <w:tc>
          <w:tcPr>
            <w:tcW w:w="892"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10,1</w:t>
            </w:r>
          </w:p>
        </w:tc>
        <w:tc>
          <w:tcPr>
            <w:tcW w:w="661"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0,0</w:t>
            </w:r>
          </w:p>
        </w:tc>
        <w:tc>
          <w:tcPr>
            <w:tcW w:w="800"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0,4</w:t>
            </w:r>
          </w:p>
        </w:tc>
        <w:tc>
          <w:tcPr>
            <w:tcW w:w="661"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0,1</w:t>
            </w:r>
          </w:p>
        </w:tc>
        <w:tc>
          <w:tcPr>
            <w:tcW w:w="800" w:type="dxa"/>
            <w:tcBorders>
              <w:bottom w:val="single" w:sz="12" w:space="0" w:color="auto"/>
            </w:tcBorders>
            <w:shd w:val="clear" w:color="auto" w:fill="C0C0C0"/>
            <w:vAlign w:val="bottom"/>
          </w:tcPr>
          <w:p w:rsidR="00000000" w:rsidRDefault="00000000">
            <w:pPr>
              <w:tabs>
                <w:tab w:val="decimal" w:pos="452"/>
              </w:tabs>
              <w:autoSpaceDE w:val="0"/>
              <w:autoSpaceDN w:val="0"/>
              <w:spacing w:before="40" w:line="170" w:lineRule="exact"/>
              <w:ind w:right="246"/>
              <w:rPr>
                <w:b/>
                <w:i/>
                <w:sz w:val="17"/>
                <w:lang w:eastAsia="de-DE"/>
              </w:rPr>
            </w:pPr>
            <w:r>
              <w:rPr>
                <w:b/>
                <w:i/>
                <w:sz w:val="17"/>
                <w:lang w:eastAsia="de-DE"/>
              </w:rPr>
              <w:t>0,5</w:t>
            </w:r>
          </w:p>
        </w:tc>
      </w:tr>
    </w:tbl>
    <w:p w:rsidR="00000000" w:rsidRDefault="00000000">
      <w:pPr>
        <w:keepNext/>
        <w:autoSpaceDE w:val="0"/>
        <w:autoSpaceDN w:val="0"/>
        <w:outlineLvl w:val="2"/>
        <w:rPr>
          <w:rFonts w:ascii="Verdana" w:hAnsi="Verdana"/>
          <w:b/>
          <w:sz w:val="22"/>
          <w:lang w:eastAsia="de-DE"/>
        </w:rPr>
      </w:pPr>
    </w:p>
    <w:p w:rsidR="00000000" w:rsidRDefault="00000000">
      <w:pPr>
        <w:pStyle w:val="SingleTxt"/>
        <w:pageBreakBefore/>
        <w:tabs>
          <w:tab w:val="clear" w:pos="1267"/>
        </w:tabs>
        <w:ind w:left="0"/>
        <w:rPr>
          <w:b/>
          <w:lang w:eastAsia="de-DE"/>
        </w:rPr>
      </w:pPr>
      <w:r>
        <w:rPr>
          <w:b/>
          <w:lang w:eastAsia="de-DE"/>
        </w:rPr>
        <w:t>Доля школ различных типов, доля учениц/студенток в разбивке по типам школ</w:t>
      </w:r>
    </w:p>
    <w:p w:rsidR="00000000" w:rsidRDefault="00000000">
      <w:pPr>
        <w:pStyle w:val="SingleTxt"/>
        <w:tabs>
          <w:tab w:val="clear" w:pos="1267"/>
        </w:tabs>
        <w:ind w:left="0"/>
        <w:rPr>
          <w:b/>
          <w:lang w:eastAsia="de-DE"/>
        </w:rPr>
      </w:pPr>
      <w:r>
        <w:rPr>
          <w:b/>
          <w:lang w:eastAsia="de-DE"/>
        </w:rPr>
        <w:t>Академический год 2002/03</w:t>
      </w:r>
    </w:p>
    <w:tbl>
      <w:tblPr>
        <w:tblW w:w="0" w:type="auto"/>
        <w:jc w:val="center"/>
        <w:tblLayout w:type="fixed"/>
        <w:tblCellMar>
          <w:left w:w="70" w:type="dxa"/>
          <w:right w:w="70" w:type="dxa"/>
        </w:tblCellMar>
        <w:tblLook w:val="0000" w:firstRow="0" w:lastRow="0" w:firstColumn="0" w:lastColumn="0" w:noHBand="0" w:noVBand="0"/>
      </w:tblPr>
      <w:tblGrid>
        <w:gridCol w:w="2211"/>
        <w:gridCol w:w="958"/>
        <w:gridCol w:w="764"/>
        <w:gridCol w:w="764"/>
        <w:gridCol w:w="764"/>
        <w:gridCol w:w="764"/>
        <w:gridCol w:w="764"/>
        <w:gridCol w:w="764"/>
        <w:gridCol w:w="764"/>
        <w:gridCol w:w="764"/>
        <w:gridCol w:w="764"/>
        <w:gridCol w:w="764"/>
        <w:gridCol w:w="764"/>
        <w:gridCol w:w="755"/>
      </w:tblGrid>
      <w:tr w:rsidR="00000000">
        <w:tblPrEx>
          <w:tblCellMar>
            <w:top w:w="0" w:type="dxa"/>
            <w:bottom w:w="0" w:type="dxa"/>
          </w:tblCellMar>
        </w:tblPrEx>
        <w:trPr>
          <w:cantSplit/>
          <w:trHeight w:val="1376"/>
          <w:jc w:val="center"/>
        </w:trPr>
        <w:tc>
          <w:tcPr>
            <w:tcW w:w="2211" w:type="dxa"/>
            <w:tcBorders>
              <w:top w:val="single" w:sz="6" w:space="0" w:color="auto"/>
              <w:bottom w:val="single" w:sz="12" w:space="0" w:color="auto"/>
            </w:tcBorders>
            <w:vAlign w:val="bottom"/>
          </w:tcPr>
          <w:p w:rsidR="00000000" w:rsidRDefault="00000000">
            <w:pPr>
              <w:pStyle w:val="Heading7"/>
              <w:autoSpaceDE w:val="0"/>
              <w:autoSpaceDN w:val="0"/>
              <w:spacing w:line="180" w:lineRule="exact"/>
              <w:rPr>
                <w:lang w:eastAsia="de-DE"/>
              </w:rPr>
            </w:pPr>
            <w:r>
              <w:rPr>
                <w:lang w:eastAsia="de-DE"/>
              </w:rPr>
              <w:t>Тип школы</w:t>
            </w:r>
          </w:p>
        </w:tc>
        <w:tc>
          <w:tcPr>
            <w:tcW w:w="958" w:type="dxa"/>
            <w:tcBorders>
              <w:top w:val="single" w:sz="6" w:space="0" w:color="auto"/>
              <w:bottom w:val="single" w:sz="12" w:space="0" w:color="auto"/>
            </w:tcBorders>
            <w:textDirection w:val="btLr"/>
            <w:vAlign w:val="center"/>
          </w:tcPr>
          <w:p w:rsidR="00000000" w:rsidRDefault="00000000">
            <w:pPr>
              <w:pStyle w:val="Heading5"/>
              <w:overflowPunct w:val="0"/>
              <w:autoSpaceDE w:val="0"/>
              <w:autoSpaceDN w:val="0"/>
              <w:adjustRightInd w:val="0"/>
              <w:spacing w:line="180" w:lineRule="exact"/>
              <w:textAlignment w:val="baseline"/>
              <w:rPr>
                <w:rFonts w:eastAsia="Times New Roman"/>
                <w:i/>
                <w:snapToGrid/>
                <w:lang w:eastAsia="de-DE"/>
              </w:rPr>
            </w:pPr>
            <w:r>
              <w:rPr>
                <w:rFonts w:eastAsia="Times New Roman"/>
                <w:i/>
                <w:snapToGrid/>
                <w:lang w:eastAsia="de-DE"/>
              </w:rPr>
              <w:t>Всего учениц/</w:t>
            </w:r>
            <w:r>
              <w:rPr>
                <w:rFonts w:eastAsia="Times New Roman"/>
                <w:i/>
                <w:snapToGrid/>
                <w:lang w:eastAsia="de-DE"/>
              </w:rPr>
              <w:br/>
              <w:t>студе</w:t>
            </w:r>
            <w:r>
              <w:rPr>
                <w:rFonts w:eastAsia="Times New Roman"/>
                <w:i/>
                <w:snapToGrid/>
                <w:lang w:eastAsia="de-DE"/>
              </w:rPr>
              <w:t>н</w:t>
            </w:r>
            <w:r>
              <w:rPr>
                <w:rFonts w:eastAsia="Times New Roman"/>
                <w:i/>
                <w:snapToGrid/>
                <w:lang w:eastAsia="de-DE"/>
              </w:rPr>
              <w:t>ток</w:t>
            </w:r>
          </w:p>
        </w:tc>
        <w:tc>
          <w:tcPr>
            <w:tcW w:w="764"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7"/>
                <w:lang w:eastAsia="de-DE"/>
              </w:rPr>
              <w:t>Начальные шк</w:t>
            </w:r>
            <w:r>
              <w:rPr>
                <w:i/>
                <w:sz w:val="17"/>
                <w:lang w:eastAsia="de-DE"/>
              </w:rPr>
              <w:t>о</w:t>
            </w:r>
            <w:r>
              <w:rPr>
                <w:i/>
                <w:sz w:val="17"/>
                <w:lang w:eastAsia="de-DE"/>
              </w:rPr>
              <w:t>лы</w:t>
            </w:r>
          </w:p>
        </w:tc>
        <w:tc>
          <w:tcPr>
            <w:tcW w:w="764"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7"/>
                <w:lang w:eastAsia="de-DE"/>
              </w:rPr>
              <w:t>Общеобразов</w:t>
            </w:r>
            <w:r>
              <w:rPr>
                <w:i/>
                <w:sz w:val="17"/>
                <w:lang w:eastAsia="de-DE"/>
              </w:rPr>
              <w:t>а</w:t>
            </w:r>
            <w:r>
              <w:rPr>
                <w:i/>
                <w:sz w:val="17"/>
                <w:lang w:eastAsia="de-DE"/>
              </w:rPr>
              <w:t>тельные и сре</w:t>
            </w:r>
            <w:r>
              <w:rPr>
                <w:i/>
                <w:sz w:val="17"/>
                <w:lang w:eastAsia="de-DE"/>
              </w:rPr>
              <w:t>д</w:t>
            </w:r>
            <w:r>
              <w:rPr>
                <w:i/>
                <w:sz w:val="17"/>
                <w:lang w:eastAsia="de-DE"/>
              </w:rPr>
              <w:t>ние школы</w:t>
            </w:r>
          </w:p>
        </w:tc>
        <w:tc>
          <w:tcPr>
            <w:tcW w:w="764"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7"/>
                <w:lang w:eastAsia="de-DE"/>
              </w:rPr>
              <w:t>Специальные школы</w:t>
            </w:r>
          </w:p>
        </w:tc>
        <w:tc>
          <w:tcPr>
            <w:tcW w:w="764"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7"/>
                <w:lang w:eastAsia="de-DE"/>
              </w:rPr>
              <w:t>Год до профе</w:t>
            </w:r>
            <w:r>
              <w:rPr>
                <w:i/>
                <w:sz w:val="17"/>
                <w:lang w:eastAsia="de-DE"/>
              </w:rPr>
              <w:t>с</w:t>
            </w:r>
            <w:r>
              <w:rPr>
                <w:i/>
                <w:sz w:val="17"/>
                <w:lang w:eastAsia="de-DE"/>
              </w:rPr>
              <w:t>сиональной по</w:t>
            </w:r>
            <w:r>
              <w:rPr>
                <w:i/>
                <w:sz w:val="17"/>
                <w:lang w:eastAsia="de-DE"/>
              </w:rPr>
              <w:t>д</w:t>
            </w:r>
            <w:r>
              <w:rPr>
                <w:i/>
                <w:sz w:val="17"/>
                <w:lang w:eastAsia="de-DE"/>
              </w:rPr>
              <w:t>готовки</w:t>
            </w:r>
          </w:p>
        </w:tc>
        <w:tc>
          <w:tcPr>
            <w:tcW w:w="764"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7"/>
                <w:lang w:eastAsia="de-DE"/>
              </w:rPr>
              <w:t>Специальные средние школы</w:t>
            </w:r>
          </w:p>
        </w:tc>
        <w:tc>
          <w:tcPr>
            <w:tcW w:w="764"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7"/>
                <w:lang w:eastAsia="de-DE"/>
              </w:rPr>
              <w:t>Профессионал</w:t>
            </w:r>
            <w:r>
              <w:rPr>
                <w:i/>
                <w:sz w:val="17"/>
                <w:lang w:eastAsia="de-DE"/>
              </w:rPr>
              <w:t>ь</w:t>
            </w:r>
            <w:r>
              <w:rPr>
                <w:i/>
                <w:sz w:val="17"/>
                <w:lang w:eastAsia="de-DE"/>
              </w:rPr>
              <w:t>но-технические учил</w:t>
            </w:r>
            <w:r>
              <w:rPr>
                <w:i/>
                <w:sz w:val="17"/>
                <w:lang w:eastAsia="de-DE"/>
              </w:rPr>
              <w:t>и</w:t>
            </w:r>
            <w:r>
              <w:rPr>
                <w:i/>
                <w:sz w:val="17"/>
                <w:lang w:eastAsia="de-DE"/>
              </w:rPr>
              <w:t>ща</w:t>
            </w:r>
          </w:p>
        </w:tc>
        <w:tc>
          <w:tcPr>
            <w:tcW w:w="764"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7"/>
                <w:lang w:eastAsia="de-DE"/>
              </w:rPr>
              <w:t>Нижние, средние профессионал</w:t>
            </w:r>
            <w:r>
              <w:rPr>
                <w:i/>
                <w:sz w:val="17"/>
                <w:lang w:eastAsia="de-DE"/>
              </w:rPr>
              <w:t>ь</w:t>
            </w:r>
            <w:r>
              <w:rPr>
                <w:i/>
                <w:sz w:val="17"/>
                <w:lang w:eastAsia="de-DE"/>
              </w:rPr>
              <w:t>но-технические учил</w:t>
            </w:r>
            <w:r>
              <w:rPr>
                <w:i/>
                <w:sz w:val="17"/>
                <w:lang w:eastAsia="de-DE"/>
              </w:rPr>
              <w:t>и</w:t>
            </w:r>
            <w:r>
              <w:rPr>
                <w:i/>
                <w:sz w:val="17"/>
                <w:lang w:eastAsia="de-DE"/>
              </w:rPr>
              <w:t>ща</w:t>
            </w:r>
          </w:p>
        </w:tc>
        <w:tc>
          <w:tcPr>
            <w:tcW w:w="764"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7"/>
                <w:lang w:eastAsia="de-DE"/>
              </w:rPr>
              <w:t>Высшие, средние профессионал</w:t>
            </w:r>
            <w:r>
              <w:rPr>
                <w:i/>
                <w:sz w:val="17"/>
                <w:lang w:eastAsia="de-DE"/>
              </w:rPr>
              <w:t>ь</w:t>
            </w:r>
            <w:r>
              <w:rPr>
                <w:i/>
                <w:sz w:val="17"/>
                <w:lang w:eastAsia="de-DE"/>
              </w:rPr>
              <w:t>но-технические учил</w:t>
            </w:r>
            <w:r>
              <w:rPr>
                <w:i/>
                <w:sz w:val="17"/>
                <w:lang w:eastAsia="de-DE"/>
              </w:rPr>
              <w:t>и</w:t>
            </w:r>
            <w:r>
              <w:rPr>
                <w:i/>
                <w:sz w:val="17"/>
                <w:lang w:eastAsia="de-DE"/>
              </w:rPr>
              <w:t>ща</w:t>
            </w:r>
          </w:p>
        </w:tc>
        <w:tc>
          <w:tcPr>
            <w:tcW w:w="764"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7"/>
                <w:lang w:eastAsia="de-DE"/>
              </w:rPr>
              <w:t>Профессионал</w:t>
            </w:r>
            <w:r>
              <w:rPr>
                <w:i/>
                <w:sz w:val="17"/>
                <w:lang w:eastAsia="de-DE"/>
              </w:rPr>
              <w:t>ь</w:t>
            </w:r>
            <w:r>
              <w:rPr>
                <w:i/>
                <w:sz w:val="17"/>
                <w:lang w:eastAsia="de-DE"/>
              </w:rPr>
              <w:t>но-технические учил</w:t>
            </w:r>
            <w:r>
              <w:rPr>
                <w:i/>
                <w:sz w:val="17"/>
                <w:lang w:eastAsia="de-DE"/>
              </w:rPr>
              <w:t>и</w:t>
            </w:r>
            <w:r>
              <w:rPr>
                <w:i/>
                <w:sz w:val="17"/>
                <w:lang w:eastAsia="de-DE"/>
              </w:rPr>
              <w:t>ща</w:t>
            </w:r>
          </w:p>
        </w:tc>
        <w:tc>
          <w:tcPr>
            <w:tcW w:w="764"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7"/>
                <w:lang w:eastAsia="de-DE"/>
              </w:rPr>
              <w:t>Промежуточные учебные завед</w:t>
            </w:r>
            <w:r>
              <w:rPr>
                <w:i/>
                <w:sz w:val="17"/>
                <w:lang w:eastAsia="de-DE"/>
              </w:rPr>
              <w:t>е</w:t>
            </w:r>
            <w:r>
              <w:rPr>
                <w:i/>
                <w:sz w:val="17"/>
                <w:lang w:eastAsia="de-DE"/>
              </w:rPr>
              <w:t>ния</w:t>
            </w:r>
          </w:p>
        </w:tc>
        <w:tc>
          <w:tcPr>
            <w:tcW w:w="764"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7"/>
                <w:lang w:eastAsia="de-DE"/>
              </w:rPr>
              <w:t>Высшие учебные з</w:t>
            </w:r>
            <w:r>
              <w:rPr>
                <w:i/>
                <w:sz w:val="17"/>
                <w:lang w:eastAsia="de-DE"/>
              </w:rPr>
              <w:t>а</w:t>
            </w:r>
            <w:r>
              <w:rPr>
                <w:i/>
                <w:sz w:val="17"/>
                <w:lang w:eastAsia="de-DE"/>
              </w:rPr>
              <w:t>ведения</w:t>
            </w:r>
          </w:p>
        </w:tc>
        <w:tc>
          <w:tcPr>
            <w:tcW w:w="755" w:type="dxa"/>
            <w:tcBorders>
              <w:top w:val="single" w:sz="6" w:space="0" w:color="auto"/>
              <w:bottom w:val="single" w:sz="12" w:space="0" w:color="auto"/>
            </w:tcBorders>
            <w:textDirection w:val="btLr"/>
            <w:vAlign w:val="center"/>
          </w:tcPr>
          <w:p w:rsidR="00000000" w:rsidRDefault="00000000">
            <w:pPr>
              <w:autoSpaceDE w:val="0"/>
              <w:autoSpaceDN w:val="0"/>
              <w:spacing w:line="180" w:lineRule="exact"/>
              <w:rPr>
                <w:i/>
                <w:sz w:val="17"/>
                <w:lang w:eastAsia="de-DE"/>
              </w:rPr>
            </w:pPr>
            <w:r>
              <w:rPr>
                <w:i/>
                <w:sz w:val="15"/>
                <w:lang w:eastAsia="de-DE"/>
              </w:rPr>
              <w:t>Педагогические училища и учебные з</w:t>
            </w:r>
            <w:r>
              <w:rPr>
                <w:i/>
                <w:sz w:val="15"/>
                <w:lang w:eastAsia="de-DE"/>
              </w:rPr>
              <w:t>а</w:t>
            </w:r>
            <w:r>
              <w:rPr>
                <w:i/>
                <w:sz w:val="15"/>
                <w:lang w:eastAsia="de-DE"/>
              </w:rPr>
              <w:t>ведения</w:t>
            </w:r>
          </w:p>
        </w:tc>
      </w:tr>
      <w:tr w:rsidR="00000000">
        <w:tblPrEx>
          <w:tblCellMar>
            <w:top w:w="0" w:type="dxa"/>
            <w:bottom w:w="0" w:type="dxa"/>
          </w:tblCellMar>
        </w:tblPrEx>
        <w:trPr>
          <w:jc w:val="center"/>
        </w:trPr>
        <w:tc>
          <w:tcPr>
            <w:tcW w:w="2211" w:type="dxa"/>
            <w:tcBorders>
              <w:top w:val="single" w:sz="12" w:space="0" w:color="auto"/>
            </w:tcBorders>
            <w:vAlign w:val="bottom"/>
          </w:tcPr>
          <w:p w:rsidR="00000000" w:rsidRDefault="00000000">
            <w:pPr>
              <w:pStyle w:val="Heading5"/>
              <w:tabs>
                <w:tab w:val="left" w:pos="278"/>
                <w:tab w:val="left" w:pos="845"/>
              </w:tabs>
              <w:autoSpaceDE w:val="0"/>
              <w:autoSpaceDN w:val="0"/>
              <w:spacing w:before="40" w:line="180" w:lineRule="exact"/>
              <w:rPr>
                <w:rFonts w:eastAsia="Times New Roman"/>
                <w:snapToGrid/>
                <w:lang w:eastAsia="de-DE"/>
              </w:rPr>
            </w:pPr>
            <w:r>
              <w:rPr>
                <w:rFonts w:eastAsia="Times New Roman"/>
                <w:snapToGrid/>
                <w:lang w:eastAsia="de-DE"/>
              </w:rPr>
              <w:t>Дошкольный период</w:t>
            </w:r>
          </w:p>
        </w:tc>
        <w:tc>
          <w:tcPr>
            <w:tcW w:w="958" w:type="dxa"/>
            <w:tcBorders>
              <w:top w:val="single" w:sz="12" w:space="0" w:color="auto"/>
            </w:tcBorders>
            <w:shd w:val="clear" w:color="auto" w:fill="C0C0C0"/>
            <w:vAlign w:val="bottom"/>
          </w:tcPr>
          <w:p w:rsidR="00000000" w:rsidRDefault="00000000">
            <w:pPr>
              <w:pStyle w:val="Footer"/>
              <w:tabs>
                <w:tab w:val="clear" w:pos="4320"/>
                <w:tab w:val="clear" w:pos="8640"/>
                <w:tab w:val="decimal" w:pos="475"/>
              </w:tabs>
              <w:autoSpaceDE w:val="0"/>
              <w:autoSpaceDN w:val="0"/>
              <w:spacing w:before="40" w:line="180" w:lineRule="exact"/>
              <w:rPr>
                <w:noProof w:val="0"/>
                <w:spacing w:val="4"/>
                <w:w w:val="103"/>
                <w:kern w:val="14"/>
                <w:lang w:eastAsia="de-DE"/>
              </w:rPr>
            </w:pPr>
            <w:r>
              <w:rPr>
                <w:noProof w:val="0"/>
                <w:spacing w:val="4"/>
                <w:w w:val="103"/>
                <w:kern w:val="14"/>
                <w:lang w:eastAsia="de-DE"/>
              </w:rPr>
              <w:t>2 724</w:t>
            </w:r>
          </w:p>
        </w:tc>
        <w:tc>
          <w:tcPr>
            <w:tcW w:w="764"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2 703</w:t>
            </w:r>
          </w:p>
        </w:tc>
        <w:tc>
          <w:tcPr>
            <w:tcW w:w="764"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21</w:t>
            </w:r>
          </w:p>
        </w:tc>
        <w:tc>
          <w:tcPr>
            <w:tcW w:w="764"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55" w:type="dxa"/>
            <w:tcBorders>
              <w:top w:val="single" w:sz="12" w:space="0" w:color="auto"/>
            </w:tcBorders>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845"/>
              </w:tabs>
              <w:autoSpaceDE w:val="0"/>
              <w:autoSpaceDN w:val="0"/>
              <w:spacing w:before="40" w:line="180" w:lineRule="exact"/>
              <w:rPr>
                <w:b/>
                <w:sz w:val="17"/>
                <w:lang w:eastAsia="de-DE"/>
              </w:rPr>
            </w:pPr>
            <w:r>
              <w:rPr>
                <w:b/>
                <w:sz w:val="17"/>
                <w:lang w:eastAsia="de-DE"/>
              </w:rPr>
              <w:t xml:space="preserve">Доля в </w:t>
            </w:r>
            <w:r>
              <w:rPr>
                <w:b/>
                <w:i/>
                <w:sz w:val="17"/>
                <w:lang w:eastAsia="de-DE"/>
              </w:rPr>
              <w:t>%</w:t>
            </w:r>
          </w:p>
        </w:tc>
        <w:tc>
          <w:tcPr>
            <w:tcW w:w="958" w:type="dxa"/>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100,0</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99,2</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0,8</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55"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845"/>
              </w:tabs>
              <w:autoSpaceDE w:val="0"/>
              <w:autoSpaceDN w:val="0"/>
              <w:spacing w:before="40" w:line="180" w:lineRule="exact"/>
              <w:rPr>
                <w:b/>
                <w:sz w:val="17"/>
                <w:lang w:eastAsia="de-DE"/>
              </w:rPr>
            </w:pPr>
            <w:r>
              <w:rPr>
                <w:b/>
                <w:sz w:val="17"/>
                <w:lang w:eastAsia="de-DE"/>
              </w:rPr>
              <w:t>1</w:t>
            </w:r>
            <w:r>
              <w:rPr>
                <w:b/>
                <w:sz w:val="17"/>
                <w:vertAlign w:val="superscript"/>
                <w:lang w:eastAsia="de-DE"/>
              </w:rPr>
              <w:t>ЫЙ</w:t>
            </w:r>
            <w:r>
              <w:rPr>
                <w:b/>
                <w:sz w:val="17"/>
                <w:lang w:eastAsia="de-DE"/>
              </w:rPr>
              <w:t> – 4</w:t>
            </w:r>
            <w:r>
              <w:rPr>
                <w:b/>
                <w:sz w:val="17"/>
                <w:vertAlign w:val="superscript"/>
                <w:lang w:eastAsia="de-DE"/>
              </w:rPr>
              <w:t>ЫЙ</w:t>
            </w:r>
            <w:r>
              <w:rPr>
                <w:b/>
                <w:sz w:val="17"/>
                <w:lang w:eastAsia="de-DE"/>
              </w:rPr>
              <w:t xml:space="preserve"> класс</w:t>
            </w:r>
          </w:p>
        </w:tc>
        <w:tc>
          <w:tcPr>
            <w:tcW w:w="958"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183 702</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182 092</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1 610</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55"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845"/>
              </w:tabs>
              <w:autoSpaceDE w:val="0"/>
              <w:autoSpaceDN w:val="0"/>
              <w:spacing w:before="40" w:line="180" w:lineRule="exact"/>
              <w:rPr>
                <w:b/>
                <w:sz w:val="17"/>
                <w:lang w:eastAsia="de-DE"/>
              </w:rPr>
            </w:pPr>
            <w:r>
              <w:rPr>
                <w:b/>
                <w:sz w:val="17"/>
                <w:lang w:eastAsia="de-DE"/>
              </w:rPr>
              <w:t xml:space="preserve">Доля в </w:t>
            </w:r>
            <w:r>
              <w:rPr>
                <w:b/>
                <w:i/>
                <w:sz w:val="17"/>
                <w:lang w:eastAsia="de-DE"/>
              </w:rPr>
              <w:t>%</w:t>
            </w:r>
          </w:p>
        </w:tc>
        <w:tc>
          <w:tcPr>
            <w:tcW w:w="958" w:type="dxa"/>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100,0</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99,1</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0,9</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55"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t>1</w:t>
            </w:r>
            <w:r>
              <w:rPr>
                <w:sz w:val="17"/>
                <w:vertAlign w:val="superscript"/>
                <w:lang w:eastAsia="de-DE"/>
              </w:rPr>
              <w:t>ый</w:t>
            </w:r>
            <w:r>
              <w:rPr>
                <w:sz w:val="17"/>
                <w:lang w:eastAsia="de-DE"/>
              </w:rPr>
              <w:t xml:space="preserve"> класс</w:t>
            </w:r>
          </w:p>
        </w:tc>
        <w:tc>
          <w:tcPr>
            <w:tcW w:w="958" w:type="dxa"/>
            <w:shd w:val="clear" w:color="auto" w:fill="C0C0C0"/>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45 219</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44 900</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319</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55"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58" w:type="dxa"/>
            <w:shd w:val="clear" w:color="auto" w:fill="C0C0C0"/>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100,0</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99,3</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0,7</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55"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t>4</w:t>
            </w:r>
            <w:r>
              <w:rPr>
                <w:sz w:val="17"/>
                <w:vertAlign w:val="superscript"/>
                <w:lang w:eastAsia="de-DE"/>
              </w:rPr>
              <w:t>ый</w:t>
            </w:r>
            <w:r>
              <w:rPr>
                <w:sz w:val="17"/>
                <w:lang w:eastAsia="de-DE"/>
              </w:rPr>
              <w:t xml:space="preserve"> класс</w:t>
            </w:r>
          </w:p>
        </w:tc>
        <w:tc>
          <w:tcPr>
            <w:tcW w:w="958" w:type="dxa"/>
            <w:shd w:val="clear" w:color="auto" w:fill="C0C0C0"/>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47 323</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46 796</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527</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55"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58" w:type="dxa"/>
            <w:shd w:val="clear" w:color="auto" w:fill="C0C0C0"/>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100,0</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98,9</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1,1</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55"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b/>
                <w:sz w:val="17"/>
                <w:lang w:eastAsia="de-DE"/>
              </w:rPr>
            </w:pPr>
            <w:r>
              <w:rPr>
                <w:b/>
                <w:sz w:val="17"/>
                <w:lang w:eastAsia="de-DE"/>
              </w:rPr>
              <w:t>5</w:t>
            </w:r>
            <w:r>
              <w:rPr>
                <w:b/>
                <w:sz w:val="17"/>
                <w:vertAlign w:val="superscript"/>
                <w:lang w:eastAsia="de-DE"/>
              </w:rPr>
              <w:t>ый</w:t>
            </w:r>
            <w:r>
              <w:rPr>
                <w:b/>
                <w:sz w:val="17"/>
                <w:lang w:eastAsia="de-DE"/>
              </w:rPr>
              <w:t> – 8</w:t>
            </w:r>
            <w:r>
              <w:rPr>
                <w:b/>
                <w:sz w:val="17"/>
                <w:vertAlign w:val="superscript"/>
                <w:lang w:eastAsia="de-DE"/>
              </w:rPr>
              <w:t>ой</w:t>
            </w:r>
            <w:r>
              <w:rPr>
                <w:b/>
                <w:sz w:val="17"/>
                <w:lang w:eastAsia="de-DE"/>
              </w:rPr>
              <w:t xml:space="preserve"> класс</w:t>
            </w:r>
          </w:p>
        </w:tc>
        <w:tc>
          <w:tcPr>
            <w:tcW w:w="958"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188,664</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38</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127 206</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2 694</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58 648</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78</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55"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b/>
                <w:sz w:val="17"/>
                <w:lang w:eastAsia="de-DE"/>
              </w:rPr>
            </w:pPr>
            <w:r>
              <w:rPr>
                <w:b/>
                <w:sz w:val="17"/>
                <w:lang w:eastAsia="de-DE"/>
              </w:rPr>
              <w:t xml:space="preserve">Доля в </w:t>
            </w:r>
            <w:r>
              <w:rPr>
                <w:b/>
                <w:i/>
                <w:sz w:val="17"/>
                <w:lang w:eastAsia="de-DE"/>
              </w:rPr>
              <w:t>%</w:t>
            </w:r>
          </w:p>
        </w:tc>
        <w:tc>
          <w:tcPr>
            <w:tcW w:w="958" w:type="dxa"/>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100,0</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0,0</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67,4</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1,4</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31,1</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0,0</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55"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t>5</w:t>
            </w:r>
            <w:r>
              <w:rPr>
                <w:sz w:val="17"/>
                <w:vertAlign w:val="superscript"/>
                <w:lang w:eastAsia="de-DE"/>
              </w:rPr>
              <w:t>ый</w:t>
            </w:r>
            <w:r>
              <w:rPr>
                <w:sz w:val="17"/>
                <w:lang w:eastAsia="de-DE"/>
              </w:rPr>
              <w:t xml:space="preserve"> класс</w:t>
            </w:r>
          </w:p>
        </w:tc>
        <w:tc>
          <w:tcPr>
            <w:tcW w:w="958" w:type="dxa"/>
            <w:shd w:val="clear" w:color="auto" w:fill="C0C0C0"/>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47 299</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8</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31 363</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562</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15 366</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55"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58" w:type="dxa"/>
            <w:shd w:val="clear" w:color="auto" w:fill="C0C0C0"/>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100,0</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0,0</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66,3</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1,2</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32,5</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55"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t>8</w:t>
            </w:r>
            <w:r>
              <w:rPr>
                <w:sz w:val="17"/>
                <w:vertAlign w:val="superscript"/>
                <w:lang w:eastAsia="de-DE"/>
              </w:rPr>
              <w:t>ой</w:t>
            </w:r>
            <w:r>
              <w:rPr>
                <w:sz w:val="17"/>
                <w:lang w:eastAsia="de-DE"/>
              </w:rPr>
              <w:t xml:space="preserve"> класс</w:t>
            </w:r>
          </w:p>
        </w:tc>
        <w:tc>
          <w:tcPr>
            <w:tcW w:w="958" w:type="dxa"/>
            <w:shd w:val="clear" w:color="auto" w:fill="C0C0C0"/>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47 119</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13</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32 335</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762</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13 931</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78</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55"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58" w:type="dxa"/>
            <w:shd w:val="clear" w:color="auto" w:fill="C0C0C0"/>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100,0</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0,0</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68,6</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1,6</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29,6</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0,2</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55"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b/>
                <w:sz w:val="17"/>
                <w:lang w:eastAsia="de-DE"/>
              </w:rPr>
            </w:pPr>
            <w:r>
              <w:rPr>
                <w:b/>
                <w:sz w:val="17"/>
                <w:lang w:eastAsia="de-DE"/>
              </w:rPr>
              <w:t>Начиная с 9</w:t>
            </w:r>
            <w:r>
              <w:rPr>
                <w:b/>
                <w:sz w:val="17"/>
                <w:vertAlign w:val="superscript"/>
                <w:lang w:eastAsia="de-DE"/>
              </w:rPr>
              <w:t>го</w:t>
            </w:r>
            <w:r>
              <w:rPr>
                <w:b/>
                <w:sz w:val="17"/>
                <w:lang w:eastAsia="de-DE"/>
              </w:rPr>
              <w:t xml:space="preserve"> класса</w:t>
            </w:r>
          </w:p>
        </w:tc>
        <w:tc>
          <w:tcPr>
            <w:tcW w:w="958"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207 872</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536</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7 245</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44 020</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43 885</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26 276</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64 815</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641</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1 094</w:t>
            </w:r>
          </w:p>
        </w:tc>
        <w:tc>
          <w:tcPr>
            <w:tcW w:w="764"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8 580</w:t>
            </w:r>
          </w:p>
        </w:tc>
        <w:tc>
          <w:tcPr>
            <w:tcW w:w="755" w:type="dxa"/>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10 780</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b/>
                <w:sz w:val="17"/>
                <w:lang w:eastAsia="de-DE"/>
              </w:rPr>
            </w:pPr>
            <w:r>
              <w:rPr>
                <w:b/>
                <w:sz w:val="17"/>
                <w:lang w:eastAsia="de-DE"/>
              </w:rPr>
              <w:t xml:space="preserve">Доля в </w:t>
            </w:r>
            <w:r>
              <w:rPr>
                <w:b/>
                <w:i/>
                <w:sz w:val="17"/>
                <w:lang w:eastAsia="de-DE"/>
              </w:rPr>
              <w:t>%</w:t>
            </w:r>
          </w:p>
        </w:tc>
        <w:tc>
          <w:tcPr>
            <w:tcW w:w="958" w:type="dxa"/>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100,0</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0,3</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3,5</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21,2</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21,1</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12,6</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31,2</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0,3</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0,5</w:t>
            </w:r>
          </w:p>
        </w:tc>
        <w:tc>
          <w:tcPr>
            <w:tcW w:w="764"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4,1</w:t>
            </w:r>
          </w:p>
        </w:tc>
        <w:tc>
          <w:tcPr>
            <w:tcW w:w="755" w:type="dxa"/>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5,2</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t>9</w:t>
            </w:r>
            <w:r>
              <w:rPr>
                <w:sz w:val="17"/>
                <w:vertAlign w:val="superscript"/>
                <w:lang w:eastAsia="de-DE"/>
              </w:rPr>
              <w:t>ый</w:t>
            </w:r>
            <w:r>
              <w:rPr>
                <w:sz w:val="17"/>
                <w:lang w:eastAsia="de-DE"/>
              </w:rPr>
              <w:t xml:space="preserve"> класс</w:t>
            </w:r>
          </w:p>
        </w:tc>
        <w:tc>
          <w:tcPr>
            <w:tcW w:w="958" w:type="dxa"/>
            <w:shd w:val="clear" w:color="auto" w:fill="C0C0C0"/>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49 191</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536</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7 245</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12 442</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11 935</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15 338</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1 695</w:t>
            </w:r>
          </w:p>
        </w:tc>
        <w:tc>
          <w:tcPr>
            <w:tcW w:w="755"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58" w:type="dxa"/>
            <w:shd w:val="clear" w:color="auto" w:fill="C0C0C0"/>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100,0</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1,1</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14,7</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25,3</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24,3</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31,2</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3,4</w:t>
            </w:r>
          </w:p>
        </w:tc>
        <w:tc>
          <w:tcPr>
            <w:tcW w:w="755"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t>10</w:t>
            </w:r>
            <w:r>
              <w:rPr>
                <w:sz w:val="17"/>
                <w:vertAlign w:val="superscript"/>
                <w:lang w:eastAsia="de-DE"/>
              </w:rPr>
              <w:t>ый</w:t>
            </w:r>
            <w:r>
              <w:rPr>
                <w:sz w:val="17"/>
                <w:lang w:eastAsia="de-DE"/>
              </w:rPr>
              <w:t xml:space="preserve"> класс</w:t>
            </w:r>
          </w:p>
        </w:tc>
        <w:tc>
          <w:tcPr>
            <w:tcW w:w="958" w:type="dxa"/>
            <w:shd w:val="clear" w:color="auto" w:fill="C0C0C0"/>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48 649</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10 791</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14 266</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7 590</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13 342</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1 004</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1 567</w:t>
            </w:r>
          </w:p>
        </w:tc>
        <w:tc>
          <w:tcPr>
            <w:tcW w:w="755"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89</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t xml:space="preserve">Доля в </w:t>
            </w:r>
            <w:r>
              <w:rPr>
                <w:i/>
                <w:sz w:val="17"/>
                <w:lang w:eastAsia="de-DE"/>
              </w:rPr>
              <w:t>%</w:t>
            </w:r>
          </w:p>
        </w:tc>
        <w:tc>
          <w:tcPr>
            <w:tcW w:w="958" w:type="dxa"/>
            <w:shd w:val="clear" w:color="auto" w:fill="C0C0C0"/>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100,0</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22,2</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29,3</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15,6</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27,4</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2,1</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3,2</w:t>
            </w:r>
          </w:p>
        </w:tc>
        <w:tc>
          <w:tcPr>
            <w:tcW w:w="755"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0,2</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t>12</w:t>
            </w:r>
            <w:r>
              <w:rPr>
                <w:sz w:val="17"/>
                <w:vertAlign w:val="superscript"/>
                <w:lang w:eastAsia="de-DE"/>
              </w:rPr>
              <w:t>ый</w:t>
            </w:r>
            <w:r>
              <w:rPr>
                <w:sz w:val="17"/>
                <w:lang w:eastAsia="de-DE"/>
              </w:rPr>
              <w:t xml:space="preserve"> класс</w:t>
            </w:r>
          </w:p>
        </w:tc>
        <w:tc>
          <w:tcPr>
            <w:tcW w:w="958" w:type="dxa"/>
            <w:shd w:val="clear" w:color="auto" w:fill="C0C0C0"/>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37 102</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9 870</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13 956</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413</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11 290</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37</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w:t>
            </w:r>
          </w:p>
        </w:tc>
        <w:tc>
          <w:tcPr>
            <w:tcW w:w="764"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1 439</w:t>
            </w:r>
          </w:p>
        </w:tc>
        <w:tc>
          <w:tcPr>
            <w:tcW w:w="755" w:type="dxa"/>
            <w:vAlign w:val="bottom"/>
          </w:tcPr>
          <w:p w:rsidR="00000000" w:rsidRDefault="00000000">
            <w:pPr>
              <w:tabs>
                <w:tab w:val="decimal" w:pos="475"/>
              </w:tabs>
              <w:autoSpaceDE w:val="0"/>
              <w:autoSpaceDN w:val="0"/>
              <w:spacing w:before="40" w:line="180" w:lineRule="exact"/>
              <w:rPr>
                <w:sz w:val="17"/>
                <w:lang w:eastAsia="de-DE"/>
              </w:rPr>
            </w:pPr>
            <w:r>
              <w:rPr>
                <w:sz w:val="17"/>
                <w:lang w:eastAsia="de-DE"/>
              </w:rPr>
              <w:t>97</w:t>
            </w:r>
          </w:p>
        </w:tc>
      </w:tr>
      <w:tr w:rsidR="00000000">
        <w:tblPrEx>
          <w:tblCellMar>
            <w:top w:w="0" w:type="dxa"/>
            <w:bottom w:w="0" w:type="dxa"/>
          </w:tblCellMar>
        </w:tblPrEx>
        <w:trPr>
          <w:jc w:val="center"/>
        </w:trPr>
        <w:tc>
          <w:tcPr>
            <w:tcW w:w="2211" w:type="dxa"/>
            <w:vAlign w:val="bottom"/>
          </w:tcPr>
          <w:p w:rsidR="00000000" w:rsidRDefault="00000000">
            <w:pPr>
              <w:tabs>
                <w:tab w:val="left" w:pos="278"/>
                <w:tab w:val="left" w:pos="709"/>
                <w:tab w:val="left" w:pos="845"/>
                <w:tab w:val="left" w:pos="1276"/>
              </w:tabs>
              <w:autoSpaceDE w:val="0"/>
              <w:autoSpaceDN w:val="0"/>
              <w:spacing w:before="40" w:line="180" w:lineRule="exact"/>
              <w:rPr>
                <w:sz w:val="17"/>
                <w:lang w:eastAsia="de-DE"/>
              </w:rPr>
            </w:pPr>
            <w:r>
              <w:rPr>
                <w:sz w:val="17"/>
                <w:lang w:eastAsia="de-DE"/>
              </w:rPr>
              <w:tab/>
            </w:r>
            <w:r>
              <w:rPr>
                <w:sz w:val="17"/>
                <w:lang w:eastAsia="de-DE"/>
              </w:rPr>
              <w:tab/>
              <w:t xml:space="preserve">Доля в </w:t>
            </w:r>
            <w:r>
              <w:rPr>
                <w:i/>
                <w:sz w:val="17"/>
                <w:lang w:eastAsia="de-DE"/>
              </w:rPr>
              <w:t>%</w:t>
            </w:r>
          </w:p>
        </w:tc>
        <w:tc>
          <w:tcPr>
            <w:tcW w:w="958" w:type="dxa"/>
            <w:shd w:val="clear" w:color="auto" w:fill="C0C0C0"/>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100,0</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26,6</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37,6</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1,1</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30,4</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0,1</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w:t>
            </w:r>
          </w:p>
        </w:tc>
        <w:tc>
          <w:tcPr>
            <w:tcW w:w="764"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3,9</w:t>
            </w:r>
          </w:p>
        </w:tc>
        <w:tc>
          <w:tcPr>
            <w:tcW w:w="755" w:type="dxa"/>
            <w:vAlign w:val="bottom"/>
          </w:tcPr>
          <w:p w:rsidR="00000000" w:rsidRDefault="00000000">
            <w:pPr>
              <w:tabs>
                <w:tab w:val="decimal" w:pos="475"/>
              </w:tabs>
              <w:autoSpaceDE w:val="0"/>
              <w:autoSpaceDN w:val="0"/>
              <w:spacing w:before="40" w:line="180" w:lineRule="exact"/>
              <w:rPr>
                <w:i/>
                <w:sz w:val="17"/>
                <w:lang w:eastAsia="de-DE"/>
              </w:rPr>
            </w:pPr>
            <w:r>
              <w:rPr>
                <w:i/>
                <w:sz w:val="17"/>
                <w:lang w:eastAsia="de-DE"/>
              </w:rPr>
              <w:t>0,3</w:t>
            </w:r>
          </w:p>
        </w:tc>
      </w:tr>
      <w:tr w:rsidR="00000000">
        <w:tblPrEx>
          <w:tblCellMar>
            <w:top w:w="0" w:type="dxa"/>
            <w:bottom w:w="0" w:type="dxa"/>
          </w:tblCellMar>
        </w:tblPrEx>
        <w:trPr>
          <w:jc w:val="center"/>
        </w:trPr>
        <w:tc>
          <w:tcPr>
            <w:tcW w:w="2211" w:type="dxa"/>
            <w:shd w:val="clear" w:color="auto" w:fill="C0C0C0"/>
            <w:vAlign w:val="bottom"/>
          </w:tcPr>
          <w:p w:rsidR="00000000" w:rsidRDefault="00000000">
            <w:pPr>
              <w:autoSpaceDE w:val="0"/>
              <w:autoSpaceDN w:val="0"/>
              <w:spacing w:before="40" w:line="180" w:lineRule="exact"/>
              <w:rPr>
                <w:b/>
                <w:sz w:val="17"/>
                <w:lang w:eastAsia="de-DE"/>
              </w:rPr>
            </w:pPr>
            <w:r>
              <w:rPr>
                <w:b/>
                <w:sz w:val="17"/>
                <w:lang w:eastAsia="de-DE"/>
              </w:rPr>
              <w:t>Всего</w:t>
            </w:r>
          </w:p>
        </w:tc>
        <w:tc>
          <w:tcPr>
            <w:tcW w:w="958"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582 962</w:t>
            </w:r>
          </w:p>
        </w:tc>
        <w:tc>
          <w:tcPr>
            <w:tcW w:w="764"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184 833</w:t>
            </w:r>
          </w:p>
        </w:tc>
        <w:tc>
          <w:tcPr>
            <w:tcW w:w="764"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127 206</w:t>
            </w:r>
          </w:p>
        </w:tc>
        <w:tc>
          <w:tcPr>
            <w:tcW w:w="764"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4 861</w:t>
            </w:r>
          </w:p>
        </w:tc>
        <w:tc>
          <w:tcPr>
            <w:tcW w:w="764"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7 245</w:t>
            </w:r>
          </w:p>
        </w:tc>
        <w:tc>
          <w:tcPr>
            <w:tcW w:w="764"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102 668</w:t>
            </w:r>
          </w:p>
        </w:tc>
        <w:tc>
          <w:tcPr>
            <w:tcW w:w="764"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43 885</w:t>
            </w:r>
          </w:p>
        </w:tc>
        <w:tc>
          <w:tcPr>
            <w:tcW w:w="764"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26 354</w:t>
            </w:r>
          </w:p>
        </w:tc>
        <w:tc>
          <w:tcPr>
            <w:tcW w:w="764"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64 815</w:t>
            </w:r>
          </w:p>
        </w:tc>
        <w:tc>
          <w:tcPr>
            <w:tcW w:w="764"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641</w:t>
            </w:r>
          </w:p>
        </w:tc>
        <w:tc>
          <w:tcPr>
            <w:tcW w:w="764"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1 094</w:t>
            </w:r>
          </w:p>
        </w:tc>
        <w:tc>
          <w:tcPr>
            <w:tcW w:w="764"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8 580</w:t>
            </w:r>
          </w:p>
        </w:tc>
        <w:tc>
          <w:tcPr>
            <w:tcW w:w="755" w:type="dxa"/>
            <w:shd w:val="clear" w:color="auto" w:fill="C0C0C0"/>
            <w:vAlign w:val="bottom"/>
          </w:tcPr>
          <w:p w:rsidR="00000000" w:rsidRDefault="00000000">
            <w:pPr>
              <w:tabs>
                <w:tab w:val="decimal" w:pos="475"/>
              </w:tabs>
              <w:autoSpaceDE w:val="0"/>
              <w:autoSpaceDN w:val="0"/>
              <w:spacing w:before="40" w:line="180" w:lineRule="exact"/>
              <w:rPr>
                <w:b/>
                <w:sz w:val="17"/>
                <w:lang w:eastAsia="de-DE"/>
              </w:rPr>
            </w:pPr>
            <w:r>
              <w:rPr>
                <w:b/>
                <w:sz w:val="17"/>
                <w:lang w:eastAsia="de-DE"/>
              </w:rPr>
              <w:t>10 780</w:t>
            </w:r>
          </w:p>
        </w:tc>
      </w:tr>
      <w:tr w:rsidR="00000000">
        <w:tblPrEx>
          <w:tblCellMar>
            <w:top w:w="0" w:type="dxa"/>
            <w:bottom w:w="0" w:type="dxa"/>
          </w:tblCellMar>
        </w:tblPrEx>
        <w:trPr>
          <w:jc w:val="center"/>
        </w:trPr>
        <w:tc>
          <w:tcPr>
            <w:tcW w:w="2211" w:type="dxa"/>
            <w:tcBorders>
              <w:bottom w:val="single" w:sz="12" w:space="0" w:color="auto"/>
            </w:tcBorders>
            <w:shd w:val="clear" w:color="auto" w:fill="C0C0C0"/>
            <w:vAlign w:val="bottom"/>
          </w:tcPr>
          <w:p w:rsidR="00000000" w:rsidRDefault="00000000">
            <w:pPr>
              <w:autoSpaceDE w:val="0"/>
              <w:autoSpaceDN w:val="0"/>
              <w:spacing w:before="40" w:line="180" w:lineRule="exact"/>
              <w:rPr>
                <w:b/>
                <w:sz w:val="17"/>
                <w:lang w:eastAsia="de-DE"/>
              </w:rPr>
            </w:pPr>
            <w:r>
              <w:rPr>
                <w:b/>
                <w:sz w:val="17"/>
                <w:lang w:eastAsia="de-DE"/>
              </w:rPr>
              <w:t xml:space="preserve">Доля в </w:t>
            </w:r>
            <w:r>
              <w:rPr>
                <w:b/>
                <w:i/>
                <w:sz w:val="17"/>
                <w:lang w:eastAsia="de-DE"/>
              </w:rPr>
              <w:t>%</w:t>
            </w:r>
          </w:p>
        </w:tc>
        <w:tc>
          <w:tcPr>
            <w:tcW w:w="958"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100,0</w:t>
            </w:r>
          </w:p>
        </w:tc>
        <w:tc>
          <w:tcPr>
            <w:tcW w:w="764"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31,7</w:t>
            </w:r>
          </w:p>
        </w:tc>
        <w:tc>
          <w:tcPr>
            <w:tcW w:w="764"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21,8</w:t>
            </w:r>
          </w:p>
        </w:tc>
        <w:tc>
          <w:tcPr>
            <w:tcW w:w="764"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0,8</w:t>
            </w:r>
          </w:p>
        </w:tc>
        <w:tc>
          <w:tcPr>
            <w:tcW w:w="764"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1,2</w:t>
            </w:r>
          </w:p>
        </w:tc>
        <w:tc>
          <w:tcPr>
            <w:tcW w:w="764"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17,6</w:t>
            </w:r>
          </w:p>
        </w:tc>
        <w:tc>
          <w:tcPr>
            <w:tcW w:w="764"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7,5</w:t>
            </w:r>
          </w:p>
        </w:tc>
        <w:tc>
          <w:tcPr>
            <w:tcW w:w="764"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4,5</w:t>
            </w:r>
          </w:p>
        </w:tc>
        <w:tc>
          <w:tcPr>
            <w:tcW w:w="764"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11,1</w:t>
            </w:r>
          </w:p>
        </w:tc>
        <w:tc>
          <w:tcPr>
            <w:tcW w:w="764"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0,1</w:t>
            </w:r>
          </w:p>
        </w:tc>
        <w:tc>
          <w:tcPr>
            <w:tcW w:w="764"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0,2</w:t>
            </w:r>
          </w:p>
        </w:tc>
        <w:tc>
          <w:tcPr>
            <w:tcW w:w="764"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1,5</w:t>
            </w:r>
          </w:p>
        </w:tc>
        <w:tc>
          <w:tcPr>
            <w:tcW w:w="755" w:type="dxa"/>
            <w:tcBorders>
              <w:bottom w:val="single" w:sz="12" w:space="0" w:color="auto"/>
            </w:tcBorders>
            <w:shd w:val="clear" w:color="auto" w:fill="C0C0C0"/>
            <w:vAlign w:val="bottom"/>
          </w:tcPr>
          <w:p w:rsidR="00000000" w:rsidRDefault="00000000">
            <w:pPr>
              <w:tabs>
                <w:tab w:val="decimal" w:pos="475"/>
              </w:tabs>
              <w:autoSpaceDE w:val="0"/>
              <w:autoSpaceDN w:val="0"/>
              <w:spacing w:before="40" w:line="180" w:lineRule="exact"/>
              <w:rPr>
                <w:b/>
                <w:i/>
                <w:sz w:val="17"/>
                <w:lang w:eastAsia="de-DE"/>
              </w:rPr>
            </w:pPr>
            <w:r>
              <w:rPr>
                <w:b/>
                <w:i/>
                <w:sz w:val="17"/>
                <w:lang w:eastAsia="de-DE"/>
              </w:rPr>
              <w:t>1,8</w:t>
            </w:r>
          </w:p>
        </w:tc>
      </w:tr>
    </w:tbl>
    <w:p w:rsidR="00000000" w:rsidRDefault="00000000">
      <w:pPr>
        <w:pStyle w:val="SingleTxt"/>
        <w:tabs>
          <w:tab w:val="clear" w:pos="1267"/>
        </w:tabs>
        <w:ind w:left="0" w:right="60"/>
        <w:jc w:val="left"/>
        <w:rPr>
          <w:b/>
        </w:rPr>
      </w:pPr>
      <w:r>
        <w:br w:type="page"/>
      </w:r>
      <w:r>
        <w:rPr>
          <w:b/>
          <w:lang w:eastAsia="de-DE"/>
        </w:rPr>
        <w:t>Учащихся выпускных классов профессионально-технических училищ и низших средних профессионально-технических училищ в разбивке по видам училищ и по полу, выпускные классы 1990, 2000 и 2003 годов</w:t>
      </w:r>
      <w:r>
        <w:rPr>
          <w:b/>
          <w:vertAlign w:val="superscript"/>
          <w:lang w:eastAsia="de-DE"/>
        </w:rPr>
        <w:t>1</w:t>
      </w:r>
    </w:p>
    <w:tbl>
      <w:tblPr>
        <w:tblW w:w="0" w:type="auto"/>
        <w:jc w:val="center"/>
        <w:tblLayout w:type="fixed"/>
        <w:tblCellMar>
          <w:left w:w="70" w:type="dxa"/>
          <w:right w:w="70" w:type="dxa"/>
        </w:tblCellMar>
        <w:tblLook w:val="0000" w:firstRow="0" w:lastRow="0" w:firstColumn="0" w:lastColumn="0" w:noHBand="0" w:noVBand="0"/>
      </w:tblPr>
      <w:tblGrid>
        <w:gridCol w:w="5615"/>
        <w:gridCol w:w="1276"/>
        <w:gridCol w:w="1414"/>
        <w:gridCol w:w="1345"/>
        <w:gridCol w:w="1345"/>
        <w:gridCol w:w="1345"/>
      </w:tblGrid>
      <w:tr w:rsidR="00000000">
        <w:tblPrEx>
          <w:tblCellMar>
            <w:top w:w="0" w:type="dxa"/>
            <w:bottom w:w="0" w:type="dxa"/>
          </w:tblCellMar>
        </w:tblPrEx>
        <w:trPr>
          <w:cantSplit/>
          <w:jc w:val="center"/>
        </w:trPr>
        <w:tc>
          <w:tcPr>
            <w:tcW w:w="5615" w:type="dxa"/>
            <w:vMerge w:val="restart"/>
            <w:tcBorders>
              <w:top w:val="single" w:sz="4" w:space="0" w:color="auto"/>
            </w:tcBorders>
            <w:vAlign w:val="bottom"/>
          </w:tcPr>
          <w:p w:rsidR="00000000" w:rsidRDefault="00000000">
            <w:pPr>
              <w:autoSpaceDE w:val="0"/>
              <w:autoSpaceDN w:val="0"/>
              <w:jc w:val="center"/>
              <w:rPr>
                <w:i/>
                <w:sz w:val="17"/>
                <w:lang w:eastAsia="de-DE"/>
              </w:rPr>
            </w:pPr>
            <w:r>
              <w:rPr>
                <w:i/>
                <w:sz w:val="17"/>
                <w:lang w:eastAsia="de-DE"/>
              </w:rPr>
              <w:t>Тип училища</w:t>
            </w:r>
          </w:p>
        </w:tc>
        <w:tc>
          <w:tcPr>
            <w:tcW w:w="1276" w:type="dxa"/>
            <w:tcBorders>
              <w:top w:val="single" w:sz="4" w:space="0" w:color="auto"/>
            </w:tcBorders>
            <w:vAlign w:val="bottom"/>
          </w:tcPr>
          <w:p w:rsidR="00000000" w:rsidRDefault="00000000">
            <w:pPr>
              <w:autoSpaceDE w:val="0"/>
              <w:autoSpaceDN w:val="0"/>
              <w:jc w:val="center"/>
              <w:rPr>
                <w:i/>
                <w:sz w:val="17"/>
                <w:lang w:eastAsia="de-DE"/>
              </w:rPr>
            </w:pPr>
          </w:p>
        </w:tc>
        <w:tc>
          <w:tcPr>
            <w:tcW w:w="5449" w:type="dxa"/>
            <w:gridSpan w:val="4"/>
            <w:tcBorders>
              <w:top w:val="single" w:sz="4" w:space="0" w:color="auto"/>
              <w:bottom w:val="single" w:sz="4" w:space="0" w:color="auto"/>
            </w:tcBorders>
            <w:vAlign w:val="bottom"/>
          </w:tcPr>
          <w:p w:rsidR="00000000" w:rsidRDefault="00000000">
            <w:pPr>
              <w:pStyle w:val="Heading6"/>
              <w:autoSpaceDE w:val="0"/>
              <w:autoSpaceDN w:val="0"/>
              <w:rPr>
                <w:lang w:eastAsia="de-DE"/>
              </w:rPr>
            </w:pPr>
            <w:r>
              <w:rPr>
                <w:lang w:eastAsia="de-DE"/>
              </w:rPr>
              <w:t>Год выпуска</w:t>
            </w:r>
          </w:p>
        </w:tc>
      </w:tr>
      <w:tr w:rsidR="00000000">
        <w:tblPrEx>
          <w:tblCellMar>
            <w:top w:w="0" w:type="dxa"/>
            <w:bottom w:w="0" w:type="dxa"/>
          </w:tblCellMar>
        </w:tblPrEx>
        <w:trPr>
          <w:cantSplit/>
          <w:jc w:val="center"/>
        </w:trPr>
        <w:tc>
          <w:tcPr>
            <w:tcW w:w="5615" w:type="dxa"/>
            <w:vMerge/>
            <w:tcBorders>
              <w:bottom w:val="single" w:sz="12" w:space="0" w:color="auto"/>
            </w:tcBorders>
            <w:vAlign w:val="bottom"/>
          </w:tcPr>
          <w:p w:rsidR="00000000" w:rsidRDefault="00000000">
            <w:pPr>
              <w:autoSpaceDE w:val="0"/>
              <w:autoSpaceDN w:val="0"/>
              <w:jc w:val="center"/>
              <w:rPr>
                <w:i/>
                <w:sz w:val="17"/>
                <w:lang w:eastAsia="de-DE"/>
              </w:rPr>
            </w:pPr>
          </w:p>
        </w:tc>
        <w:tc>
          <w:tcPr>
            <w:tcW w:w="1276" w:type="dxa"/>
            <w:tcBorders>
              <w:bottom w:val="single" w:sz="12" w:space="0" w:color="auto"/>
            </w:tcBorders>
            <w:vAlign w:val="bottom"/>
          </w:tcPr>
          <w:p w:rsidR="00000000" w:rsidRDefault="00000000">
            <w:pPr>
              <w:autoSpaceDE w:val="0"/>
              <w:autoSpaceDN w:val="0"/>
              <w:jc w:val="center"/>
              <w:rPr>
                <w:i/>
                <w:sz w:val="17"/>
                <w:lang w:eastAsia="de-DE"/>
              </w:rPr>
            </w:pPr>
          </w:p>
        </w:tc>
        <w:tc>
          <w:tcPr>
            <w:tcW w:w="1414" w:type="dxa"/>
            <w:tcBorders>
              <w:top w:val="single" w:sz="4" w:space="0" w:color="auto"/>
              <w:bottom w:val="single" w:sz="12" w:space="0" w:color="auto"/>
            </w:tcBorders>
            <w:vAlign w:val="bottom"/>
          </w:tcPr>
          <w:p w:rsidR="00000000" w:rsidRDefault="00000000">
            <w:pPr>
              <w:autoSpaceDE w:val="0"/>
              <w:autoSpaceDN w:val="0"/>
              <w:jc w:val="center"/>
              <w:rPr>
                <w:i/>
                <w:sz w:val="17"/>
                <w:lang w:eastAsia="de-DE"/>
              </w:rPr>
            </w:pPr>
            <w:r>
              <w:rPr>
                <w:i/>
                <w:sz w:val="17"/>
                <w:lang w:eastAsia="de-DE"/>
              </w:rPr>
              <w:t>1990</w:t>
            </w:r>
          </w:p>
        </w:tc>
        <w:tc>
          <w:tcPr>
            <w:tcW w:w="1345" w:type="dxa"/>
            <w:tcBorders>
              <w:top w:val="single" w:sz="4" w:space="0" w:color="auto"/>
              <w:bottom w:val="single" w:sz="12" w:space="0" w:color="auto"/>
            </w:tcBorders>
            <w:vAlign w:val="bottom"/>
          </w:tcPr>
          <w:p w:rsidR="00000000" w:rsidRDefault="00000000">
            <w:pPr>
              <w:autoSpaceDE w:val="0"/>
              <w:autoSpaceDN w:val="0"/>
              <w:jc w:val="center"/>
              <w:rPr>
                <w:i/>
                <w:sz w:val="17"/>
                <w:lang w:eastAsia="de-DE"/>
              </w:rPr>
            </w:pPr>
            <w:r>
              <w:rPr>
                <w:i/>
                <w:sz w:val="17"/>
                <w:lang w:eastAsia="de-DE"/>
              </w:rPr>
              <w:t>2000</w:t>
            </w:r>
          </w:p>
        </w:tc>
        <w:tc>
          <w:tcPr>
            <w:tcW w:w="1345" w:type="dxa"/>
            <w:tcBorders>
              <w:top w:val="single" w:sz="4" w:space="0" w:color="auto"/>
              <w:bottom w:val="single" w:sz="12" w:space="0" w:color="auto"/>
            </w:tcBorders>
            <w:vAlign w:val="bottom"/>
          </w:tcPr>
          <w:p w:rsidR="00000000" w:rsidRDefault="00000000">
            <w:pPr>
              <w:autoSpaceDE w:val="0"/>
              <w:autoSpaceDN w:val="0"/>
              <w:jc w:val="center"/>
              <w:rPr>
                <w:i/>
                <w:sz w:val="17"/>
                <w:lang w:eastAsia="de-DE"/>
              </w:rPr>
            </w:pPr>
          </w:p>
        </w:tc>
        <w:tc>
          <w:tcPr>
            <w:tcW w:w="1345" w:type="dxa"/>
            <w:tcBorders>
              <w:top w:val="single" w:sz="4" w:space="0" w:color="auto"/>
              <w:bottom w:val="single" w:sz="12" w:space="0" w:color="auto"/>
            </w:tcBorders>
            <w:vAlign w:val="bottom"/>
          </w:tcPr>
          <w:p w:rsidR="00000000" w:rsidRDefault="00000000">
            <w:pPr>
              <w:autoSpaceDE w:val="0"/>
              <w:autoSpaceDN w:val="0"/>
              <w:jc w:val="center"/>
              <w:rPr>
                <w:i/>
                <w:sz w:val="17"/>
                <w:lang w:eastAsia="de-DE"/>
              </w:rPr>
            </w:pPr>
            <w:r>
              <w:rPr>
                <w:i/>
                <w:sz w:val="17"/>
                <w:lang w:eastAsia="de-DE"/>
              </w:rPr>
              <w:t>2003</w:t>
            </w:r>
          </w:p>
        </w:tc>
      </w:tr>
      <w:tr w:rsidR="00000000">
        <w:tblPrEx>
          <w:tblCellMar>
            <w:top w:w="0" w:type="dxa"/>
            <w:bottom w:w="0" w:type="dxa"/>
          </w:tblCellMar>
        </w:tblPrEx>
        <w:trPr>
          <w:jc w:val="center"/>
        </w:trPr>
        <w:tc>
          <w:tcPr>
            <w:tcW w:w="5615" w:type="dxa"/>
            <w:tcBorders>
              <w:top w:val="single" w:sz="12" w:space="0" w:color="auto"/>
            </w:tcBorders>
            <w:shd w:val="clear" w:color="auto" w:fill="00FFFF"/>
            <w:vAlign w:val="bottom"/>
          </w:tcPr>
          <w:p w:rsidR="00000000" w:rsidRDefault="00000000">
            <w:pPr>
              <w:autoSpaceDE w:val="0"/>
              <w:autoSpaceDN w:val="0"/>
              <w:rPr>
                <w:b/>
                <w:sz w:val="17"/>
                <w:lang w:eastAsia="de-DE"/>
              </w:rPr>
            </w:pPr>
            <w:r>
              <w:rPr>
                <w:b/>
                <w:sz w:val="17"/>
                <w:lang w:eastAsia="de-DE"/>
              </w:rPr>
              <w:t>Профессионально-технические училища</w:t>
            </w:r>
          </w:p>
        </w:tc>
        <w:tc>
          <w:tcPr>
            <w:tcW w:w="1276" w:type="dxa"/>
            <w:tcBorders>
              <w:top w:val="single" w:sz="12" w:space="0" w:color="auto"/>
            </w:tcBorders>
            <w:shd w:val="clear" w:color="auto" w:fill="00FFFF"/>
            <w:vAlign w:val="bottom"/>
          </w:tcPr>
          <w:p w:rsidR="00000000" w:rsidRDefault="00000000">
            <w:pPr>
              <w:autoSpaceDE w:val="0"/>
              <w:autoSpaceDN w:val="0"/>
              <w:rPr>
                <w:b/>
                <w:sz w:val="17"/>
                <w:lang w:eastAsia="de-DE"/>
              </w:rPr>
            </w:pPr>
            <w:r>
              <w:rPr>
                <w:b/>
                <w:sz w:val="17"/>
                <w:lang w:eastAsia="de-DE"/>
              </w:rPr>
              <w:t>Мужчины</w:t>
            </w:r>
          </w:p>
        </w:tc>
        <w:tc>
          <w:tcPr>
            <w:tcW w:w="1414" w:type="dxa"/>
            <w:tcBorders>
              <w:top w:val="single" w:sz="12" w:space="0" w:color="auto"/>
            </w:tcBorders>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24 572</w:t>
            </w:r>
          </w:p>
        </w:tc>
        <w:tc>
          <w:tcPr>
            <w:tcW w:w="1345" w:type="dxa"/>
            <w:tcBorders>
              <w:top w:val="single" w:sz="12" w:space="0" w:color="auto"/>
            </w:tcBorders>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23 754</w:t>
            </w:r>
          </w:p>
        </w:tc>
        <w:tc>
          <w:tcPr>
            <w:tcW w:w="1345" w:type="dxa"/>
            <w:tcBorders>
              <w:top w:val="single" w:sz="12" w:space="0" w:color="auto"/>
            </w:tcBorders>
            <w:shd w:val="clear" w:color="auto" w:fill="00FFFF"/>
            <w:vAlign w:val="bottom"/>
          </w:tcPr>
          <w:p w:rsidR="00000000" w:rsidRDefault="00000000">
            <w:pPr>
              <w:pStyle w:val="Footer"/>
              <w:tabs>
                <w:tab w:val="clear" w:pos="4320"/>
                <w:tab w:val="clear" w:pos="8640"/>
                <w:tab w:val="decimal" w:pos="537"/>
              </w:tabs>
              <w:autoSpaceDE w:val="0"/>
              <w:autoSpaceDN w:val="0"/>
              <w:spacing w:line="200" w:lineRule="exact"/>
              <w:rPr>
                <w:noProof w:val="0"/>
                <w:spacing w:val="4"/>
                <w:w w:val="103"/>
                <w:kern w:val="14"/>
                <w:lang w:eastAsia="de-DE"/>
              </w:rPr>
            </w:pPr>
          </w:p>
        </w:tc>
        <w:tc>
          <w:tcPr>
            <w:tcW w:w="1345" w:type="dxa"/>
            <w:tcBorders>
              <w:top w:val="single" w:sz="12" w:space="0" w:color="auto"/>
            </w:tcBorders>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(23 496)</w:t>
            </w:r>
            <w:r>
              <w:rPr>
                <w:b/>
                <w:sz w:val="17"/>
                <w:vertAlign w:val="superscript"/>
                <w:lang w:eastAsia="de-DE"/>
              </w:rPr>
              <w:t>2</w:t>
            </w:r>
          </w:p>
        </w:tc>
      </w:tr>
      <w:tr w:rsidR="00000000">
        <w:tblPrEx>
          <w:tblCellMar>
            <w:top w:w="0" w:type="dxa"/>
            <w:bottom w:w="0" w:type="dxa"/>
          </w:tblCellMar>
        </w:tblPrEx>
        <w:trPr>
          <w:jc w:val="center"/>
        </w:trPr>
        <w:tc>
          <w:tcPr>
            <w:tcW w:w="5615" w:type="dxa"/>
            <w:shd w:val="clear" w:color="auto" w:fill="00FFFF"/>
            <w:vAlign w:val="bottom"/>
          </w:tcPr>
          <w:p w:rsidR="00000000" w:rsidRDefault="00000000">
            <w:pPr>
              <w:autoSpaceDE w:val="0"/>
              <w:autoSpaceDN w:val="0"/>
              <w:rPr>
                <w:b/>
                <w:sz w:val="17"/>
                <w:lang w:eastAsia="de-DE"/>
              </w:rPr>
            </w:pPr>
            <w:r>
              <w:rPr>
                <w:b/>
                <w:sz w:val="17"/>
                <w:lang w:val="en-GB" w:eastAsia="de-DE"/>
              </w:rPr>
              <w:t> </w:t>
            </w:r>
          </w:p>
        </w:tc>
        <w:tc>
          <w:tcPr>
            <w:tcW w:w="1276" w:type="dxa"/>
            <w:shd w:val="clear" w:color="auto" w:fill="00FFFF"/>
            <w:vAlign w:val="bottom"/>
          </w:tcPr>
          <w:p w:rsidR="00000000" w:rsidRDefault="00000000">
            <w:pPr>
              <w:autoSpaceDE w:val="0"/>
              <w:autoSpaceDN w:val="0"/>
              <w:rPr>
                <w:b/>
                <w:sz w:val="17"/>
                <w:lang w:eastAsia="de-DE"/>
              </w:rPr>
            </w:pPr>
            <w:r>
              <w:rPr>
                <w:b/>
                <w:sz w:val="17"/>
                <w:lang w:eastAsia="de-DE"/>
              </w:rPr>
              <w:t>Женщины</w:t>
            </w:r>
          </w:p>
        </w:tc>
        <w:tc>
          <w:tcPr>
            <w:tcW w:w="1414"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16 459</w:t>
            </w: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13 437</w:t>
            </w:r>
          </w:p>
        </w:tc>
        <w:tc>
          <w:tcPr>
            <w:tcW w:w="1345" w:type="dxa"/>
            <w:shd w:val="clear" w:color="auto" w:fill="00FFFF"/>
            <w:vAlign w:val="bottom"/>
          </w:tcPr>
          <w:p w:rsidR="00000000" w:rsidRDefault="00000000">
            <w:pPr>
              <w:tabs>
                <w:tab w:val="decimal" w:pos="537"/>
              </w:tabs>
              <w:autoSpaceDE w:val="0"/>
              <w:autoSpaceDN w:val="0"/>
              <w:rPr>
                <w:b/>
                <w:sz w:val="17"/>
                <w:lang w:eastAsia="de-DE"/>
              </w:rPr>
            </w:pP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(13 961)</w:t>
            </w:r>
            <w:r>
              <w:rPr>
                <w:b/>
                <w:sz w:val="17"/>
                <w:vertAlign w:val="superscript"/>
                <w:lang w:eastAsia="de-DE"/>
              </w:rPr>
              <w:t>2</w:t>
            </w:r>
          </w:p>
        </w:tc>
      </w:tr>
      <w:tr w:rsidR="00000000">
        <w:tblPrEx>
          <w:tblCellMar>
            <w:top w:w="0" w:type="dxa"/>
            <w:bottom w:w="0" w:type="dxa"/>
          </w:tblCellMar>
        </w:tblPrEx>
        <w:trPr>
          <w:jc w:val="center"/>
        </w:trPr>
        <w:tc>
          <w:tcPr>
            <w:tcW w:w="5615" w:type="dxa"/>
            <w:shd w:val="clear" w:color="auto" w:fill="00FFFF"/>
            <w:vAlign w:val="bottom"/>
          </w:tcPr>
          <w:p w:rsidR="00000000" w:rsidRDefault="00000000">
            <w:pPr>
              <w:autoSpaceDE w:val="0"/>
              <w:autoSpaceDN w:val="0"/>
              <w:rPr>
                <w:b/>
                <w:sz w:val="17"/>
                <w:lang w:eastAsia="de-DE"/>
              </w:rPr>
            </w:pPr>
            <w:r>
              <w:rPr>
                <w:b/>
                <w:sz w:val="17"/>
                <w:lang w:val="en-GB" w:eastAsia="de-DE"/>
              </w:rPr>
              <w:t> </w:t>
            </w:r>
          </w:p>
        </w:tc>
        <w:tc>
          <w:tcPr>
            <w:tcW w:w="1276" w:type="dxa"/>
            <w:shd w:val="clear" w:color="auto" w:fill="00FFFF"/>
            <w:vAlign w:val="bottom"/>
          </w:tcPr>
          <w:p w:rsidR="00000000" w:rsidRDefault="00000000">
            <w:pPr>
              <w:autoSpaceDE w:val="0"/>
              <w:autoSpaceDN w:val="0"/>
              <w:rPr>
                <w:b/>
                <w:sz w:val="17"/>
                <w:lang w:eastAsia="de-DE"/>
              </w:rPr>
            </w:pPr>
            <w:r>
              <w:rPr>
                <w:b/>
                <w:sz w:val="17"/>
                <w:lang w:eastAsia="de-DE"/>
              </w:rPr>
              <w:t>Всего</w:t>
            </w:r>
          </w:p>
        </w:tc>
        <w:tc>
          <w:tcPr>
            <w:tcW w:w="1414"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41 031</w:t>
            </w: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37 191</w:t>
            </w:r>
          </w:p>
        </w:tc>
        <w:tc>
          <w:tcPr>
            <w:tcW w:w="1345" w:type="dxa"/>
            <w:shd w:val="clear" w:color="auto" w:fill="00FFFF"/>
            <w:vAlign w:val="bottom"/>
          </w:tcPr>
          <w:p w:rsidR="00000000" w:rsidRDefault="00000000">
            <w:pPr>
              <w:tabs>
                <w:tab w:val="decimal" w:pos="537"/>
              </w:tabs>
              <w:autoSpaceDE w:val="0"/>
              <w:autoSpaceDN w:val="0"/>
              <w:rPr>
                <w:b/>
                <w:sz w:val="17"/>
                <w:lang w:eastAsia="de-DE"/>
              </w:rPr>
            </w:pP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(37 457)</w:t>
            </w:r>
            <w:r>
              <w:rPr>
                <w:b/>
                <w:sz w:val="17"/>
                <w:vertAlign w:val="superscript"/>
                <w:lang w:eastAsia="de-DE"/>
              </w:rPr>
              <w:t>2</w:t>
            </w:r>
          </w:p>
        </w:tc>
      </w:tr>
      <w:tr w:rsidR="00000000">
        <w:tblPrEx>
          <w:tblCellMar>
            <w:top w:w="0" w:type="dxa"/>
            <w:bottom w:w="0" w:type="dxa"/>
          </w:tblCellMar>
        </w:tblPrEx>
        <w:trPr>
          <w:jc w:val="center"/>
        </w:trPr>
        <w:tc>
          <w:tcPr>
            <w:tcW w:w="5615" w:type="dxa"/>
            <w:shd w:val="clear" w:color="auto" w:fill="00FFFF"/>
            <w:vAlign w:val="bottom"/>
          </w:tcPr>
          <w:p w:rsidR="00000000" w:rsidRDefault="00000000">
            <w:pPr>
              <w:autoSpaceDE w:val="0"/>
              <w:autoSpaceDN w:val="0"/>
              <w:rPr>
                <w:b/>
                <w:sz w:val="17"/>
                <w:lang w:eastAsia="de-DE"/>
              </w:rPr>
            </w:pPr>
            <w:r>
              <w:rPr>
                <w:b/>
                <w:sz w:val="17"/>
                <w:lang w:eastAsia="de-DE"/>
              </w:rPr>
              <w:t>Низшие, средние профессионально-технические училища, всего</w:t>
            </w:r>
          </w:p>
        </w:tc>
        <w:tc>
          <w:tcPr>
            <w:tcW w:w="1276" w:type="dxa"/>
            <w:shd w:val="clear" w:color="auto" w:fill="00FFFF"/>
            <w:vAlign w:val="bottom"/>
          </w:tcPr>
          <w:p w:rsidR="00000000" w:rsidRDefault="00000000">
            <w:pPr>
              <w:autoSpaceDE w:val="0"/>
              <w:autoSpaceDN w:val="0"/>
              <w:rPr>
                <w:b/>
                <w:sz w:val="17"/>
                <w:lang w:eastAsia="de-DE"/>
              </w:rPr>
            </w:pPr>
            <w:r>
              <w:rPr>
                <w:b/>
                <w:sz w:val="17"/>
                <w:lang w:eastAsia="de-DE"/>
              </w:rPr>
              <w:t>Мужчины</w:t>
            </w:r>
          </w:p>
        </w:tc>
        <w:tc>
          <w:tcPr>
            <w:tcW w:w="1414"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7 158</w:t>
            </w: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5 228</w:t>
            </w:r>
          </w:p>
        </w:tc>
        <w:tc>
          <w:tcPr>
            <w:tcW w:w="1345" w:type="dxa"/>
            <w:shd w:val="clear" w:color="auto" w:fill="00FFFF"/>
            <w:vAlign w:val="bottom"/>
          </w:tcPr>
          <w:p w:rsidR="00000000" w:rsidRDefault="00000000">
            <w:pPr>
              <w:tabs>
                <w:tab w:val="decimal" w:pos="537"/>
              </w:tabs>
              <w:autoSpaceDE w:val="0"/>
              <w:autoSpaceDN w:val="0"/>
              <w:rPr>
                <w:b/>
                <w:sz w:val="17"/>
                <w:lang w:eastAsia="de-DE"/>
              </w:rPr>
            </w:pP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5 769</w:t>
            </w:r>
          </w:p>
        </w:tc>
      </w:tr>
      <w:tr w:rsidR="00000000">
        <w:tblPrEx>
          <w:tblCellMar>
            <w:top w:w="0" w:type="dxa"/>
            <w:bottom w:w="0" w:type="dxa"/>
          </w:tblCellMar>
        </w:tblPrEx>
        <w:trPr>
          <w:jc w:val="center"/>
        </w:trPr>
        <w:tc>
          <w:tcPr>
            <w:tcW w:w="5615" w:type="dxa"/>
            <w:shd w:val="clear" w:color="auto" w:fill="00FFFF"/>
            <w:vAlign w:val="bottom"/>
          </w:tcPr>
          <w:p w:rsidR="00000000" w:rsidRDefault="00000000">
            <w:pPr>
              <w:autoSpaceDE w:val="0"/>
              <w:autoSpaceDN w:val="0"/>
              <w:rPr>
                <w:b/>
                <w:sz w:val="17"/>
                <w:lang w:eastAsia="de-DE"/>
              </w:rPr>
            </w:pPr>
            <w:r>
              <w:rPr>
                <w:b/>
                <w:sz w:val="17"/>
                <w:lang w:val="en-GB" w:eastAsia="de-DE"/>
              </w:rPr>
              <w:t> </w:t>
            </w:r>
          </w:p>
        </w:tc>
        <w:tc>
          <w:tcPr>
            <w:tcW w:w="1276" w:type="dxa"/>
            <w:shd w:val="clear" w:color="auto" w:fill="00FFFF"/>
            <w:vAlign w:val="bottom"/>
          </w:tcPr>
          <w:p w:rsidR="00000000" w:rsidRDefault="00000000">
            <w:pPr>
              <w:autoSpaceDE w:val="0"/>
              <w:autoSpaceDN w:val="0"/>
              <w:rPr>
                <w:b/>
                <w:sz w:val="17"/>
                <w:lang w:eastAsia="de-DE"/>
              </w:rPr>
            </w:pPr>
            <w:r>
              <w:rPr>
                <w:b/>
                <w:sz w:val="17"/>
                <w:lang w:eastAsia="de-DE"/>
              </w:rPr>
              <w:t>Женщины</w:t>
            </w:r>
          </w:p>
        </w:tc>
        <w:tc>
          <w:tcPr>
            <w:tcW w:w="1414"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10 893</w:t>
            </w: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8 137</w:t>
            </w:r>
          </w:p>
        </w:tc>
        <w:tc>
          <w:tcPr>
            <w:tcW w:w="1345" w:type="dxa"/>
            <w:shd w:val="clear" w:color="auto" w:fill="00FFFF"/>
            <w:vAlign w:val="bottom"/>
          </w:tcPr>
          <w:p w:rsidR="00000000" w:rsidRDefault="00000000">
            <w:pPr>
              <w:tabs>
                <w:tab w:val="decimal" w:pos="537"/>
              </w:tabs>
              <w:autoSpaceDE w:val="0"/>
              <w:autoSpaceDN w:val="0"/>
              <w:rPr>
                <w:b/>
                <w:sz w:val="17"/>
                <w:lang w:eastAsia="de-DE"/>
              </w:rPr>
            </w:pP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8 583</w:t>
            </w:r>
          </w:p>
        </w:tc>
      </w:tr>
      <w:tr w:rsidR="00000000">
        <w:tblPrEx>
          <w:tblCellMar>
            <w:top w:w="0" w:type="dxa"/>
            <w:bottom w:w="0" w:type="dxa"/>
          </w:tblCellMar>
        </w:tblPrEx>
        <w:trPr>
          <w:jc w:val="center"/>
        </w:trPr>
        <w:tc>
          <w:tcPr>
            <w:tcW w:w="5615" w:type="dxa"/>
            <w:shd w:val="clear" w:color="auto" w:fill="00FFFF"/>
            <w:vAlign w:val="bottom"/>
          </w:tcPr>
          <w:p w:rsidR="00000000" w:rsidRDefault="00000000">
            <w:pPr>
              <w:autoSpaceDE w:val="0"/>
              <w:autoSpaceDN w:val="0"/>
              <w:rPr>
                <w:b/>
                <w:sz w:val="17"/>
                <w:lang w:eastAsia="de-DE"/>
              </w:rPr>
            </w:pPr>
            <w:r>
              <w:rPr>
                <w:b/>
                <w:sz w:val="17"/>
                <w:lang w:val="en-GB" w:eastAsia="de-DE"/>
              </w:rPr>
              <w:t> </w:t>
            </w:r>
          </w:p>
        </w:tc>
        <w:tc>
          <w:tcPr>
            <w:tcW w:w="1276" w:type="dxa"/>
            <w:shd w:val="clear" w:color="auto" w:fill="00FFFF"/>
            <w:vAlign w:val="bottom"/>
          </w:tcPr>
          <w:p w:rsidR="00000000" w:rsidRDefault="00000000">
            <w:pPr>
              <w:autoSpaceDE w:val="0"/>
              <w:autoSpaceDN w:val="0"/>
              <w:rPr>
                <w:b/>
                <w:sz w:val="17"/>
                <w:lang w:eastAsia="de-DE"/>
              </w:rPr>
            </w:pPr>
            <w:r>
              <w:rPr>
                <w:b/>
                <w:sz w:val="17"/>
                <w:lang w:eastAsia="de-DE"/>
              </w:rPr>
              <w:t>Всего</w:t>
            </w:r>
          </w:p>
        </w:tc>
        <w:tc>
          <w:tcPr>
            <w:tcW w:w="1414"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18 051</w:t>
            </w: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13 365</w:t>
            </w:r>
          </w:p>
        </w:tc>
        <w:tc>
          <w:tcPr>
            <w:tcW w:w="1345" w:type="dxa"/>
            <w:shd w:val="clear" w:color="auto" w:fill="00FFFF"/>
            <w:vAlign w:val="bottom"/>
          </w:tcPr>
          <w:p w:rsidR="00000000" w:rsidRDefault="00000000">
            <w:pPr>
              <w:tabs>
                <w:tab w:val="decimal" w:pos="537"/>
              </w:tabs>
              <w:autoSpaceDE w:val="0"/>
              <w:autoSpaceDN w:val="0"/>
              <w:rPr>
                <w:b/>
                <w:sz w:val="17"/>
                <w:lang w:eastAsia="de-DE"/>
              </w:rPr>
            </w:pP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14 352</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r>
              <w:rPr>
                <w:sz w:val="17"/>
                <w:lang w:eastAsia="de-DE"/>
              </w:rPr>
              <w:tab/>
              <w:t>Техника, ремесло и искусство</w:t>
            </w:r>
          </w:p>
        </w:tc>
        <w:tc>
          <w:tcPr>
            <w:tcW w:w="1276" w:type="dxa"/>
            <w:vAlign w:val="bottom"/>
          </w:tcPr>
          <w:p w:rsidR="00000000" w:rsidRDefault="00000000">
            <w:pPr>
              <w:autoSpaceDE w:val="0"/>
              <w:autoSpaceDN w:val="0"/>
              <w:rPr>
                <w:b/>
                <w:sz w:val="17"/>
                <w:lang w:eastAsia="de-DE"/>
              </w:rPr>
            </w:pPr>
            <w:r>
              <w:rPr>
                <w:b/>
                <w:sz w:val="17"/>
                <w:lang w:eastAsia="de-DE"/>
              </w:rPr>
              <w:t>Мужчины</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4 742</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3 287</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3 123</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p>
        </w:tc>
        <w:tc>
          <w:tcPr>
            <w:tcW w:w="1276" w:type="dxa"/>
            <w:vAlign w:val="bottom"/>
          </w:tcPr>
          <w:p w:rsidR="00000000" w:rsidRDefault="00000000">
            <w:pPr>
              <w:autoSpaceDE w:val="0"/>
              <w:autoSpaceDN w:val="0"/>
              <w:rPr>
                <w:b/>
                <w:sz w:val="17"/>
                <w:lang w:eastAsia="de-DE"/>
              </w:rPr>
            </w:pPr>
            <w:r>
              <w:rPr>
                <w:b/>
                <w:sz w:val="17"/>
                <w:lang w:eastAsia="de-DE"/>
              </w:rPr>
              <w:t>Женщины</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1 641</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1 048</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869</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p>
        </w:tc>
        <w:tc>
          <w:tcPr>
            <w:tcW w:w="1276" w:type="dxa"/>
            <w:vAlign w:val="bottom"/>
          </w:tcPr>
          <w:p w:rsidR="00000000" w:rsidRDefault="00000000">
            <w:pPr>
              <w:autoSpaceDE w:val="0"/>
              <w:autoSpaceDN w:val="0"/>
              <w:rPr>
                <w:b/>
                <w:sz w:val="17"/>
                <w:lang w:eastAsia="de-DE"/>
              </w:rPr>
            </w:pPr>
            <w:r>
              <w:rPr>
                <w:b/>
                <w:sz w:val="17"/>
                <w:lang w:eastAsia="de-DE"/>
              </w:rPr>
              <w:t>Всего</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6 383</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4 335</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3 992</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r>
              <w:rPr>
                <w:sz w:val="17"/>
                <w:lang w:eastAsia="de-DE"/>
              </w:rPr>
              <w:tab/>
              <w:t>Бизнес</w:t>
            </w:r>
          </w:p>
        </w:tc>
        <w:tc>
          <w:tcPr>
            <w:tcW w:w="1276" w:type="dxa"/>
            <w:vAlign w:val="bottom"/>
          </w:tcPr>
          <w:p w:rsidR="00000000" w:rsidRDefault="00000000">
            <w:pPr>
              <w:autoSpaceDE w:val="0"/>
              <w:autoSpaceDN w:val="0"/>
              <w:rPr>
                <w:b/>
                <w:sz w:val="17"/>
                <w:lang w:eastAsia="de-DE"/>
              </w:rPr>
            </w:pPr>
            <w:r>
              <w:rPr>
                <w:b/>
                <w:sz w:val="17"/>
                <w:lang w:eastAsia="de-DE"/>
              </w:rPr>
              <w:t>Мужчины</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1 055</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1 294</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1 310</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p>
        </w:tc>
        <w:tc>
          <w:tcPr>
            <w:tcW w:w="1276" w:type="dxa"/>
            <w:vAlign w:val="bottom"/>
          </w:tcPr>
          <w:p w:rsidR="00000000" w:rsidRDefault="00000000">
            <w:pPr>
              <w:autoSpaceDE w:val="0"/>
              <w:autoSpaceDN w:val="0"/>
              <w:rPr>
                <w:b/>
                <w:sz w:val="17"/>
                <w:lang w:eastAsia="de-DE"/>
              </w:rPr>
            </w:pPr>
            <w:r>
              <w:rPr>
                <w:b/>
                <w:sz w:val="17"/>
                <w:lang w:eastAsia="de-DE"/>
              </w:rPr>
              <w:t>Женщины</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2 952</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2 434</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2 322</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p>
        </w:tc>
        <w:tc>
          <w:tcPr>
            <w:tcW w:w="1276" w:type="dxa"/>
            <w:vAlign w:val="bottom"/>
          </w:tcPr>
          <w:p w:rsidR="00000000" w:rsidRDefault="00000000">
            <w:pPr>
              <w:autoSpaceDE w:val="0"/>
              <w:autoSpaceDN w:val="0"/>
              <w:rPr>
                <w:b/>
                <w:sz w:val="17"/>
                <w:lang w:eastAsia="de-DE"/>
              </w:rPr>
            </w:pPr>
            <w:r>
              <w:rPr>
                <w:b/>
                <w:sz w:val="17"/>
                <w:lang w:eastAsia="de-DE"/>
              </w:rPr>
              <w:t>Всего</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4 007</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3 728</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3 632</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r>
              <w:rPr>
                <w:sz w:val="17"/>
                <w:lang w:eastAsia="de-DE"/>
              </w:rPr>
              <w:tab/>
              <w:t>Домоводство и торговля</w:t>
            </w:r>
          </w:p>
        </w:tc>
        <w:tc>
          <w:tcPr>
            <w:tcW w:w="1276" w:type="dxa"/>
            <w:vAlign w:val="bottom"/>
          </w:tcPr>
          <w:p w:rsidR="00000000" w:rsidRDefault="00000000">
            <w:pPr>
              <w:autoSpaceDE w:val="0"/>
              <w:autoSpaceDN w:val="0"/>
              <w:rPr>
                <w:b/>
                <w:sz w:val="17"/>
                <w:lang w:eastAsia="de-DE"/>
              </w:rPr>
            </w:pPr>
            <w:r>
              <w:rPr>
                <w:b/>
                <w:sz w:val="17"/>
                <w:lang w:eastAsia="de-DE"/>
              </w:rPr>
              <w:t>Мужчины</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203</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278</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349</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p>
        </w:tc>
        <w:tc>
          <w:tcPr>
            <w:tcW w:w="1276" w:type="dxa"/>
            <w:vAlign w:val="bottom"/>
          </w:tcPr>
          <w:p w:rsidR="00000000" w:rsidRDefault="00000000">
            <w:pPr>
              <w:autoSpaceDE w:val="0"/>
              <w:autoSpaceDN w:val="0"/>
              <w:rPr>
                <w:b/>
                <w:sz w:val="17"/>
                <w:lang w:eastAsia="de-DE"/>
              </w:rPr>
            </w:pPr>
            <w:r>
              <w:rPr>
                <w:b/>
                <w:sz w:val="17"/>
                <w:lang w:eastAsia="de-DE"/>
              </w:rPr>
              <w:t>Женщины</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5 552</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3 929</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3 149</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p>
        </w:tc>
        <w:tc>
          <w:tcPr>
            <w:tcW w:w="1276" w:type="dxa"/>
            <w:vAlign w:val="bottom"/>
          </w:tcPr>
          <w:p w:rsidR="00000000" w:rsidRDefault="00000000">
            <w:pPr>
              <w:autoSpaceDE w:val="0"/>
              <w:autoSpaceDN w:val="0"/>
              <w:rPr>
                <w:b/>
                <w:sz w:val="17"/>
                <w:lang w:eastAsia="de-DE"/>
              </w:rPr>
            </w:pPr>
            <w:r>
              <w:rPr>
                <w:b/>
                <w:sz w:val="17"/>
                <w:lang w:eastAsia="de-DE"/>
              </w:rPr>
              <w:t>Всего</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5 755</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4 207</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3 498</w:t>
            </w:r>
          </w:p>
        </w:tc>
      </w:tr>
      <w:tr w:rsidR="00000000">
        <w:tblPrEx>
          <w:tblCellMar>
            <w:top w:w="0" w:type="dxa"/>
            <w:bottom w:w="0" w:type="dxa"/>
          </w:tblCellMar>
        </w:tblPrEx>
        <w:trPr>
          <w:jc w:val="center"/>
        </w:trPr>
        <w:tc>
          <w:tcPr>
            <w:tcW w:w="5615" w:type="dxa"/>
            <w:vAlign w:val="bottom"/>
          </w:tcPr>
          <w:p w:rsidR="00000000" w:rsidRDefault="00000000">
            <w:pPr>
              <w:pStyle w:val="CommentText"/>
              <w:autoSpaceDE w:val="0"/>
              <w:autoSpaceDN w:val="0"/>
              <w:rPr>
                <w:sz w:val="17"/>
                <w:lang w:eastAsia="de-DE"/>
              </w:rPr>
            </w:pPr>
            <w:r>
              <w:rPr>
                <w:sz w:val="17"/>
                <w:lang w:eastAsia="de-DE"/>
              </w:rPr>
              <w:tab/>
              <w:t>Социальная работа</w:t>
            </w:r>
          </w:p>
        </w:tc>
        <w:tc>
          <w:tcPr>
            <w:tcW w:w="1276" w:type="dxa"/>
            <w:vAlign w:val="bottom"/>
          </w:tcPr>
          <w:p w:rsidR="00000000" w:rsidRDefault="00000000">
            <w:pPr>
              <w:autoSpaceDE w:val="0"/>
              <w:autoSpaceDN w:val="0"/>
              <w:rPr>
                <w:b/>
                <w:sz w:val="17"/>
                <w:lang w:eastAsia="de-DE"/>
              </w:rPr>
            </w:pPr>
            <w:r>
              <w:rPr>
                <w:b/>
                <w:sz w:val="17"/>
                <w:lang w:eastAsia="de-DE"/>
              </w:rPr>
              <w:t>Мужчины</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111</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23</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21</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p>
        </w:tc>
        <w:tc>
          <w:tcPr>
            <w:tcW w:w="1276" w:type="dxa"/>
            <w:vAlign w:val="bottom"/>
          </w:tcPr>
          <w:p w:rsidR="00000000" w:rsidRDefault="00000000">
            <w:pPr>
              <w:autoSpaceDE w:val="0"/>
              <w:autoSpaceDN w:val="0"/>
              <w:rPr>
                <w:b/>
                <w:sz w:val="17"/>
                <w:lang w:eastAsia="de-DE"/>
              </w:rPr>
            </w:pPr>
            <w:r>
              <w:rPr>
                <w:b/>
                <w:sz w:val="17"/>
                <w:lang w:eastAsia="de-DE"/>
              </w:rPr>
              <w:t>Женщины</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598</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240</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449</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p>
        </w:tc>
        <w:tc>
          <w:tcPr>
            <w:tcW w:w="1276" w:type="dxa"/>
            <w:vAlign w:val="bottom"/>
          </w:tcPr>
          <w:p w:rsidR="00000000" w:rsidRDefault="00000000">
            <w:pPr>
              <w:autoSpaceDE w:val="0"/>
              <w:autoSpaceDN w:val="0"/>
              <w:rPr>
                <w:b/>
                <w:sz w:val="17"/>
                <w:lang w:eastAsia="de-DE"/>
              </w:rPr>
            </w:pPr>
            <w:r>
              <w:rPr>
                <w:b/>
                <w:sz w:val="17"/>
                <w:lang w:eastAsia="de-DE"/>
              </w:rPr>
              <w:t>Всего</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709</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263</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470</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r>
              <w:rPr>
                <w:sz w:val="17"/>
                <w:lang w:eastAsia="de-DE"/>
              </w:rPr>
              <w:t xml:space="preserve"> Сельское хозяйство, лесное хозяйство</w:t>
            </w:r>
          </w:p>
        </w:tc>
        <w:tc>
          <w:tcPr>
            <w:tcW w:w="1276" w:type="dxa"/>
            <w:vAlign w:val="bottom"/>
          </w:tcPr>
          <w:p w:rsidR="00000000" w:rsidRDefault="00000000">
            <w:pPr>
              <w:autoSpaceDE w:val="0"/>
              <w:autoSpaceDN w:val="0"/>
              <w:rPr>
                <w:b/>
                <w:sz w:val="17"/>
                <w:lang w:eastAsia="de-DE"/>
              </w:rPr>
            </w:pPr>
            <w:r>
              <w:rPr>
                <w:b/>
                <w:sz w:val="17"/>
                <w:lang w:eastAsia="de-DE"/>
              </w:rPr>
              <w:t>Мужчины</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1 047</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290</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(966)</w:t>
            </w:r>
            <w:r>
              <w:rPr>
                <w:sz w:val="17"/>
                <w:vertAlign w:val="superscript"/>
                <w:lang w:eastAsia="de-DE"/>
              </w:rPr>
              <w:t>2</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p>
        </w:tc>
        <w:tc>
          <w:tcPr>
            <w:tcW w:w="1276" w:type="dxa"/>
            <w:vAlign w:val="bottom"/>
          </w:tcPr>
          <w:p w:rsidR="00000000" w:rsidRDefault="00000000">
            <w:pPr>
              <w:autoSpaceDE w:val="0"/>
              <w:autoSpaceDN w:val="0"/>
              <w:rPr>
                <w:b/>
                <w:sz w:val="17"/>
                <w:lang w:eastAsia="de-DE"/>
              </w:rPr>
            </w:pPr>
            <w:r>
              <w:rPr>
                <w:b/>
                <w:sz w:val="17"/>
                <w:lang w:eastAsia="de-DE"/>
              </w:rPr>
              <w:t>Женщины</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150</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512</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(1 794)</w:t>
            </w:r>
            <w:r>
              <w:rPr>
                <w:sz w:val="17"/>
                <w:vertAlign w:val="superscript"/>
                <w:lang w:eastAsia="de-DE"/>
              </w:rPr>
              <w:t>2</w:t>
            </w:r>
          </w:p>
        </w:tc>
      </w:tr>
      <w:tr w:rsidR="00000000">
        <w:tblPrEx>
          <w:tblCellMar>
            <w:top w:w="0" w:type="dxa"/>
            <w:bottom w:w="0" w:type="dxa"/>
          </w:tblCellMar>
        </w:tblPrEx>
        <w:trPr>
          <w:jc w:val="center"/>
        </w:trPr>
        <w:tc>
          <w:tcPr>
            <w:tcW w:w="5615" w:type="dxa"/>
            <w:vAlign w:val="bottom"/>
          </w:tcPr>
          <w:p w:rsidR="00000000" w:rsidRDefault="00000000">
            <w:pPr>
              <w:autoSpaceDE w:val="0"/>
              <w:autoSpaceDN w:val="0"/>
              <w:rPr>
                <w:sz w:val="17"/>
                <w:lang w:eastAsia="de-DE"/>
              </w:rPr>
            </w:pPr>
            <w:r>
              <w:rPr>
                <w:sz w:val="17"/>
                <w:lang w:val="en-GB" w:eastAsia="de-DE"/>
              </w:rPr>
              <w:t> </w:t>
            </w:r>
          </w:p>
        </w:tc>
        <w:tc>
          <w:tcPr>
            <w:tcW w:w="1276" w:type="dxa"/>
            <w:vAlign w:val="bottom"/>
          </w:tcPr>
          <w:p w:rsidR="00000000" w:rsidRDefault="00000000">
            <w:pPr>
              <w:autoSpaceDE w:val="0"/>
              <w:autoSpaceDN w:val="0"/>
              <w:rPr>
                <w:b/>
                <w:sz w:val="17"/>
                <w:lang w:eastAsia="de-DE"/>
              </w:rPr>
            </w:pPr>
            <w:r>
              <w:rPr>
                <w:b/>
                <w:sz w:val="17"/>
                <w:lang w:eastAsia="de-DE"/>
              </w:rPr>
              <w:t>Всего</w:t>
            </w:r>
          </w:p>
        </w:tc>
        <w:tc>
          <w:tcPr>
            <w:tcW w:w="1414" w:type="dxa"/>
            <w:vAlign w:val="bottom"/>
          </w:tcPr>
          <w:p w:rsidR="00000000" w:rsidRDefault="00000000">
            <w:pPr>
              <w:tabs>
                <w:tab w:val="decimal" w:pos="864"/>
              </w:tabs>
              <w:autoSpaceDE w:val="0"/>
              <w:autoSpaceDN w:val="0"/>
              <w:rPr>
                <w:sz w:val="17"/>
                <w:lang w:eastAsia="de-DE"/>
              </w:rPr>
            </w:pPr>
            <w:r>
              <w:rPr>
                <w:sz w:val="17"/>
                <w:lang w:eastAsia="de-DE"/>
              </w:rPr>
              <w:t>1 197</w:t>
            </w:r>
          </w:p>
        </w:tc>
        <w:tc>
          <w:tcPr>
            <w:tcW w:w="1345" w:type="dxa"/>
            <w:vAlign w:val="bottom"/>
          </w:tcPr>
          <w:p w:rsidR="00000000" w:rsidRDefault="00000000">
            <w:pPr>
              <w:tabs>
                <w:tab w:val="decimal" w:pos="864"/>
              </w:tabs>
              <w:autoSpaceDE w:val="0"/>
              <w:autoSpaceDN w:val="0"/>
              <w:rPr>
                <w:sz w:val="17"/>
                <w:lang w:eastAsia="de-DE"/>
              </w:rPr>
            </w:pPr>
            <w:r>
              <w:rPr>
                <w:sz w:val="17"/>
                <w:lang w:eastAsia="de-DE"/>
              </w:rPr>
              <w:t>802</w:t>
            </w:r>
          </w:p>
        </w:tc>
        <w:tc>
          <w:tcPr>
            <w:tcW w:w="1345" w:type="dxa"/>
            <w:vAlign w:val="bottom"/>
          </w:tcPr>
          <w:p w:rsidR="00000000" w:rsidRDefault="00000000">
            <w:pPr>
              <w:tabs>
                <w:tab w:val="decimal" w:pos="537"/>
              </w:tabs>
              <w:autoSpaceDE w:val="0"/>
              <w:autoSpaceDN w:val="0"/>
              <w:rPr>
                <w:sz w:val="17"/>
                <w:lang w:eastAsia="de-DE"/>
              </w:rPr>
            </w:pPr>
          </w:p>
        </w:tc>
        <w:tc>
          <w:tcPr>
            <w:tcW w:w="1345" w:type="dxa"/>
            <w:shd w:val="clear" w:color="auto" w:fill="00FFFF"/>
            <w:vAlign w:val="bottom"/>
          </w:tcPr>
          <w:p w:rsidR="00000000" w:rsidRDefault="00000000">
            <w:pPr>
              <w:tabs>
                <w:tab w:val="decimal" w:pos="864"/>
              </w:tabs>
              <w:autoSpaceDE w:val="0"/>
              <w:autoSpaceDN w:val="0"/>
              <w:rPr>
                <w:sz w:val="17"/>
                <w:lang w:eastAsia="de-DE"/>
              </w:rPr>
            </w:pPr>
            <w:r>
              <w:rPr>
                <w:sz w:val="17"/>
                <w:lang w:eastAsia="de-DE"/>
              </w:rPr>
              <w:t>(2 760)</w:t>
            </w:r>
            <w:r>
              <w:rPr>
                <w:sz w:val="17"/>
                <w:vertAlign w:val="superscript"/>
                <w:lang w:eastAsia="de-DE"/>
              </w:rPr>
              <w:t>2</w:t>
            </w:r>
          </w:p>
        </w:tc>
      </w:tr>
      <w:tr w:rsidR="00000000">
        <w:tblPrEx>
          <w:tblCellMar>
            <w:top w:w="0" w:type="dxa"/>
            <w:bottom w:w="0" w:type="dxa"/>
          </w:tblCellMar>
        </w:tblPrEx>
        <w:trPr>
          <w:jc w:val="center"/>
        </w:trPr>
        <w:tc>
          <w:tcPr>
            <w:tcW w:w="5615" w:type="dxa"/>
            <w:shd w:val="clear" w:color="auto" w:fill="00FFFF"/>
            <w:vAlign w:val="bottom"/>
          </w:tcPr>
          <w:p w:rsidR="00000000" w:rsidRDefault="00000000">
            <w:pPr>
              <w:autoSpaceDE w:val="0"/>
              <w:autoSpaceDN w:val="0"/>
              <w:rPr>
                <w:b/>
                <w:sz w:val="17"/>
                <w:lang w:eastAsia="de-DE"/>
              </w:rPr>
            </w:pPr>
            <w:r>
              <w:rPr>
                <w:b/>
                <w:sz w:val="17"/>
                <w:lang w:eastAsia="de-DE"/>
              </w:rPr>
              <w:t>Всего</w:t>
            </w:r>
          </w:p>
        </w:tc>
        <w:tc>
          <w:tcPr>
            <w:tcW w:w="1276" w:type="dxa"/>
            <w:shd w:val="clear" w:color="auto" w:fill="00FFFF"/>
            <w:vAlign w:val="bottom"/>
          </w:tcPr>
          <w:p w:rsidR="00000000" w:rsidRDefault="00000000">
            <w:pPr>
              <w:autoSpaceDE w:val="0"/>
              <w:autoSpaceDN w:val="0"/>
              <w:rPr>
                <w:b/>
                <w:sz w:val="17"/>
                <w:lang w:eastAsia="de-DE"/>
              </w:rPr>
            </w:pPr>
            <w:r>
              <w:rPr>
                <w:b/>
                <w:sz w:val="17"/>
                <w:lang w:eastAsia="de-DE"/>
              </w:rPr>
              <w:t>Мужчины</w:t>
            </w:r>
          </w:p>
        </w:tc>
        <w:tc>
          <w:tcPr>
            <w:tcW w:w="1414"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31 730</w:t>
            </w: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28 982</w:t>
            </w:r>
          </w:p>
        </w:tc>
        <w:tc>
          <w:tcPr>
            <w:tcW w:w="1345" w:type="dxa"/>
            <w:shd w:val="clear" w:color="auto" w:fill="00FFFF"/>
            <w:vAlign w:val="bottom"/>
          </w:tcPr>
          <w:p w:rsidR="00000000" w:rsidRDefault="00000000">
            <w:pPr>
              <w:tabs>
                <w:tab w:val="decimal" w:pos="537"/>
              </w:tabs>
              <w:autoSpaceDE w:val="0"/>
              <w:autoSpaceDN w:val="0"/>
              <w:rPr>
                <w:b/>
                <w:sz w:val="17"/>
                <w:lang w:eastAsia="de-DE"/>
              </w:rPr>
            </w:pPr>
          </w:p>
        </w:tc>
        <w:tc>
          <w:tcPr>
            <w:tcW w:w="1345" w:type="dxa"/>
            <w:shd w:val="clear" w:color="auto" w:fill="FFFFFF"/>
            <w:vAlign w:val="bottom"/>
          </w:tcPr>
          <w:p w:rsidR="00000000" w:rsidRDefault="00000000">
            <w:pPr>
              <w:tabs>
                <w:tab w:val="decimal" w:pos="864"/>
              </w:tabs>
              <w:autoSpaceDE w:val="0"/>
              <w:autoSpaceDN w:val="0"/>
              <w:rPr>
                <w:b/>
                <w:sz w:val="17"/>
                <w:lang w:eastAsia="de-DE"/>
              </w:rPr>
            </w:pPr>
            <w:r>
              <w:rPr>
                <w:b/>
                <w:sz w:val="17"/>
                <w:lang w:eastAsia="de-DE"/>
              </w:rPr>
              <w:t>29 265</w:t>
            </w:r>
          </w:p>
        </w:tc>
      </w:tr>
      <w:tr w:rsidR="00000000">
        <w:tblPrEx>
          <w:tblCellMar>
            <w:top w:w="0" w:type="dxa"/>
            <w:bottom w:w="0" w:type="dxa"/>
          </w:tblCellMar>
        </w:tblPrEx>
        <w:trPr>
          <w:jc w:val="center"/>
        </w:trPr>
        <w:tc>
          <w:tcPr>
            <w:tcW w:w="5615" w:type="dxa"/>
            <w:shd w:val="clear" w:color="auto" w:fill="00FFFF"/>
            <w:vAlign w:val="bottom"/>
          </w:tcPr>
          <w:p w:rsidR="00000000" w:rsidRDefault="00000000">
            <w:pPr>
              <w:autoSpaceDE w:val="0"/>
              <w:autoSpaceDN w:val="0"/>
              <w:rPr>
                <w:b/>
                <w:sz w:val="17"/>
                <w:lang w:eastAsia="de-DE"/>
              </w:rPr>
            </w:pPr>
            <w:r>
              <w:rPr>
                <w:b/>
                <w:sz w:val="17"/>
                <w:lang w:val="en-GB" w:eastAsia="de-DE"/>
              </w:rPr>
              <w:t> </w:t>
            </w:r>
          </w:p>
        </w:tc>
        <w:tc>
          <w:tcPr>
            <w:tcW w:w="1276" w:type="dxa"/>
            <w:shd w:val="clear" w:color="auto" w:fill="00FFFF"/>
            <w:vAlign w:val="bottom"/>
          </w:tcPr>
          <w:p w:rsidR="00000000" w:rsidRDefault="00000000">
            <w:pPr>
              <w:autoSpaceDE w:val="0"/>
              <w:autoSpaceDN w:val="0"/>
              <w:rPr>
                <w:b/>
                <w:sz w:val="17"/>
                <w:lang w:eastAsia="de-DE"/>
              </w:rPr>
            </w:pPr>
            <w:r>
              <w:rPr>
                <w:b/>
                <w:sz w:val="17"/>
                <w:lang w:eastAsia="de-DE"/>
              </w:rPr>
              <w:t>Женщины</w:t>
            </w:r>
          </w:p>
        </w:tc>
        <w:tc>
          <w:tcPr>
            <w:tcW w:w="1414"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27 352</w:t>
            </w:r>
          </w:p>
        </w:tc>
        <w:tc>
          <w:tcPr>
            <w:tcW w:w="1345" w:type="dxa"/>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21 574</w:t>
            </w:r>
          </w:p>
        </w:tc>
        <w:tc>
          <w:tcPr>
            <w:tcW w:w="1345" w:type="dxa"/>
            <w:shd w:val="clear" w:color="auto" w:fill="00FFFF"/>
            <w:vAlign w:val="bottom"/>
          </w:tcPr>
          <w:p w:rsidR="00000000" w:rsidRDefault="00000000">
            <w:pPr>
              <w:tabs>
                <w:tab w:val="decimal" w:pos="537"/>
              </w:tabs>
              <w:autoSpaceDE w:val="0"/>
              <w:autoSpaceDN w:val="0"/>
              <w:rPr>
                <w:b/>
                <w:sz w:val="17"/>
                <w:lang w:eastAsia="de-DE"/>
              </w:rPr>
            </w:pPr>
          </w:p>
        </w:tc>
        <w:tc>
          <w:tcPr>
            <w:tcW w:w="1345" w:type="dxa"/>
            <w:shd w:val="clear" w:color="auto" w:fill="FFFFFF"/>
            <w:vAlign w:val="bottom"/>
          </w:tcPr>
          <w:p w:rsidR="00000000" w:rsidRDefault="00000000">
            <w:pPr>
              <w:tabs>
                <w:tab w:val="decimal" w:pos="864"/>
              </w:tabs>
              <w:autoSpaceDE w:val="0"/>
              <w:autoSpaceDN w:val="0"/>
              <w:rPr>
                <w:b/>
                <w:sz w:val="17"/>
                <w:lang w:eastAsia="de-DE"/>
              </w:rPr>
            </w:pPr>
            <w:r>
              <w:rPr>
                <w:b/>
                <w:sz w:val="17"/>
                <w:lang w:eastAsia="de-DE"/>
              </w:rPr>
              <w:t>22 544</w:t>
            </w:r>
          </w:p>
        </w:tc>
      </w:tr>
      <w:tr w:rsidR="00000000">
        <w:tblPrEx>
          <w:tblCellMar>
            <w:top w:w="0" w:type="dxa"/>
            <w:bottom w:w="0" w:type="dxa"/>
          </w:tblCellMar>
        </w:tblPrEx>
        <w:trPr>
          <w:jc w:val="center"/>
        </w:trPr>
        <w:tc>
          <w:tcPr>
            <w:tcW w:w="5615" w:type="dxa"/>
            <w:tcBorders>
              <w:bottom w:val="single" w:sz="12" w:space="0" w:color="auto"/>
            </w:tcBorders>
            <w:shd w:val="clear" w:color="auto" w:fill="00FFFF"/>
            <w:vAlign w:val="bottom"/>
          </w:tcPr>
          <w:p w:rsidR="00000000" w:rsidRDefault="00000000">
            <w:pPr>
              <w:autoSpaceDE w:val="0"/>
              <w:autoSpaceDN w:val="0"/>
              <w:rPr>
                <w:b/>
                <w:sz w:val="17"/>
                <w:lang w:eastAsia="de-DE"/>
              </w:rPr>
            </w:pPr>
            <w:r>
              <w:rPr>
                <w:b/>
                <w:sz w:val="17"/>
                <w:lang w:val="en-GB" w:eastAsia="de-DE"/>
              </w:rPr>
              <w:t> </w:t>
            </w:r>
          </w:p>
        </w:tc>
        <w:tc>
          <w:tcPr>
            <w:tcW w:w="1276" w:type="dxa"/>
            <w:tcBorders>
              <w:bottom w:val="single" w:sz="12" w:space="0" w:color="auto"/>
            </w:tcBorders>
            <w:shd w:val="clear" w:color="auto" w:fill="00FFFF"/>
            <w:vAlign w:val="bottom"/>
          </w:tcPr>
          <w:p w:rsidR="00000000" w:rsidRDefault="00000000">
            <w:pPr>
              <w:autoSpaceDE w:val="0"/>
              <w:autoSpaceDN w:val="0"/>
              <w:rPr>
                <w:b/>
                <w:sz w:val="17"/>
                <w:lang w:eastAsia="de-DE"/>
              </w:rPr>
            </w:pPr>
            <w:r>
              <w:rPr>
                <w:b/>
                <w:sz w:val="17"/>
                <w:lang w:eastAsia="de-DE"/>
              </w:rPr>
              <w:t>Всего</w:t>
            </w:r>
          </w:p>
        </w:tc>
        <w:tc>
          <w:tcPr>
            <w:tcW w:w="1414" w:type="dxa"/>
            <w:tcBorders>
              <w:bottom w:val="single" w:sz="12" w:space="0" w:color="auto"/>
            </w:tcBorders>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59 082</w:t>
            </w:r>
          </w:p>
        </w:tc>
        <w:tc>
          <w:tcPr>
            <w:tcW w:w="1345" w:type="dxa"/>
            <w:tcBorders>
              <w:bottom w:val="single" w:sz="12" w:space="0" w:color="auto"/>
            </w:tcBorders>
            <w:shd w:val="clear" w:color="auto" w:fill="00FFFF"/>
            <w:vAlign w:val="bottom"/>
          </w:tcPr>
          <w:p w:rsidR="00000000" w:rsidRDefault="00000000">
            <w:pPr>
              <w:tabs>
                <w:tab w:val="decimal" w:pos="864"/>
              </w:tabs>
              <w:autoSpaceDE w:val="0"/>
              <w:autoSpaceDN w:val="0"/>
              <w:rPr>
                <w:b/>
                <w:sz w:val="17"/>
                <w:lang w:eastAsia="de-DE"/>
              </w:rPr>
            </w:pPr>
            <w:r>
              <w:rPr>
                <w:b/>
                <w:sz w:val="17"/>
                <w:lang w:eastAsia="de-DE"/>
              </w:rPr>
              <w:t>50 556</w:t>
            </w:r>
          </w:p>
        </w:tc>
        <w:tc>
          <w:tcPr>
            <w:tcW w:w="1345" w:type="dxa"/>
            <w:tcBorders>
              <w:bottom w:val="single" w:sz="12" w:space="0" w:color="auto"/>
            </w:tcBorders>
            <w:shd w:val="clear" w:color="auto" w:fill="00FFFF"/>
            <w:vAlign w:val="bottom"/>
          </w:tcPr>
          <w:p w:rsidR="00000000" w:rsidRDefault="00000000">
            <w:pPr>
              <w:tabs>
                <w:tab w:val="decimal" w:pos="537"/>
              </w:tabs>
              <w:autoSpaceDE w:val="0"/>
              <w:autoSpaceDN w:val="0"/>
              <w:rPr>
                <w:b/>
                <w:sz w:val="17"/>
                <w:lang w:eastAsia="de-DE"/>
              </w:rPr>
            </w:pPr>
          </w:p>
        </w:tc>
        <w:tc>
          <w:tcPr>
            <w:tcW w:w="1345" w:type="dxa"/>
            <w:tcBorders>
              <w:bottom w:val="single" w:sz="12" w:space="0" w:color="auto"/>
            </w:tcBorders>
            <w:shd w:val="clear" w:color="auto" w:fill="FFFFFF"/>
            <w:vAlign w:val="bottom"/>
          </w:tcPr>
          <w:p w:rsidR="00000000" w:rsidRDefault="00000000">
            <w:pPr>
              <w:tabs>
                <w:tab w:val="decimal" w:pos="864"/>
              </w:tabs>
              <w:autoSpaceDE w:val="0"/>
              <w:autoSpaceDN w:val="0"/>
              <w:rPr>
                <w:b/>
                <w:sz w:val="17"/>
                <w:lang w:eastAsia="de-DE"/>
              </w:rPr>
            </w:pPr>
            <w:r>
              <w:rPr>
                <w:b/>
                <w:sz w:val="17"/>
                <w:lang w:eastAsia="de-DE"/>
              </w:rPr>
              <w:t>51 809</w:t>
            </w:r>
          </w:p>
        </w:tc>
      </w:tr>
    </w:tbl>
    <w:p w:rsidR="00000000" w:rsidRDefault="00000000">
      <w:pPr>
        <w:pStyle w:val="50"/>
        <w:rPr>
          <w:lang w:eastAsia="de-DE"/>
        </w:rPr>
      </w:pPr>
    </w:p>
    <w:p w:rsidR="00000000" w:rsidRDefault="00000000">
      <w:pPr>
        <w:ind w:left="284" w:hanging="284"/>
      </w:pPr>
      <w:r>
        <w:rPr>
          <w:sz w:val="17"/>
          <w:vertAlign w:val="superscript"/>
          <w:lang w:eastAsia="de-DE"/>
        </w:rPr>
        <w:t>1.</w:t>
      </w:r>
      <w:r>
        <w:rPr>
          <w:sz w:val="17"/>
          <w:lang w:eastAsia="de-DE"/>
        </w:rPr>
        <w:tab/>
        <w:t>Данные по состоянию на октябрь предшествующего года.</w:t>
      </w:r>
    </w:p>
    <w:p w:rsidR="00000000" w:rsidRDefault="00000000">
      <w:pPr>
        <w:pStyle w:val="CommentText"/>
        <w:ind w:left="284" w:hanging="284"/>
      </w:pPr>
      <w:r>
        <w:rPr>
          <w:sz w:val="17"/>
          <w:vertAlign w:val="superscript"/>
          <w:lang w:eastAsia="de-DE"/>
        </w:rPr>
        <w:t>2.</w:t>
      </w:r>
      <w:r>
        <w:rPr>
          <w:sz w:val="17"/>
          <w:lang w:eastAsia="de-DE"/>
        </w:rPr>
        <w:tab/>
        <w:t>Учебный год 2001/02, поскольку пока еще отсутствуют последние данные по учебному году 2002/03 из-за различий в графиках учебного процесса м</w:t>
      </w:r>
      <w:r>
        <w:rPr>
          <w:sz w:val="17"/>
          <w:lang w:eastAsia="de-DE"/>
        </w:rPr>
        <w:t>е</w:t>
      </w:r>
      <w:r>
        <w:rPr>
          <w:sz w:val="17"/>
          <w:lang w:eastAsia="de-DE"/>
        </w:rPr>
        <w:t>жду шк</w:t>
      </w:r>
      <w:r>
        <w:rPr>
          <w:sz w:val="17"/>
          <w:lang w:eastAsia="de-DE"/>
        </w:rPr>
        <w:t>о</w:t>
      </w:r>
      <w:r>
        <w:rPr>
          <w:sz w:val="17"/>
          <w:lang w:eastAsia="de-DE"/>
        </w:rPr>
        <w:t>лами.</w:t>
      </w:r>
    </w:p>
    <w:p w:rsidR="00000000" w:rsidRDefault="00000000">
      <w:pPr>
        <w:jc w:val="center"/>
      </w:pPr>
    </w:p>
    <w:p w:rsidR="00000000" w:rsidRDefault="00000000">
      <w:pPr>
        <w:pStyle w:val="SingleTxt"/>
        <w:tabs>
          <w:tab w:val="clear" w:pos="1267"/>
        </w:tabs>
        <w:ind w:left="0"/>
        <w:rPr>
          <w:b/>
        </w:rPr>
      </w:pPr>
      <w:r>
        <w:br w:type="page"/>
      </w:r>
      <w:r>
        <w:rPr>
          <w:b/>
          <w:lang w:eastAsia="de-DE"/>
        </w:rPr>
        <w:t>Число обучающихся в учебных заведениях 1</w:t>
      </w:r>
      <w:r>
        <w:rPr>
          <w:b/>
          <w:vertAlign w:val="superscript"/>
          <w:lang w:eastAsia="de-DE"/>
        </w:rPr>
        <w:t>го</w:t>
      </w:r>
      <w:r>
        <w:rPr>
          <w:b/>
          <w:lang w:eastAsia="de-DE"/>
        </w:rPr>
        <w:t>, 2</w:t>
      </w:r>
      <w:r>
        <w:rPr>
          <w:b/>
          <w:vertAlign w:val="superscript"/>
          <w:lang w:eastAsia="de-DE"/>
        </w:rPr>
        <w:t>го</w:t>
      </w:r>
      <w:r>
        <w:rPr>
          <w:b/>
          <w:lang w:eastAsia="de-DE"/>
        </w:rPr>
        <w:t xml:space="preserve"> и 3</w:t>
      </w:r>
      <w:r>
        <w:rPr>
          <w:b/>
          <w:vertAlign w:val="superscript"/>
          <w:lang w:eastAsia="de-DE"/>
        </w:rPr>
        <w:t>го</w:t>
      </w:r>
      <w:r>
        <w:rPr>
          <w:b/>
          <w:lang w:eastAsia="de-DE"/>
        </w:rPr>
        <w:t xml:space="preserve"> уровня, не являющегося высшим, (школы, классы, уч</w:t>
      </w:r>
      <w:r>
        <w:rPr>
          <w:b/>
          <w:lang w:eastAsia="de-DE"/>
        </w:rPr>
        <w:t>а</w:t>
      </w:r>
      <w:r>
        <w:rPr>
          <w:b/>
          <w:lang w:eastAsia="de-DE"/>
        </w:rPr>
        <w:t>щиеся) в разби</w:t>
      </w:r>
      <w:r>
        <w:rPr>
          <w:b/>
          <w:lang w:eastAsia="de-DE"/>
        </w:rPr>
        <w:t>в</w:t>
      </w:r>
      <w:r>
        <w:rPr>
          <w:b/>
          <w:lang w:eastAsia="de-DE"/>
        </w:rPr>
        <w:t>ке по типам школ, учебные годы 1999/2000–2002/03</w:t>
      </w:r>
      <w:r>
        <w:rPr>
          <w:b/>
          <w:vertAlign w:val="superscript"/>
          <w:lang w:eastAsia="de-DE"/>
        </w:rPr>
        <w:t>1</w:t>
      </w:r>
    </w:p>
    <w:tbl>
      <w:tblPr>
        <w:tblW w:w="0" w:type="auto"/>
        <w:tblInd w:w="-106" w:type="dxa"/>
        <w:tblLayout w:type="fixed"/>
        <w:tblLook w:val="0000" w:firstRow="0" w:lastRow="0" w:firstColumn="0" w:lastColumn="0" w:noHBand="0" w:noVBand="0"/>
      </w:tblPr>
      <w:tblGrid>
        <w:gridCol w:w="3936"/>
        <w:gridCol w:w="978"/>
        <w:gridCol w:w="796"/>
        <w:gridCol w:w="952"/>
        <w:gridCol w:w="813"/>
        <w:gridCol w:w="872"/>
        <w:gridCol w:w="892"/>
        <w:gridCol w:w="796"/>
        <w:gridCol w:w="952"/>
        <w:gridCol w:w="813"/>
        <w:gridCol w:w="616"/>
      </w:tblGrid>
      <w:tr w:rsidR="00000000">
        <w:tblPrEx>
          <w:tblCellMar>
            <w:top w:w="0" w:type="dxa"/>
            <w:bottom w:w="0" w:type="dxa"/>
          </w:tblCellMar>
        </w:tblPrEx>
        <w:trPr>
          <w:cantSplit/>
        </w:trPr>
        <w:tc>
          <w:tcPr>
            <w:tcW w:w="3936" w:type="dxa"/>
            <w:vMerge w:val="restart"/>
            <w:tcBorders>
              <w:top w:val="single" w:sz="6" w:space="0" w:color="auto"/>
            </w:tcBorders>
            <w:vAlign w:val="bottom"/>
          </w:tcPr>
          <w:p w:rsidR="00000000" w:rsidRDefault="00000000">
            <w:pPr>
              <w:pStyle w:val="Header"/>
              <w:tabs>
                <w:tab w:val="clear" w:pos="4320"/>
                <w:tab w:val="clear" w:pos="8640"/>
                <w:tab w:val="left" w:pos="284"/>
              </w:tabs>
              <w:autoSpaceDE w:val="0"/>
              <w:autoSpaceDN w:val="0"/>
              <w:spacing w:line="200" w:lineRule="exact"/>
              <w:rPr>
                <w:rFonts w:eastAsia="Arial Unicode MS"/>
                <w:i/>
                <w:noProof w:val="0"/>
                <w:spacing w:val="4"/>
                <w:w w:val="103"/>
                <w:kern w:val="14"/>
                <w:lang w:eastAsia="de-DE"/>
              </w:rPr>
            </w:pPr>
            <w:r>
              <w:rPr>
                <w:rFonts w:eastAsia="Arial Unicode MS"/>
                <w:i/>
                <w:noProof w:val="0"/>
                <w:spacing w:val="4"/>
                <w:w w:val="103"/>
                <w:kern w:val="14"/>
                <w:lang w:eastAsia="de-DE"/>
              </w:rPr>
              <w:t>Тип школы</w:t>
            </w:r>
          </w:p>
        </w:tc>
        <w:tc>
          <w:tcPr>
            <w:tcW w:w="4411" w:type="dxa"/>
            <w:gridSpan w:val="5"/>
            <w:tcBorders>
              <w:top w:val="single" w:sz="6" w:space="0" w:color="auto"/>
              <w:bottom w:val="single" w:sz="6" w:space="0" w:color="auto"/>
            </w:tcBorders>
            <w:vAlign w:val="bottom"/>
          </w:tcPr>
          <w:p w:rsidR="00000000" w:rsidRDefault="00000000">
            <w:pPr>
              <w:autoSpaceDE w:val="0"/>
              <w:autoSpaceDN w:val="0"/>
              <w:jc w:val="center"/>
              <w:rPr>
                <w:rFonts w:eastAsia="Arial Unicode MS"/>
                <w:i/>
                <w:sz w:val="17"/>
                <w:lang w:eastAsia="de-DE"/>
              </w:rPr>
            </w:pPr>
            <w:r>
              <w:rPr>
                <w:i/>
                <w:sz w:val="17"/>
                <w:lang w:eastAsia="de-DE"/>
              </w:rPr>
              <w:t>1999/2000</w:t>
            </w:r>
          </w:p>
        </w:tc>
        <w:tc>
          <w:tcPr>
            <w:tcW w:w="4069" w:type="dxa"/>
            <w:gridSpan w:val="5"/>
            <w:tcBorders>
              <w:top w:val="single" w:sz="6" w:space="0" w:color="auto"/>
              <w:bottom w:val="single" w:sz="6" w:space="0" w:color="auto"/>
            </w:tcBorders>
            <w:vAlign w:val="bottom"/>
          </w:tcPr>
          <w:p w:rsidR="00000000" w:rsidRDefault="00000000">
            <w:pPr>
              <w:autoSpaceDE w:val="0"/>
              <w:autoSpaceDN w:val="0"/>
              <w:jc w:val="center"/>
              <w:rPr>
                <w:rFonts w:eastAsia="Arial Unicode MS"/>
                <w:i/>
                <w:sz w:val="17"/>
                <w:lang w:eastAsia="de-DE"/>
              </w:rPr>
            </w:pPr>
            <w:r>
              <w:rPr>
                <w:i/>
                <w:sz w:val="17"/>
                <w:lang w:eastAsia="de-DE"/>
              </w:rPr>
              <w:t>2000/01</w:t>
            </w:r>
          </w:p>
        </w:tc>
      </w:tr>
      <w:tr w:rsidR="00000000">
        <w:tblPrEx>
          <w:tblCellMar>
            <w:top w:w="0" w:type="dxa"/>
            <w:bottom w:w="0" w:type="dxa"/>
          </w:tblCellMar>
        </w:tblPrEx>
        <w:trPr>
          <w:cantSplit/>
        </w:trPr>
        <w:tc>
          <w:tcPr>
            <w:tcW w:w="3936" w:type="dxa"/>
            <w:vMerge/>
            <w:vAlign w:val="bottom"/>
          </w:tcPr>
          <w:p w:rsidR="00000000" w:rsidRDefault="00000000">
            <w:pPr>
              <w:tabs>
                <w:tab w:val="left" w:pos="284"/>
              </w:tabs>
              <w:autoSpaceDE w:val="0"/>
              <w:autoSpaceDN w:val="0"/>
              <w:jc w:val="right"/>
              <w:rPr>
                <w:rFonts w:eastAsia="Arial Unicode MS"/>
                <w:sz w:val="17"/>
                <w:lang w:eastAsia="de-DE"/>
              </w:rPr>
            </w:pPr>
          </w:p>
        </w:tc>
        <w:tc>
          <w:tcPr>
            <w:tcW w:w="4411" w:type="dxa"/>
            <w:gridSpan w:val="5"/>
            <w:tcBorders>
              <w:top w:val="single" w:sz="6" w:space="0" w:color="auto"/>
              <w:bottom w:val="single" w:sz="6" w:space="0" w:color="auto"/>
            </w:tcBorders>
            <w:shd w:val="clear" w:color="auto" w:fill="808080"/>
            <w:vAlign w:val="bottom"/>
          </w:tcPr>
          <w:p w:rsidR="00000000" w:rsidRDefault="00000000">
            <w:pPr>
              <w:autoSpaceDE w:val="0"/>
              <w:autoSpaceDN w:val="0"/>
              <w:jc w:val="center"/>
              <w:rPr>
                <w:rFonts w:eastAsia="Arial Unicode MS"/>
                <w:b/>
                <w:i/>
                <w:sz w:val="17"/>
                <w:lang w:eastAsia="de-DE"/>
              </w:rPr>
            </w:pPr>
            <w:r>
              <w:rPr>
                <w:b/>
                <w:i/>
                <w:sz w:val="17"/>
                <w:lang w:eastAsia="de-DE"/>
              </w:rPr>
              <w:t>Австрия, всего</w:t>
            </w:r>
          </w:p>
        </w:tc>
        <w:tc>
          <w:tcPr>
            <w:tcW w:w="4069" w:type="dxa"/>
            <w:gridSpan w:val="5"/>
            <w:tcBorders>
              <w:top w:val="single" w:sz="6" w:space="0" w:color="auto"/>
              <w:bottom w:val="single" w:sz="6" w:space="0" w:color="auto"/>
            </w:tcBorders>
            <w:shd w:val="clear" w:color="auto" w:fill="808080"/>
            <w:vAlign w:val="bottom"/>
          </w:tcPr>
          <w:p w:rsidR="00000000" w:rsidRDefault="00000000">
            <w:pPr>
              <w:autoSpaceDE w:val="0"/>
              <w:autoSpaceDN w:val="0"/>
              <w:jc w:val="center"/>
              <w:rPr>
                <w:rFonts w:eastAsia="Arial Unicode MS"/>
                <w:b/>
                <w:i/>
                <w:sz w:val="17"/>
                <w:lang w:eastAsia="de-DE"/>
              </w:rPr>
            </w:pPr>
            <w:r>
              <w:rPr>
                <w:b/>
                <w:i/>
                <w:sz w:val="17"/>
                <w:lang w:eastAsia="de-DE"/>
              </w:rPr>
              <w:t>Австрия, всего</w:t>
            </w:r>
          </w:p>
        </w:tc>
      </w:tr>
      <w:tr w:rsidR="00000000">
        <w:tblPrEx>
          <w:tblCellMar>
            <w:top w:w="0" w:type="dxa"/>
            <w:bottom w:w="0" w:type="dxa"/>
          </w:tblCellMar>
        </w:tblPrEx>
        <w:trPr>
          <w:cantSplit/>
        </w:trPr>
        <w:tc>
          <w:tcPr>
            <w:tcW w:w="3936" w:type="dxa"/>
            <w:vMerge/>
            <w:vAlign w:val="bottom"/>
          </w:tcPr>
          <w:p w:rsidR="00000000" w:rsidRDefault="00000000">
            <w:pPr>
              <w:tabs>
                <w:tab w:val="left" w:pos="284"/>
              </w:tabs>
              <w:autoSpaceDE w:val="0"/>
              <w:autoSpaceDN w:val="0"/>
              <w:jc w:val="right"/>
              <w:rPr>
                <w:rFonts w:eastAsia="Arial Unicode MS"/>
                <w:sz w:val="17"/>
                <w:lang w:eastAsia="de-DE"/>
              </w:rPr>
            </w:pPr>
          </w:p>
        </w:tc>
        <w:tc>
          <w:tcPr>
            <w:tcW w:w="978" w:type="dxa"/>
            <w:tcBorders>
              <w:top w:val="single" w:sz="6" w:space="0" w:color="auto"/>
              <w:bottom w:val="single" w:sz="6" w:space="0" w:color="auto"/>
            </w:tcBorders>
            <w:shd w:val="clear" w:color="auto" w:fill="808080"/>
            <w:vAlign w:val="bottom"/>
          </w:tcPr>
          <w:p w:rsidR="00000000" w:rsidRDefault="00000000">
            <w:pPr>
              <w:autoSpaceDE w:val="0"/>
              <w:autoSpaceDN w:val="0"/>
              <w:jc w:val="center"/>
              <w:rPr>
                <w:rFonts w:eastAsia="Arial Unicode MS"/>
                <w:i/>
                <w:sz w:val="17"/>
                <w:lang w:eastAsia="de-DE"/>
              </w:rPr>
            </w:pPr>
            <w:r>
              <w:rPr>
                <w:i/>
                <w:sz w:val="17"/>
                <w:lang w:eastAsia="de-DE"/>
              </w:rPr>
              <w:t>Учебные завед</w:t>
            </w:r>
            <w:r>
              <w:rPr>
                <w:i/>
                <w:sz w:val="17"/>
                <w:lang w:eastAsia="de-DE"/>
              </w:rPr>
              <w:t>е</w:t>
            </w:r>
            <w:r>
              <w:rPr>
                <w:i/>
                <w:sz w:val="17"/>
                <w:lang w:eastAsia="de-DE"/>
              </w:rPr>
              <w:t>ния</w:t>
            </w:r>
          </w:p>
        </w:tc>
        <w:tc>
          <w:tcPr>
            <w:tcW w:w="796" w:type="dxa"/>
            <w:tcBorders>
              <w:top w:val="single" w:sz="6" w:space="0" w:color="auto"/>
              <w:bottom w:val="single" w:sz="6" w:space="0" w:color="auto"/>
            </w:tcBorders>
            <w:shd w:val="clear" w:color="auto" w:fill="808080"/>
            <w:vAlign w:val="bottom"/>
          </w:tcPr>
          <w:p w:rsidR="00000000" w:rsidRDefault="00000000">
            <w:pPr>
              <w:autoSpaceDE w:val="0"/>
              <w:autoSpaceDN w:val="0"/>
              <w:jc w:val="center"/>
              <w:rPr>
                <w:rFonts w:eastAsia="Arial Unicode MS"/>
                <w:i/>
                <w:sz w:val="17"/>
                <w:lang w:eastAsia="de-DE"/>
              </w:rPr>
            </w:pPr>
            <w:r>
              <w:rPr>
                <w:i/>
                <w:sz w:val="17"/>
                <w:lang w:eastAsia="de-DE"/>
              </w:rPr>
              <w:t>Классы</w:t>
            </w:r>
          </w:p>
        </w:tc>
        <w:tc>
          <w:tcPr>
            <w:tcW w:w="2637" w:type="dxa"/>
            <w:gridSpan w:val="3"/>
            <w:tcBorders>
              <w:top w:val="single" w:sz="6" w:space="0" w:color="auto"/>
              <w:bottom w:val="single" w:sz="6" w:space="0" w:color="auto"/>
            </w:tcBorders>
            <w:shd w:val="clear" w:color="auto" w:fill="C0C0C0"/>
            <w:vAlign w:val="bottom"/>
          </w:tcPr>
          <w:p w:rsidR="00000000" w:rsidRDefault="00000000">
            <w:pPr>
              <w:autoSpaceDE w:val="0"/>
              <w:autoSpaceDN w:val="0"/>
              <w:jc w:val="center"/>
              <w:rPr>
                <w:rFonts w:eastAsia="Arial Unicode MS"/>
                <w:i/>
                <w:sz w:val="17"/>
                <w:lang w:eastAsia="de-DE"/>
              </w:rPr>
            </w:pPr>
            <w:r>
              <w:rPr>
                <w:i/>
                <w:sz w:val="17"/>
                <w:lang w:eastAsia="de-DE"/>
              </w:rPr>
              <w:t>Учащиеся,</w:t>
            </w:r>
          </w:p>
        </w:tc>
        <w:tc>
          <w:tcPr>
            <w:tcW w:w="892" w:type="dxa"/>
            <w:tcBorders>
              <w:top w:val="single" w:sz="6" w:space="0" w:color="auto"/>
              <w:bottom w:val="single" w:sz="6" w:space="0" w:color="auto"/>
            </w:tcBorders>
            <w:shd w:val="clear" w:color="auto" w:fill="808080"/>
            <w:vAlign w:val="bottom"/>
          </w:tcPr>
          <w:p w:rsidR="00000000" w:rsidRDefault="00000000">
            <w:pPr>
              <w:autoSpaceDE w:val="0"/>
              <w:autoSpaceDN w:val="0"/>
              <w:jc w:val="center"/>
              <w:rPr>
                <w:rFonts w:eastAsia="Arial Unicode MS"/>
                <w:i/>
                <w:sz w:val="17"/>
                <w:lang w:eastAsia="de-DE"/>
              </w:rPr>
            </w:pPr>
            <w:r>
              <w:rPr>
                <w:i/>
                <w:sz w:val="17"/>
                <w:lang w:eastAsia="de-DE"/>
              </w:rPr>
              <w:t>Учебные завед</w:t>
            </w:r>
            <w:r>
              <w:rPr>
                <w:i/>
                <w:sz w:val="17"/>
                <w:lang w:eastAsia="de-DE"/>
              </w:rPr>
              <w:t>е</w:t>
            </w:r>
            <w:r>
              <w:rPr>
                <w:i/>
                <w:sz w:val="17"/>
                <w:lang w:eastAsia="de-DE"/>
              </w:rPr>
              <w:t>ния</w:t>
            </w:r>
          </w:p>
        </w:tc>
        <w:tc>
          <w:tcPr>
            <w:tcW w:w="796" w:type="dxa"/>
            <w:tcBorders>
              <w:top w:val="single" w:sz="6" w:space="0" w:color="auto"/>
              <w:bottom w:val="single" w:sz="6" w:space="0" w:color="auto"/>
            </w:tcBorders>
            <w:shd w:val="clear" w:color="auto" w:fill="808080"/>
            <w:vAlign w:val="bottom"/>
          </w:tcPr>
          <w:p w:rsidR="00000000" w:rsidRDefault="00000000">
            <w:pPr>
              <w:autoSpaceDE w:val="0"/>
              <w:autoSpaceDN w:val="0"/>
              <w:jc w:val="center"/>
              <w:rPr>
                <w:rFonts w:eastAsia="Arial Unicode MS"/>
                <w:i/>
                <w:sz w:val="17"/>
                <w:lang w:eastAsia="de-DE"/>
              </w:rPr>
            </w:pPr>
            <w:r>
              <w:rPr>
                <w:i/>
                <w:sz w:val="17"/>
                <w:lang w:eastAsia="de-DE"/>
              </w:rPr>
              <w:t>Классы</w:t>
            </w:r>
          </w:p>
        </w:tc>
        <w:tc>
          <w:tcPr>
            <w:tcW w:w="2381" w:type="dxa"/>
            <w:gridSpan w:val="3"/>
            <w:tcBorders>
              <w:top w:val="single" w:sz="6" w:space="0" w:color="auto"/>
              <w:bottom w:val="single" w:sz="6" w:space="0" w:color="auto"/>
            </w:tcBorders>
            <w:shd w:val="clear" w:color="auto" w:fill="C0C0C0"/>
            <w:vAlign w:val="bottom"/>
          </w:tcPr>
          <w:p w:rsidR="00000000" w:rsidRDefault="00000000">
            <w:pPr>
              <w:autoSpaceDE w:val="0"/>
              <w:autoSpaceDN w:val="0"/>
              <w:jc w:val="center"/>
              <w:rPr>
                <w:rFonts w:eastAsia="Arial Unicode MS"/>
                <w:i/>
                <w:sz w:val="17"/>
                <w:lang w:eastAsia="de-DE"/>
              </w:rPr>
            </w:pPr>
            <w:r>
              <w:rPr>
                <w:i/>
                <w:sz w:val="17"/>
                <w:lang w:eastAsia="de-DE"/>
              </w:rPr>
              <w:t>Учащиеся</w:t>
            </w:r>
          </w:p>
        </w:tc>
      </w:tr>
      <w:tr w:rsidR="00000000">
        <w:tblPrEx>
          <w:tblCellMar>
            <w:top w:w="0" w:type="dxa"/>
            <w:bottom w:w="0" w:type="dxa"/>
          </w:tblCellMar>
        </w:tblPrEx>
        <w:trPr>
          <w:cantSplit/>
        </w:trPr>
        <w:tc>
          <w:tcPr>
            <w:tcW w:w="3936" w:type="dxa"/>
            <w:vMerge/>
            <w:tcBorders>
              <w:bottom w:val="single" w:sz="12" w:space="0" w:color="auto"/>
            </w:tcBorders>
          </w:tcPr>
          <w:p w:rsidR="00000000" w:rsidRDefault="00000000">
            <w:pPr>
              <w:tabs>
                <w:tab w:val="left" w:pos="284"/>
              </w:tabs>
              <w:autoSpaceDE w:val="0"/>
              <w:autoSpaceDN w:val="0"/>
              <w:jc w:val="right"/>
              <w:rPr>
                <w:rFonts w:eastAsia="Arial Unicode MS"/>
                <w:sz w:val="17"/>
                <w:lang w:eastAsia="de-DE"/>
              </w:rPr>
            </w:pPr>
          </w:p>
        </w:tc>
        <w:tc>
          <w:tcPr>
            <w:tcW w:w="978" w:type="dxa"/>
            <w:tcBorders>
              <w:top w:val="single" w:sz="6" w:space="0" w:color="auto"/>
              <w:bottom w:val="single" w:sz="12" w:space="0" w:color="auto"/>
            </w:tcBorders>
            <w:shd w:val="clear" w:color="auto" w:fill="808080"/>
            <w:vAlign w:val="bottom"/>
          </w:tcPr>
          <w:p w:rsidR="00000000" w:rsidRDefault="00000000">
            <w:pPr>
              <w:autoSpaceDE w:val="0"/>
              <w:autoSpaceDN w:val="0"/>
              <w:jc w:val="center"/>
              <w:rPr>
                <w:rFonts w:eastAsia="Arial Unicode MS"/>
                <w:i/>
                <w:sz w:val="17"/>
                <w:lang w:eastAsia="de-DE"/>
              </w:rPr>
            </w:pPr>
          </w:p>
        </w:tc>
        <w:tc>
          <w:tcPr>
            <w:tcW w:w="796" w:type="dxa"/>
            <w:tcBorders>
              <w:top w:val="single" w:sz="6" w:space="0" w:color="auto"/>
              <w:bottom w:val="single" w:sz="12" w:space="0" w:color="auto"/>
            </w:tcBorders>
            <w:shd w:val="clear" w:color="auto" w:fill="808080"/>
            <w:vAlign w:val="bottom"/>
          </w:tcPr>
          <w:p w:rsidR="00000000" w:rsidRDefault="00000000">
            <w:pPr>
              <w:autoSpaceDE w:val="0"/>
              <w:autoSpaceDN w:val="0"/>
              <w:jc w:val="center"/>
              <w:rPr>
                <w:rFonts w:eastAsia="Arial Unicode MS"/>
                <w:i/>
                <w:sz w:val="17"/>
                <w:lang w:eastAsia="de-DE"/>
              </w:rPr>
            </w:pPr>
          </w:p>
        </w:tc>
        <w:tc>
          <w:tcPr>
            <w:tcW w:w="952" w:type="dxa"/>
            <w:tcBorders>
              <w:top w:val="single" w:sz="6" w:space="0" w:color="auto"/>
              <w:bottom w:val="single" w:sz="12" w:space="0" w:color="auto"/>
            </w:tcBorders>
            <w:shd w:val="clear" w:color="auto" w:fill="C0C0C0"/>
            <w:vAlign w:val="bottom"/>
          </w:tcPr>
          <w:p w:rsidR="00000000" w:rsidRDefault="00000000">
            <w:pPr>
              <w:autoSpaceDE w:val="0"/>
              <w:autoSpaceDN w:val="0"/>
              <w:jc w:val="center"/>
              <w:rPr>
                <w:rFonts w:eastAsia="Arial Unicode MS"/>
                <w:i/>
                <w:sz w:val="17"/>
                <w:lang w:eastAsia="de-DE"/>
              </w:rPr>
            </w:pPr>
            <w:r>
              <w:rPr>
                <w:rFonts w:eastAsia="Arial Unicode MS"/>
                <w:i/>
                <w:sz w:val="17"/>
                <w:lang w:eastAsia="de-DE"/>
              </w:rPr>
              <w:t>Всего</w:t>
            </w:r>
          </w:p>
        </w:tc>
        <w:tc>
          <w:tcPr>
            <w:tcW w:w="813" w:type="dxa"/>
            <w:tcBorders>
              <w:top w:val="single" w:sz="6" w:space="0" w:color="auto"/>
              <w:bottom w:val="single" w:sz="12" w:space="0" w:color="auto"/>
            </w:tcBorders>
            <w:shd w:val="clear" w:color="auto" w:fill="FFFFFF"/>
            <w:vAlign w:val="bottom"/>
          </w:tcPr>
          <w:p w:rsidR="00000000" w:rsidRDefault="00000000">
            <w:pPr>
              <w:autoSpaceDE w:val="0"/>
              <w:autoSpaceDN w:val="0"/>
              <w:jc w:val="center"/>
              <w:rPr>
                <w:rFonts w:eastAsia="Arial Unicode MS"/>
                <w:i/>
                <w:sz w:val="17"/>
                <w:lang w:eastAsia="de-DE"/>
              </w:rPr>
            </w:pPr>
            <w:r>
              <w:rPr>
                <w:i/>
                <w:sz w:val="17"/>
                <w:lang w:eastAsia="de-DE"/>
              </w:rPr>
              <w:t>из к</w:t>
            </w:r>
            <w:r>
              <w:rPr>
                <w:i/>
                <w:sz w:val="17"/>
                <w:lang w:eastAsia="de-DE"/>
              </w:rPr>
              <w:t>о</w:t>
            </w:r>
            <w:r>
              <w:rPr>
                <w:i/>
                <w:sz w:val="17"/>
                <w:lang w:eastAsia="de-DE"/>
              </w:rPr>
              <w:t>торых же</w:t>
            </w:r>
            <w:r>
              <w:rPr>
                <w:i/>
                <w:sz w:val="17"/>
                <w:lang w:eastAsia="de-DE"/>
              </w:rPr>
              <w:t>н</w:t>
            </w:r>
            <w:r>
              <w:rPr>
                <w:i/>
                <w:sz w:val="17"/>
                <w:lang w:eastAsia="de-DE"/>
              </w:rPr>
              <w:t>щин</w:t>
            </w:r>
          </w:p>
        </w:tc>
        <w:tc>
          <w:tcPr>
            <w:tcW w:w="872" w:type="dxa"/>
            <w:tcBorders>
              <w:top w:val="single" w:sz="6" w:space="0" w:color="auto"/>
              <w:bottom w:val="single" w:sz="12" w:space="0" w:color="auto"/>
            </w:tcBorders>
            <w:shd w:val="clear" w:color="auto" w:fill="FFFFFF"/>
            <w:vAlign w:val="bottom"/>
          </w:tcPr>
          <w:p w:rsidR="00000000" w:rsidRDefault="00000000">
            <w:pPr>
              <w:autoSpaceDE w:val="0"/>
              <w:autoSpaceDN w:val="0"/>
              <w:jc w:val="center"/>
              <w:rPr>
                <w:i/>
                <w:sz w:val="17"/>
                <w:lang w:eastAsia="de-DE"/>
              </w:rPr>
            </w:pPr>
            <w:r>
              <w:rPr>
                <w:i/>
                <w:sz w:val="17"/>
                <w:lang w:eastAsia="de-DE"/>
              </w:rPr>
              <w:t>%</w:t>
            </w:r>
          </w:p>
          <w:p w:rsidR="00000000" w:rsidRDefault="00000000">
            <w:pPr>
              <w:autoSpaceDE w:val="0"/>
              <w:autoSpaceDN w:val="0"/>
              <w:jc w:val="center"/>
              <w:rPr>
                <w:rFonts w:eastAsia="Arial Unicode MS"/>
                <w:i/>
                <w:sz w:val="17"/>
                <w:lang w:eastAsia="de-DE"/>
              </w:rPr>
            </w:pPr>
            <w:r>
              <w:rPr>
                <w:i/>
                <w:sz w:val="17"/>
                <w:lang w:eastAsia="de-DE"/>
              </w:rPr>
              <w:t>жен-</w:t>
            </w:r>
            <w:r>
              <w:rPr>
                <w:i/>
                <w:sz w:val="17"/>
                <w:lang w:eastAsia="de-DE"/>
              </w:rPr>
              <w:br/>
              <w:t>щин</w:t>
            </w:r>
          </w:p>
        </w:tc>
        <w:tc>
          <w:tcPr>
            <w:tcW w:w="892" w:type="dxa"/>
            <w:tcBorders>
              <w:top w:val="single" w:sz="6" w:space="0" w:color="auto"/>
              <w:bottom w:val="single" w:sz="12" w:space="0" w:color="auto"/>
            </w:tcBorders>
            <w:shd w:val="clear" w:color="auto" w:fill="808080"/>
            <w:vAlign w:val="bottom"/>
          </w:tcPr>
          <w:p w:rsidR="00000000" w:rsidRDefault="00000000">
            <w:pPr>
              <w:autoSpaceDE w:val="0"/>
              <w:autoSpaceDN w:val="0"/>
              <w:jc w:val="center"/>
              <w:rPr>
                <w:rFonts w:eastAsia="Arial Unicode MS"/>
                <w:i/>
                <w:sz w:val="17"/>
                <w:lang w:eastAsia="de-DE"/>
              </w:rPr>
            </w:pPr>
          </w:p>
        </w:tc>
        <w:tc>
          <w:tcPr>
            <w:tcW w:w="796" w:type="dxa"/>
            <w:tcBorders>
              <w:top w:val="single" w:sz="6" w:space="0" w:color="auto"/>
              <w:bottom w:val="single" w:sz="12" w:space="0" w:color="auto"/>
            </w:tcBorders>
            <w:shd w:val="clear" w:color="auto" w:fill="808080"/>
            <w:vAlign w:val="bottom"/>
          </w:tcPr>
          <w:p w:rsidR="00000000" w:rsidRDefault="00000000">
            <w:pPr>
              <w:autoSpaceDE w:val="0"/>
              <w:autoSpaceDN w:val="0"/>
              <w:jc w:val="center"/>
              <w:rPr>
                <w:rFonts w:eastAsia="Arial Unicode MS"/>
                <w:i/>
                <w:sz w:val="17"/>
                <w:lang w:eastAsia="de-DE"/>
              </w:rPr>
            </w:pPr>
          </w:p>
        </w:tc>
        <w:tc>
          <w:tcPr>
            <w:tcW w:w="952" w:type="dxa"/>
            <w:tcBorders>
              <w:top w:val="single" w:sz="6" w:space="0" w:color="auto"/>
              <w:bottom w:val="single" w:sz="12" w:space="0" w:color="auto"/>
            </w:tcBorders>
            <w:shd w:val="clear" w:color="auto" w:fill="C0C0C0"/>
            <w:vAlign w:val="bottom"/>
          </w:tcPr>
          <w:p w:rsidR="00000000" w:rsidRDefault="00000000">
            <w:pPr>
              <w:autoSpaceDE w:val="0"/>
              <w:autoSpaceDN w:val="0"/>
              <w:jc w:val="center"/>
              <w:rPr>
                <w:rFonts w:eastAsia="Arial Unicode MS"/>
                <w:i/>
                <w:sz w:val="17"/>
                <w:lang w:eastAsia="de-DE"/>
              </w:rPr>
            </w:pPr>
            <w:r>
              <w:rPr>
                <w:rFonts w:eastAsia="Arial Unicode MS"/>
                <w:i/>
                <w:sz w:val="17"/>
                <w:lang w:eastAsia="de-DE"/>
              </w:rPr>
              <w:t>Всего</w:t>
            </w:r>
          </w:p>
        </w:tc>
        <w:tc>
          <w:tcPr>
            <w:tcW w:w="813" w:type="dxa"/>
            <w:tcBorders>
              <w:top w:val="single" w:sz="6" w:space="0" w:color="auto"/>
              <w:bottom w:val="single" w:sz="12" w:space="0" w:color="auto"/>
            </w:tcBorders>
            <w:shd w:val="clear" w:color="auto" w:fill="FFFFFF"/>
            <w:vAlign w:val="bottom"/>
          </w:tcPr>
          <w:p w:rsidR="00000000" w:rsidRDefault="00000000">
            <w:pPr>
              <w:autoSpaceDE w:val="0"/>
              <w:autoSpaceDN w:val="0"/>
              <w:jc w:val="center"/>
              <w:rPr>
                <w:rFonts w:eastAsia="Arial Unicode MS"/>
                <w:i/>
                <w:sz w:val="17"/>
                <w:lang w:eastAsia="de-DE"/>
              </w:rPr>
            </w:pPr>
            <w:r>
              <w:rPr>
                <w:i/>
                <w:sz w:val="17"/>
                <w:lang w:eastAsia="de-DE"/>
              </w:rPr>
              <w:t>из к</w:t>
            </w:r>
            <w:r>
              <w:rPr>
                <w:i/>
                <w:sz w:val="17"/>
                <w:lang w:eastAsia="de-DE"/>
              </w:rPr>
              <w:t>о</w:t>
            </w:r>
            <w:r>
              <w:rPr>
                <w:i/>
                <w:sz w:val="17"/>
                <w:lang w:eastAsia="de-DE"/>
              </w:rPr>
              <w:t>торых же</w:t>
            </w:r>
            <w:r>
              <w:rPr>
                <w:i/>
                <w:sz w:val="17"/>
                <w:lang w:eastAsia="de-DE"/>
              </w:rPr>
              <w:t>н</w:t>
            </w:r>
            <w:r>
              <w:rPr>
                <w:i/>
                <w:sz w:val="17"/>
                <w:lang w:eastAsia="de-DE"/>
              </w:rPr>
              <w:t>щин</w:t>
            </w:r>
          </w:p>
        </w:tc>
        <w:tc>
          <w:tcPr>
            <w:tcW w:w="616" w:type="dxa"/>
            <w:tcBorders>
              <w:top w:val="single" w:sz="6" w:space="0" w:color="auto"/>
              <w:bottom w:val="single" w:sz="12" w:space="0" w:color="auto"/>
            </w:tcBorders>
            <w:shd w:val="clear" w:color="auto" w:fill="FFFFFF"/>
            <w:vAlign w:val="bottom"/>
          </w:tcPr>
          <w:p w:rsidR="00000000" w:rsidRDefault="00000000">
            <w:pPr>
              <w:autoSpaceDE w:val="0"/>
              <w:autoSpaceDN w:val="0"/>
              <w:jc w:val="center"/>
              <w:rPr>
                <w:rFonts w:eastAsia="Arial Unicode MS"/>
                <w:i/>
                <w:sz w:val="17"/>
                <w:lang w:eastAsia="de-DE"/>
              </w:rPr>
            </w:pPr>
            <w:r>
              <w:rPr>
                <w:i/>
                <w:sz w:val="17"/>
                <w:lang w:eastAsia="de-DE"/>
              </w:rPr>
              <w:t>% женщин</w:t>
            </w:r>
          </w:p>
        </w:tc>
      </w:tr>
      <w:tr w:rsidR="00000000">
        <w:tblPrEx>
          <w:tblCellMar>
            <w:top w:w="0" w:type="dxa"/>
            <w:bottom w:w="0" w:type="dxa"/>
          </w:tblCellMar>
        </w:tblPrEx>
        <w:tc>
          <w:tcPr>
            <w:tcW w:w="3936" w:type="dxa"/>
            <w:tcBorders>
              <w:top w:val="single" w:sz="12" w:space="0" w:color="auto"/>
            </w:tcBorders>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Начальные школы</w:t>
            </w:r>
          </w:p>
        </w:tc>
        <w:tc>
          <w:tcPr>
            <w:tcW w:w="978" w:type="dxa"/>
            <w:tcBorders>
              <w:top w:val="single" w:sz="12" w:space="0" w:color="auto"/>
            </w:tcBorders>
            <w:shd w:val="clear" w:color="auto" w:fill="808080"/>
            <w:vAlign w:val="bottom"/>
          </w:tcPr>
          <w:p w:rsidR="00000000" w:rsidRDefault="00000000">
            <w:pPr>
              <w:pStyle w:val="Header"/>
              <w:tabs>
                <w:tab w:val="clear" w:pos="4320"/>
                <w:tab w:val="clear" w:pos="8640"/>
                <w:tab w:val="decimal" w:pos="567"/>
              </w:tabs>
              <w:autoSpaceDE w:val="0"/>
              <w:autoSpaceDN w:val="0"/>
              <w:spacing w:line="200" w:lineRule="exact"/>
              <w:rPr>
                <w:rFonts w:eastAsia="Arial Unicode MS"/>
                <w:noProof w:val="0"/>
                <w:spacing w:val="4"/>
                <w:w w:val="103"/>
                <w:kern w:val="14"/>
                <w:lang w:eastAsia="de-DE"/>
              </w:rPr>
            </w:pPr>
            <w:r>
              <w:rPr>
                <w:noProof w:val="0"/>
                <w:spacing w:val="4"/>
                <w:w w:val="103"/>
                <w:kern w:val="14"/>
                <w:lang w:eastAsia="de-DE"/>
              </w:rPr>
              <w:t>3 364</w:t>
            </w:r>
          </w:p>
        </w:tc>
        <w:tc>
          <w:tcPr>
            <w:tcW w:w="796" w:type="dxa"/>
            <w:tcBorders>
              <w:top w:val="single" w:sz="12" w:space="0" w:color="auto"/>
            </w:tcBorders>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19 844</w:t>
            </w:r>
          </w:p>
        </w:tc>
        <w:tc>
          <w:tcPr>
            <w:tcW w:w="952" w:type="dxa"/>
            <w:tcBorders>
              <w:top w:val="single" w:sz="12" w:space="0" w:color="auto"/>
            </w:tcBorders>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393 460</w:t>
            </w:r>
          </w:p>
        </w:tc>
        <w:tc>
          <w:tcPr>
            <w:tcW w:w="813" w:type="dxa"/>
            <w:tcBorders>
              <w:top w:val="single" w:sz="12" w:space="0" w:color="auto"/>
            </w:tcBorders>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190 280</w:t>
            </w:r>
          </w:p>
        </w:tc>
        <w:tc>
          <w:tcPr>
            <w:tcW w:w="872" w:type="dxa"/>
            <w:tcBorders>
              <w:top w:val="single" w:sz="12" w:space="0" w:color="auto"/>
            </w:tcBorders>
            <w:shd w:val="clear" w:color="auto" w:fill="FFFFFF"/>
            <w:vAlign w:val="bottom"/>
          </w:tcPr>
          <w:p w:rsidR="00000000" w:rsidRDefault="00000000">
            <w:pPr>
              <w:pStyle w:val="Header"/>
              <w:tabs>
                <w:tab w:val="clear" w:pos="4320"/>
                <w:tab w:val="clear" w:pos="8640"/>
                <w:tab w:val="decimal" w:pos="322"/>
              </w:tabs>
              <w:autoSpaceDE w:val="0"/>
              <w:autoSpaceDN w:val="0"/>
              <w:spacing w:line="200" w:lineRule="exact"/>
              <w:rPr>
                <w:rFonts w:eastAsia="Arial Unicode MS"/>
                <w:noProof w:val="0"/>
                <w:spacing w:val="4"/>
                <w:w w:val="103"/>
                <w:kern w:val="14"/>
                <w:lang w:eastAsia="de-DE"/>
              </w:rPr>
            </w:pPr>
            <w:r>
              <w:rPr>
                <w:noProof w:val="0"/>
                <w:spacing w:val="4"/>
                <w:w w:val="103"/>
                <w:kern w:val="14"/>
                <w:lang w:eastAsia="de-DE"/>
              </w:rPr>
              <w:t>48,4</w:t>
            </w:r>
          </w:p>
        </w:tc>
        <w:tc>
          <w:tcPr>
            <w:tcW w:w="892" w:type="dxa"/>
            <w:tcBorders>
              <w:top w:val="single" w:sz="12" w:space="0" w:color="auto"/>
            </w:tcBorders>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3 384</w:t>
            </w:r>
          </w:p>
        </w:tc>
        <w:tc>
          <w:tcPr>
            <w:tcW w:w="796" w:type="dxa"/>
            <w:tcBorders>
              <w:top w:val="single" w:sz="12" w:space="0" w:color="auto"/>
            </w:tcBorders>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19 820</w:t>
            </w:r>
          </w:p>
        </w:tc>
        <w:tc>
          <w:tcPr>
            <w:tcW w:w="952" w:type="dxa"/>
            <w:tcBorders>
              <w:top w:val="single" w:sz="12" w:space="0" w:color="auto"/>
            </w:tcBorders>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393 586</w:t>
            </w:r>
          </w:p>
        </w:tc>
        <w:tc>
          <w:tcPr>
            <w:tcW w:w="813" w:type="dxa"/>
            <w:tcBorders>
              <w:top w:val="single" w:sz="12" w:space="0" w:color="auto"/>
            </w:tcBorders>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190 517</w:t>
            </w:r>
          </w:p>
        </w:tc>
        <w:tc>
          <w:tcPr>
            <w:tcW w:w="616" w:type="dxa"/>
            <w:tcBorders>
              <w:top w:val="single" w:sz="12" w:space="0" w:color="auto"/>
            </w:tcBorders>
            <w:shd w:val="clear" w:color="auto" w:fill="FFFFFF"/>
            <w:vAlign w:val="bottom"/>
          </w:tcPr>
          <w:p w:rsidR="00000000" w:rsidRDefault="00000000">
            <w:pPr>
              <w:pStyle w:val="Header"/>
              <w:tabs>
                <w:tab w:val="clear" w:pos="4320"/>
                <w:tab w:val="clear" w:pos="8640"/>
                <w:tab w:val="decimal" w:pos="249"/>
              </w:tabs>
              <w:autoSpaceDE w:val="0"/>
              <w:autoSpaceDN w:val="0"/>
              <w:spacing w:line="200" w:lineRule="exact"/>
              <w:rPr>
                <w:rFonts w:eastAsia="Arial Unicode MS"/>
                <w:noProof w:val="0"/>
                <w:spacing w:val="4"/>
                <w:w w:val="103"/>
                <w:kern w:val="14"/>
                <w:lang w:eastAsia="de-DE"/>
              </w:rPr>
            </w:pPr>
            <w:r>
              <w:rPr>
                <w:noProof w:val="0"/>
                <w:spacing w:val="4"/>
                <w:w w:val="103"/>
                <w:kern w:val="14"/>
                <w:lang w:eastAsia="de-DE"/>
              </w:rPr>
              <w:t>48,4</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Средние общеобразовательные школы</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1 180</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11 451</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261 875</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125 064</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47,8</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1 183</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11 529</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263 546</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125 425</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47,6</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Специальные школы</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296</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2 035</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14 521</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5 465</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37,6</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402</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1 984</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13 602</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4 961</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36,5</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 xml:space="preserve">Год допрофессиональной подготовки </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171</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903</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20 050</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6 798</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33,9</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313</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885</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19 594</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6 692</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34,2</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b/>
                <w:sz w:val="17"/>
                <w:lang w:eastAsia="de-DE"/>
              </w:rPr>
            </w:pPr>
            <w:r>
              <w:rPr>
                <w:b/>
                <w:sz w:val="17"/>
                <w:lang w:eastAsia="de-DE"/>
              </w:rPr>
              <w:t>Обязательные школы, всего</w:t>
            </w:r>
            <w:r>
              <w:rPr>
                <w:b/>
                <w:sz w:val="17"/>
                <w:vertAlign w:val="superscript"/>
                <w:lang w:eastAsia="de-DE"/>
              </w:rPr>
              <w:t>2</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5 067</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34 558</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695 515</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330 333</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47,5</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5 003</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34 218</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690 328</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327 595</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47,5</w:t>
            </w:r>
          </w:p>
        </w:tc>
      </w:tr>
      <w:tr w:rsidR="00000000">
        <w:tblPrEx>
          <w:tblCellMar>
            <w:top w:w="0" w:type="dxa"/>
            <w:bottom w:w="0" w:type="dxa"/>
          </w:tblCellMar>
        </w:tblPrEx>
        <w:tc>
          <w:tcPr>
            <w:tcW w:w="3936" w:type="dxa"/>
            <w:vAlign w:val="bottom"/>
          </w:tcPr>
          <w:p w:rsidR="00000000" w:rsidRDefault="00000000">
            <w:pPr>
              <w:tabs>
                <w:tab w:val="left" w:pos="284"/>
                <w:tab w:val="left" w:pos="2835"/>
              </w:tabs>
              <w:autoSpaceDE w:val="0"/>
              <w:autoSpaceDN w:val="0"/>
              <w:jc w:val="both"/>
              <w:rPr>
                <w:rFonts w:eastAsia="Arial Unicode MS"/>
                <w:b/>
                <w:sz w:val="17"/>
                <w:lang w:eastAsia="de-DE"/>
              </w:rPr>
            </w:pPr>
            <w:r>
              <w:rPr>
                <w:b/>
                <w:sz w:val="17"/>
                <w:lang w:eastAsia="de-DE"/>
              </w:rPr>
              <w:t>Старшие классы общеобразовательных средних школ,</w:t>
            </w:r>
            <w:r>
              <w:rPr>
                <w:b/>
                <w:sz w:val="17"/>
                <w:lang w:eastAsia="de-DE"/>
              </w:rPr>
              <w:tab/>
              <w:t>вс</w:t>
            </w:r>
            <w:r>
              <w:rPr>
                <w:b/>
                <w:sz w:val="17"/>
                <w:lang w:eastAsia="de-DE"/>
              </w:rPr>
              <w:t>е</w:t>
            </w:r>
            <w:r>
              <w:rPr>
                <w:b/>
                <w:sz w:val="17"/>
                <w:lang w:eastAsia="de-DE"/>
              </w:rPr>
              <w:t>го</w:t>
            </w:r>
            <w:r>
              <w:rPr>
                <w:b/>
                <w:sz w:val="17"/>
                <w:vertAlign w:val="superscript"/>
                <w:lang w:eastAsia="de-DE"/>
              </w:rPr>
              <w:t>2</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326</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7 496</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185 091</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100 312</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54,2</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325</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7 535</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184 713</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100 051</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54,2</w:t>
            </w:r>
          </w:p>
        </w:tc>
      </w:tr>
      <w:tr w:rsidR="00000000">
        <w:tblPrEx>
          <w:tblCellMar>
            <w:top w:w="0" w:type="dxa"/>
            <w:bottom w:w="0" w:type="dxa"/>
          </w:tblCellMar>
        </w:tblPrEx>
        <w:tc>
          <w:tcPr>
            <w:tcW w:w="3936" w:type="dxa"/>
            <w:vAlign w:val="center"/>
          </w:tcPr>
          <w:p w:rsidR="00000000" w:rsidRDefault="00000000">
            <w:pPr>
              <w:tabs>
                <w:tab w:val="left" w:pos="284"/>
              </w:tabs>
              <w:autoSpaceDE w:val="0"/>
              <w:autoSpaceDN w:val="0"/>
              <w:jc w:val="both"/>
              <w:rPr>
                <w:rFonts w:eastAsia="Arial Unicode MS"/>
                <w:b/>
                <w:sz w:val="17"/>
                <w:lang w:eastAsia="de-DE"/>
              </w:rPr>
            </w:pPr>
            <w:r>
              <w:rPr>
                <w:b/>
                <w:sz w:val="17"/>
                <w:lang w:eastAsia="de-DE"/>
              </w:rPr>
              <w:t>Общеобразовательные школы, всего</w:t>
            </w:r>
            <w:r>
              <w:rPr>
                <w:b/>
                <w:sz w:val="17"/>
                <w:lang w:val="en-GB" w:eastAsia="de-DE"/>
              </w:rPr>
              <w:t>l</w:t>
            </w:r>
            <w:r>
              <w:rPr>
                <w:b/>
                <w:sz w:val="17"/>
                <w:vertAlign w:val="superscript"/>
                <w:lang w:eastAsia="de-DE"/>
              </w:rPr>
              <w:t>2</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5 393</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42 054</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880 606</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430 645</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48,9</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5 328</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41 753</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875 041</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427 646</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48,9</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b/>
                <w:sz w:val="17"/>
                <w:lang w:eastAsia="de-DE"/>
              </w:rPr>
            </w:pPr>
            <w:r>
              <w:rPr>
                <w:b/>
                <w:sz w:val="17"/>
                <w:lang w:eastAsia="de-DE"/>
              </w:rPr>
              <w:t>Профессионально-технические училища</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182</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5 625</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132 942</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44 728</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33,6</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182</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5 627</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132 942</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44 728</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33,6</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 xml:space="preserve">Техника, ремесла и искусство </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163</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773</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15 679</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3 795</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24,2</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135</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709</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14 948</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3 229</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21,6</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 xml:space="preserve">Бизнес </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121</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588</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13 652</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8 329</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61,0</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112</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533</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12 470</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7 915</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63,5</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Домоводство и торговля</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152</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452</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10 267</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9 656</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94,0</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98</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422</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9 711</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9 023</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92,9</w:t>
            </w:r>
          </w:p>
        </w:tc>
      </w:tr>
      <w:tr w:rsidR="00000000">
        <w:tblPrEx>
          <w:tblCellMar>
            <w:top w:w="0" w:type="dxa"/>
            <w:bottom w:w="0" w:type="dxa"/>
          </w:tblCellMar>
        </w:tblPrEx>
        <w:tc>
          <w:tcPr>
            <w:tcW w:w="3936" w:type="dxa"/>
            <w:vAlign w:val="bottom"/>
          </w:tcPr>
          <w:p w:rsidR="00000000" w:rsidRDefault="00000000">
            <w:pPr>
              <w:tabs>
                <w:tab w:val="left" w:pos="284"/>
              </w:tabs>
              <w:overflowPunct w:val="0"/>
              <w:autoSpaceDE w:val="0"/>
              <w:autoSpaceDN w:val="0"/>
              <w:adjustRightInd w:val="0"/>
              <w:jc w:val="both"/>
              <w:textAlignment w:val="baseline"/>
              <w:rPr>
                <w:sz w:val="17"/>
                <w:lang w:eastAsia="de-DE"/>
              </w:rPr>
            </w:pPr>
            <w:r>
              <w:rPr>
                <w:sz w:val="17"/>
                <w:lang w:eastAsia="de-DE"/>
              </w:rPr>
              <w:tab/>
              <w:t>Социальное попечение</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172</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550</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14 661</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12 338</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84,2</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14</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63</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1 461</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1 364</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93,4</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Сельское и лесное хозяйство</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106</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434</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10 200</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4 900</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48,0</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106</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439</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10 200</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4 900</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48,0</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b/>
                <w:sz w:val="17"/>
                <w:lang w:eastAsia="de-DE"/>
              </w:rPr>
            </w:pPr>
            <w:r>
              <w:rPr>
                <w:b/>
                <w:sz w:val="17"/>
                <w:lang w:eastAsia="de-DE"/>
              </w:rPr>
              <w:t>Промежуточные профессионально-технические училища</w:t>
            </w:r>
            <w:r>
              <w:rPr>
                <w:b/>
                <w:sz w:val="17"/>
                <w:vertAlign w:val="superscript"/>
                <w:lang w:eastAsia="de-DE"/>
              </w:rPr>
              <w:t>2</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714</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2 797</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64 459</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39 018</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60,5</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447</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2 166</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48 790</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26 431</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54,2</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 xml:space="preserve">Техника, ремесла и искусство </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134</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2 210</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54 322</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12 432</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22,9</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100</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2 265</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55 902</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13 159</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23,5</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Бизнес</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122</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1 654</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41 048</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25 191</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61,4</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108</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1 662</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41 489</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25 741</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62,0</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 xml:space="preserve">Домоводство и торговля </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72</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868</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22 463</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21 244</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94,6</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73</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912</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22 939</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21 611</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94,2</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sz w:val="17"/>
                <w:lang w:eastAsia="de-DE"/>
              </w:rPr>
            </w:pPr>
            <w:r>
              <w:rPr>
                <w:sz w:val="17"/>
                <w:lang w:eastAsia="de-DE"/>
              </w:rPr>
              <w:tab/>
              <w:t>Сельское и лесное хозяйство</w:t>
            </w:r>
          </w:p>
        </w:tc>
        <w:tc>
          <w:tcPr>
            <w:tcW w:w="978"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13</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122</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3 375</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1 350</w:t>
            </w:r>
          </w:p>
        </w:tc>
        <w:tc>
          <w:tcPr>
            <w:tcW w:w="872" w:type="dxa"/>
            <w:shd w:val="clear" w:color="auto" w:fill="FFFFFF"/>
            <w:vAlign w:val="bottom"/>
          </w:tcPr>
          <w:p w:rsidR="00000000" w:rsidRDefault="00000000">
            <w:pPr>
              <w:tabs>
                <w:tab w:val="decimal" w:pos="322"/>
              </w:tabs>
              <w:autoSpaceDE w:val="0"/>
              <w:autoSpaceDN w:val="0"/>
              <w:rPr>
                <w:rFonts w:eastAsia="Arial Unicode MS"/>
                <w:sz w:val="17"/>
                <w:lang w:eastAsia="de-DE"/>
              </w:rPr>
            </w:pPr>
            <w:r>
              <w:rPr>
                <w:sz w:val="17"/>
                <w:lang w:eastAsia="de-DE"/>
              </w:rPr>
              <w:t>40,0</w:t>
            </w:r>
          </w:p>
        </w:tc>
        <w:tc>
          <w:tcPr>
            <w:tcW w:w="892"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13</w:t>
            </w:r>
          </w:p>
        </w:tc>
        <w:tc>
          <w:tcPr>
            <w:tcW w:w="796" w:type="dxa"/>
            <w:shd w:val="clear" w:color="auto" w:fill="808080"/>
            <w:vAlign w:val="bottom"/>
          </w:tcPr>
          <w:p w:rsidR="00000000" w:rsidRDefault="00000000">
            <w:pPr>
              <w:tabs>
                <w:tab w:val="decimal" w:pos="567"/>
              </w:tabs>
              <w:autoSpaceDE w:val="0"/>
              <w:autoSpaceDN w:val="0"/>
              <w:rPr>
                <w:rFonts w:eastAsia="Arial Unicode MS"/>
                <w:sz w:val="17"/>
                <w:lang w:eastAsia="de-DE"/>
              </w:rPr>
            </w:pPr>
            <w:r>
              <w:rPr>
                <w:sz w:val="17"/>
                <w:lang w:eastAsia="de-DE"/>
              </w:rPr>
              <w:t>124</w:t>
            </w:r>
          </w:p>
        </w:tc>
        <w:tc>
          <w:tcPr>
            <w:tcW w:w="952" w:type="dxa"/>
            <w:shd w:val="clear" w:color="auto" w:fill="C0C0C0"/>
            <w:vAlign w:val="bottom"/>
          </w:tcPr>
          <w:p w:rsidR="00000000" w:rsidRDefault="00000000">
            <w:pPr>
              <w:tabs>
                <w:tab w:val="decimal" w:pos="567"/>
              </w:tabs>
              <w:autoSpaceDE w:val="0"/>
              <w:autoSpaceDN w:val="0"/>
              <w:rPr>
                <w:rFonts w:eastAsia="Arial Unicode MS"/>
                <w:sz w:val="17"/>
                <w:lang w:eastAsia="de-DE"/>
              </w:rPr>
            </w:pPr>
            <w:r>
              <w:rPr>
                <w:sz w:val="17"/>
                <w:lang w:eastAsia="de-DE"/>
              </w:rPr>
              <w:t>3 375</w:t>
            </w:r>
          </w:p>
        </w:tc>
        <w:tc>
          <w:tcPr>
            <w:tcW w:w="813" w:type="dxa"/>
            <w:shd w:val="clear" w:color="auto" w:fill="FFFFFF"/>
            <w:vAlign w:val="bottom"/>
          </w:tcPr>
          <w:p w:rsidR="00000000" w:rsidRDefault="00000000">
            <w:pPr>
              <w:tabs>
                <w:tab w:val="decimal" w:pos="567"/>
              </w:tabs>
              <w:autoSpaceDE w:val="0"/>
              <w:autoSpaceDN w:val="0"/>
              <w:rPr>
                <w:rFonts w:eastAsia="Arial Unicode MS"/>
                <w:sz w:val="17"/>
                <w:lang w:eastAsia="de-DE"/>
              </w:rPr>
            </w:pPr>
            <w:r>
              <w:rPr>
                <w:sz w:val="17"/>
                <w:lang w:eastAsia="de-DE"/>
              </w:rPr>
              <w:t>1 350</w:t>
            </w:r>
          </w:p>
        </w:tc>
        <w:tc>
          <w:tcPr>
            <w:tcW w:w="616" w:type="dxa"/>
            <w:shd w:val="clear" w:color="auto" w:fill="FFFFFF"/>
            <w:vAlign w:val="bottom"/>
          </w:tcPr>
          <w:p w:rsidR="00000000" w:rsidRDefault="00000000">
            <w:pPr>
              <w:tabs>
                <w:tab w:val="decimal" w:pos="249"/>
              </w:tabs>
              <w:autoSpaceDE w:val="0"/>
              <w:autoSpaceDN w:val="0"/>
              <w:rPr>
                <w:rFonts w:eastAsia="Arial Unicode MS"/>
                <w:sz w:val="17"/>
                <w:lang w:eastAsia="de-DE"/>
              </w:rPr>
            </w:pPr>
            <w:r>
              <w:rPr>
                <w:sz w:val="17"/>
                <w:lang w:eastAsia="de-DE"/>
              </w:rPr>
              <w:t>40,0</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b/>
                <w:sz w:val="17"/>
                <w:lang w:eastAsia="de-DE"/>
              </w:rPr>
            </w:pPr>
            <w:r>
              <w:rPr>
                <w:b/>
                <w:sz w:val="17"/>
                <w:lang w:eastAsia="de-DE"/>
              </w:rPr>
              <w:t>Высшие профессионально-технические училища, всего</w:t>
            </w:r>
            <w:r>
              <w:rPr>
                <w:b/>
                <w:sz w:val="17"/>
                <w:vertAlign w:val="superscript"/>
                <w:lang w:eastAsia="de-DE"/>
              </w:rPr>
              <w:t>2</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341</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4 854</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121 208</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60 217</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49,7</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281</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4 963</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123 705</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61 861</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50,0</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b/>
                <w:sz w:val="17"/>
                <w:lang w:eastAsia="de-DE"/>
              </w:rPr>
            </w:pPr>
            <w:r>
              <w:rPr>
                <w:b/>
                <w:sz w:val="17"/>
                <w:lang w:eastAsia="de-DE"/>
              </w:rPr>
              <w:t>Колледжи социальной работы</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69</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152</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3 935</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3 269</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83,1</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9</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38</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1 394</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1 104</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79,2</w:t>
            </w:r>
          </w:p>
        </w:tc>
      </w:tr>
      <w:tr w:rsidR="00000000">
        <w:tblPrEx>
          <w:tblCellMar>
            <w:top w:w="0" w:type="dxa"/>
            <w:bottom w:w="0" w:type="dxa"/>
          </w:tblCellMar>
        </w:tblPrEx>
        <w:tc>
          <w:tcPr>
            <w:tcW w:w="3936" w:type="dxa"/>
            <w:vAlign w:val="center"/>
          </w:tcPr>
          <w:p w:rsidR="00000000" w:rsidRDefault="00000000">
            <w:pPr>
              <w:tabs>
                <w:tab w:val="left" w:pos="284"/>
              </w:tabs>
              <w:autoSpaceDE w:val="0"/>
              <w:autoSpaceDN w:val="0"/>
              <w:jc w:val="both"/>
              <w:rPr>
                <w:rFonts w:eastAsia="Arial Unicode MS"/>
                <w:b/>
                <w:sz w:val="17"/>
                <w:lang w:eastAsia="de-DE"/>
              </w:rPr>
            </w:pPr>
            <w:r>
              <w:rPr>
                <w:b/>
                <w:sz w:val="17"/>
                <w:lang w:eastAsia="de-DE"/>
              </w:rPr>
              <w:t>Профессионально-технические училища, всего</w:t>
            </w:r>
            <w:r>
              <w:rPr>
                <w:b/>
                <w:sz w:val="17"/>
                <w:vertAlign w:val="superscript"/>
                <w:lang w:eastAsia="de-DE"/>
              </w:rPr>
              <w:t>2</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1 306</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rFonts w:eastAsia="Arial Unicode MS"/>
                <w:b/>
                <w:noProof/>
                <w:sz w:val="17"/>
              </w:rPr>
              <w:pict>
                <v:shapetype id="_x0000_t202" coordsize="21600,21600" o:spt="202" path="m,l,21600r21600,l21600,xe">
                  <v:stroke joinstyle="miter"/>
                  <v:path gradientshapeok="t" o:connecttype="rect"/>
                </v:shapetype>
                <v:shape id="_x0000_s2182" type="#_x0000_t202" style="position:absolute;margin-left:29.75pt;margin-top:8.7pt;width:18pt;height:18pt;z-index:1;mso-position-horizontal:absolute;mso-position-horizontal-relative:text;mso-position-vertical:absolute;mso-position-vertical-relative:text" o:allowincell="f" filled="f" stroked="f">
                  <v:textbox style="mso-next-textbox:#_x0000_s2182">
                    <w:txbxContent>
                      <w:p w:rsidR="00000000" w:rsidRDefault="00000000">
                        <w:pPr>
                          <w:jc w:val="right"/>
                        </w:pPr>
                        <w:r>
                          <w:t>-</w:t>
                        </w:r>
                      </w:p>
                    </w:txbxContent>
                  </v:textbox>
                </v:shape>
              </w:pict>
            </w:r>
            <w:r>
              <w:rPr>
                <w:b/>
                <w:sz w:val="17"/>
                <w:lang w:eastAsia="de-DE"/>
              </w:rPr>
              <w:t>13 428</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322 544</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147 232</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45,6</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679</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12 794</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306 831</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134 124</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43,7</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b/>
                <w:sz w:val="17"/>
                <w:lang w:eastAsia="de-DE"/>
              </w:rPr>
            </w:pPr>
            <w:r>
              <w:rPr>
                <w:b/>
                <w:sz w:val="17"/>
                <w:lang w:eastAsia="de-DE"/>
              </w:rPr>
              <w:t>Промежуточные учебные заведения, всего</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4</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3 751</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1 018</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27,1</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4</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167</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3 669</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1 021</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27,8</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b/>
                <w:sz w:val="17"/>
                <w:lang w:eastAsia="de-DE"/>
              </w:rPr>
            </w:pPr>
            <w:r>
              <w:rPr>
                <w:b/>
                <w:sz w:val="17"/>
                <w:lang w:eastAsia="de-DE"/>
              </w:rPr>
              <w:t>Высшие учебные заведения, всего</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44</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348</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9 288</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8 898</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95,8</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35</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348</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9 071</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8 702</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95,9</w:t>
            </w:r>
          </w:p>
        </w:tc>
      </w:tr>
      <w:tr w:rsidR="00000000">
        <w:tblPrEx>
          <w:tblCellMar>
            <w:top w:w="0" w:type="dxa"/>
            <w:bottom w:w="0" w:type="dxa"/>
          </w:tblCellMar>
        </w:tblPrEx>
        <w:tc>
          <w:tcPr>
            <w:tcW w:w="3936" w:type="dxa"/>
            <w:vAlign w:val="bottom"/>
          </w:tcPr>
          <w:p w:rsidR="00000000" w:rsidRDefault="00000000">
            <w:pPr>
              <w:tabs>
                <w:tab w:val="left" w:pos="284"/>
              </w:tabs>
              <w:autoSpaceDE w:val="0"/>
              <w:autoSpaceDN w:val="0"/>
              <w:jc w:val="both"/>
              <w:rPr>
                <w:rFonts w:eastAsia="Arial Unicode MS"/>
                <w:b/>
                <w:sz w:val="17"/>
                <w:lang w:eastAsia="de-DE"/>
              </w:rPr>
            </w:pPr>
            <w:r>
              <w:rPr>
                <w:b/>
                <w:sz w:val="17"/>
                <w:lang w:eastAsia="de-DE"/>
              </w:rPr>
              <w:t>Учебные заведения 3</w:t>
            </w:r>
            <w:r>
              <w:rPr>
                <w:b/>
                <w:sz w:val="17"/>
                <w:vertAlign w:val="superscript"/>
                <w:lang w:eastAsia="de-DE"/>
              </w:rPr>
              <w:t>го</w:t>
            </w:r>
            <w:r>
              <w:rPr>
                <w:b/>
                <w:sz w:val="17"/>
                <w:lang w:eastAsia="de-DE"/>
              </w:rPr>
              <w:t xml:space="preserve"> уровня, всего</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33</w:t>
            </w:r>
          </w:p>
        </w:tc>
        <w:tc>
          <w:tcPr>
            <w:tcW w:w="796" w:type="dxa"/>
            <w:shd w:val="clear" w:color="auto" w:fill="808080"/>
            <w:vAlign w:val="bottom"/>
          </w:tcPr>
          <w:p w:rsidR="00000000" w:rsidRDefault="00000000">
            <w:pPr>
              <w:tabs>
                <w:tab w:val="decimal" w:pos="567"/>
              </w:tabs>
              <w:overflowPunct w:val="0"/>
              <w:autoSpaceDE w:val="0"/>
              <w:autoSpaceDN w:val="0"/>
              <w:adjustRightInd w:val="0"/>
              <w:textAlignment w:val="baseline"/>
              <w:rPr>
                <w:rFonts w:eastAsia="Arial Unicode MS"/>
                <w:b/>
                <w:sz w:val="17"/>
                <w:lang w:eastAsia="de-DE"/>
              </w:rPr>
            </w:pPr>
            <w:r>
              <w:rPr>
                <w:rFonts w:eastAsia="Arial Unicode MS"/>
                <w:b/>
                <w:sz w:val="17"/>
                <w:lang w:eastAsia="de-DE"/>
              </w:rPr>
              <w:t>-</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12 304</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9 803</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79,7</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28</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330</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13 206</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10 387</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78,7</w:t>
            </w:r>
          </w:p>
        </w:tc>
      </w:tr>
      <w:tr w:rsidR="00000000">
        <w:tblPrEx>
          <w:tblCellMar>
            <w:top w:w="0" w:type="dxa"/>
            <w:bottom w:w="0" w:type="dxa"/>
          </w:tblCellMar>
        </w:tblPrEx>
        <w:tc>
          <w:tcPr>
            <w:tcW w:w="3936" w:type="dxa"/>
            <w:vAlign w:val="center"/>
          </w:tcPr>
          <w:p w:rsidR="00000000" w:rsidRDefault="00000000">
            <w:pPr>
              <w:tabs>
                <w:tab w:val="left" w:pos="284"/>
              </w:tabs>
              <w:autoSpaceDE w:val="0"/>
              <w:autoSpaceDN w:val="0"/>
              <w:jc w:val="both"/>
              <w:rPr>
                <w:rFonts w:eastAsia="Arial Unicode MS"/>
                <w:b/>
                <w:sz w:val="17"/>
                <w:lang w:eastAsia="de-DE"/>
              </w:rPr>
            </w:pPr>
            <w:r>
              <w:rPr>
                <w:b/>
                <w:sz w:val="17"/>
                <w:lang w:eastAsia="de-DE"/>
              </w:rPr>
              <w:t>Педагогические учебные заведения, всего</w:t>
            </w:r>
            <w:r>
              <w:rPr>
                <w:b/>
                <w:sz w:val="17"/>
                <w:vertAlign w:val="superscript"/>
                <w:lang w:eastAsia="de-DE"/>
              </w:rPr>
              <w:t>2</w:t>
            </w:r>
          </w:p>
        </w:tc>
        <w:tc>
          <w:tcPr>
            <w:tcW w:w="978"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81</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348</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25 343</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19 719</w:t>
            </w:r>
          </w:p>
        </w:tc>
        <w:tc>
          <w:tcPr>
            <w:tcW w:w="872" w:type="dxa"/>
            <w:shd w:val="clear" w:color="auto" w:fill="FFFFFF"/>
            <w:vAlign w:val="bottom"/>
          </w:tcPr>
          <w:p w:rsidR="00000000" w:rsidRDefault="00000000">
            <w:pPr>
              <w:tabs>
                <w:tab w:val="decimal" w:pos="322"/>
              </w:tabs>
              <w:autoSpaceDE w:val="0"/>
              <w:autoSpaceDN w:val="0"/>
              <w:rPr>
                <w:rFonts w:eastAsia="Arial Unicode MS"/>
                <w:b/>
                <w:sz w:val="17"/>
                <w:lang w:eastAsia="de-DE"/>
              </w:rPr>
            </w:pPr>
            <w:r>
              <w:rPr>
                <w:b/>
                <w:sz w:val="17"/>
                <w:lang w:eastAsia="de-DE"/>
              </w:rPr>
              <w:t>77,8</w:t>
            </w:r>
          </w:p>
        </w:tc>
        <w:tc>
          <w:tcPr>
            <w:tcW w:w="892"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67</w:t>
            </w:r>
          </w:p>
        </w:tc>
        <w:tc>
          <w:tcPr>
            <w:tcW w:w="796" w:type="dxa"/>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845</w:t>
            </w:r>
          </w:p>
        </w:tc>
        <w:tc>
          <w:tcPr>
            <w:tcW w:w="952" w:type="dxa"/>
            <w:shd w:val="clear" w:color="auto" w:fill="C0C0C0"/>
            <w:vAlign w:val="bottom"/>
          </w:tcPr>
          <w:p w:rsidR="00000000" w:rsidRDefault="00000000">
            <w:pPr>
              <w:tabs>
                <w:tab w:val="decimal" w:pos="567"/>
              </w:tabs>
              <w:autoSpaceDE w:val="0"/>
              <w:autoSpaceDN w:val="0"/>
              <w:rPr>
                <w:rFonts w:eastAsia="Arial Unicode MS"/>
                <w:b/>
                <w:sz w:val="17"/>
                <w:lang w:eastAsia="de-DE"/>
              </w:rPr>
            </w:pPr>
            <w:r>
              <w:rPr>
                <w:b/>
                <w:sz w:val="17"/>
                <w:lang w:eastAsia="de-DE"/>
              </w:rPr>
              <w:t>25 946</w:t>
            </w:r>
          </w:p>
        </w:tc>
        <w:tc>
          <w:tcPr>
            <w:tcW w:w="813" w:type="dxa"/>
            <w:shd w:val="clear" w:color="auto" w:fill="FFFFFF"/>
            <w:vAlign w:val="bottom"/>
          </w:tcPr>
          <w:p w:rsidR="00000000" w:rsidRDefault="00000000">
            <w:pPr>
              <w:tabs>
                <w:tab w:val="decimal" w:pos="567"/>
              </w:tabs>
              <w:autoSpaceDE w:val="0"/>
              <w:autoSpaceDN w:val="0"/>
              <w:rPr>
                <w:rFonts w:eastAsia="Arial Unicode MS"/>
                <w:b/>
                <w:sz w:val="17"/>
                <w:lang w:eastAsia="de-DE"/>
              </w:rPr>
            </w:pPr>
            <w:r>
              <w:rPr>
                <w:b/>
                <w:sz w:val="17"/>
                <w:lang w:eastAsia="de-DE"/>
              </w:rPr>
              <w:t>20 110</w:t>
            </w:r>
          </w:p>
        </w:tc>
        <w:tc>
          <w:tcPr>
            <w:tcW w:w="616" w:type="dxa"/>
            <w:shd w:val="clear" w:color="auto" w:fill="FFFFFF"/>
            <w:vAlign w:val="bottom"/>
          </w:tcPr>
          <w:p w:rsidR="00000000" w:rsidRDefault="00000000">
            <w:pPr>
              <w:tabs>
                <w:tab w:val="decimal" w:pos="249"/>
              </w:tabs>
              <w:autoSpaceDE w:val="0"/>
              <w:autoSpaceDN w:val="0"/>
              <w:rPr>
                <w:rFonts w:eastAsia="Arial Unicode MS"/>
                <w:b/>
                <w:sz w:val="17"/>
                <w:lang w:eastAsia="de-DE"/>
              </w:rPr>
            </w:pPr>
            <w:r>
              <w:rPr>
                <w:b/>
                <w:sz w:val="17"/>
                <w:lang w:eastAsia="de-DE"/>
              </w:rPr>
              <w:t>77,5</w:t>
            </w:r>
          </w:p>
        </w:tc>
      </w:tr>
      <w:tr w:rsidR="00000000">
        <w:tblPrEx>
          <w:tblCellMar>
            <w:top w:w="0" w:type="dxa"/>
            <w:bottom w:w="0" w:type="dxa"/>
          </w:tblCellMar>
        </w:tblPrEx>
        <w:tc>
          <w:tcPr>
            <w:tcW w:w="3936" w:type="dxa"/>
            <w:tcBorders>
              <w:bottom w:val="single" w:sz="12" w:space="0" w:color="auto"/>
            </w:tcBorders>
            <w:shd w:val="clear" w:color="auto" w:fill="C0C0C0"/>
            <w:vAlign w:val="center"/>
          </w:tcPr>
          <w:p w:rsidR="00000000" w:rsidRDefault="00000000">
            <w:pPr>
              <w:tabs>
                <w:tab w:val="left" w:pos="284"/>
              </w:tabs>
              <w:autoSpaceDE w:val="0"/>
              <w:autoSpaceDN w:val="0"/>
              <w:jc w:val="both"/>
              <w:rPr>
                <w:rFonts w:eastAsia="Arial Unicode MS"/>
                <w:b/>
                <w:sz w:val="17"/>
                <w:lang w:eastAsia="de-DE"/>
              </w:rPr>
            </w:pPr>
            <w:r>
              <w:rPr>
                <w:b/>
                <w:sz w:val="17"/>
                <w:lang w:eastAsia="de-DE"/>
              </w:rPr>
              <w:t>Всего по всем учебным заведениям</w:t>
            </w:r>
            <w:r>
              <w:rPr>
                <w:b/>
                <w:sz w:val="17"/>
                <w:vertAlign w:val="superscript"/>
                <w:lang w:eastAsia="de-DE"/>
              </w:rPr>
              <w:t>2</w:t>
            </w:r>
          </w:p>
        </w:tc>
        <w:tc>
          <w:tcPr>
            <w:tcW w:w="978" w:type="dxa"/>
            <w:tcBorders>
              <w:bottom w:val="single" w:sz="12" w:space="0" w:color="auto"/>
            </w:tcBorders>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6 780</w:t>
            </w:r>
          </w:p>
        </w:tc>
        <w:tc>
          <w:tcPr>
            <w:tcW w:w="796" w:type="dxa"/>
            <w:tcBorders>
              <w:bottom w:val="single" w:sz="12" w:space="0" w:color="auto"/>
            </w:tcBorders>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55 830</w:t>
            </w:r>
          </w:p>
        </w:tc>
        <w:tc>
          <w:tcPr>
            <w:tcW w:w="952" w:type="dxa"/>
            <w:tcBorders>
              <w:bottom w:val="single" w:sz="12" w:space="0" w:color="auto"/>
            </w:tcBorders>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1 228 493</w:t>
            </w:r>
          </w:p>
        </w:tc>
        <w:tc>
          <w:tcPr>
            <w:tcW w:w="813" w:type="dxa"/>
            <w:tcBorders>
              <w:bottom w:val="single" w:sz="12" w:space="0" w:color="auto"/>
            </w:tcBorders>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597 596</w:t>
            </w:r>
          </w:p>
        </w:tc>
        <w:tc>
          <w:tcPr>
            <w:tcW w:w="872" w:type="dxa"/>
            <w:tcBorders>
              <w:bottom w:val="single" w:sz="12" w:space="0" w:color="auto"/>
            </w:tcBorders>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48,6</w:t>
            </w:r>
          </w:p>
        </w:tc>
        <w:tc>
          <w:tcPr>
            <w:tcW w:w="892" w:type="dxa"/>
            <w:tcBorders>
              <w:bottom w:val="single" w:sz="12" w:space="0" w:color="auto"/>
            </w:tcBorders>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6 074</w:t>
            </w:r>
          </w:p>
        </w:tc>
        <w:tc>
          <w:tcPr>
            <w:tcW w:w="796" w:type="dxa"/>
            <w:tcBorders>
              <w:bottom w:val="single" w:sz="12" w:space="0" w:color="auto"/>
            </w:tcBorders>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55 062</w:t>
            </w:r>
          </w:p>
        </w:tc>
        <w:tc>
          <w:tcPr>
            <w:tcW w:w="952" w:type="dxa"/>
            <w:tcBorders>
              <w:bottom w:val="single" w:sz="12" w:space="0" w:color="auto"/>
            </w:tcBorders>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1 207 818</w:t>
            </w:r>
          </w:p>
        </w:tc>
        <w:tc>
          <w:tcPr>
            <w:tcW w:w="813" w:type="dxa"/>
            <w:tcBorders>
              <w:bottom w:val="single" w:sz="12" w:space="0" w:color="auto"/>
            </w:tcBorders>
            <w:shd w:val="clear" w:color="auto" w:fill="808080"/>
            <w:vAlign w:val="bottom"/>
          </w:tcPr>
          <w:p w:rsidR="00000000" w:rsidRDefault="00000000">
            <w:pPr>
              <w:tabs>
                <w:tab w:val="decimal" w:pos="567"/>
              </w:tabs>
              <w:autoSpaceDE w:val="0"/>
              <w:autoSpaceDN w:val="0"/>
              <w:rPr>
                <w:rFonts w:eastAsia="Arial Unicode MS"/>
                <w:b/>
                <w:sz w:val="17"/>
                <w:lang w:eastAsia="de-DE"/>
              </w:rPr>
            </w:pPr>
            <w:r>
              <w:rPr>
                <w:b/>
                <w:sz w:val="17"/>
                <w:lang w:eastAsia="de-DE"/>
              </w:rPr>
              <w:t>581 880</w:t>
            </w:r>
          </w:p>
        </w:tc>
        <w:tc>
          <w:tcPr>
            <w:tcW w:w="616" w:type="dxa"/>
            <w:tcBorders>
              <w:bottom w:val="single" w:sz="12" w:space="0" w:color="auto"/>
            </w:tcBorders>
            <w:shd w:val="clear" w:color="auto" w:fill="808080"/>
            <w:vAlign w:val="bottom"/>
          </w:tcPr>
          <w:p w:rsidR="00000000" w:rsidRDefault="00000000">
            <w:pPr>
              <w:tabs>
                <w:tab w:val="decimal" w:pos="249"/>
              </w:tabs>
              <w:autoSpaceDE w:val="0"/>
              <w:autoSpaceDN w:val="0"/>
              <w:rPr>
                <w:rFonts w:eastAsia="Arial Unicode MS"/>
                <w:b/>
                <w:sz w:val="17"/>
                <w:lang w:eastAsia="de-DE"/>
              </w:rPr>
            </w:pPr>
            <w:r>
              <w:rPr>
                <w:b/>
                <w:sz w:val="17"/>
                <w:lang w:eastAsia="de-DE"/>
              </w:rPr>
              <w:t>48,2</w:t>
            </w:r>
          </w:p>
        </w:tc>
      </w:tr>
    </w:tbl>
    <w:p w:rsidR="00000000" w:rsidRDefault="00000000">
      <w:pPr>
        <w:pStyle w:val="50"/>
        <w:rPr>
          <w:lang w:eastAsia="de-DE"/>
        </w:rPr>
      </w:pPr>
    </w:p>
    <w:p w:rsidR="00000000" w:rsidRDefault="00000000">
      <w:pPr>
        <w:ind w:left="284" w:hanging="284"/>
        <w:rPr>
          <w:sz w:val="17"/>
          <w:lang w:eastAsia="de-DE"/>
        </w:rPr>
      </w:pPr>
      <w:r>
        <w:rPr>
          <w:sz w:val="17"/>
          <w:vertAlign w:val="superscript"/>
          <w:lang w:eastAsia="de-DE"/>
        </w:rPr>
        <w:t>1.</w:t>
      </w:r>
      <w:r>
        <w:rPr>
          <w:sz w:val="17"/>
          <w:lang w:eastAsia="de-DE"/>
        </w:rPr>
        <w:tab/>
        <w:t>Данные по состоянию на октябрь 2001 года. Исключены школы, специализирующиеся на здравоохранении и имеющиеся свой собственный статут.</w:t>
      </w:r>
    </w:p>
    <w:p w:rsidR="00000000" w:rsidRDefault="00000000">
      <w:pPr>
        <w:ind w:left="284" w:hanging="284"/>
        <w:rPr>
          <w:sz w:val="17"/>
          <w:lang w:eastAsia="de-DE"/>
        </w:rPr>
      </w:pPr>
      <w:r>
        <w:rPr>
          <w:sz w:val="17"/>
          <w:vertAlign w:val="superscript"/>
          <w:lang w:eastAsia="de-DE"/>
        </w:rPr>
        <w:t>2.</w:t>
      </w:r>
      <w:r>
        <w:rPr>
          <w:sz w:val="17"/>
          <w:lang w:eastAsia="de-DE"/>
        </w:rPr>
        <w:tab/>
        <w:t>Школы, предлагающие несколько типов учебных программ, учитываются лишь один раз.</w:t>
      </w:r>
    </w:p>
    <w:p w:rsidR="00000000" w:rsidRDefault="00000000">
      <w:pPr>
        <w:spacing w:line="240" w:lineRule="auto"/>
        <w:ind w:left="284" w:hanging="284"/>
        <w:rPr>
          <w:sz w:val="2"/>
        </w:rPr>
      </w:pPr>
      <w:r>
        <w:br w:type="page"/>
      </w:r>
    </w:p>
    <w:tbl>
      <w:tblPr>
        <w:tblW w:w="0" w:type="auto"/>
        <w:jc w:val="center"/>
        <w:tblLayout w:type="fixed"/>
        <w:tblLook w:val="0000" w:firstRow="0" w:lastRow="0" w:firstColumn="0" w:lastColumn="0" w:noHBand="0" w:noVBand="0"/>
      </w:tblPr>
      <w:tblGrid>
        <w:gridCol w:w="3555"/>
        <w:gridCol w:w="892"/>
        <w:gridCol w:w="796"/>
        <w:gridCol w:w="952"/>
        <w:gridCol w:w="872"/>
        <w:gridCol w:w="923"/>
        <w:gridCol w:w="892"/>
        <w:gridCol w:w="796"/>
        <w:gridCol w:w="943"/>
        <w:gridCol w:w="872"/>
        <w:gridCol w:w="923"/>
      </w:tblGrid>
      <w:tr w:rsidR="00000000">
        <w:tblPrEx>
          <w:tblCellMar>
            <w:top w:w="0" w:type="dxa"/>
            <w:bottom w:w="0" w:type="dxa"/>
          </w:tblCellMar>
        </w:tblPrEx>
        <w:trPr>
          <w:cantSplit/>
          <w:trHeight w:val="255"/>
          <w:jc w:val="center"/>
        </w:trPr>
        <w:tc>
          <w:tcPr>
            <w:tcW w:w="3555" w:type="dxa"/>
            <w:vMerge w:val="restart"/>
            <w:tcBorders>
              <w:top w:val="single" w:sz="6" w:space="0" w:color="auto"/>
            </w:tcBorders>
            <w:vAlign w:val="bottom"/>
          </w:tcPr>
          <w:p w:rsidR="00000000" w:rsidRDefault="00000000">
            <w:pPr>
              <w:pStyle w:val="Heading7"/>
              <w:autoSpaceDE w:val="0"/>
              <w:autoSpaceDN w:val="0"/>
              <w:spacing w:line="160" w:lineRule="exact"/>
              <w:rPr>
                <w:rFonts w:eastAsia="Arial Unicode MS"/>
                <w:lang w:eastAsia="de-DE"/>
              </w:rPr>
            </w:pPr>
            <w:r>
              <w:rPr>
                <w:rFonts w:eastAsia="Arial Unicode MS"/>
                <w:lang w:eastAsia="de-DE"/>
              </w:rPr>
              <w:t>Тип школы</w:t>
            </w:r>
          </w:p>
        </w:tc>
        <w:tc>
          <w:tcPr>
            <w:tcW w:w="4435" w:type="dxa"/>
            <w:gridSpan w:val="5"/>
            <w:tcBorders>
              <w:top w:val="single" w:sz="6" w:space="0" w:color="auto"/>
            </w:tcBorders>
            <w:vAlign w:val="bottom"/>
          </w:tcPr>
          <w:p w:rsidR="00000000" w:rsidRDefault="00000000">
            <w:pPr>
              <w:pageBreakBefore/>
              <w:autoSpaceDE w:val="0"/>
              <w:autoSpaceDN w:val="0"/>
              <w:spacing w:line="160" w:lineRule="exact"/>
              <w:jc w:val="center"/>
              <w:rPr>
                <w:rFonts w:eastAsia="Arial Unicode MS"/>
                <w:i/>
                <w:sz w:val="17"/>
                <w:lang w:eastAsia="de-DE"/>
              </w:rPr>
            </w:pPr>
            <w:r>
              <w:rPr>
                <w:i/>
                <w:sz w:val="17"/>
                <w:lang w:eastAsia="de-DE"/>
              </w:rPr>
              <w:t>2001/02</w:t>
            </w:r>
          </w:p>
        </w:tc>
        <w:tc>
          <w:tcPr>
            <w:tcW w:w="4426" w:type="dxa"/>
            <w:gridSpan w:val="5"/>
            <w:tcBorders>
              <w:top w:val="single" w:sz="6" w:space="0" w:color="auto"/>
            </w:tcBorders>
            <w:vAlign w:val="bottom"/>
          </w:tcPr>
          <w:p w:rsidR="00000000" w:rsidRDefault="00000000">
            <w:pPr>
              <w:pageBreakBefore/>
              <w:autoSpaceDE w:val="0"/>
              <w:autoSpaceDN w:val="0"/>
              <w:spacing w:line="160" w:lineRule="exact"/>
              <w:jc w:val="center"/>
              <w:rPr>
                <w:rFonts w:eastAsia="Arial Unicode MS"/>
                <w:i/>
                <w:sz w:val="17"/>
                <w:lang w:eastAsia="de-DE"/>
              </w:rPr>
            </w:pPr>
            <w:r>
              <w:rPr>
                <w:i/>
                <w:sz w:val="17"/>
                <w:lang w:eastAsia="de-DE"/>
              </w:rPr>
              <w:t>2002/03</w:t>
            </w:r>
          </w:p>
        </w:tc>
      </w:tr>
      <w:tr w:rsidR="00000000">
        <w:tblPrEx>
          <w:tblCellMar>
            <w:top w:w="0" w:type="dxa"/>
            <w:bottom w:w="0" w:type="dxa"/>
          </w:tblCellMar>
        </w:tblPrEx>
        <w:trPr>
          <w:cantSplit/>
          <w:trHeight w:val="255"/>
          <w:jc w:val="center"/>
        </w:trPr>
        <w:tc>
          <w:tcPr>
            <w:tcW w:w="3555" w:type="dxa"/>
            <w:vMerge/>
            <w:vAlign w:val="bottom"/>
          </w:tcPr>
          <w:p w:rsidR="00000000" w:rsidRDefault="00000000">
            <w:pPr>
              <w:autoSpaceDE w:val="0"/>
              <w:autoSpaceDN w:val="0"/>
              <w:spacing w:line="160" w:lineRule="exact"/>
              <w:jc w:val="center"/>
              <w:rPr>
                <w:rFonts w:eastAsia="Arial Unicode MS"/>
                <w:i/>
                <w:sz w:val="17"/>
                <w:lang w:eastAsia="de-DE"/>
              </w:rPr>
            </w:pPr>
          </w:p>
        </w:tc>
        <w:tc>
          <w:tcPr>
            <w:tcW w:w="4435" w:type="dxa"/>
            <w:gridSpan w:val="5"/>
            <w:tcBorders>
              <w:bottom w:val="single" w:sz="6" w:space="0" w:color="auto"/>
            </w:tcBorders>
            <w:shd w:val="clear" w:color="auto" w:fill="808080"/>
            <w:vAlign w:val="bottom"/>
          </w:tcPr>
          <w:p w:rsidR="00000000" w:rsidRDefault="00000000">
            <w:pPr>
              <w:autoSpaceDE w:val="0"/>
              <w:autoSpaceDN w:val="0"/>
              <w:spacing w:line="160" w:lineRule="exact"/>
              <w:jc w:val="center"/>
              <w:rPr>
                <w:rFonts w:eastAsia="Arial Unicode MS"/>
                <w:b/>
                <w:i/>
                <w:sz w:val="17"/>
                <w:lang w:eastAsia="de-DE"/>
              </w:rPr>
            </w:pPr>
            <w:r>
              <w:rPr>
                <w:b/>
                <w:i/>
                <w:sz w:val="17"/>
                <w:lang w:eastAsia="de-DE"/>
              </w:rPr>
              <w:t>Австрия, всего</w:t>
            </w:r>
          </w:p>
        </w:tc>
        <w:tc>
          <w:tcPr>
            <w:tcW w:w="4426" w:type="dxa"/>
            <w:gridSpan w:val="5"/>
            <w:tcBorders>
              <w:bottom w:val="single" w:sz="6" w:space="0" w:color="auto"/>
            </w:tcBorders>
            <w:shd w:val="clear" w:color="auto" w:fill="808080"/>
            <w:vAlign w:val="bottom"/>
          </w:tcPr>
          <w:p w:rsidR="00000000" w:rsidRDefault="00000000">
            <w:pPr>
              <w:autoSpaceDE w:val="0"/>
              <w:autoSpaceDN w:val="0"/>
              <w:spacing w:line="160" w:lineRule="exact"/>
              <w:jc w:val="center"/>
              <w:rPr>
                <w:rFonts w:eastAsia="Arial Unicode MS"/>
                <w:b/>
                <w:i/>
                <w:sz w:val="17"/>
                <w:lang w:eastAsia="de-DE"/>
              </w:rPr>
            </w:pPr>
            <w:r>
              <w:rPr>
                <w:rFonts w:eastAsia="Arial Unicode MS"/>
                <w:b/>
                <w:i/>
                <w:sz w:val="17"/>
                <w:lang w:eastAsia="de-DE"/>
              </w:rPr>
              <w:t>Австрия, всего</w:t>
            </w:r>
          </w:p>
        </w:tc>
      </w:tr>
      <w:tr w:rsidR="00000000">
        <w:tblPrEx>
          <w:tblCellMar>
            <w:top w:w="0" w:type="dxa"/>
            <w:bottom w:w="0" w:type="dxa"/>
          </w:tblCellMar>
        </w:tblPrEx>
        <w:trPr>
          <w:cantSplit/>
          <w:trHeight w:val="255"/>
          <w:jc w:val="center"/>
        </w:trPr>
        <w:tc>
          <w:tcPr>
            <w:tcW w:w="3555" w:type="dxa"/>
            <w:vMerge/>
            <w:vAlign w:val="bottom"/>
          </w:tcPr>
          <w:p w:rsidR="00000000" w:rsidRDefault="00000000">
            <w:pPr>
              <w:autoSpaceDE w:val="0"/>
              <w:autoSpaceDN w:val="0"/>
              <w:spacing w:line="160" w:lineRule="exact"/>
              <w:jc w:val="center"/>
              <w:rPr>
                <w:rFonts w:eastAsia="Arial Unicode MS"/>
                <w:i/>
                <w:sz w:val="17"/>
                <w:lang w:eastAsia="de-DE"/>
              </w:rPr>
            </w:pPr>
          </w:p>
        </w:tc>
        <w:tc>
          <w:tcPr>
            <w:tcW w:w="892" w:type="dxa"/>
            <w:tcBorders>
              <w:top w:val="single" w:sz="6" w:space="0" w:color="auto"/>
              <w:bottom w:val="single" w:sz="6" w:space="0" w:color="auto"/>
            </w:tcBorders>
            <w:shd w:val="clear" w:color="auto" w:fill="808080"/>
            <w:vAlign w:val="bottom"/>
          </w:tcPr>
          <w:p w:rsidR="00000000" w:rsidRDefault="00000000">
            <w:pPr>
              <w:autoSpaceDE w:val="0"/>
              <w:autoSpaceDN w:val="0"/>
              <w:spacing w:line="160" w:lineRule="exact"/>
              <w:jc w:val="center"/>
              <w:rPr>
                <w:rFonts w:eastAsia="Arial Unicode MS"/>
                <w:i/>
                <w:sz w:val="17"/>
                <w:lang w:eastAsia="de-DE"/>
              </w:rPr>
            </w:pPr>
            <w:r>
              <w:rPr>
                <w:rFonts w:eastAsia="Arial Unicode MS"/>
                <w:i/>
                <w:sz w:val="17"/>
                <w:lang w:eastAsia="de-DE"/>
              </w:rPr>
              <w:t>Уче</w:t>
            </w:r>
            <w:r>
              <w:rPr>
                <w:rFonts w:eastAsia="Arial Unicode MS"/>
                <w:i/>
                <w:sz w:val="17"/>
                <w:lang w:eastAsia="de-DE"/>
              </w:rPr>
              <w:t>б</w:t>
            </w:r>
            <w:r>
              <w:rPr>
                <w:rFonts w:eastAsia="Arial Unicode MS"/>
                <w:i/>
                <w:sz w:val="17"/>
                <w:lang w:eastAsia="de-DE"/>
              </w:rPr>
              <w:t>ные з</w:t>
            </w:r>
            <w:r>
              <w:rPr>
                <w:rFonts w:eastAsia="Arial Unicode MS"/>
                <w:i/>
                <w:sz w:val="17"/>
                <w:lang w:eastAsia="de-DE"/>
              </w:rPr>
              <w:t>а</w:t>
            </w:r>
            <w:r>
              <w:rPr>
                <w:rFonts w:eastAsia="Arial Unicode MS"/>
                <w:i/>
                <w:sz w:val="17"/>
                <w:lang w:eastAsia="de-DE"/>
              </w:rPr>
              <w:t>вед</w:t>
            </w:r>
            <w:r>
              <w:rPr>
                <w:rFonts w:eastAsia="Arial Unicode MS"/>
                <w:i/>
                <w:sz w:val="17"/>
                <w:lang w:eastAsia="de-DE"/>
              </w:rPr>
              <w:t>е</w:t>
            </w:r>
            <w:r>
              <w:rPr>
                <w:rFonts w:eastAsia="Arial Unicode MS"/>
                <w:i/>
                <w:sz w:val="17"/>
                <w:lang w:eastAsia="de-DE"/>
              </w:rPr>
              <w:t>ния</w:t>
            </w:r>
          </w:p>
        </w:tc>
        <w:tc>
          <w:tcPr>
            <w:tcW w:w="796" w:type="dxa"/>
            <w:tcBorders>
              <w:top w:val="single" w:sz="6" w:space="0" w:color="auto"/>
              <w:bottom w:val="single" w:sz="6" w:space="0" w:color="auto"/>
            </w:tcBorders>
            <w:shd w:val="clear" w:color="auto" w:fill="808080"/>
            <w:vAlign w:val="bottom"/>
          </w:tcPr>
          <w:p w:rsidR="00000000" w:rsidRDefault="00000000">
            <w:pPr>
              <w:autoSpaceDE w:val="0"/>
              <w:autoSpaceDN w:val="0"/>
              <w:spacing w:line="160" w:lineRule="exact"/>
              <w:jc w:val="center"/>
              <w:rPr>
                <w:rFonts w:eastAsia="Arial Unicode MS"/>
                <w:i/>
                <w:sz w:val="17"/>
                <w:lang w:eastAsia="de-DE"/>
              </w:rPr>
            </w:pPr>
            <w:r>
              <w:rPr>
                <w:i/>
                <w:sz w:val="17"/>
                <w:lang w:eastAsia="de-DE"/>
              </w:rPr>
              <w:t>Классы</w:t>
            </w:r>
          </w:p>
        </w:tc>
        <w:tc>
          <w:tcPr>
            <w:tcW w:w="2747" w:type="dxa"/>
            <w:gridSpan w:val="3"/>
            <w:tcBorders>
              <w:top w:val="single" w:sz="6" w:space="0" w:color="auto"/>
              <w:bottom w:val="single" w:sz="6" w:space="0" w:color="auto"/>
            </w:tcBorders>
            <w:shd w:val="clear" w:color="auto" w:fill="C0C0C0"/>
            <w:vAlign w:val="bottom"/>
          </w:tcPr>
          <w:p w:rsidR="00000000" w:rsidRDefault="00000000">
            <w:pPr>
              <w:autoSpaceDE w:val="0"/>
              <w:autoSpaceDN w:val="0"/>
              <w:spacing w:line="160" w:lineRule="exact"/>
              <w:jc w:val="center"/>
              <w:rPr>
                <w:rFonts w:eastAsia="Arial Unicode MS"/>
                <w:i/>
                <w:sz w:val="17"/>
                <w:lang w:eastAsia="de-DE"/>
              </w:rPr>
            </w:pPr>
            <w:r>
              <w:rPr>
                <w:i/>
                <w:sz w:val="17"/>
                <w:lang w:eastAsia="de-DE"/>
              </w:rPr>
              <w:t>Учащиеся</w:t>
            </w:r>
          </w:p>
        </w:tc>
        <w:tc>
          <w:tcPr>
            <w:tcW w:w="892" w:type="dxa"/>
            <w:tcBorders>
              <w:top w:val="single" w:sz="6" w:space="0" w:color="auto"/>
              <w:bottom w:val="single" w:sz="6" w:space="0" w:color="auto"/>
            </w:tcBorders>
            <w:shd w:val="clear" w:color="auto" w:fill="808080"/>
            <w:vAlign w:val="bottom"/>
          </w:tcPr>
          <w:p w:rsidR="00000000" w:rsidRDefault="00000000">
            <w:pPr>
              <w:autoSpaceDE w:val="0"/>
              <w:autoSpaceDN w:val="0"/>
              <w:spacing w:line="160" w:lineRule="exact"/>
              <w:jc w:val="center"/>
              <w:rPr>
                <w:rFonts w:eastAsia="Arial Unicode MS"/>
                <w:i/>
                <w:sz w:val="17"/>
                <w:lang w:eastAsia="de-DE"/>
              </w:rPr>
            </w:pPr>
            <w:r>
              <w:rPr>
                <w:i/>
                <w:sz w:val="17"/>
                <w:lang w:eastAsia="de-DE"/>
              </w:rPr>
              <w:t>Учебные завед</w:t>
            </w:r>
            <w:r>
              <w:rPr>
                <w:i/>
                <w:sz w:val="17"/>
                <w:lang w:eastAsia="de-DE"/>
              </w:rPr>
              <w:t>е</w:t>
            </w:r>
            <w:r>
              <w:rPr>
                <w:i/>
                <w:sz w:val="17"/>
                <w:lang w:eastAsia="de-DE"/>
              </w:rPr>
              <w:t>ния</w:t>
            </w:r>
          </w:p>
        </w:tc>
        <w:tc>
          <w:tcPr>
            <w:tcW w:w="796" w:type="dxa"/>
            <w:tcBorders>
              <w:top w:val="single" w:sz="6" w:space="0" w:color="auto"/>
              <w:bottom w:val="single" w:sz="6" w:space="0" w:color="auto"/>
            </w:tcBorders>
            <w:shd w:val="clear" w:color="auto" w:fill="808080"/>
            <w:vAlign w:val="bottom"/>
          </w:tcPr>
          <w:p w:rsidR="00000000" w:rsidRDefault="00000000">
            <w:pPr>
              <w:autoSpaceDE w:val="0"/>
              <w:autoSpaceDN w:val="0"/>
              <w:spacing w:line="160" w:lineRule="exact"/>
              <w:jc w:val="center"/>
              <w:rPr>
                <w:rFonts w:eastAsia="Arial Unicode MS"/>
                <w:i/>
                <w:sz w:val="17"/>
                <w:lang w:eastAsia="de-DE"/>
              </w:rPr>
            </w:pPr>
            <w:r>
              <w:rPr>
                <w:i/>
                <w:sz w:val="17"/>
                <w:lang w:eastAsia="de-DE"/>
              </w:rPr>
              <w:t>Классы</w:t>
            </w:r>
          </w:p>
        </w:tc>
        <w:tc>
          <w:tcPr>
            <w:tcW w:w="2738" w:type="dxa"/>
            <w:gridSpan w:val="3"/>
            <w:tcBorders>
              <w:top w:val="single" w:sz="6" w:space="0" w:color="auto"/>
              <w:bottom w:val="single" w:sz="6" w:space="0" w:color="auto"/>
            </w:tcBorders>
            <w:shd w:val="clear" w:color="auto" w:fill="C0C0C0"/>
            <w:vAlign w:val="bottom"/>
          </w:tcPr>
          <w:p w:rsidR="00000000" w:rsidRDefault="00000000">
            <w:pPr>
              <w:autoSpaceDE w:val="0"/>
              <w:autoSpaceDN w:val="0"/>
              <w:spacing w:line="160" w:lineRule="exact"/>
              <w:jc w:val="center"/>
              <w:rPr>
                <w:rFonts w:eastAsia="Arial Unicode MS"/>
                <w:i/>
                <w:sz w:val="17"/>
                <w:lang w:eastAsia="de-DE"/>
              </w:rPr>
            </w:pPr>
            <w:r>
              <w:rPr>
                <w:i/>
                <w:sz w:val="17"/>
                <w:lang w:eastAsia="de-DE"/>
              </w:rPr>
              <w:t>Учащиеся</w:t>
            </w:r>
          </w:p>
        </w:tc>
      </w:tr>
      <w:tr w:rsidR="00000000">
        <w:tblPrEx>
          <w:tblCellMar>
            <w:top w:w="0" w:type="dxa"/>
            <w:bottom w:w="0" w:type="dxa"/>
          </w:tblCellMar>
        </w:tblPrEx>
        <w:trPr>
          <w:cantSplit/>
          <w:trHeight w:val="480"/>
          <w:jc w:val="center"/>
        </w:trPr>
        <w:tc>
          <w:tcPr>
            <w:tcW w:w="3555" w:type="dxa"/>
            <w:vMerge/>
            <w:tcBorders>
              <w:bottom w:val="single" w:sz="12" w:space="0" w:color="auto"/>
            </w:tcBorders>
            <w:vAlign w:val="bottom"/>
          </w:tcPr>
          <w:p w:rsidR="00000000" w:rsidRDefault="00000000">
            <w:pPr>
              <w:autoSpaceDE w:val="0"/>
              <w:autoSpaceDN w:val="0"/>
              <w:spacing w:line="160" w:lineRule="exact"/>
              <w:jc w:val="center"/>
              <w:rPr>
                <w:rFonts w:eastAsia="Arial Unicode MS"/>
                <w:i/>
                <w:sz w:val="17"/>
                <w:lang w:eastAsia="de-DE"/>
              </w:rPr>
            </w:pPr>
          </w:p>
        </w:tc>
        <w:tc>
          <w:tcPr>
            <w:tcW w:w="892" w:type="dxa"/>
            <w:tcBorders>
              <w:top w:val="single" w:sz="6" w:space="0" w:color="auto"/>
              <w:bottom w:val="single" w:sz="12" w:space="0" w:color="auto"/>
            </w:tcBorders>
            <w:shd w:val="clear" w:color="auto" w:fill="808080"/>
            <w:vAlign w:val="bottom"/>
          </w:tcPr>
          <w:p w:rsidR="00000000" w:rsidRDefault="00000000">
            <w:pPr>
              <w:autoSpaceDE w:val="0"/>
              <w:autoSpaceDN w:val="0"/>
              <w:spacing w:line="160" w:lineRule="exact"/>
              <w:jc w:val="center"/>
              <w:rPr>
                <w:rFonts w:eastAsia="Arial Unicode MS"/>
                <w:i/>
                <w:sz w:val="17"/>
                <w:lang w:eastAsia="de-DE"/>
              </w:rPr>
            </w:pPr>
          </w:p>
        </w:tc>
        <w:tc>
          <w:tcPr>
            <w:tcW w:w="796" w:type="dxa"/>
            <w:tcBorders>
              <w:top w:val="single" w:sz="6" w:space="0" w:color="auto"/>
              <w:bottom w:val="single" w:sz="12" w:space="0" w:color="auto"/>
            </w:tcBorders>
            <w:shd w:val="clear" w:color="auto" w:fill="808080"/>
            <w:vAlign w:val="bottom"/>
          </w:tcPr>
          <w:p w:rsidR="00000000" w:rsidRDefault="00000000">
            <w:pPr>
              <w:autoSpaceDE w:val="0"/>
              <w:autoSpaceDN w:val="0"/>
              <w:spacing w:line="160" w:lineRule="exact"/>
              <w:jc w:val="center"/>
              <w:rPr>
                <w:rFonts w:eastAsia="Arial Unicode MS"/>
                <w:i/>
                <w:sz w:val="17"/>
                <w:lang w:eastAsia="de-DE"/>
              </w:rPr>
            </w:pPr>
          </w:p>
        </w:tc>
        <w:tc>
          <w:tcPr>
            <w:tcW w:w="952" w:type="dxa"/>
            <w:tcBorders>
              <w:top w:val="single" w:sz="6" w:space="0" w:color="auto"/>
              <w:bottom w:val="single" w:sz="12" w:space="0" w:color="auto"/>
            </w:tcBorders>
            <w:shd w:val="clear" w:color="auto" w:fill="C0C0C0"/>
            <w:vAlign w:val="bottom"/>
          </w:tcPr>
          <w:p w:rsidR="00000000" w:rsidRDefault="00000000">
            <w:pPr>
              <w:autoSpaceDE w:val="0"/>
              <w:autoSpaceDN w:val="0"/>
              <w:spacing w:line="160" w:lineRule="exact"/>
              <w:jc w:val="center"/>
              <w:rPr>
                <w:rFonts w:eastAsia="Arial Unicode MS"/>
                <w:i/>
                <w:sz w:val="17"/>
                <w:lang w:eastAsia="de-DE"/>
              </w:rPr>
            </w:pPr>
            <w:r>
              <w:rPr>
                <w:i/>
                <w:sz w:val="17"/>
                <w:lang w:eastAsia="de-DE"/>
              </w:rPr>
              <w:t>Всего</w:t>
            </w:r>
          </w:p>
        </w:tc>
        <w:tc>
          <w:tcPr>
            <w:tcW w:w="872" w:type="dxa"/>
            <w:tcBorders>
              <w:top w:val="single" w:sz="6" w:space="0" w:color="auto"/>
              <w:bottom w:val="single" w:sz="12" w:space="0" w:color="auto"/>
            </w:tcBorders>
            <w:shd w:val="clear" w:color="auto" w:fill="FFFFFF"/>
            <w:vAlign w:val="bottom"/>
          </w:tcPr>
          <w:p w:rsidR="00000000" w:rsidRDefault="00000000">
            <w:pPr>
              <w:autoSpaceDE w:val="0"/>
              <w:autoSpaceDN w:val="0"/>
              <w:spacing w:line="160" w:lineRule="exact"/>
              <w:jc w:val="center"/>
              <w:rPr>
                <w:rFonts w:eastAsia="Arial Unicode MS"/>
                <w:i/>
                <w:sz w:val="17"/>
                <w:lang w:eastAsia="de-DE"/>
              </w:rPr>
            </w:pPr>
            <w:r>
              <w:rPr>
                <w:rFonts w:eastAsia="Arial Unicode MS"/>
                <w:i/>
                <w:sz w:val="17"/>
                <w:lang w:eastAsia="de-DE"/>
              </w:rPr>
              <w:t>из к</w:t>
            </w:r>
            <w:r>
              <w:rPr>
                <w:rFonts w:eastAsia="Arial Unicode MS"/>
                <w:i/>
                <w:sz w:val="17"/>
                <w:lang w:eastAsia="de-DE"/>
              </w:rPr>
              <w:t>о</w:t>
            </w:r>
            <w:r>
              <w:rPr>
                <w:rFonts w:eastAsia="Arial Unicode MS"/>
                <w:i/>
                <w:sz w:val="17"/>
                <w:lang w:eastAsia="de-DE"/>
              </w:rPr>
              <w:t>торых же</w:t>
            </w:r>
            <w:r>
              <w:rPr>
                <w:rFonts w:eastAsia="Arial Unicode MS"/>
                <w:i/>
                <w:sz w:val="17"/>
                <w:lang w:eastAsia="de-DE"/>
              </w:rPr>
              <w:t>н</w:t>
            </w:r>
            <w:r>
              <w:rPr>
                <w:rFonts w:eastAsia="Arial Unicode MS"/>
                <w:i/>
                <w:sz w:val="17"/>
                <w:lang w:eastAsia="de-DE"/>
              </w:rPr>
              <w:t>щин</w:t>
            </w:r>
          </w:p>
        </w:tc>
        <w:tc>
          <w:tcPr>
            <w:tcW w:w="923" w:type="dxa"/>
            <w:tcBorders>
              <w:top w:val="single" w:sz="6" w:space="0" w:color="auto"/>
              <w:bottom w:val="single" w:sz="12" w:space="0" w:color="auto"/>
            </w:tcBorders>
            <w:shd w:val="clear" w:color="auto" w:fill="FFFFFF"/>
            <w:vAlign w:val="bottom"/>
          </w:tcPr>
          <w:p w:rsidR="00000000" w:rsidRDefault="00000000">
            <w:pPr>
              <w:autoSpaceDE w:val="0"/>
              <w:autoSpaceDN w:val="0"/>
              <w:spacing w:line="160" w:lineRule="exact"/>
              <w:jc w:val="center"/>
              <w:rPr>
                <w:rFonts w:eastAsia="Arial Unicode MS"/>
                <w:i/>
                <w:sz w:val="17"/>
                <w:lang w:eastAsia="de-DE"/>
              </w:rPr>
            </w:pPr>
            <w:r>
              <w:rPr>
                <w:i/>
                <w:sz w:val="17"/>
                <w:lang w:eastAsia="de-DE"/>
              </w:rPr>
              <w:t>% же</w:t>
            </w:r>
            <w:r>
              <w:rPr>
                <w:i/>
                <w:sz w:val="17"/>
                <w:lang w:eastAsia="de-DE"/>
              </w:rPr>
              <w:t>н</w:t>
            </w:r>
            <w:r>
              <w:rPr>
                <w:i/>
                <w:sz w:val="17"/>
                <w:lang w:eastAsia="de-DE"/>
              </w:rPr>
              <w:t>щин</w:t>
            </w:r>
          </w:p>
        </w:tc>
        <w:tc>
          <w:tcPr>
            <w:tcW w:w="892" w:type="dxa"/>
            <w:tcBorders>
              <w:top w:val="single" w:sz="6" w:space="0" w:color="auto"/>
              <w:bottom w:val="single" w:sz="12" w:space="0" w:color="auto"/>
            </w:tcBorders>
            <w:shd w:val="clear" w:color="auto" w:fill="808080"/>
            <w:vAlign w:val="bottom"/>
          </w:tcPr>
          <w:p w:rsidR="00000000" w:rsidRDefault="00000000">
            <w:pPr>
              <w:autoSpaceDE w:val="0"/>
              <w:autoSpaceDN w:val="0"/>
              <w:spacing w:line="160" w:lineRule="exact"/>
              <w:jc w:val="center"/>
              <w:rPr>
                <w:rFonts w:eastAsia="Arial Unicode MS"/>
                <w:i/>
                <w:sz w:val="17"/>
                <w:lang w:eastAsia="de-DE"/>
              </w:rPr>
            </w:pPr>
          </w:p>
        </w:tc>
        <w:tc>
          <w:tcPr>
            <w:tcW w:w="796" w:type="dxa"/>
            <w:tcBorders>
              <w:top w:val="single" w:sz="6" w:space="0" w:color="auto"/>
              <w:bottom w:val="single" w:sz="12" w:space="0" w:color="auto"/>
            </w:tcBorders>
            <w:shd w:val="clear" w:color="auto" w:fill="808080"/>
            <w:vAlign w:val="bottom"/>
          </w:tcPr>
          <w:p w:rsidR="00000000" w:rsidRDefault="00000000">
            <w:pPr>
              <w:autoSpaceDE w:val="0"/>
              <w:autoSpaceDN w:val="0"/>
              <w:spacing w:line="160" w:lineRule="exact"/>
              <w:jc w:val="center"/>
              <w:rPr>
                <w:rFonts w:eastAsia="Arial Unicode MS"/>
                <w:i/>
                <w:sz w:val="17"/>
                <w:lang w:eastAsia="de-DE"/>
              </w:rPr>
            </w:pPr>
          </w:p>
        </w:tc>
        <w:tc>
          <w:tcPr>
            <w:tcW w:w="943" w:type="dxa"/>
            <w:tcBorders>
              <w:top w:val="single" w:sz="6" w:space="0" w:color="auto"/>
              <w:bottom w:val="single" w:sz="12" w:space="0" w:color="auto"/>
            </w:tcBorders>
            <w:shd w:val="clear" w:color="auto" w:fill="C0C0C0"/>
            <w:vAlign w:val="bottom"/>
          </w:tcPr>
          <w:p w:rsidR="00000000" w:rsidRDefault="00000000">
            <w:pPr>
              <w:autoSpaceDE w:val="0"/>
              <w:autoSpaceDN w:val="0"/>
              <w:spacing w:line="160" w:lineRule="exact"/>
              <w:jc w:val="center"/>
              <w:rPr>
                <w:rFonts w:eastAsia="Arial Unicode MS"/>
                <w:i/>
                <w:sz w:val="17"/>
                <w:lang w:eastAsia="de-DE"/>
              </w:rPr>
            </w:pPr>
            <w:r>
              <w:rPr>
                <w:rFonts w:eastAsia="Arial Unicode MS"/>
                <w:i/>
                <w:sz w:val="17"/>
                <w:lang w:eastAsia="de-DE"/>
              </w:rPr>
              <w:t>Всего</w:t>
            </w:r>
          </w:p>
        </w:tc>
        <w:tc>
          <w:tcPr>
            <w:tcW w:w="872" w:type="dxa"/>
            <w:tcBorders>
              <w:top w:val="single" w:sz="6" w:space="0" w:color="auto"/>
              <w:bottom w:val="single" w:sz="12" w:space="0" w:color="auto"/>
            </w:tcBorders>
            <w:shd w:val="clear" w:color="auto" w:fill="FFFFFF"/>
            <w:vAlign w:val="bottom"/>
          </w:tcPr>
          <w:p w:rsidR="00000000" w:rsidRDefault="00000000">
            <w:pPr>
              <w:autoSpaceDE w:val="0"/>
              <w:autoSpaceDN w:val="0"/>
              <w:spacing w:line="160" w:lineRule="exact"/>
              <w:jc w:val="center"/>
              <w:rPr>
                <w:rFonts w:eastAsia="Arial Unicode MS"/>
                <w:i/>
                <w:sz w:val="17"/>
                <w:lang w:eastAsia="de-DE"/>
              </w:rPr>
            </w:pPr>
            <w:r>
              <w:rPr>
                <w:rFonts w:eastAsia="Arial Unicode MS"/>
                <w:i/>
                <w:sz w:val="17"/>
                <w:lang w:eastAsia="de-DE"/>
              </w:rPr>
              <w:t>из к</w:t>
            </w:r>
            <w:r>
              <w:rPr>
                <w:rFonts w:eastAsia="Arial Unicode MS"/>
                <w:i/>
                <w:sz w:val="17"/>
                <w:lang w:eastAsia="de-DE"/>
              </w:rPr>
              <w:t>о</w:t>
            </w:r>
            <w:r>
              <w:rPr>
                <w:rFonts w:eastAsia="Arial Unicode MS"/>
                <w:i/>
                <w:sz w:val="17"/>
                <w:lang w:eastAsia="de-DE"/>
              </w:rPr>
              <w:t>торых же</w:t>
            </w:r>
            <w:r>
              <w:rPr>
                <w:rFonts w:eastAsia="Arial Unicode MS"/>
                <w:i/>
                <w:sz w:val="17"/>
                <w:lang w:eastAsia="de-DE"/>
              </w:rPr>
              <w:t>н</w:t>
            </w:r>
            <w:r>
              <w:rPr>
                <w:rFonts w:eastAsia="Arial Unicode MS"/>
                <w:i/>
                <w:sz w:val="17"/>
                <w:lang w:eastAsia="de-DE"/>
              </w:rPr>
              <w:t>щин</w:t>
            </w:r>
          </w:p>
        </w:tc>
        <w:tc>
          <w:tcPr>
            <w:tcW w:w="923" w:type="dxa"/>
            <w:tcBorders>
              <w:top w:val="single" w:sz="6" w:space="0" w:color="auto"/>
              <w:bottom w:val="single" w:sz="12" w:space="0" w:color="auto"/>
            </w:tcBorders>
            <w:shd w:val="clear" w:color="auto" w:fill="FFFFFF"/>
            <w:vAlign w:val="bottom"/>
          </w:tcPr>
          <w:p w:rsidR="00000000" w:rsidRDefault="00000000">
            <w:pPr>
              <w:autoSpaceDE w:val="0"/>
              <w:autoSpaceDN w:val="0"/>
              <w:spacing w:line="160" w:lineRule="exact"/>
              <w:jc w:val="center"/>
              <w:rPr>
                <w:rFonts w:eastAsia="Arial Unicode MS"/>
                <w:i/>
                <w:sz w:val="17"/>
                <w:lang w:eastAsia="de-DE"/>
              </w:rPr>
            </w:pPr>
            <w:r>
              <w:rPr>
                <w:i/>
                <w:sz w:val="17"/>
                <w:lang w:eastAsia="de-DE"/>
              </w:rPr>
              <w:t xml:space="preserve">% </w:t>
            </w:r>
            <w:r>
              <w:rPr>
                <w:i/>
                <w:sz w:val="17"/>
                <w:lang w:val="en-GB" w:eastAsia="de-DE"/>
              </w:rPr>
              <w:t>of</w:t>
            </w:r>
            <w:r>
              <w:rPr>
                <w:i/>
                <w:sz w:val="17"/>
                <w:lang w:eastAsia="de-DE"/>
              </w:rPr>
              <w:t xml:space="preserve"> женщин</w:t>
            </w:r>
          </w:p>
        </w:tc>
      </w:tr>
      <w:tr w:rsidR="00000000">
        <w:tblPrEx>
          <w:tblCellMar>
            <w:top w:w="0" w:type="dxa"/>
            <w:bottom w:w="0" w:type="dxa"/>
          </w:tblCellMar>
        </w:tblPrEx>
        <w:trPr>
          <w:trHeight w:val="255"/>
          <w:jc w:val="center"/>
        </w:trPr>
        <w:tc>
          <w:tcPr>
            <w:tcW w:w="3555" w:type="dxa"/>
            <w:tcBorders>
              <w:top w:val="single" w:sz="12" w:space="0" w:color="auto"/>
            </w:tcBorders>
            <w:vAlign w:val="bottom"/>
          </w:tcPr>
          <w:p w:rsidR="00000000" w:rsidRDefault="00000000">
            <w:pPr>
              <w:pStyle w:val="Header"/>
              <w:tabs>
                <w:tab w:val="clear" w:pos="4320"/>
                <w:tab w:val="clear" w:pos="8640"/>
                <w:tab w:val="left" w:pos="284"/>
              </w:tabs>
              <w:autoSpaceDE w:val="0"/>
              <w:autoSpaceDN w:val="0"/>
              <w:spacing w:line="160" w:lineRule="exact"/>
              <w:rPr>
                <w:rFonts w:eastAsia="Arial Unicode MS"/>
                <w:noProof w:val="0"/>
                <w:spacing w:val="4"/>
                <w:w w:val="103"/>
                <w:kern w:val="14"/>
                <w:lang w:eastAsia="de-DE"/>
              </w:rPr>
            </w:pPr>
            <w:r>
              <w:rPr>
                <w:noProof w:val="0"/>
                <w:spacing w:val="4"/>
                <w:w w:val="103"/>
                <w:kern w:val="14"/>
                <w:lang w:eastAsia="de-DE"/>
              </w:rPr>
              <w:tab/>
              <w:t>Начальные школы</w:t>
            </w:r>
          </w:p>
        </w:tc>
        <w:tc>
          <w:tcPr>
            <w:tcW w:w="892" w:type="dxa"/>
            <w:tcBorders>
              <w:top w:val="single" w:sz="12" w:space="0" w:color="auto"/>
            </w:tcBorders>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3 360</w:t>
            </w:r>
          </w:p>
        </w:tc>
        <w:tc>
          <w:tcPr>
            <w:tcW w:w="796" w:type="dxa"/>
            <w:tcBorders>
              <w:top w:val="single" w:sz="12" w:space="0" w:color="auto"/>
            </w:tcBorders>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19 387</w:t>
            </w:r>
          </w:p>
        </w:tc>
        <w:tc>
          <w:tcPr>
            <w:tcW w:w="952" w:type="dxa"/>
            <w:tcBorders>
              <w:top w:val="single" w:sz="12" w:space="0" w:color="auto"/>
            </w:tcBorders>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387 408</w:t>
            </w:r>
          </w:p>
        </w:tc>
        <w:tc>
          <w:tcPr>
            <w:tcW w:w="872" w:type="dxa"/>
            <w:tcBorders>
              <w:top w:val="single" w:sz="12" w:space="0" w:color="auto"/>
            </w:tcBorders>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187 657</w:t>
            </w:r>
          </w:p>
        </w:tc>
        <w:tc>
          <w:tcPr>
            <w:tcW w:w="923" w:type="dxa"/>
            <w:tcBorders>
              <w:top w:val="single" w:sz="12" w:space="0" w:color="auto"/>
            </w:tcBorders>
            <w:shd w:val="clear" w:color="auto" w:fill="FFFFFF"/>
            <w:vAlign w:val="bottom"/>
          </w:tcPr>
          <w:p w:rsidR="00000000" w:rsidRDefault="00000000">
            <w:pPr>
              <w:pStyle w:val="Header"/>
              <w:tabs>
                <w:tab w:val="clear" w:pos="4320"/>
                <w:tab w:val="clear" w:pos="8640"/>
                <w:tab w:val="decimal" w:pos="446"/>
              </w:tabs>
              <w:autoSpaceDE w:val="0"/>
              <w:autoSpaceDN w:val="0"/>
              <w:spacing w:line="160" w:lineRule="exact"/>
              <w:rPr>
                <w:rFonts w:eastAsia="Arial Unicode MS"/>
                <w:noProof w:val="0"/>
                <w:spacing w:val="4"/>
                <w:w w:val="103"/>
                <w:kern w:val="14"/>
                <w:lang w:eastAsia="de-DE"/>
              </w:rPr>
            </w:pPr>
            <w:r>
              <w:rPr>
                <w:noProof w:val="0"/>
                <w:spacing w:val="4"/>
                <w:w w:val="103"/>
                <w:kern w:val="14"/>
                <w:lang w:eastAsia="de-DE"/>
              </w:rPr>
              <w:t>48,4</w:t>
            </w:r>
          </w:p>
        </w:tc>
        <w:tc>
          <w:tcPr>
            <w:tcW w:w="892" w:type="dxa"/>
            <w:tcBorders>
              <w:top w:val="single" w:sz="12" w:space="0" w:color="auto"/>
            </w:tcBorders>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3 351</w:t>
            </w:r>
          </w:p>
        </w:tc>
        <w:tc>
          <w:tcPr>
            <w:tcW w:w="796" w:type="dxa"/>
            <w:tcBorders>
              <w:top w:val="single" w:sz="12" w:space="0" w:color="auto"/>
            </w:tcBorders>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19 043</w:t>
            </w:r>
          </w:p>
        </w:tc>
        <w:tc>
          <w:tcPr>
            <w:tcW w:w="943" w:type="dxa"/>
            <w:tcBorders>
              <w:top w:val="single" w:sz="12" w:space="0" w:color="auto"/>
            </w:tcBorders>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381 140</w:t>
            </w:r>
          </w:p>
        </w:tc>
        <w:tc>
          <w:tcPr>
            <w:tcW w:w="872" w:type="dxa"/>
            <w:tcBorders>
              <w:top w:val="single" w:sz="12" w:space="0" w:color="auto"/>
            </w:tcBorders>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184 833</w:t>
            </w:r>
          </w:p>
        </w:tc>
        <w:tc>
          <w:tcPr>
            <w:tcW w:w="923" w:type="dxa"/>
            <w:tcBorders>
              <w:top w:val="single" w:sz="12" w:space="0" w:color="auto"/>
            </w:tcBorders>
            <w:shd w:val="clear" w:color="auto" w:fill="FFFFFF"/>
            <w:vAlign w:val="bottom"/>
          </w:tcPr>
          <w:p w:rsidR="00000000" w:rsidRDefault="00000000">
            <w:pPr>
              <w:pStyle w:val="Header"/>
              <w:tabs>
                <w:tab w:val="clear" w:pos="4320"/>
                <w:tab w:val="clear" w:pos="8640"/>
                <w:tab w:val="decimal" w:pos="414"/>
              </w:tabs>
              <w:autoSpaceDE w:val="0"/>
              <w:autoSpaceDN w:val="0"/>
              <w:spacing w:line="160" w:lineRule="exact"/>
              <w:rPr>
                <w:rFonts w:eastAsia="Arial Unicode MS"/>
                <w:noProof w:val="0"/>
                <w:spacing w:val="4"/>
                <w:w w:val="103"/>
                <w:kern w:val="14"/>
                <w:lang w:eastAsia="de-DE"/>
              </w:rPr>
            </w:pPr>
            <w:r>
              <w:rPr>
                <w:noProof w:val="0"/>
                <w:spacing w:val="4"/>
                <w:w w:val="103"/>
                <w:kern w:val="14"/>
                <w:lang w:eastAsia="de-DE"/>
              </w:rPr>
              <w:t>48,5</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autoSpaceDE w:val="0"/>
              <w:autoSpaceDN w:val="0"/>
              <w:spacing w:line="160" w:lineRule="exact"/>
              <w:rPr>
                <w:rFonts w:eastAsia="Arial Unicode MS"/>
                <w:sz w:val="17"/>
                <w:lang w:eastAsia="de-DE"/>
              </w:rPr>
            </w:pPr>
            <w:r>
              <w:rPr>
                <w:sz w:val="17"/>
                <w:lang w:eastAsia="de-DE"/>
              </w:rPr>
              <w:tab/>
              <w:t>Средние общеобразовательные школы</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1 170</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11 556</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265 781</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126 438</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47,6</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1 172</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11 588</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268 058</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127 206</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47,5</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autoSpaceDE w:val="0"/>
              <w:autoSpaceDN w:val="0"/>
              <w:spacing w:line="160" w:lineRule="exact"/>
              <w:rPr>
                <w:rFonts w:eastAsia="Arial Unicode MS"/>
                <w:sz w:val="17"/>
                <w:lang w:eastAsia="de-DE"/>
              </w:rPr>
            </w:pPr>
            <w:r>
              <w:rPr>
                <w:sz w:val="17"/>
                <w:lang w:eastAsia="de-DE"/>
              </w:rPr>
              <w:tab/>
              <w:t>Специальные школы</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402</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1 904</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13 337</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4 842</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36,3</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389</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1 925</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13 466</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4 861</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36,1</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autoSpaceDE w:val="0"/>
              <w:autoSpaceDN w:val="0"/>
              <w:spacing w:line="160" w:lineRule="exact"/>
              <w:rPr>
                <w:rFonts w:eastAsia="Arial Unicode MS"/>
                <w:sz w:val="17"/>
                <w:lang w:eastAsia="de-DE"/>
              </w:rPr>
            </w:pPr>
            <w:r>
              <w:rPr>
                <w:sz w:val="17"/>
                <w:lang w:eastAsia="de-DE"/>
              </w:rPr>
              <w:tab/>
              <w:t xml:space="preserve">Год допрофессиональной подготовки </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302</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881</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19 750</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6 831</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34,6</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290</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905</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20 626</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7 245</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35,1</w:t>
            </w:r>
          </w:p>
        </w:tc>
      </w:tr>
      <w:tr w:rsidR="00000000">
        <w:tblPrEx>
          <w:tblCellMar>
            <w:top w:w="0" w:type="dxa"/>
            <w:bottom w:w="0" w:type="dxa"/>
          </w:tblCellMar>
        </w:tblPrEx>
        <w:trPr>
          <w:trHeight w:val="270"/>
          <w:jc w:val="center"/>
        </w:trPr>
        <w:tc>
          <w:tcPr>
            <w:tcW w:w="3555" w:type="dxa"/>
            <w:vAlign w:val="bottom"/>
          </w:tcPr>
          <w:p w:rsidR="00000000" w:rsidRDefault="00000000">
            <w:pPr>
              <w:tabs>
                <w:tab w:val="left" w:pos="284"/>
              </w:tabs>
              <w:autoSpaceDE w:val="0"/>
              <w:autoSpaceDN w:val="0"/>
              <w:spacing w:line="160" w:lineRule="exact"/>
              <w:rPr>
                <w:rFonts w:eastAsia="Arial Unicode MS"/>
                <w:b/>
                <w:sz w:val="17"/>
                <w:lang w:eastAsia="de-DE"/>
              </w:rPr>
            </w:pPr>
            <w:r>
              <w:rPr>
                <w:b/>
                <w:sz w:val="17"/>
                <w:lang w:eastAsia="de-DE"/>
              </w:rPr>
              <w:t>Обязательные школы, всего</w:t>
            </w:r>
            <w:r>
              <w:rPr>
                <w:b/>
                <w:sz w:val="17"/>
                <w:vertAlign w:val="superscript"/>
                <w:lang w:eastAsia="de-DE"/>
              </w:rPr>
              <w:t>2</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4 954</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33 728</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686 276</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325 768</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47,5</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4 945</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33 461</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683 290</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324 145</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47,4</w:t>
            </w:r>
          </w:p>
        </w:tc>
      </w:tr>
      <w:tr w:rsidR="00000000">
        <w:tblPrEx>
          <w:tblCellMar>
            <w:top w:w="0" w:type="dxa"/>
            <w:bottom w:w="0" w:type="dxa"/>
          </w:tblCellMar>
        </w:tblPrEx>
        <w:trPr>
          <w:trHeight w:val="270"/>
          <w:jc w:val="center"/>
        </w:trPr>
        <w:tc>
          <w:tcPr>
            <w:tcW w:w="3555" w:type="dxa"/>
            <w:vAlign w:val="bottom"/>
          </w:tcPr>
          <w:p w:rsidR="00000000" w:rsidRDefault="00000000">
            <w:pPr>
              <w:tabs>
                <w:tab w:val="left" w:pos="284"/>
                <w:tab w:val="left" w:pos="2835"/>
              </w:tabs>
              <w:autoSpaceDE w:val="0"/>
              <w:autoSpaceDN w:val="0"/>
              <w:spacing w:line="160" w:lineRule="exact"/>
              <w:rPr>
                <w:rFonts w:eastAsia="Arial Unicode MS"/>
                <w:b/>
                <w:sz w:val="17"/>
                <w:lang w:eastAsia="de-DE"/>
              </w:rPr>
            </w:pPr>
            <w:r>
              <w:rPr>
                <w:b/>
                <w:sz w:val="17"/>
                <w:lang w:eastAsia="de-DE"/>
              </w:rPr>
              <w:t>Старшие классы общеобразовательных средних школ, всего</w:t>
            </w:r>
            <w:r>
              <w:rPr>
                <w:b/>
                <w:sz w:val="17"/>
                <w:vertAlign w:val="superscript"/>
                <w:lang w:eastAsia="de-DE"/>
              </w:rPr>
              <w:t>2</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325</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7 675</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186 347</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100 869</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54,1</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327</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7 800</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189 753</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102 668</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54,1</w:t>
            </w:r>
          </w:p>
        </w:tc>
      </w:tr>
      <w:tr w:rsidR="00000000">
        <w:tblPrEx>
          <w:tblCellMar>
            <w:top w:w="0" w:type="dxa"/>
            <w:bottom w:w="0" w:type="dxa"/>
          </w:tblCellMar>
        </w:tblPrEx>
        <w:trPr>
          <w:trHeight w:val="270"/>
          <w:jc w:val="center"/>
        </w:trPr>
        <w:tc>
          <w:tcPr>
            <w:tcW w:w="3555" w:type="dxa"/>
            <w:vAlign w:val="center"/>
          </w:tcPr>
          <w:p w:rsidR="00000000" w:rsidRDefault="00000000">
            <w:pPr>
              <w:tabs>
                <w:tab w:val="left" w:pos="284"/>
              </w:tabs>
              <w:autoSpaceDE w:val="0"/>
              <w:autoSpaceDN w:val="0"/>
              <w:spacing w:line="160" w:lineRule="exact"/>
              <w:rPr>
                <w:rFonts w:eastAsia="Arial Unicode MS"/>
                <w:b/>
                <w:sz w:val="17"/>
                <w:lang w:eastAsia="de-DE"/>
              </w:rPr>
            </w:pPr>
            <w:r>
              <w:rPr>
                <w:b/>
                <w:sz w:val="17"/>
                <w:lang w:eastAsia="de-DE"/>
              </w:rPr>
              <w:t>Общеобразовательные школы, всего</w:t>
            </w:r>
            <w:r>
              <w:rPr>
                <w:b/>
                <w:sz w:val="17"/>
                <w:lang w:val="en-GB" w:eastAsia="de-DE"/>
              </w:rPr>
              <w:t>l</w:t>
            </w:r>
            <w:r>
              <w:rPr>
                <w:b/>
                <w:sz w:val="17"/>
                <w:vertAlign w:val="superscript"/>
                <w:lang w:eastAsia="de-DE"/>
              </w:rPr>
              <w:t>2</w:t>
            </w:r>
          </w:p>
        </w:tc>
        <w:tc>
          <w:tcPr>
            <w:tcW w:w="892"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5 279</w:t>
            </w:r>
          </w:p>
        </w:tc>
        <w:tc>
          <w:tcPr>
            <w:tcW w:w="796"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41 403</w:t>
            </w:r>
          </w:p>
        </w:tc>
        <w:tc>
          <w:tcPr>
            <w:tcW w:w="952" w:type="dxa"/>
            <w:shd w:val="clear" w:color="auto" w:fill="C0C0C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872 623</w:t>
            </w:r>
          </w:p>
        </w:tc>
        <w:tc>
          <w:tcPr>
            <w:tcW w:w="872" w:type="dxa"/>
            <w:shd w:val="clear" w:color="auto" w:fill="FFFFFF"/>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426 637</w:t>
            </w:r>
          </w:p>
        </w:tc>
        <w:tc>
          <w:tcPr>
            <w:tcW w:w="923" w:type="dxa"/>
            <w:shd w:val="clear" w:color="auto" w:fill="FFFFFF"/>
            <w:vAlign w:val="center"/>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48,9</w:t>
            </w:r>
          </w:p>
        </w:tc>
        <w:tc>
          <w:tcPr>
            <w:tcW w:w="892"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5 272</w:t>
            </w:r>
          </w:p>
        </w:tc>
        <w:tc>
          <w:tcPr>
            <w:tcW w:w="796"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41 261</w:t>
            </w:r>
          </w:p>
        </w:tc>
        <w:tc>
          <w:tcPr>
            <w:tcW w:w="943" w:type="dxa"/>
            <w:shd w:val="clear" w:color="auto" w:fill="C0C0C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873 043</w:t>
            </w:r>
          </w:p>
        </w:tc>
        <w:tc>
          <w:tcPr>
            <w:tcW w:w="872" w:type="dxa"/>
            <w:shd w:val="clear" w:color="auto" w:fill="FFFFFF"/>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426 813</w:t>
            </w:r>
          </w:p>
        </w:tc>
        <w:tc>
          <w:tcPr>
            <w:tcW w:w="923" w:type="dxa"/>
            <w:shd w:val="clear" w:color="auto" w:fill="FFFFFF"/>
            <w:vAlign w:val="center"/>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48,9</w:t>
            </w:r>
          </w:p>
        </w:tc>
      </w:tr>
      <w:tr w:rsidR="00000000">
        <w:tblPrEx>
          <w:tblCellMar>
            <w:top w:w="0" w:type="dxa"/>
            <w:bottom w:w="0" w:type="dxa"/>
          </w:tblCellMar>
        </w:tblPrEx>
        <w:trPr>
          <w:trHeight w:val="270"/>
          <w:jc w:val="center"/>
        </w:trPr>
        <w:tc>
          <w:tcPr>
            <w:tcW w:w="3555" w:type="dxa"/>
            <w:vAlign w:val="bottom"/>
          </w:tcPr>
          <w:p w:rsidR="00000000" w:rsidRDefault="00000000">
            <w:pPr>
              <w:tabs>
                <w:tab w:val="left" w:pos="284"/>
              </w:tabs>
              <w:autoSpaceDE w:val="0"/>
              <w:autoSpaceDN w:val="0"/>
              <w:spacing w:line="160" w:lineRule="exact"/>
              <w:rPr>
                <w:rFonts w:eastAsia="Arial Unicode MS"/>
                <w:b/>
                <w:sz w:val="17"/>
                <w:lang w:eastAsia="de-DE"/>
              </w:rPr>
            </w:pPr>
            <w:r>
              <w:rPr>
                <w:b/>
                <w:sz w:val="17"/>
                <w:lang w:eastAsia="de-DE"/>
              </w:rPr>
              <w:t>Профессионально-технические учил</w:t>
            </w:r>
            <w:r>
              <w:rPr>
                <w:b/>
                <w:sz w:val="17"/>
                <w:lang w:eastAsia="de-DE"/>
              </w:rPr>
              <w:t>и</w:t>
            </w:r>
            <w:r>
              <w:rPr>
                <w:b/>
                <w:sz w:val="17"/>
                <w:lang w:eastAsia="de-DE"/>
              </w:rPr>
              <w:t>ща</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176</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5 658</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130 597</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43 885</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33,6</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176</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5 658</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130 597</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43 885</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33,6</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autoSpaceDE w:val="0"/>
              <w:autoSpaceDN w:val="0"/>
              <w:spacing w:line="160" w:lineRule="exact"/>
              <w:rPr>
                <w:rFonts w:eastAsia="Arial Unicode MS"/>
                <w:sz w:val="17"/>
                <w:lang w:eastAsia="de-DE"/>
              </w:rPr>
            </w:pPr>
            <w:r>
              <w:rPr>
                <w:sz w:val="17"/>
                <w:lang w:eastAsia="de-DE"/>
              </w:rPr>
              <w:tab/>
              <w:t xml:space="preserve">Техника, ремесла и искусство </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133</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731</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15 438</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2 987</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19,3</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132</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743</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15 565</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3 006</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19,3</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autoSpaceDE w:val="0"/>
              <w:autoSpaceDN w:val="0"/>
              <w:spacing w:line="160" w:lineRule="exact"/>
              <w:rPr>
                <w:rFonts w:eastAsia="Arial Unicode MS"/>
                <w:sz w:val="17"/>
                <w:lang w:eastAsia="de-DE"/>
              </w:rPr>
            </w:pPr>
            <w:r>
              <w:rPr>
                <w:sz w:val="17"/>
                <w:lang w:eastAsia="de-DE"/>
              </w:rPr>
              <w:tab/>
              <w:t xml:space="preserve">Бизнес </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111</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522</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12 765</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7 889</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61,8</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109</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531</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13 136</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8 052</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61,3</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autoSpaceDE w:val="0"/>
              <w:autoSpaceDN w:val="0"/>
              <w:spacing w:line="160" w:lineRule="exact"/>
              <w:rPr>
                <w:rFonts w:eastAsia="Arial Unicode MS"/>
                <w:sz w:val="17"/>
                <w:lang w:eastAsia="de-DE"/>
              </w:rPr>
            </w:pPr>
            <w:r>
              <w:rPr>
                <w:sz w:val="17"/>
                <w:lang w:eastAsia="de-DE"/>
              </w:rPr>
              <w:tab/>
              <w:t>Домоводство и торговля</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98</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414</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9 373</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8 593</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91,7</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95</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404</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9 503</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8 538</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89,8</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overflowPunct w:val="0"/>
              <w:autoSpaceDE w:val="0"/>
              <w:autoSpaceDN w:val="0"/>
              <w:adjustRightInd w:val="0"/>
              <w:spacing w:line="160" w:lineRule="exact"/>
              <w:textAlignment w:val="baseline"/>
              <w:rPr>
                <w:sz w:val="17"/>
                <w:lang w:eastAsia="de-DE"/>
              </w:rPr>
            </w:pPr>
            <w:r>
              <w:rPr>
                <w:sz w:val="17"/>
                <w:lang w:eastAsia="de-DE"/>
              </w:rPr>
              <w:tab/>
              <w:t>Социальное попечение</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14</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64</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1 515</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1 428</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94,3</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15</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65</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1 642</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1 536</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93,5</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autoSpaceDE w:val="0"/>
              <w:autoSpaceDN w:val="0"/>
              <w:spacing w:line="160" w:lineRule="exact"/>
              <w:rPr>
                <w:rFonts w:eastAsia="Arial Unicode MS"/>
                <w:sz w:val="17"/>
                <w:lang w:eastAsia="de-DE"/>
              </w:rPr>
            </w:pPr>
            <w:r>
              <w:rPr>
                <w:sz w:val="17"/>
                <w:lang w:eastAsia="de-DE"/>
              </w:rPr>
              <w:tab/>
              <w:t>Сельское и лесное хозяйство</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104</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463</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10 721</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5 222</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48,7</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104</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463</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11 204</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5 533</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49 4</w:t>
            </w:r>
          </w:p>
        </w:tc>
      </w:tr>
      <w:tr w:rsidR="00000000">
        <w:tblPrEx>
          <w:tblCellMar>
            <w:top w:w="0" w:type="dxa"/>
            <w:bottom w:w="0" w:type="dxa"/>
          </w:tblCellMar>
        </w:tblPrEx>
        <w:trPr>
          <w:trHeight w:val="270"/>
          <w:jc w:val="center"/>
        </w:trPr>
        <w:tc>
          <w:tcPr>
            <w:tcW w:w="3555" w:type="dxa"/>
            <w:vAlign w:val="bottom"/>
          </w:tcPr>
          <w:p w:rsidR="00000000" w:rsidRDefault="00000000">
            <w:pPr>
              <w:tabs>
                <w:tab w:val="left" w:pos="284"/>
              </w:tabs>
              <w:autoSpaceDE w:val="0"/>
              <w:autoSpaceDN w:val="0"/>
              <w:spacing w:line="160" w:lineRule="exact"/>
              <w:rPr>
                <w:rFonts w:eastAsia="Arial Unicode MS"/>
                <w:b/>
                <w:sz w:val="17"/>
                <w:lang w:eastAsia="de-DE"/>
              </w:rPr>
            </w:pPr>
            <w:r>
              <w:rPr>
                <w:b/>
                <w:sz w:val="17"/>
                <w:lang w:eastAsia="de-DE"/>
              </w:rPr>
              <w:t>Промежуточные профессионально-технические училища</w:t>
            </w:r>
            <w:r>
              <w:rPr>
                <w:b/>
                <w:sz w:val="17"/>
                <w:vertAlign w:val="superscript"/>
                <w:lang w:eastAsia="de-DE"/>
              </w:rPr>
              <w:t>2</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444</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2 179</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49 410</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25 829</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52,3</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439</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2 206</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51 050</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26 665</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52,2</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autoSpaceDE w:val="0"/>
              <w:autoSpaceDN w:val="0"/>
              <w:spacing w:line="160" w:lineRule="exact"/>
              <w:rPr>
                <w:rFonts w:eastAsia="Arial Unicode MS"/>
                <w:sz w:val="17"/>
                <w:lang w:eastAsia="de-DE"/>
              </w:rPr>
            </w:pPr>
            <w:r>
              <w:rPr>
                <w:sz w:val="17"/>
                <w:lang w:eastAsia="de-DE"/>
              </w:rPr>
              <w:tab/>
              <w:t xml:space="preserve">Техника, ремесла и искусство </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101</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2 324</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57 178</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13 835</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24,2</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106</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2 377</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57 674</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13 817</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24,0</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autoSpaceDE w:val="0"/>
              <w:autoSpaceDN w:val="0"/>
              <w:spacing w:line="160" w:lineRule="exact"/>
              <w:rPr>
                <w:rFonts w:eastAsia="Arial Unicode MS"/>
                <w:sz w:val="17"/>
                <w:lang w:eastAsia="de-DE"/>
              </w:rPr>
            </w:pPr>
            <w:r>
              <w:rPr>
                <w:sz w:val="17"/>
                <w:lang w:eastAsia="de-DE"/>
              </w:rPr>
              <w:tab/>
              <w:t>Бизнес</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108</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1 700</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42 460</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26 635</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62,7</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108</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1 726</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42 813</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26 839</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62,7</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autoSpaceDE w:val="0"/>
              <w:autoSpaceDN w:val="0"/>
              <w:spacing w:line="160" w:lineRule="exact"/>
              <w:rPr>
                <w:rFonts w:eastAsia="Arial Unicode MS"/>
                <w:sz w:val="17"/>
                <w:lang w:eastAsia="de-DE"/>
              </w:rPr>
            </w:pPr>
            <w:r>
              <w:rPr>
                <w:sz w:val="17"/>
                <w:lang w:eastAsia="de-DE"/>
              </w:rPr>
              <w:tab/>
              <w:t xml:space="preserve">Домоводство и торговля </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76</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946</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23 511</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22 034</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93,7</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82</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977</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24 361</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22 732</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93,3</w:t>
            </w:r>
          </w:p>
        </w:tc>
      </w:tr>
      <w:tr w:rsidR="00000000">
        <w:tblPrEx>
          <w:tblCellMar>
            <w:top w:w="0" w:type="dxa"/>
            <w:bottom w:w="0" w:type="dxa"/>
          </w:tblCellMar>
        </w:tblPrEx>
        <w:trPr>
          <w:trHeight w:val="255"/>
          <w:jc w:val="center"/>
        </w:trPr>
        <w:tc>
          <w:tcPr>
            <w:tcW w:w="3555" w:type="dxa"/>
            <w:vAlign w:val="bottom"/>
          </w:tcPr>
          <w:p w:rsidR="00000000" w:rsidRDefault="00000000">
            <w:pPr>
              <w:tabs>
                <w:tab w:val="left" w:pos="284"/>
              </w:tabs>
              <w:autoSpaceDE w:val="0"/>
              <w:autoSpaceDN w:val="0"/>
              <w:spacing w:line="160" w:lineRule="exact"/>
              <w:rPr>
                <w:rFonts w:eastAsia="Arial Unicode MS"/>
                <w:sz w:val="17"/>
                <w:lang w:eastAsia="de-DE"/>
              </w:rPr>
            </w:pPr>
            <w:r>
              <w:rPr>
                <w:sz w:val="17"/>
                <w:lang w:eastAsia="de-DE"/>
              </w:rPr>
              <w:tab/>
              <w:t>Сельское и лесное хозяйство</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13</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124</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3 325</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1 427</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sz w:val="17"/>
                <w:lang w:eastAsia="de-DE"/>
              </w:rPr>
            </w:pPr>
            <w:r>
              <w:rPr>
                <w:sz w:val="17"/>
                <w:lang w:eastAsia="de-DE"/>
              </w:rPr>
              <w:t>42,9</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13</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124</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3 348</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sz w:val="17"/>
                <w:lang w:eastAsia="de-DE"/>
              </w:rPr>
            </w:pPr>
            <w:r>
              <w:rPr>
                <w:sz w:val="17"/>
                <w:lang w:eastAsia="de-DE"/>
              </w:rPr>
              <w:t>1 457</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sz w:val="17"/>
                <w:lang w:eastAsia="de-DE"/>
              </w:rPr>
            </w:pPr>
            <w:r>
              <w:rPr>
                <w:sz w:val="17"/>
                <w:lang w:eastAsia="de-DE"/>
              </w:rPr>
              <w:t>43,5</w:t>
            </w:r>
          </w:p>
        </w:tc>
      </w:tr>
      <w:tr w:rsidR="00000000">
        <w:tblPrEx>
          <w:tblCellMar>
            <w:top w:w="0" w:type="dxa"/>
            <w:bottom w:w="0" w:type="dxa"/>
          </w:tblCellMar>
        </w:tblPrEx>
        <w:trPr>
          <w:trHeight w:val="270"/>
          <w:jc w:val="center"/>
        </w:trPr>
        <w:tc>
          <w:tcPr>
            <w:tcW w:w="3555" w:type="dxa"/>
            <w:vAlign w:val="bottom"/>
          </w:tcPr>
          <w:p w:rsidR="00000000" w:rsidRDefault="00000000">
            <w:pPr>
              <w:tabs>
                <w:tab w:val="left" w:pos="284"/>
              </w:tabs>
              <w:autoSpaceDE w:val="0"/>
              <w:autoSpaceDN w:val="0"/>
              <w:spacing w:line="160" w:lineRule="exact"/>
              <w:rPr>
                <w:rFonts w:eastAsia="Arial Unicode MS"/>
                <w:b/>
                <w:sz w:val="17"/>
                <w:lang w:eastAsia="de-DE"/>
              </w:rPr>
            </w:pPr>
            <w:r>
              <w:rPr>
                <w:b/>
                <w:sz w:val="17"/>
                <w:lang w:eastAsia="de-DE"/>
              </w:rPr>
              <w:t>Высшие профессионально-технические училища, всего</w:t>
            </w:r>
            <w:r>
              <w:rPr>
                <w:b/>
                <w:sz w:val="17"/>
                <w:vertAlign w:val="superscript"/>
                <w:lang w:eastAsia="de-DE"/>
              </w:rPr>
              <w:t>2</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284</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5 096</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126 495</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63 920</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50,5</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295</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5 204</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128 196</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64 845</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50,6</w:t>
            </w:r>
          </w:p>
        </w:tc>
      </w:tr>
      <w:tr w:rsidR="00000000">
        <w:tblPrEx>
          <w:tblCellMar>
            <w:top w:w="0" w:type="dxa"/>
            <w:bottom w:w="0" w:type="dxa"/>
          </w:tblCellMar>
        </w:tblPrEx>
        <w:trPr>
          <w:trHeight w:val="255"/>
          <w:jc w:val="center"/>
        </w:trPr>
        <w:tc>
          <w:tcPr>
            <w:tcW w:w="3555" w:type="dxa"/>
            <w:vAlign w:val="bottom"/>
          </w:tcPr>
          <w:p w:rsidR="00000000" w:rsidRDefault="00000000">
            <w:pPr>
              <w:autoSpaceDE w:val="0"/>
              <w:autoSpaceDN w:val="0"/>
              <w:spacing w:line="160" w:lineRule="exact"/>
              <w:rPr>
                <w:rFonts w:eastAsia="Arial Unicode MS"/>
                <w:b/>
                <w:sz w:val="17"/>
                <w:lang w:eastAsia="de-DE"/>
              </w:rPr>
            </w:pPr>
            <w:r>
              <w:rPr>
                <w:b/>
                <w:sz w:val="17"/>
                <w:lang w:eastAsia="de-DE"/>
              </w:rPr>
              <w:t>Колледжи социальной работы</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9</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35</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1 257</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988</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78,6</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10</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23</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826</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641</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77,6</w:t>
            </w:r>
          </w:p>
        </w:tc>
      </w:tr>
      <w:tr w:rsidR="00000000">
        <w:tblPrEx>
          <w:tblCellMar>
            <w:top w:w="0" w:type="dxa"/>
            <w:bottom w:w="0" w:type="dxa"/>
          </w:tblCellMar>
        </w:tblPrEx>
        <w:trPr>
          <w:trHeight w:val="270"/>
          <w:jc w:val="center"/>
        </w:trPr>
        <w:tc>
          <w:tcPr>
            <w:tcW w:w="3555" w:type="dxa"/>
            <w:vAlign w:val="center"/>
          </w:tcPr>
          <w:p w:rsidR="00000000" w:rsidRDefault="00000000">
            <w:pPr>
              <w:autoSpaceDE w:val="0"/>
              <w:autoSpaceDN w:val="0"/>
              <w:spacing w:line="160" w:lineRule="exact"/>
              <w:rPr>
                <w:rFonts w:eastAsia="Arial Unicode MS"/>
                <w:b/>
                <w:sz w:val="17"/>
                <w:lang w:eastAsia="de-DE"/>
              </w:rPr>
            </w:pPr>
            <w:r>
              <w:rPr>
                <w:b/>
                <w:sz w:val="17"/>
                <w:lang w:eastAsia="de-DE"/>
              </w:rPr>
              <w:t>Профессионально-технические учил</w:t>
            </w:r>
            <w:r>
              <w:rPr>
                <w:b/>
                <w:sz w:val="17"/>
                <w:lang w:eastAsia="de-DE"/>
              </w:rPr>
              <w:t>и</w:t>
            </w:r>
            <w:r>
              <w:rPr>
                <w:b/>
                <w:sz w:val="17"/>
                <w:lang w:eastAsia="de-DE"/>
              </w:rPr>
              <w:t>ща, всего</w:t>
            </w:r>
            <w:r>
              <w:rPr>
                <w:b/>
                <w:sz w:val="17"/>
                <w:vertAlign w:val="superscript"/>
                <w:lang w:eastAsia="de-DE"/>
              </w:rPr>
              <w:t>2</w:t>
            </w:r>
          </w:p>
        </w:tc>
        <w:tc>
          <w:tcPr>
            <w:tcW w:w="892"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676</w:t>
            </w:r>
          </w:p>
        </w:tc>
        <w:tc>
          <w:tcPr>
            <w:tcW w:w="796"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12 970</w:t>
            </w:r>
          </w:p>
        </w:tc>
        <w:tc>
          <w:tcPr>
            <w:tcW w:w="952" w:type="dxa"/>
            <w:shd w:val="clear" w:color="auto" w:fill="C0C0C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309 775</w:t>
            </w:r>
          </w:p>
        </w:tc>
        <w:tc>
          <w:tcPr>
            <w:tcW w:w="872" w:type="dxa"/>
            <w:shd w:val="clear" w:color="auto" w:fill="FFFFFF"/>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135 828</w:t>
            </w:r>
          </w:p>
        </w:tc>
        <w:tc>
          <w:tcPr>
            <w:tcW w:w="923" w:type="dxa"/>
            <w:shd w:val="clear" w:color="auto" w:fill="FFFFFF"/>
            <w:vAlign w:val="center"/>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43,8</w:t>
            </w:r>
          </w:p>
        </w:tc>
        <w:tc>
          <w:tcPr>
            <w:tcW w:w="892"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674</w:t>
            </w:r>
          </w:p>
        </w:tc>
        <w:tc>
          <w:tcPr>
            <w:tcW w:w="796"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13 091</w:t>
            </w:r>
          </w:p>
        </w:tc>
        <w:tc>
          <w:tcPr>
            <w:tcW w:w="943" w:type="dxa"/>
            <w:shd w:val="clear" w:color="auto" w:fill="C0C0C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310 163</w:t>
            </w:r>
          </w:p>
        </w:tc>
        <w:tc>
          <w:tcPr>
            <w:tcW w:w="872" w:type="dxa"/>
            <w:shd w:val="clear" w:color="auto" w:fill="FFFFFF"/>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135 695</w:t>
            </w:r>
          </w:p>
        </w:tc>
        <w:tc>
          <w:tcPr>
            <w:tcW w:w="923" w:type="dxa"/>
            <w:shd w:val="clear" w:color="auto" w:fill="FFFFFF"/>
            <w:vAlign w:val="center"/>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43,7</w:t>
            </w:r>
          </w:p>
        </w:tc>
      </w:tr>
      <w:tr w:rsidR="00000000">
        <w:tblPrEx>
          <w:tblCellMar>
            <w:top w:w="0" w:type="dxa"/>
            <w:bottom w:w="0" w:type="dxa"/>
          </w:tblCellMar>
        </w:tblPrEx>
        <w:trPr>
          <w:trHeight w:val="255"/>
          <w:jc w:val="center"/>
        </w:trPr>
        <w:tc>
          <w:tcPr>
            <w:tcW w:w="3555" w:type="dxa"/>
            <w:vAlign w:val="bottom"/>
          </w:tcPr>
          <w:p w:rsidR="00000000" w:rsidRDefault="00000000">
            <w:pPr>
              <w:autoSpaceDE w:val="0"/>
              <w:autoSpaceDN w:val="0"/>
              <w:spacing w:line="160" w:lineRule="exact"/>
              <w:rPr>
                <w:rFonts w:eastAsia="Arial Unicode MS"/>
                <w:b/>
                <w:sz w:val="17"/>
                <w:lang w:eastAsia="de-DE"/>
              </w:rPr>
            </w:pPr>
            <w:r>
              <w:rPr>
                <w:b/>
                <w:sz w:val="17"/>
                <w:lang w:eastAsia="de-DE"/>
              </w:rPr>
              <w:t>Промежуточные учебные заведения, всего</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182</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4 069</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1 161</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28,5</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4</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153</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3 820</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1 094</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28,6</w:t>
            </w:r>
          </w:p>
        </w:tc>
      </w:tr>
      <w:tr w:rsidR="00000000">
        <w:tblPrEx>
          <w:tblCellMar>
            <w:top w:w="0" w:type="dxa"/>
            <w:bottom w:w="0" w:type="dxa"/>
          </w:tblCellMar>
        </w:tblPrEx>
        <w:trPr>
          <w:trHeight w:val="255"/>
          <w:jc w:val="center"/>
        </w:trPr>
        <w:tc>
          <w:tcPr>
            <w:tcW w:w="3555" w:type="dxa"/>
            <w:vAlign w:val="bottom"/>
          </w:tcPr>
          <w:p w:rsidR="00000000" w:rsidRDefault="00000000">
            <w:pPr>
              <w:autoSpaceDE w:val="0"/>
              <w:autoSpaceDN w:val="0"/>
              <w:spacing w:line="160" w:lineRule="exact"/>
              <w:rPr>
                <w:rFonts w:eastAsia="Arial Unicode MS"/>
                <w:b/>
                <w:sz w:val="17"/>
                <w:lang w:eastAsia="de-DE"/>
              </w:rPr>
            </w:pPr>
            <w:r>
              <w:rPr>
                <w:b/>
                <w:sz w:val="17"/>
                <w:lang w:eastAsia="de-DE"/>
              </w:rPr>
              <w:t>Высшие учебные заведения, всего</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35</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353</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8 996</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8 645</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96,1</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36</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352</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8 942</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8 580</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96,0</w:t>
            </w:r>
          </w:p>
        </w:tc>
      </w:tr>
      <w:tr w:rsidR="00000000">
        <w:tblPrEx>
          <w:tblCellMar>
            <w:top w:w="0" w:type="dxa"/>
            <w:bottom w:w="0" w:type="dxa"/>
          </w:tblCellMar>
        </w:tblPrEx>
        <w:trPr>
          <w:trHeight w:val="270"/>
          <w:jc w:val="center"/>
        </w:trPr>
        <w:tc>
          <w:tcPr>
            <w:tcW w:w="3555" w:type="dxa"/>
            <w:vAlign w:val="bottom"/>
          </w:tcPr>
          <w:p w:rsidR="00000000" w:rsidRDefault="00000000">
            <w:pPr>
              <w:autoSpaceDE w:val="0"/>
              <w:autoSpaceDN w:val="0"/>
              <w:spacing w:line="160" w:lineRule="exact"/>
              <w:rPr>
                <w:rFonts w:eastAsia="Arial Unicode MS"/>
                <w:b/>
                <w:sz w:val="17"/>
                <w:lang w:eastAsia="de-DE"/>
              </w:rPr>
            </w:pPr>
            <w:r>
              <w:rPr>
                <w:b/>
                <w:sz w:val="17"/>
                <w:lang w:eastAsia="de-DE"/>
              </w:rPr>
              <w:t>Учебные заведения 3</w:t>
            </w:r>
            <w:r>
              <w:rPr>
                <w:b/>
                <w:sz w:val="17"/>
                <w:vertAlign w:val="superscript"/>
                <w:lang w:eastAsia="de-DE"/>
              </w:rPr>
              <w:t>го</w:t>
            </w:r>
            <w:r>
              <w:rPr>
                <w:b/>
                <w:sz w:val="17"/>
                <w:lang w:eastAsia="de-DE"/>
              </w:rPr>
              <w:t xml:space="preserve"> уровня, всего</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28</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w:t>
            </w:r>
          </w:p>
        </w:tc>
        <w:tc>
          <w:tcPr>
            <w:tcW w:w="952"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13 664</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10 704</w:t>
            </w:r>
          </w:p>
        </w:tc>
        <w:tc>
          <w:tcPr>
            <w:tcW w:w="923" w:type="dxa"/>
            <w:shd w:val="clear" w:color="auto" w:fill="FFFFFF"/>
            <w:vAlign w:val="bottom"/>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78,3</w:t>
            </w:r>
          </w:p>
        </w:tc>
        <w:tc>
          <w:tcPr>
            <w:tcW w:w="892"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28</w:t>
            </w:r>
          </w:p>
        </w:tc>
        <w:tc>
          <w:tcPr>
            <w:tcW w:w="796" w:type="dxa"/>
            <w:shd w:val="clear" w:color="auto" w:fill="80808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w:t>
            </w:r>
          </w:p>
        </w:tc>
        <w:tc>
          <w:tcPr>
            <w:tcW w:w="943" w:type="dxa"/>
            <w:shd w:val="clear" w:color="auto" w:fill="C0C0C0"/>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13 640</w:t>
            </w:r>
          </w:p>
        </w:tc>
        <w:tc>
          <w:tcPr>
            <w:tcW w:w="872" w:type="dxa"/>
            <w:shd w:val="clear" w:color="auto" w:fill="FFFFFF"/>
            <w:vAlign w:val="bottom"/>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10 780</w:t>
            </w:r>
          </w:p>
        </w:tc>
        <w:tc>
          <w:tcPr>
            <w:tcW w:w="923" w:type="dxa"/>
            <w:shd w:val="clear" w:color="auto" w:fill="FFFFFF"/>
            <w:vAlign w:val="bottom"/>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79,0</w:t>
            </w:r>
          </w:p>
        </w:tc>
      </w:tr>
      <w:tr w:rsidR="00000000">
        <w:tblPrEx>
          <w:tblCellMar>
            <w:top w:w="0" w:type="dxa"/>
            <w:bottom w:w="0" w:type="dxa"/>
          </w:tblCellMar>
        </w:tblPrEx>
        <w:trPr>
          <w:trHeight w:val="270"/>
          <w:jc w:val="center"/>
        </w:trPr>
        <w:tc>
          <w:tcPr>
            <w:tcW w:w="3555" w:type="dxa"/>
            <w:vAlign w:val="center"/>
          </w:tcPr>
          <w:p w:rsidR="00000000" w:rsidRDefault="00000000">
            <w:pPr>
              <w:autoSpaceDE w:val="0"/>
              <w:autoSpaceDN w:val="0"/>
              <w:spacing w:line="160" w:lineRule="exact"/>
              <w:rPr>
                <w:rFonts w:eastAsia="Arial Unicode MS"/>
                <w:b/>
                <w:sz w:val="17"/>
                <w:lang w:eastAsia="de-DE"/>
              </w:rPr>
            </w:pPr>
            <w:r>
              <w:rPr>
                <w:b/>
                <w:sz w:val="17"/>
                <w:lang w:eastAsia="de-DE"/>
              </w:rPr>
              <w:t>Педагогические учебные заведения, всего</w:t>
            </w:r>
            <w:r>
              <w:rPr>
                <w:b/>
                <w:sz w:val="17"/>
                <w:vertAlign w:val="superscript"/>
                <w:lang w:eastAsia="de-DE"/>
              </w:rPr>
              <w:t>2</w:t>
            </w:r>
          </w:p>
        </w:tc>
        <w:tc>
          <w:tcPr>
            <w:tcW w:w="892"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67</w:t>
            </w:r>
          </w:p>
        </w:tc>
        <w:tc>
          <w:tcPr>
            <w:tcW w:w="796"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535</w:t>
            </w:r>
          </w:p>
        </w:tc>
        <w:tc>
          <w:tcPr>
            <w:tcW w:w="952" w:type="dxa"/>
            <w:shd w:val="clear" w:color="auto" w:fill="C0C0C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26 729</w:t>
            </w:r>
          </w:p>
        </w:tc>
        <w:tc>
          <w:tcPr>
            <w:tcW w:w="872" w:type="dxa"/>
            <w:shd w:val="clear" w:color="auto" w:fill="FFFFFF"/>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20 510</w:t>
            </w:r>
          </w:p>
        </w:tc>
        <w:tc>
          <w:tcPr>
            <w:tcW w:w="923" w:type="dxa"/>
            <w:shd w:val="clear" w:color="auto" w:fill="FFFFFF"/>
            <w:vAlign w:val="center"/>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76,7</w:t>
            </w:r>
          </w:p>
        </w:tc>
        <w:tc>
          <w:tcPr>
            <w:tcW w:w="892"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68</w:t>
            </w:r>
          </w:p>
        </w:tc>
        <w:tc>
          <w:tcPr>
            <w:tcW w:w="796" w:type="dxa"/>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865</w:t>
            </w:r>
          </w:p>
        </w:tc>
        <w:tc>
          <w:tcPr>
            <w:tcW w:w="943" w:type="dxa"/>
            <w:shd w:val="clear" w:color="auto" w:fill="C0C0C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26 402</w:t>
            </w:r>
          </w:p>
        </w:tc>
        <w:tc>
          <w:tcPr>
            <w:tcW w:w="872" w:type="dxa"/>
            <w:shd w:val="clear" w:color="auto" w:fill="FFFFFF"/>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20 454</w:t>
            </w:r>
          </w:p>
        </w:tc>
        <w:tc>
          <w:tcPr>
            <w:tcW w:w="923" w:type="dxa"/>
            <w:shd w:val="clear" w:color="auto" w:fill="FFFFFF"/>
            <w:vAlign w:val="center"/>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77,5</w:t>
            </w:r>
          </w:p>
        </w:tc>
      </w:tr>
      <w:tr w:rsidR="00000000">
        <w:tblPrEx>
          <w:tblCellMar>
            <w:top w:w="0" w:type="dxa"/>
            <w:bottom w:w="0" w:type="dxa"/>
          </w:tblCellMar>
        </w:tblPrEx>
        <w:trPr>
          <w:trHeight w:val="270"/>
          <w:jc w:val="center"/>
        </w:trPr>
        <w:tc>
          <w:tcPr>
            <w:tcW w:w="3555" w:type="dxa"/>
            <w:tcBorders>
              <w:bottom w:val="single" w:sz="12" w:space="0" w:color="auto"/>
            </w:tcBorders>
            <w:shd w:val="clear" w:color="auto" w:fill="C0C0C0"/>
            <w:vAlign w:val="center"/>
          </w:tcPr>
          <w:p w:rsidR="00000000" w:rsidRDefault="00000000">
            <w:pPr>
              <w:autoSpaceDE w:val="0"/>
              <w:autoSpaceDN w:val="0"/>
              <w:spacing w:line="160" w:lineRule="exact"/>
              <w:rPr>
                <w:rFonts w:eastAsia="Arial Unicode MS"/>
                <w:b/>
                <w:sz w:val="17"/>
                <w:lang w:eastAsia="de-DE"/>
              </w:rPr>
            </w:pPr>
            <w:r>
              <w:rPr>
                <w:b/>
                <w:sz w:val="17"/>
                <w:lang w:eastAsia="de-DE"/>
              </w:rPr>
              <w:t>Всего по всем учебным заведениям</w:t>
            </w:r>
            <w:r>
              <w:rPr>
                <w:b/>
                <w:sz w:val="17"/>
                <w:vertAlign w:val="superscript"/>
                <w:lang w:eastAsia="de-DE"/>
              </w:rPr>
              <w:t>2</w:t>
            </w:r>
          </w:p>
        </w:tc>
        <w:tc>
          <w:tcPr>
            <w:tcW w:w="892" w:type="dxa"/>
            <w:tcBorders>
              <w:bottom w:val="single" w:sz="12" w:space="0" w:color="auto"/>
            </w:tcBorders>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6 022</w:t>
            </w:r>
          </w:p>
        </w:tc>
        <w:tc>
          <w:tcPr>
            <w:tcW w:w="796" w:type="dxa"/>
            <w:tcBorders>
              <w:bottom w:val="single" w:sz="12" w:space="0" w:color="auto"/>
            </w:tcBorders>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54 908</w:t>
            </w:r>
          </w:p>
        </w:tc>
        <w:tc>
          <w:tcPr>
            <w:tcW w:w="952" w:type="dxa"/>
            <w:tcBorders>
              <w:bottom w:val="single" w:sz="12" w:space="0" w:color="auto"/>
            </w:tcBorders>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1 209 127</w:t>
            </w:r>
          </w:p>
        </w:tc>
        <w:tc>
          <w:tcPr>
            <w:tcW w:w="872" w:type="dxa"/>
            <w:tcBorders>
              <w:bottom w:val="single" w:sz="12" w:space="0" w:color="auto"/>
            </w:tcBorders>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582 975</w:t>
            </w:r>
          </w:p>
        </w:tc>
        <w:tc>
          <w:tcPr>
            <w:tcW w:w="923" w:type="dxa"/>
            <w:tcBorders>
              <w:bottom w:val="single" w:sz="12" w:space="0" w:color="auto"/>
            </w:tcBorders>
            <w:shd w:val="clear" w:color="auto" w:fill="808080"/>
            <w:vAlign w:val="center"/>
          </w:tcPr>
          <w:p w:rsidR="00000000" w:rsidRDefault="00000000">
            <w:pPr>
              <w:tabs>
                <w:tab w:val="decimal" w:pos="446"/>
              </w:tabs>
              <w:autoSpaceDE w:val="0"/>
              <w:autoSpaceDN w:val="0"/>
              <w:spacing w:line="160" w:lineRule="exact"/>
              <w:rPr>
                <w:rFonts w:eastAsia="Arial Unicode MS"/>
                <w:b/>
                <w:sz w:val="17"/>
                <w:lang w:eastAsia="de-DE"/>
              </w:rPr>
            </w:pPr>
            <w:r>
              <w:rPr>
                <w:b/>
                <w:sz w:val="17"/>
                <w:lang w:eastAsia="de-DE"/>
              </w:rPr>
              <w:t>48,2</w:t>
            </w:r>
          </w:p>
        </w:tc>
        <w:tc>
          <w:tcPr>
            <w:tcW w:w="892" w:type="dxa"/>
            <w:tcBorders>
              <w:bottom w:val="single" w:sz="12" w:space="0" w:color="auto"/>
            </w:tcBorders>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6 014</w:t>
            </w:r>
          </w:p>
        </w:tc>
        <w:tc>
          <w:tcPr>
            <w:tcW w:w="796" w:type="dxa"/>
            <w:tcBorders>
              <w:bottom w:val="single" w:sz="12" w:space="0" w:color="auto"/>
            </w:tcBorders>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54 857</w:t>
            </w:r>
          </w:p>
        </w:tc>
        <w:tc>
          <w:tcPr>
            <w:tcW w:w="943" w:type="dxa"/>
            <w:tcBorders>
              <w:bottom w:val="single" w:sz="12" w:space="0" w:color="auto"/>
            </w:tcBorders>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1 210 114</w:t>
            </w:r>
          </w:p>
        </w:tc>
        <w:tc>
          <w:tcPr>
            <w:tcW w:w="872" w:type="dxa"/>
            <w:tcBorders>
              <w:bottom w:val="single" w:sz="12" w:space="0" w:color="auto"/>
            </w:tcBorders>
            <w:shd w:val="clear" w:color="auto" w:fill="808080"/>
            <w:vAlign w:val="center"/>
          </w:tcPr>
          <w:p w:rsidR="00000000" w:rsidRDefault="00000000">
            <w:pPr>
              <w:tabs>
                <w:tab w:val="decimal" w:pos="567"/>
              </w:tabs>
              <w:autoSpaceDE w:val="0"/>
              <w:autoSpaceDN w:val="0"/>
              <w:spacing w:line="160" w:lineRule="exact"/>
              <w:rPr>
                <w:rFonts w:eastAsia="Arial Unicode MS"/>
                <w:b/>
                <w:sz w:val="17"/>
                <w:lang w:eastAsia="de-DE"/>
              </w:rPr>
            </w:pPr>
            <w:r>
              <w:rPr>
                <w:b/>
                <w:sz w:val="17"/>
                <w:lang w:eastAsia="de-DE"/>
              </w:rPr>
              <w:t>583 303</w:t>
            </w:r>
          </w:p>
        </w:tc>
        <w:tc>
          <w:tcPr>
            <w:tcW w:w="923" w:type="dxa"/>
            <w:tcBorders>
              <w:bottom w:val="single" w:sz="12" w:space="0" w:color="auto"/>
            </w:tcBorders>
            <w:shd w:val="clear" w:color="auto" w:fill="808080"/>
            <w:vAlign w:val="center"/>
          </w:tcPr>
          <w:p w:rsidR="00000000" w:rsidRDefault="00000000">
            <w:pPr>
              <w:tabs>
                <w:tab w:val="decimal" w:pos="414"/>
              </w:tabs>
              <w:autoSpaceDE w:val="0"/>
              <w:autoSpaceDN w:val="0"/>
              <w:spacing w:line="160" w:lineRule="exact"/>
              <w:rPr>
                <w:rFonts w:eastAsia="Arial Unicode MS"/>
                <w:b/>
                <w:sz w:val="17"/>
                <w:lang w:eastAsia="de-DE"/>
              </w:rPr>
            </w:pPr>
            <w:r>
              <w:rPr>
                <w:b/>
                <w:sz w:val="17"/>
                <w:lang w:eastAsia="de-DE"/>
              </w:rPr>
              <w:t>48,2</w:t>
            </w:r>
          </w:p>
        </w:tc>
      </w:tr>
    </w:tbl>
    <w:p w:rsidR="00000000" w:rsidRDefault="00000000">
      <w:pPr>
        <w:pStyle w:val="50"/>
        <w:rPr>
          <w:lang w:eastAsia="de-DE"/>
        </w:rPr>
      </w:pPr>
    </w:p>
    <w:p w:rsidR="00000000" w:rsidRDefault="00000000">
      <w:pPr>
        <w:spacing w:line="170" w:lineRule="exact"/>
        <w:ind w:left="284" w:hanging="284"/>
        <w:jc w:val="both"/>
      </w:pPr>
      <w:r>
        <w:rPr>
          <w:sz w:val="17"/>
          <w:vertAlign w:val="superscript"/>
          <w:lang w:eastAsia="de-DE"/>
        </w:rPr>
        <w:t>1.</w:t>
      </w:r>
      <w:r>
        <w:rPr>
          <w:sz w:val="17"/>
          <w:lang w:eastAsia="de-DE"/>
        </w:rPr>
        <w:tab/>
        <w:t>Данные по состоянию на октябрь 2001 года. Исключены школы, специализирующиеся на здравоохран</w:t>
      </w:r>
      <w:r>
        <w:rPr>
          <w:sz w:val="17"/>
          <w:lang w:eastAsia="de-DE"/>
        </w:rPr>
        <w:t>е</w:t>
      </w:r>
      <w:r>
        <w:rPr>
          <w:sz w:val="17"/>
          <w:lang w:eastAsia="de-DE"/>
        </w:rPr>
        <w:t>нии и имеющиеся свой собственный статут.</w:t>
      </w:r>
    </w:p>
    <w:p w:rsidR="00000000" w:rsidRDefault="00000000">
      <w:pPr>
        <w:spacing w:line="170" w:lineRule="exact"/>
        <w:ind w:left="284" w:hanging="284"/>
        <w:jc w:val="both"/>
        <w:rPr>
          <w:sz w:val="17"/>
          <w:lang w:eastAsia="de-DE"/>
        </w:rPr>
      </w:pPr>
      <w:r>
        <w:rPr>
          <w:sz w:val="17"/>
          <w:vertAlign w:val="superscript"/>
          <w:lang w:eastAsia="de-DE"/>
        </w:rPr>
        <w:t>2.</w:t>
      </w:r>
      <w:r>
        <w:rPr>
          <w:sz w:val="17"/>
          <w:lang w:eastAsia="de-DE"/>
        </w:rPr>
        <w:tab/>
        <w:t>Школы, предлагающие несколько типов учебных программ, учитываются лишь один раз.</w:t>
      </w:r>
    </w:p>
    <w:p w:rsidR="00000000" w:rsidRDefault="00000000">
      <w:pPr>
        <w:pStyle w:val="SingleTxt"/>
        <w:pageBreakBefore/>
        <w:tabs>
          <w:tab w:val="clear" w:pos="1267"/>
        </w:tabs>
        <w:ind w:left="0"/>
        <w:rPr>
          <w:b/>
        </w:rPr>
      </w:pPr>
      <w:r>
        <w:rPr>
          <w:b/>
        </w:rPr>
        <w:t>Преподаватели высших учебных заведений</w:t>
      </w:r>
    </w:p>
    <w:p w:rsidR="00000000" w:rsidRDefault="00000000">
      <w:pPr>
        <w:pStyle w:val="SingleTxt"/>
        <w:tabs>
          <w:tab w:val="clear" w:pos="1267"/>
        </w:tabs>
        <w:ind w:left="0" w:right="9"/>
        <w:jc w:val="left"/>
        <w:rPr>
          <w:b/>
        </w:rPr>
      </w:pPr>
      <w:r>
        <w:rPr>
          <w:b/>
        </w:rPr>
        <w:t xml:space="preserve">Преподаватели высших учебных заведений и художественных и музыкальных высших учебных заведений, </w:t>
      </w:r>
      <w:r>
        <w:rPr>
          <w:b/>
        </w:rPr>
        <w:br/>
        <w:t>занятые полные р</w:t>
      </w:r>
      <w:r>
        <w:rPr>
          <w:b/>
        </w:rPr>
        <w:t>а</w:t>
      </w:r>
      <w:r>
        <w:rPr>
          <w:b/>
        </w:rPr>
        <w:t>бочий день</w:t>
      </w:r>
      <w:r>
        <w:rPr>
          <w:b/>
          <w:vertAlign w:val="superscript"/>
        </w:rPr>
        <w:t>1</w:t>
      </w:r>
      <w:r>
        <w:rPr>
          <w:b/>
        </w:rPr>
        <w:t>, 2000, 2001, 2002 год</w:t>
      </w:r>
    </w:p>
    <w:tbl>
      <w:tblPr>
        <w:tblW w:w="0" w:type="auto"/>
        <w:jc w:val="center"/>
        <w:tblLayout w:type="fixed"/>
        <w:tblLook w:val="00BF" w:firstRow="1" w:lastRow="0" w:firstColumn="1" w:lastColumn="0" w:noHBand="0" w:noVBand="0"/>
      </w:tblPr>
      <w:tblGrid>
        <w:gridCol w:w="2324"/>
        <w:gridCol w:w="862"/>
        <w:gridCol w:w="871"/>
        <w:gridCol w:w="790"/>
        <w:gridCol w:w="862"/>
        <w:gridCol w:w="871"/>
        <w:gridCol w:w="790"/>
        <w:gridCol w:w="862"/>
        <w:gridCol w:w="871"/>
        <w:gridCol w:w="790"/>
        <w:gridCol w:w="862"/>
        <w:gridCol w:w="871"/>
        <w:gridCol w:w="790"/>
      </w:tblGrid>
      <w:tr w:rsidR="00000000">
        <w:tblPrEx>
          <w:tblCellMar>
            <w:top w:w="0" w:type="dxa"/>
            <w:bottom w:w="0" w:type="dxa"/>
          </w:tblCellMar>
        </w:tblPrEx>
        <w:trPr>
          <w:jc w:val="center"/>
        </w:trPr>
        <w:tc>
          <w:tcPr>
            <w:tcW w:w="2324" w:type="dxa"/>
            <w:tcBorders>
              <w:top w:val="single" w:sz="6" w:space="0" w:color="auto"/>
            </w:tcBorders>
            <w:vAlign w:val="bottom"/>
          </w:tcPr>
          <w:p w:rsidR="00000000" w:rsidRDefault="00000000">
            <w:pPr>
              <w:spacing w:line="170" w:lineRule="exact"/>
              <w:jc w:val="center"/>
              <w:rPr>
                <w:i/>
                <w:sz w:val="17"/>
              </w:rPr>
            </w:pPr>
          </w:p>
        </w:tc>
        <w:tc>
          <w:tcPr>
            <w:tcW w:w="1733" w:type="dxa"/>
            <w:gridSpan w:val="2"/>
            <w:tcBorders>
              <w:top w:val="single" w:sz="6" w:space="0" w:color="auto"/>
              <w:bottom w:val="single" w:sz="6" w:space="0" w:color="auto"/>
            </w:tcBorders>
            <w:vAlign w:val="bottom"/>
          </w:tcPr>
          <w:p w:rsidR="00000000" w:rsidRDefault="00000000">
            <w:pPr>
              <w:spacing w:line="170" w:lineRule="exact"/>
              <w:jc w:val="center"/>
              <w:rPr>
                <w:i/>
                <w:sz w:val="17"/>
              </w:rPr>
            </w:pPr>
            <w:r>
              <w:rPr>
                <w:i/>
                <w:sz w:val="17"/>
              </w:rPr>
              <w:t>2000</w:t>
            </w:r>
          </w:p>
        </w:tc>
        <w:tc>
          <w:tcPr>
            <w:tcW w:w="790" w:type="dxa"/>
            <w:tcBorders>
              <w:top w:val="single" w:sz="6" w:space="0" w:color="auto"/>
              <w:bottom w:val="single" w:sz="6" w:space="0" w:color="auto"/>
            </w:tcBorders>
            <w:vAlign w:val="bottom"/>
          </w:tcPr>
          <w:p w:rsidR="00000000" w:rsidRDefault="00000000">
            <w:pPr>
              <w:spacing w:line="170" w:lineRule="exact"/>
              <w:jc w:val="center"/>
              <w:rPr>
                <w:i/>
                <w:sz w:val="17"/>
              </w:rPr>
            </w:pPr>
          </w:p>
        </w:tc>
        <w:tc>
          <w:tcPr>
            <w:tcW w:w="1733" w:type="dxa"/>
            <w:gridSpan w:val="2"/>
            <w:tcBorders>
              <w:top w:val="single" w:sz="6" w:space="0" w:color="auto"/>
              <w:bottom w:val="single" w:sz="6" w:space="0" w:color="auto"/>
            </w:tcBorders>
            <w:vAlign w:val="bottom"/>
          </w:tcPr>
          <w:p w:rsidR="00000000" w:rsidRDefault="00000000">
            <w:pPr>
              <w:spacing w:line="170" w:lineRule="exact"/>
              <w:jc w:val="center"/>
              <w:rPr>
                <w:i/>
                <w:sz w:val="17"/>
              </w:rPr>
            </w:pPr>
            <w:r>
              <w:rPr>
                <w:i/>
                <w:sz w:val="17"/>
              </w:rPr>
              <w:t>2001</w:t>
            </w:r>
          </w:p>
        </w:tc>
        <w:tc>
          <w:tcPr>
            <w:tcW w:w="790" w:type="dxa"/>
            <w:tcBorders>
              <w:top w:val="single" w:sz="6" w:space="0" w:color="auto"/>
              <w:bottom w:val="single" w:sz="6" w:space="0" w:color="auto"/>
            </w:tcBorders>
            <w:vAlign w:val="bottom"/>
          </w:tcPr>
          <w:p w:rsidR="00000000" w:rsidRDefault="00000000">
            <w:pPr>
              <w:spacing w:line="170" w:lineRule="exact"/>
              <w:jc w:val="center"/>
              <w:rPr>
                <w:i/>
                <w:sz w:val="17"/>
              </w:rPr>
            </w:pPr>
          </w:p>
        </w:tc>
        <w:tc>
          <w:tcPr>
            <w:tcW w:w="1733" w:type="dxa"/>
            <w:gridSpan w:val="2"/>
            <w:tcBorders>
              <w:top w:val="single" w:sz="6" w:space="0" w:color="auto"/>
              <w:bottom w:val="single" w:sz="6" w:space="0" w:color="auto"/>
            </w:tcBorders>
            <w:vAlign w:val="bottom"/>
          </w:tcPr>
          <w:p w:rsidR="00000000" w:rsidRDefault="00000000">
            <w:pPr>
              <w:spacing w:line="170" w:lineRule="exact"/>
              <w:jc w:val="center"/>
              <w:rPr>
                <w:i/>
                <w:sz w:val="17"/>
              </w:rPr>
            </w:pPr>
            <w:r>
              <w:rPr>
                <w:i/>
                <w:sz w:val="17"/>
              </w:rPr>
              <w:t>2002</w:t>
            </w:r>
          </w:p>
        </w:tc>
        <w:tc>
          <w:tcPr>
            <w:tcW w:w="790" w:type="dxa"/>
            <w:tcBorders>
              <w:top w:val="single" w:sz="6" w:space="0" w:color="auto"/>
              <w:bottom w:val="single" w:sz="6" w:space="0" w:color="auto"/>
            </w:tcBorders>
            <w:vAlign w:val="bottom"/>
          </w:tcPr>
          <w:p w:rsidR="00000000" w:rsidRDefault="00000000">
            <w:pPr>
              <w:spacing w:line="170" w:lineRule="exact"/>
              <w:jc w:val="center"/>
              <w:rPr>
                <w:i/>
                <w:sz w:val="17"/>
              </w:rPr>
            </w:pPr>
          </w:p>
        </w:tc>
        <w:tc>
          <w:tcPr>
            <w:tcW w:w="2523" w:type="dxa"/>
            <w:gridSpan w:val="3"/>
            <w:tcBorders>
              <w:top w:val="single" w:sz="6" w:space="0" w:color="auto"/>
              <w:bottom w:val="single" w:sz="6" w:space="0" w:color="auto"/>
            </w:tcBorders>
            <w:vAlign w:val="bottom"/>
          </w:tcPr>
          <w:p w:rsidR="00000000" w:rsidRDefault="00000000">
            <w:pPr>
              <w:spacing w:line="170" w:lineRule="exact"/>
              <w:jc w:val="center"/>
              <w:rPr>
                <w:b/>
                <w:i/>
                <w:sz w:val="17"/>
              </w:rPr>
            </w:pPr>
            <w:r>
              <w:rPr>
                <w:b/>
                <w:i/>
                <w:sz w:val="17"/>
              </w:rPr>
              <w:t>2002 </w:t>
            </w:r>
            <w:r>
              <w:rPr>
                <w:b/>
                <w:i/>
                <w:sz w:val="17"/>
              </w:rPr>
              <w:br/>
              <w:t>(НОВАЯ БАЗА ДАННЫХ)</w:t>
            </w:r>
          </w:p>
        </w:tc>
      </w:tr>
      <w:tr w:rsidR="00000000">
        <w:tblPrEx>
          <w:tblCellMar>
            <w:top w:w="0" w:type="dxa"/>
            <w:bottom w:w="0" w:type="dxa"/>
          </w:tblCellMar>
        </w:tblPrEx>
        <w:trPr>
          <w:jc w:val="center"/>
        </w:trPr>
        <w:tc>
          <w:tcPr>
            <w:tcW w:w="2324" w:type="dxa"/>
            <w:tcBorders>
              <w:bottom w:val="single" w:sz="12" w:space="0" w:color="auto"/>
            </w:tcBorders>
            <w:vAlign w:val="bottom"/>
          </w:tcPr>
          <w:p w:rsidR="00000000" w:rsidRDefault="00000000">
            <w:pPr>
              <w:spacing w:line="170" w:lineRule="exact"/>
              <w:jc w:val="center"/>
              <w:rPr>
                <w:i/>
                <w:sz w:val="17"/>
              </w:rPr>
            </w:pPr>
          </w:p>
        </w:tc>
        <w:tc>
          <w:tcPr>
            <w:tcW w:w="862"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Всего</w:t>
            </w:r>
          </w:p>
        </w:tc>
        <w:tc>
          <w:tcPr>
            <w:tcW w:w="871"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Из к</w:t>
            </w:r>
            <w:r>
              <w:rPr>
                <w:i/>
                <w:sz w:val="17"/>
              </w:rPr>
              <w:t>о</w:t>
            </w:r>
            <w:r>
              <w:rPr>
                <w:i/>
                <w:sz w:val="17"/>
              </w:rPr>
              <w:t>торых же</w:t>
            </w:r>
            <w:r>
              <w:rPr>
                <w:i/>
                <w:sz w:val="17"/>
              </w:rPr>
              <w:t>н</w:t>
            </w:r>
            <w:r>
              <w:rPr>
                <w:i/>
                <w:sz w:val="17"/>
              </w:rPr>
              <w:t>щин</w:t>
            </w:r>
          </w:p>
        </w:tc>
        <w:tc>
          <w:tcPr>
            <w:tcW w:w="790"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 же</w:t>
            </w:r>
            <w:r>
              <w:rPr>
                <w:i/>
                <w:sz w:val="17"/>
              </w:rPr>
              <w:t>н</w:t>
            </w:r>
            <w:r>
              <w:rPr>
                <w:i/>
                <w:sz w:val="17"/>
              </w:rPr>
              <w:t>щин</w:t>
            </w:r>
          </w:p>
        </w:tc>
        <w:tc>
          <w:tcPr>
            <w:tcW w:w="862"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Всего</w:t>
            </w:r>
          </w:p>
        </w:tc>
        <w:tc>
          <w:tcPr>
            <w:tcW w:w="871"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Из к</w:t>
            </w:r>
            <w:r>
              <w:rPr>
                <w:i/>
                <w:sz w:val="17"/>
              </w:rPr>
              <w:t>о</w:t>
            </w:r>
            <w:r>
              <w:rPr>
                <w:i/>
                <w:sz w:val="17"/>
              </w:rPr>
              <w:t>торых же</w:t>
            </w:r>
            <w:r>
              <w:rPr>
                <w:i/>
                <w:sz w:val="17"/>
              </w:rPr>
              <w:t>н</w:t>
            </w:r>
            <w:r>
              <w:rPr>
                <w:i/>
                <w:sz w:val="17"/>
              </w:rPr>
              <w:t>щин</w:t>
            </w:r>
          </w:p>
        </w:tc>
        <w:tc>
          <w:tcPr>
            <w:tcW w:w="790"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 же</w:t>
            </w:r>
            <w:r>
              <w:rPr>
                <w:i/>
                <w:sz w:val="17"/>
              </w:rPr>
              <w:t>н</w:t>
            </w:r>
            <w:r>
              <w:rPr>
                <w:i/>
                <w:sz w:val="17"/>
              </w:rPr>
              <w:t>щин</w:t>
            </w:r>
          </w:p>
        </w:tc>
        <w:tc>
          <w:tcPr>
            <w:tcW w:w="862"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Всего</w:t>
            </w:r>
          </w:p>
        </w:tc>
        <w:tc>
          <w:tcPr>
            <w:tcW w:w="871"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Из к</w:t>
            </w:r>
            <w:r>
              <w:rPr>
                <w:i/>
                <w:sz w:val="17"/>
              </w:rPr>
              <w:t>о</w:t>
            </w:r>
            <w:r>
              <w:rPr>
                <w:i/>
                <w:sz w:val="17"/>
              </w:rPr>
              <w:t>торых же</w:t>
            </w:r>
            <w:r>
              <w:rPr>
                <w:i/>
                <w:sz w:val="17"/>
              </w:rPr>
              <w:t>н</w:t>
            </w:r>
            <w:r>
              <w:rPr>
                <w:i/>
                <w:sz w:val="17"/>
              </w:rPr>
              <w:t>щин</w:t>
            </w:r>
          </w:p>
        </w:tc>
        <w:tc>
          <w:tcPr>
            <w:tcW w:w="790"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 же</w:t>
            </w:r>
            <w:r>
              <w:rPr>
                <w:i/>
                <w:sz w:val="17"/>
              </w:rPr>
              <w:t>н</w:t>
            </w:r>
            <w:r>
              <w:rPr>
                <w:i/>
                <w:sz w:val="17"/>
              </w:rPr>
              <w:t>щин</w:t>
            </w:r>
          </w:p>
        </w:tc>
        <w:tc>
          <w:tcPr>
            <w:tcW w:w="862"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Всего</w:t>
            </w:r>
          </w:p>
        </w:tc>
        <w:tc>
          <w:tcPr>
            <w:tcW w:w="871"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Из к</w:t>
            </w:r>
            <w:r>
              <w:rPr>
                <w:i/>
                <w:sz w:val="17"/>
              </w:rPr>
              <w:t>о</w:t>
            </w:r>
            <w:r>
              <w:rPr>
                <w:i/>
                <w:sz w:val="17"/>
              </w:rPr>
              <w:t>торых же</w:t>
            </w:r>
            <w:r>
              <w:rPr>
                <w:i/>
                <w:sz w:val="17"/>
              </w:rPr>
              <w:t>н</w:t>
            </w:r>
            <w:r>
              <w:rPr>
                <w:i/>
                <w:sz w:val="17"/>
              </w:rPr>
              <w:t>щин</w:t>
            </w:r>
          </w:p>
        </w:tc>
        <w:tc>
          <w:tcPr>
            <w:tcW w:w="790" w:type="dxa"/>
            <w:tcBorders>
              <w:top w:val="single" w:sz="6" w:space="0" w:color="auto"/>
              <w:bottom w:val="single" w:sz="12" w:space="0" w:color="auto"/>
            </w:tcBorders>
            <w:vAlign w:val="bottom"/>
          </w:tcPr>
          <w:p w:rsidR="00000000" w:rsidRDefault="00000000">
            <w:pPr>
              <w:spacing w:line="170" w:lineRule="exact"/>
              <w:jc w:val="center"/>
              <w:rPr>
                <w:i/>
                <w:sz w:val="17"/>
              </w:rPr>
            </w:pPr>
            <w:r>
              <w:rPr>
                <w:i/>
                <w:sz w:val="17"/>
              </w:rPr>
              <w:t>% же</w:t>
            </w:r>
            <w:r>
              <w:rPr>
                <w:i/>
                <w:sz w:val="17"/>
              </w:rPr>
              <w:t>н</w:t>
            </w:r>
            <w:r>
              <w:rPr>
                <w:i/>
                <w:sz w:val="17"/>
              </w:rPr>
              <w:t>щин</w:t>
            </w:r>
          </w:p>
        </w:tc>
      </w:tr>
      <w:tr w:rsidR="00000000">
        <w:tblPrEx>
          <w:tblCellMar>
            <w:top w:w="0" w:type="dxa"/>
            <w:bottom w:w="0" w:type="dxa"/>
          </w:tblCellMar>
        </w:tblPrEx>
        <w:trPr>
          <w:jc w:val="center"/>
        </w:trPr>
        <w:tc>
          <w:tcPr>
            <w:tcW w:w="2324" w:type="dxa"/>
            <w:tcBorders>
              <w:top w:val="single" w:sz="12" w:space="0" w:color="auto"/>
            </w:tcBorders>
          </w:tcPr>
          <w:p w:rsidR="00000000" w:rsidRDefault="00000000">
            <w:pPr>
              <w:spacing w:line="170" w:lineRule="exact"/>
              <w:rPr>
                <w:b/>
                <w:sz w:val="17"/>
              </w:rPr>
            </w:pPr>
            <w:r>
              <w:rPr>
                <w:b/>
                <w:sz w:val="17"/>
              </w:rPr>
              <w:t>Высшие учебные завед</w:t>
            </w:r>
            <w:r>
              <w:rPr>
                <w:b/>
                <w:sz w:val="17"/>
              </w:rPr>
              <w:t>е</w:t>
            </w:r>
            <w:r>
              <w:rPr>
                <w:b/>
                <w:sz w:val="17"/>
              </w:rPr>
              <w:t>ния</w:t>
            </w:r>
          </w:p>
        </w:tc>
        <w:tc>
          <w:tcPr>
            <w:tcW w:w="862" w:type="dxa"/>
            <w:tcBorders>
              <w:top w:val="single" w:sz="12" w:space="0" w:color="auto"/>
            </w:tcBorders>
            <w:vAlign w:val="bottom"/>
          </w:tcPr>
          <w:p w:rsidR="00000000" w:rsidRDefault="00000000">
            <w:pPr>
              <w:tabs>
                <w:tab w:val="decimal" w:pos="434"/>
              </w:tabs>
              <w:spacing w:line="170" w:lineRule="exact"/>
              <w:rPr>
                <w:sz w:val="17"/>
              </w:rPr>
            </w:pPr>
          </w:p>
        </w:tc>
        <w:tc>
          <w:tcPr>
            <w:tcW w:w="871" w:type="dxa"/>
            <w:tcBorders>
              <w:top w:val="single" w:sz="12" w:space="0" w:color="auto"/>
            </w:tcBorders>
            <w:vAlign w:val="bottom"/>
          </w:tcPr>
          <w:p w:rsidR="00000000" w:rsidRDefault="00000000">
            <w:pPr>
              <w:tabs>
                <w:tab w:val="decimal" w:pos="434"/>
              </w:tabs>
              <w:spacing w:line="170" w:lineRule="exact"/>
              <w:rPr>
                <w:sz w:val="17"/>
              </w:rPr>
            </w:pPr>
          </w:p>
        </w:tc>
        <w:tc>
          <w:tcPr>
            <w:tcW w:w="790" w:type="dxa"/>
            <w:tcBorders>
              <w:top w:val="single" w:sz="12" w:space="0" w:color="auto"/>
            </w:tcBorders>
            <w:vAlign w:val="bottom"/>
          </w:tcPr>
          <w:p w:rsidR="00000000" w:rsidRDefault="00000000">
            <w:pPr>
              <w:tabs>
                <w:tab w:val="decimal" w:pos="434"/>
              </w:tabs>
              <w:spacing w:line="170" w:lineRule="exact"/>
              <w:rPr>
                <w:sz w:val="17"/>
              </w:rPr>
            </w:pPr>
          </w:p>
        </w:tc>
        <w:tc>
          <w:tcPr>
            <w:tcW w:w="862" w:type="dxa"/>
            <w:tcBorders>
              <w:top w:val="single" w:sz="12" w:space="0" w:color="auto"/>
            </w:tcBorders>
            <w:vAlign w:val="bottom"/>
          </w:tcPr>
          <w:p w:rsidR="00000000" w:rsidRDefault="00000000">
            <w:pPr>
              <w:tabs>
                <w:tab w:val="decimal" w:pos="434"/>
              </w:tabs>
              <w:spacing w:line="170" w:lineRule="exact"/>
              <w:rPr>
                <w:sz w:val="17"/>
              </w:rPr>
            </w:pPr>
          </w:p>
        </w:tc>
        <w:tc>
          <w:tcPr>
            <w:tcW w:w="871" w:type="dxa"/>
            <w:tcBorders>
              <w:top w:val="single" w:sz="12" w:space="0" w:color="auto"/>
            </w:tcBorders>
            <w:vAlign w:val="bottom"/>
          </w:tcPr>
          <w:p w:rsidR="00000000" w:rsidRDefault="00000000">
            <w:pPr>
              <w:tabs>
                <w:tab w:val="decimal" w:pos="434"/>
              </w:tabs>
              <w:spacing w:line="170" w:lineRule="exact"/>
              <w:rPr>
                <w:sz w:val="17"/>
              </w:rPr>
            </w:pPr>
          </w:p>
        </w:tc>
        <w:tc>
          <w:tcPr>
            <w:tcW w:w="790" w:type="dxa"/>
            <w:tcBorders>
              <w:top w:val="single" w:sz="12" w:space="0" w:color="auto"/>
            </w:tcBorders>
            <w:vAlign w:val="bottom"/>
          </w:tcPr>
          <w:p w:rsidR="00000000" w:rsidRDefault="00000000">
            <w:pPr>
              <w:tabs>
                <w:tab w:val="decimal" w:pos="434"/>
              </w:tabs>
              <w:spacing w:line="170" w:lineRule="exact"/>
              <w:rPr>
                <w:sz w:val="17"/>
              </w:rPr>
            </w:pPr>
          </w:p>
        </w:tc>
        <w:tc>
          <w:tcPr>
            <w:tcW w:w="862" w:type="dxa"/>
            <w:tcBorders>
              <w:top w:val="single" w:sz="12" w:space="0" w:color="auto"/>
            </w:tcBorders>
            <w:vAlign w:val="bottom"/>
          </w:tcPr>
          <w:p w:rsidR="00000000" w:rsidRDefault="00000000">
            <w:pPr>
              <w:tabs>
                <w:tab w:val="decimal" w:pos="434"/>
              </w:tabs>
              <w:spacing w:line="170" w:lineRule="exact"/>
              <w:rPr>
                <w:sz w:val="17"/>
              </w:rPr>
            </w:pPr>
          </w:p>
        </w:tc>
        <w:tc>
          <w:tcPr>
            <w:tcW w:w="871" w:type="dxa"/>
            <w:tcBorders>
              <w:top w:val="single" w:sz="12" w:space="0" w:color="auto"/>
            </w:tcBorders>
            <w:vAlign w:val="bottom"/>
          </w:tcPr>
          <w:p w:rsidR="00000000" w:rsidRDefault="00000000">
            <w:pPr>
              <w:tabs>
                <w:tab w:val="decimal" w:pos="434"/>
              </w:tabs>
              <w:spacing w:line="170" w:lineRule="exact"/>
              <w:rPr>
                <w:sz w:val="17"/>
              </w:rPr>
            </w:pPr>
          </w:p>
        </w:tc>
        <w:tc>
          <w:tcPr>
            <w:tcW w:w="790" w:type="dxa"/>
            <w:tcBorders>
              <w:top w:val="single" w:sz="12" w:space="0" w:color="auto"/>
            </w:tcBorders>
            <w:vAlign w:val="bottom"/>
          </w:tcPr>
          <w:p w:rsidR="00000000" w:rsidRDefault="00000000">
            <w:pPr>
              <w:tabs>
                <w:tab w:val="decimal" w:pos="434"/>
              </w:tabs>
              <w:spacing w:line="170" w:lineRule="exact"/>
              <w:rPr>
                <w:sz w:val="17"/>
              </w:rPr>
            </w:pPr>
          </w:p>
        </w:tc>
        <w:tc>
          <w:tcPr>
            <w:tcW w:w="862" w:type="dxa"/>
            <w:tcBorders>
              <w:top w:val="single" w:sz="12" w:space="0" w:color="auto"/>
            </w:tcBorders>
            <w:vAlign w:val="bottom"/>
          </w:tcPr>
          <w:p w:rsidR="00000000" w:rsidRDefault="00000000">
            <w:pPr>
              <w:tabs>
                <w:tab w:val="decimal" w:pos="434"/>
              </w:tabs>
              <w:spacing w:line="170" w:lineRule="exact"/>
              <w:rPr>
                <w:sz w:val="17"/>
              </w:rPr>
            </w:pPr>
          </w:p>
        </w:tc>
        <w:tc>
          <w:tcPr>
            <w:tcW w:w="871" w:type="dxa"/>
            <w:tcBorders>
              <w:top w:val="single" w:sz="12" w:space="0" w:color="auto"/>
            </w:tcBorders>
            <w:vAlign w:val="bottom"/>
          </w:tcPr>
          <w:p w:rsidR="00000000" w:rsidRDefault="00000000">
            <w:pPr>
              <w:tabs>
                <w:tab w:val="decimal" w:pos="434"/>
              </w:tabs>
              <w:spacing w:line="170" w:lineRule="exact"/>
              <w:rPr>
                <w:sz w:val="17"/>
              </w:rPr>
            </w:pPr>
          </w:p>
        </w:tc>
        <w:tc>
          <w:tcPr>
            <w:tcW w:w="790" w:type="dxa"/>
            <w:tcBorders>
              <w:top w:val="single" w:sz="12" w:space="0" w:color="auto"/>
            </w:tcBorders>
            <w:vAlign w:val="bottom"/>
          </w:tcPr>
          <w:p w:rsidR="00000000" w:rsidRDefault="00000000">
            <w:pPr>
              <w:tabs>
                <w:tab w:val="decimal" w:pos="434"/>
              </w:tabs>
              <w:spacing w:line="170" w:lineRule="exact"/>
              <w:rPr>
                <w:sz w:val="17"/>
              </w:rPr>
            </w:pPr>
          </w:p>
        </w:tc>
      </w:tr>
      <w:tr w:rsidR="00000000">
        <w:tblPrEx>
          <w:tblCellMar>
            <w:top w:w="0" w:type="dxa"/>
            <w:bottom w:w="0" w:type="dxa"/>
          </w:tblCellMar>
        </w:tblPrEx>
        <w:trPr>
          <w:jc w:val="center"/>
        </w:trPr>
        <w:tc>
          <w:tcPr>
            <w:tcW w:w="2324" w:type="dxa"/>
          </w:tcPr>
          <w:p w:rsidR="00000000" w:rsidRDefault="00000000">
            <w:pPr>
              <w:spacing w:line="170" w:lineRule="exact"/>
              <w:rPr>
                <w:sz w:val="17"/>
              </w:rPr>
            </w:pPr>
            <w:r>
              <w:rPr>
                <w:sz w:val="17"/>
              </w:rPr>
              <w:t>Профессора на полную ставку</w:t>
            </w:r>
          </w:p>
        </w:tc>
        <w:tc>
          <w:tcPr>
            <w:tcW w:w="862" w:type="dxa"/>
            <w:vAlign w:val="bottom"/>
          </w:tcPr>
          <w:p w:rsidR="00000000" w:rsidRDefault="00000000">
            <w:pPr>
              <w:tabs>
                <w:tab w:val="decimal" w:pos="434"/>
              </w:tabs>
              <w:spacing w:line="170" w:lineRule="exact"/>
              <w:rPr>
                <w:sz w:val="17"/>
              </w:rPr>
            </w:pPr>
            <w:r>
              <w:rPr>
                <w:sz w:val="17"/>
              </w:rPr>
              <w:t>1 627,0</w:t>
            </w:r>
          </w:p>
        </w:tc>
        <w:tc>
          <w:tcPr>
            <w:tcW w:w="871" w:type="dxa"/>
            <w:vAlign w:val="bottom"/>
          </w:tcPr>
          <w:p w:rsidR="00000000" w:rsidRDefault="00000000">
            <w:pPr>
              <w:tabs>
                <w:tab w:val="decimal" w:pos="434"/>
              </w:tabs>
              <w:spacing w:line="170" w:lineRule="exact"/>
              <w:rPr>
                <w:sz w:val="17"/>
              </w:rPr>
            </w:pPr>
            <w:r>
              <w:rPr>
                <w:sz w:val="17"/>
              </w:rPr>
              <w:t>100,0</w:t>
            </w:r>
          </w:p>
        </w:tc>
        <w:tc>
          <w:tcPr>
            <w:tcW w:w="790" w:type="dxa"/>
            <w:vAlign w:val="bottom"/>
          </w:tcPr>
          <w:p w:rsidR="00000000" w:rsidRDefault="00000000">
            <w:pPr>
              <w:tabs>
                <w:tab w:val="decimal" w:pos="434"/>
              </w:tabs>
              <w:spacing w:line="170" w:lineRule="exact"/>
              <w:rPr>
                <w:sz w:val="17"/>
              </w:rPr>
            </w:pPr>
            <w:r>
              <w:rPr>
                <w:sz w:val="17"/>
              </w:rPr>
              <w:t>6,1</w:t>
            </w:r>
          </w:p>
        </w:tc>
        <w:tc>
          <w:tcPr>
            <w:tcW w:w="862" w:type="dxa"/>
            <w:vAlign w:val="bottom"/>
          </w:tcPr>
          <w:p w:rsidR="00000000" w:rsidRDefault="00000000">
            <w:pPr>
              <w:tabs>
                <w:tab w:val="decimal" w:pos="434"/>
              </w:tabs>
              <w:spacing w:line="170" w:lineRule="exact"/>
              <w:rPr>
                <w:sz w:val="17"/>
              </w:rPr>
            </w:pPr>
            <w:r>
              <w:rPr>
                <w:sz w:val="17"/>
              </w:rPr>
              <w:t>1 640,0</w:t>
            </w:r>
          </w:p>
        </w:tc>
        <w:tc>
          <w:tcPr>
            <w:tcW w:w="871" w:type="dxa"/>
            <w:vAlign w:val="bottom"/>
          </w:tcPr>
          <w:p w:rsidR="00000000" w:rsidRDefault="00000000">
            <w:pPr>
              <w:tabs>
                <w:tab w:val="decimal" w:pos="434"/>
              </w:tabs>
              <w:spacing w:line="170" w:lineRule="exact"/>
              <w:rPr>
                <w:sz w:val="17"/>
              </w:rPr>
            </w:pPr>
            <w:r>
              <w:rPr>
                <w:sz w:val="17"/>
              </w:rPr>
              <w:t>113,0</w:t>
            </w:r>
          </w:p>
        </w:tc>
        <w:tc>
          <w:tcPr>
            <w:tcW w:w="790" w:type="dxa"/>
            <w:vAlign w:val="bottom"/>
          </w:tcPr>
          <w:p w:rsidR="00000000" w:rsidRDefault="00000000">
            <w:pPr>
              <w:tabs>
                <w:tab w:val="decimal" w:pos="434"/>
              </w:tabs>
              <w:spacing w:line="170" w:lineRule="exact"/>
              <w:rPr>
                <w:sz w:val="17"/>
              </w:rPr>
            </w:pPr>
            <w:r>
              <w:rPr>
                <w:sz w:val="17"/>
              </w:rPr>
              <w:t>6,9</w:t>
            </w:r>
          </w:p>
        </w:tc>
        <w:tc>
          <w:tcPr>
            <w:tcW w:w="862" w:type="dxa"/>
            <w:vAlign w:val="bottom"/>
          </w:tcPr>
          <w:p w:rsidR="00000000" w:rsidRDefault="00000000">
            <w:pPr>
              <w:tabs>
                <w:tab w:val="decimal" w:pos="434"/>
              </w:tabs>
              <w:spacing w:line="170" w:lineRule="exact"/>
              <w:rPr>
                <w:sz w:val="17"/>
              </w:rPr>
            </w:pPr>
            <w:r>
              <w:rPr>
                <w:sz w:val="17"/>
              </w:rPr>
              <w:t>1 610,5</w:t>
            </w:r>
          </w:p>
        </w:tc>
        <w:tc>
          <w:tcPr>
            <w:tcW w:w="871" w:type="dxa"/>
            <w:vAlign w:val="bottom"/>
          </w:tcPr>
          <w:p w:rsidR="00000000" w:rsidRDefault="00000000">
            <w:pPr>
              <w:tabs>
                <w:tab w:val="decimal" w:pos="434"/>
              </w:tabs>
              <w:spacing w:line="170" w:lineRule="exact"/>
              <w:rPr>
                <w:sz w:val="17"/>
              </w:rPr>
            </w:pPr>
            <w:r>
              <w:rPr>
                <w:sz w:val="17"/>
              </w:rPr>
              <w:t>109,0</w:t>
            </w:r>
          </w:p>
        </w:tc>
        <w:tc>
          <w:tcPr>
            <w:tcW w:w="790" w:type="dxa"/>
            <w:vAlign w:val="bottom"/>
          </w:tcPr>
          <w:p w:rsidR="00000000" w:rsidRDefault="00000000">
            <w:pPr>
              <w:tabs>
                <w:tab w:val="decimal" w:pos="434"/>
              </w:tabs>
              <w:spacing w:line="170" w:lineRule="exact"/>
              <w:rPr>
                <w:sz w:val="17"/>
              </w:rPr>
            </w:pPr>
            <w:r>
              <w:rPr>
                <w:sz w:val="17"/>
              </w:rPr>
              <w:t>6,8</w:t>
            </w:r>
          </w:p>
        </w:tc>
        <w:tc>
          <w:tcPr>
            <w:tcW w:w="862" w:type="dxa"/>
            <w:vAlign w:val="bottom"/>
          </w:tcPr>
          <w:p w:rsidR="00000000" w:rsidRDefault="00000000">
            <w:pPr>
              <w:tabs>
                <w:tab w:val="decimal" w:pos="434"/>
              </w:tabs>
              <w:spacing w:line="170" w:lineRule="exact"/>
              <w:rPr>
                <w:sz w:val="17"/>
              </w:rPr>
            </w:pPr>
            <w:r>
              <w:rPr>
                <w:sz w:val="17"/>
              </w:rPr>
              <w:t>1 600,1</w:t>
            </w:r>
          </w:p>
        </w:tc>
        <w:tc>
          <w:tcPr>
            <w:tcW w:w="871" w:type="dxa"/>
            <w:vAlign w:val="bottom"/>
          </w:tcPr>
          <w:p w:rsidR="00000000" w:rsidRDefault="00000000">
            <w:pPr>
              <w:tabs>
                <w:tab w:val="decimal" w:pos="434"/>
              </w:tabs>
              <w:spacing w:line="170" w:lineRule="exact"/>
              <w:rPr>
                <w:sz w:val="17"/>
              </w:rPr>
            </w:pPr>
            <w:r>
              <w:rPr>
                <w:sz w:val="17"/>
              </w:rPr>
              <w:t>127,5</w:t>
            </w:r>
          </w:p>
        </w:tc>
        <w:tc>
          <w:tcPr>
            <w:tcW w:w="790" w:type="dxa"/>
            <w:vAlign w:val="bottom"/>
          </w:tcPr>
          <w:p w:rsidR="00000000" w:rsidRDefault="00000000">
            <w:pPr>
              <w:tabs>
                <w:tab w:val="decimal" w:pos="434"/>
              </w:tabs>
              <w:spacing w:line="170" w:lineRule="exact"/>
              <w:rPr>
                <w:sz w:val="17"/>
              </w:rPr>
            </w:pPr>
            <w:r>
              <w:rPr>
                <w:sz w:val="17"/>
              </w:rPr>
              <w:t>8,0</w:t>
            </w:r>
          </w:p>
        </w:tc>
      </w:tr>
      <w:tr w:rsidR="00000000">
        <w:tblPrEx>
          <w:tblCellMar>
            <w:top w:w="0" w:type="dxa"/>
            <w:bottom w:w="0" w:type="dxa"/>
          </w:tblCellMar>
        </w:tblPrEx>
        <w:trPr>
          <w:jc w:val="center"/>
        </w:trPr>
        <w:tc>
          <w:tcPr>
            <w:tcW w:w="2324" w:type="dxa"/>
          </w:tcPr>
          <w:p w:rsidR="00000000" w:rsidRDefault="00000000">
            <w:pPr>
              <w:spacing w:line="170" w:lineRule="exact"/>
              <w:rPr>
                <w:sz w:val="17"/>
              </w:rPr>
            </w:pPr>
            <w:r>
              <w:rPr>
                <w:sz w:val="17"/>
              </w:rPr>
              <w:t>Помощники, временные помощн</w:t>
            </w:r>
            <w:r>
              <w:rPr>
                <w:sz w:val="17"/>
              </w:rPr>
              <w:t>и</w:t>
            </w:r>
            <w:r>
              <w:rPr>
                <w:sz w:val="17"/>
              </w:rPr>
              <w:t>ки</w:t>
            </w:r>
          </w:p>
        </w:tc>
        <w:tc>
          <w:tcPr>
            <w:tcW w:w="862" w:type="dxa"/>
            <w:vAlign w:val="bottom"/>
          </w:tcPr>
          <w:p w:rsidR="00000000" w:rsidRDefault="00000000">
            <w:pPr>
              <w:tabs>
                <w:tab w:val="decimal" w:pos="434"/>
              </w:tabs>
              <w:spacing w:line="170" w:lineRule="exact"/>
              <w:rPr>
                <w:sz w:val="17"/>
              </w:rPr>
            </w:pPr>
            <w:r>
              <w:rPr>
                <w:sz w:val="17"/>
              </w:rPr>
              <w:t>7 003,3</w:t>
            </w:r>
          </w:p>
        </w:tc>
        <w:tc>
          <w:tcPr>
            <w:tcW w:w="871" w:type="dxa"/>
            <w:vAlign w:val="bottom"/>
          </w:tcPr>
          <w:p w:rsidR="00000000" w:rsidRDefault="00000000">
            <w:pPr>
              <w:tabs>
                <w:tab w:val="decimal" w:pos="434"/>
              </w:tabs>
              <w:spacing w:line="170" w:lineRule="exact"/>
              <w:rPr>
                <w:sz w:val="17"/>
              </w:rPr>
            </w:pPr>
            <w:r>
              <w:rPr>
                <w:sz w:val="17"/>
              </w:rPr>
              <w:t>1 708,5</w:t>
            </w:r>
          </w:p>
        </w:tc>
        <w:tc>
          <w:tcPr>
            <w:tcW w:w="790" w:type="dxa"/>
            <w:vAlign w:val="bottom"/>
          </w:tcPr>
          <w:p w:rsidR="00000000" w:rsidRDefault="00000000">
            <w:pPr>
              <w:tabs>
                <w:tab w:val="decimal" w:pos="434"/>
              </w:tabs>
              <w:spacing w:line="170" w:lineRule="exact"/>
              <w:rPr>
                <w:sz w:val="17"/>
              </w:rPr>
            </w:pPr>
            <w:r>
              <w:rPr>
                <w:sz w:val="17"/>
              </w:rPr>
              <w:t>24,4</w:t>
            </w:r>
          </w:p>
        </w:tc>
        <w:tc>
          <w:tcPr>
            <w:tcW w:w="862" w:type="dxa"/>
            <w:vAlign w:val="bottom"/>
          </w:tcPr>
          <w:p w:rsidR="00000000" w:rsidRDefault="00000000">
            <w:pPr>
              <w:tabs>
                <w:tab w:val="decimal" w:pos="434"/>
              </w:tabs>
              <w:spacing w:line="170" w:lineRule="exact"/>
              <w:rPr>
                <w:sz w:val="17"/>
              </w:rPr>
            </w:pPr>
            <w:r>
              <w:rPr>
                <w:sz w:val="17"/>
              </w:rPr>
              <w:t>7 055,6</w:t>
            </w:r>
          </w:p>
        </w:tc>
        <w:tc>
          <w:tcPr>
            <w:tcW w:w="871" w:type="dxa"/>
            <w:vAlign w:val="bottom"/>
          </w:tcPr>
          <w:p w:rsidR="00000000" w:rsidRDefault="00000000">
            <w:pPr>
              <w:tabs>
                <w:tab w:val="decimal" w:pos="434"/>
              </w:tabs>
              <w:spacing w:line="170" w:lineRule="exact"/>
              <w:rPr>
                <w:sz w:val="17"/>
              </w:rPr>
            </w:pPr>
            <w:r>
              <w:rPr>
                <w:sz w:val="17"/>
              </w:rPr>
              <w:t>1 773,3</w:t>
            </w:r>
          </w:p>
        </w:tc>
        <w:tc>
          <w:tcPr>
            <w:tcW w:w="790" w:type="dxa"/>
            <w:vAlign w:val="bottom"/>
          </w:tcPr>
          <w:p w:rsidR="00000000" w:rsidRDefault="00000000">
            <w:pPr>
              <w:tabs>
                <w:tab w:val="decimal" w:pos="434"/>
              </w:tabs>
              <w:spacing w:line="170" w:lineRule="exact"/>
              <w:rPr>
                <w:sz w:val="17"/>
              </w:rPr>
            </w:pPr>
            <w:r>
              <w:rPr>
                <w:sz w:val="17"/>
              </w:rPr>
              <w:t>25,1</w:t>
            </w:r>
          </w:p>
        </w:tc>
        <w:tc>
          <w:tcPr>
            <w:tcW w:w="862" w:type="dxa"/>
            <w:vAlign w:val="bottom"/>
          </w:tcPr>
          <w:p w:rsidR="00000000" w:rsidRDefault="00000000">
            <w:pPr>
              <w:tabs>
                <w:tab w:val="decimal" w:pos="434"/>
              </w:tabs>
              <w:spacing w:line="170" w:lineRule="exact"/>
              <w:rPr>
                <w:sz w:val="17"/>
              </w:rPr>
            </w:pPr>
            <w:r>
              <w:rPr>
                <w:sz w:val="17"/>
              </w:rPr>
              <w:t>7 215,8</w:t>
            </w:r>
          </w:p>
        </w:tc>
        <w:tc>
          <w:tcPr>
            <w:tcW w:w="871" w:type="dxa"/>
            <w:vAlign w:val="bottom"/>
          </w:tcPr>
          <w:p w:rsidR="00000000" w:rsidRDefault="00000000">
            <w:pPr>
              <w:tabs>
                <w:tab w:val="decimal" w:pos="434"/>
              </w:tabs>
              <w:spacing w:line="170" w:lineRule="exact"/>
              <w:rPr>
                <w:sz w:val="17"/>
              </w:rPr>
            </w:pPr>
            <w:r>
              <w:rPr>
                <w:sz w:val="17"/>
              </w:rPr>
              <w:t>1 869,3</w:t>
            </w:r>
          </w:p>
        </w:tc>
        <w:tc>
          <w:tcPr>
            <w:tcW w:w="790" w:type="dxa"/>
            <w:vAlign w:val="bottom"/>
          </w:tcPr>
          <w:p w:rsidR="00000000" w:rsidRDefault="00000000">
            <w:pPr>
              <w:tabs>
                <w:tab w:val="decimal" w:pos="434"/>
              </w:tabs>
              <w:spacing w:line="170" w:lineRule="exact"/>
              <w:rPr>
                <w:sz w:val="17"/>
              </w:rPr>
            </w:pPr>
            <w:r>
              <w:rPr>
                <w:sz w:val="17"/>
              </w:rPr>
              <w:t>25,9</w:t>
            </w:r>
          </w:p>
        </w:tc>
        <w:tc>
          <w:tcPr>
            <w:tcW w:w="862" w:type="dxa"/>
            <w:vAlign w:val="bottom"/>
          </w:tcPr>
          <w:p w:rsidR="00000000" w:rsidRDefault="00000000">
            <w:pPr>
              <w:tabs>
                <w:tab w:val="decimal" w:pos="434"/>
              </w:tabs>
              <w:spacing w:line="170" w:lineRule="exact"/>
              <w:rPr>
                <w:sz w:val="17"/>
              </w:rPr>
            </w:pPr>
            <w:r>
              <w:rPr>
                <w:sz w:val="17"/>
              </w:rPr>
              <w:t>7 342,3</w:t>
            </w:r>
          </w:p>
        </w:tc>
        <w:tc>
          <w:tcPr>
            <w:tcW w:w="871" w:type="dxa"/>
            <w:vAlign w:val="bottom"/>
          </w:tcPr>
          <w:p w:rsidR="00000000" w:rsidRDefault="00000000">
            <w:pPr>
              <w:tabs>
                <w:tab w:val="decimal" w:pos="434"/>
              </w:tabs>
              <w:spacing w:line="170" w:lineRule="exact"/>
              <w:rPr>
                <w:sz w:val="17"/>
              </w:rPr>
            </w:pPr>
            <w:r>
              <w:rPr>
                <w:sz w:val="17"/>
              </w:rPr>
              <w:t>1 954,3</w:t>
            </w:r>
          </w:p>
        </w:tc>
        <w:tc>
          <w:tcPr>
            <w:tcW w:w="790" w:type="dxa"/>
            <w:vAlign w:val="bottom"/>
          </w:tcPr>
          <w:p w:rsidR="00000000" w:rsidRDefault="00000000">
            <w:pPr>
              <w:tabs>
                <w:tab w:val="decimal" w:pos="434"/>
              </w:tabs>
              <w:spacing w:line="170" w:lineRule="exact"/>
              <w:rPr>
                <w:sz w:val="17"/>
              </w:rPr>
            </w:pPr>
            <w:r>
              <w:rPr>
                <w:sz w:val="17"/>
              </w:rPr>
              <w:t>26,6</w:t>
            </w:r>
          </w:p>
        </w:tc>
      </w:tr>
      <w:tr w:rsidR="00000000">
        <w:tblPrEx>
          <w:tblCellMar>
            <w:top w:w="0" w:type="dxa"/>
            <w:bottom w:w="0" w:type="dxa"/>
          </w:tblCellMar>
        </w:tblPrEx>
        <w:trPr>
          <w:jc w:val="center"/>
        </w:trPr>
        <w:tc>
          <w:tcPr>
            <w:tcW w:w="2324" w:type="dxa"/>
          </w:tcPr>
          <w:p w:rsidR="00000000" w:rsidRDefault="00000000">
            <w:pPr>
              <w:spacing w:line="170" w:lineRule="exact"/>
              <w:rPr>
                <w:sz w:val="17"/>
              </w:rPr>
            </w:pPr>
            <w:r>
              <w:rPr>
                <w:sz w:val="17"/>
              </w:rPr>
              <w:t>Гражданские служащие, федеральные преподав</w:t>
            </w:r>
            <w:r>
              <w:rPr>
                <w:sz w:val="17"/>
              </w:rPr>
              <w:t>а</w:t>
            </w:r>
            <w:r>
              <w:rPr>
                <w:sz w:val="17"/>
              </w:rPr>
              <w:t>тели и преподаватели, н</w:t>
            </w:r>
            <w:r>
              <w:rPr>
                <w:sz w:val="17"/>
              </w:rPr>
              <w:t>а</w:t>
            </w:r>
            <w:r>
              <w:rPr>
                <w:sz w:val="17"/>
              </w:rPr>
              <w:t>нятые на временной осн</w:t>
            </w:r>
            <w:r>
              <w:rPr>
                <w:sz w:val="17"/>
              </w:rPr>
              <w:t>о</w:t>
            </w:r>
            <w:r>
              <w:rPr>
                <w:sz w:val="17"/>
              </w:rPr>
              <w:t>ве</w:t>
            </w:r>
          </w:p>
        </w:tc>
        <w:tc>
          <w:tcPr>
            <w:tcW w:w="862" w:type="dxa"/>
            <w:vAlign w:val="bottom"/>
          </w:tcPr>
          <w:p w:rsidR="00000000" w:rsidRDefault="00000000">
            <w:pPr>
              <w:tabs>
                <w:tab w:val="decimal" w:pos="434"/>
              </w:tabs>
              <w:spacing w:line="170" w:lineRule="exact"/>
              <w:rPr>
                <w:sz w:val="17"/>
              </w:rPr>
            </w:pPr>
            <w:r>
              <w:rPr>
                <w:sz w:val="17"/>
              </w:rPr>
              <w:t>783,1</w:t>
            </w:r>
          </w:p>
        </w:tc>
        <w:tc>
          <w:tcPr>
            <w:tcW w:w="871" w:type="dxa"/>
            <w:vAlign w:val="bottom"/>
          </w:tcPr>
          <w:p w:rsidR="00000000" w:rsidRDefault="00000000">
            <w:pPr>
              <w:tabs>
                <w:tab w:val="decimal" w:pos="434"/>
              </w:tabs>
              <w:spacing w:line="170" w:lineRule="exact"/>
              <w:rPr>
                <w:sz w:val="17"/>
              </w:rPr>
            </w:pPr>
            <w:r>
              <w:rPr>
                <w:sz w:val="17"/>
              </w:rPr>
              <w:t>311,0</w:t>
            </w:r>
          </w:p>
        </w:tc>
        <w:tc>
          <w:tcPr>
            <w:tcW w:w="790" w:type="dxa"/>
            <w:vAlign w:val="bottom"/>
          </w:tcPr>
          <w:p w:rsidR="00000000" w:rsidRDefault="00000000">
            <w:pPr>
              <w:tabs>
                <w:tab w:val="decimal" w:pos="434"/>
              </w:tabs>
              <w:spacing w:line="170" w:lineRule="exact"/>
              <w:rPr>
                <w:sz w:val="17"/>
              </w:rPr>
            </w:pPr>
            <w:r>
              <w:rPr>
                <w:sz w:val="17"/>
              </w:rPr>
              <w:t>39,7</w:t>
            </w:r>
          </w:p>
        </w:tc>
        <w:tc>
          <w:tcPr>
            <w:tcW w:w="862" w:type="dxa"/>
            <w:vAlign w:val="bottom"/>
          </w:tcPr>
          <w:p w:rsidR="00000000" w:rsidRDefault="00000000">
            <w:pPr>
              <w:tabs>
                <w:tab w:val="decimal" w:pos="434"/>
              </w:tabs>
              <w:spacing w:line="170" w:lineRule="exact"/>
              <w:rPr>
                <w:sz w:val="17"/>
              </w:rPr>
            </w:pPr>
            <w:r>
              <w:rPr>
                <w:sz w:val="17"/>
              </w:rPr>
              <w:t>749,2</w:t>
            </w:r>
          </w:p>
        </w:tc>
        <w:tc>
          <w:tcPr>
            <w:tcW w:w="871" w:type="dxa"/>
            <w:vAlign w:val="bottom"/>
          </w:tcPr>
          <w:p w:rsidR="00000000" w:rsidRDefault="00000000">
            <w:pPr>
              <w:tabs>
                <w:tab w:val="decimal" w:pos="434"/>
              </w:tabs>
              <w:spacing w:line="170" w:lineRule="exact"/>
              <w:rPr>
                <w:sz w:val="17"/>
              </w:rPr>
            </w:pPr>
            <w:r>
              <w:rPr>
                <w:sz w:val="17"/>
              </w:rPr>
              <w:t>303,1</w:t>
            </w:r>
          </w:p>
        </w:tc>
        <w:tc>
          <w:tcPr>
            <w:tcW w:w="790" w:type="dxa"/>
            <w:vAlign w:val="bottom"/>
          </w:tcPr>
          <w:p w:rsidR="00000000" w:rsidRDefault="00000000">
            <w:pPr>
              <w:tabs>
                <w:tab w:val="decimal" w:pos="434"/>
              </w:tabs>
              <w:spacing w:line="170" w:lineRule="exact"/>
              <w:rPr>
                <w:sz w:val="17"/>
              </w:rPr>
            </w:pPr>
            <w:r>
              <w:rPr>
                <w:sz w:val="17"/>
              </w:rPr>
              <w:t>40,5</w:t>
            </w:r>
          </w:p>
        </w:tc>
        <w:tc>
          <w:tcPr>
            <w:tcW w:w="862" w:type="dxa"/>
            <w:vAlign w:val="bottom"/>
          </w:tcPr>
          <w:p w:rsidR="00000000" w:rsidRDefault="00000000">
            <w:pPr>
              <w:tabs>
                <w:tab w:val="decimal" w:pos="434"/>
              </w:tabs>
              <w:spacing w:line="170" w:lineRule="exact"/>
              <w:rPr>
                <w:sz w:val="17"/>
              </w:rPr>
            </w:pPr>
            <w:r>
              <w:rPr>
                <w:sz w:val="17"/>
              </w:rPr>
              <w:t>743,5</w:t>
            </w:r>
          </w:p>
        </w:tc>
        <w:tc>
          <w:tcPr>
            <w:tcW w:w="871" w:type="dxa"/>
            <w:vAlign w:val="bottom"/>
          </w:tcPr>
          <w:p w:rsidR="00000000" w:rsidRDefault="00000000">
            <w:pPr>
              <w:tabs>
                <w:tab w:val="decimal" w:pos="434"/>
              </w:tabs>
              <w:spacing w:line="170" w:lineRule="exact"/>
              <w:rPr>
                <w:sz w:val="17"/>
              </w:rPr>
            </w:pPr>
            <w:r>
              <w:rPr>
                <w:sz w:val="17"/>
              </w:rPr>
              <w:t>312,3</w:t>
            </w:r>
          </w:p>
        </w:tc>
        <w:tc>
          <w:tcPr>
            <w:tcW w:w="790" w:type="dxa"/>
            <w:vAlign w:val="bottom"/>
          </w:tcPr>
          <w:p w:rsidR="00000000" w:rsidRDefault="00000000">
            <w:pPr>
              <w:tabs>
                <w:tab w:val="decimal" w:pos="434"/>
              </w:tabs>
              <w:spacing w:line="170" w:lineRule="exact"/>
              <w:rPr>
                <w:sz w:val="17"/>
              </w:rPr>
            </w:pPr>
            <w:r>
              <w:rPr>
                <w:sz w:val="17"/>
              </w:rPr>
              <w:t>42,0</w:t>
            </w:r>
          </w:p>
        </w:tc>
        <w:tc>
          <w:tcPr>
            <w:tcW w:w="862" w:type="dxa"/>
            <w:vAlign w:val="bottom"/>
          </w:tcPr>
          <w:p w:rsidR="00000000" w:rsidRDefault="00000000">
            <w:pPr>
              <w:tabs>
                <w:tab w:val="decimal" w:pos="434"/>
              </w:tabs>
              <w:spacing w:line="170" w:lineRule="exact"/>
              <w:rPr>
                <w:sz w:val="17"/>
              </w:rPr>
            </w:pPr>
            <w:r>
              <w:rPr>
                <w:sz w:val="17"/>
              </w:rPr>
              <w:t>776,9</w:t>
            </w:r>
          </w:p>
        </w:tc>
        <w:tc>
          <w:tcPr>
            <w:tcW w:w="871" w:type="dxa"/>
            <w:vAlign w:val="bottom"/>
          </w:tcPr>
          <w:p w:rsidR="00000000" w:rsidRDefault="00000000">
            <w:pPr>
              <w:tabs>
                <w:tab w:val="decimal" w:pos="434"/>
              </w:tabs>
              <w:spacing w:line="170" w:lineRule="exact"/>
              <w:rPr>
                <w:sz w:val="17"/>
              </w:rPr>
            </w:pPr>
            <w:r>
              <w:rPr>
                <w:sz w:val="17"/>
              </w:rPr>
              <w:t>332,7</w:t>
            </w:r>
          </w:p>
        </w:tc>
        <w:tc>
          <w:tcPr>
            <w:tcW w:w="790" w:type="dxa"/>
            <w:vAlign w:val="bottom"/>
          </w:tcPr>
          <w:p w:rsidR="00000000" w:rsidRDefault="00000000">
            <w:pPr>
              <w:tabs>
                <w:tab w:val="decimal" w:pos="434"/>
              </w:tabs>
              <w:spacing w:line="170" w:lineRule="exact"/>
              <w:rPr>
                <w:sz w:val="17"/>
              </w:rPr>
            </w:pPr>
            <w:r>
              <w:rPr>
                <w:sz w:val="17"/>
              </w:rPr>
              <w:t>42,8</w:t>
            </w:r>
          </w:p>
        </w:tc>
      </w:tr>
      <w:tr w:rsidR="00000000">
        <w:tblPrEx>
          <w:tblCellMar>
            <w:top w:w="0" w:type="dxa"/>
            <w:bottom w:w="0" w:type="dxa"/>
          </w:tblCellMar>
        </w:tblPrEx>
        <w:trPr>
          <w:jc w:val="center"/>
        </w:trPr>
        <w:tc>
          <w:tcPr>
            <w:tcW w:w="2324" w:type="dxa"/>
          </w:tcPr>
          <w:p w:rsidR="00000000" w:rsidRDefault="00000000">
            <w:pPr>
              <w:spacing w:line="170" w:lineRule="exact"/>
              <w:rPr>
                <w:sz w:val="17"/>
              </w:rPr>
            </w:pPr>
            <w:r>
              <w:rPr>
                <w:sz w:val="17"/>
              </w:rPr>
              <w:t>Ученые (и творческие р</w:t>
            </w:r>
            <w:r>
              <w:rPr>
                <w:sz w:val="17"/>
              </w:rPr>
              <w:t>а</w:t>
            </w:r>
            <w:r>
              <w:rPr>
                <w:sz w:val="17"/>
              </w:rPr>
              <w:t>ботники), всего</w:t>
            </w:r>
          </w:p>
        </w:tc>
        <w:tc>
          <w:tcPr>
            <w:tcW w:w="862" w:type="dxa"/>
            <w:vAlign w:val="bottom"/>
          </w:tcPr>
          <w:p w:rsidR="00000000" w:rsidRDefault="00000000">
            <w:pPr>
              <w:tabs>
                <w:tab w:val="decimal" w:pos="434"/>
              </w:tabs>
              <w:spacing w:line="170" w:lineRule="exact"/>
              <w:rPr>
                <w:sz w:val="17"/>
              </w:rPr>
            </w:pPr>
            <w:r>
              <w:rPr>
                <w:sz w:val="17"/>
              </w:rPr>
              <w:t>9 413,4</w:t>
            </w:r>
          </w:p>
        </w:tc>
        <w:tc>
          <w:tcPr>
            <w:tcW w:w="871" w:type="dxa"/>
            <w:vAlign w:val="bottom"/>
          </w:tcPr>
          <w:p w:rsidR="00000000" w:rsidRDefault="00000000">
            <w:pPr>
              <w:tabs>
                <w:tab w:val="decimal" w:pos="434"/>
              </w:tabs>
              <w:spacing w:line="170" w:lineRule="exact"/>
              <w:rPr>
                <w:sz w:val="17"/>
              </w:rPr>
            </w:pPr>
            <w:r>
              <w:rPr>
                <w:sz w:val="17"/>
              </w:rPr>
              <w:t>2 119,5</w:t>
            </w:r>
          </w:p>
        </w:tc>
        <w:tc>
          <w:tcPr>
            <w:tcW w:w="790" w:type="dxa"/>
            <w:vAlign w:val="bottom"/>
          </w:tcPr>
          <w:p w:rsidR="00000000" w:rsidRDefault="00000000">
            <w:pPr>
              <w:tabs>
                <w:tab w:val="decimal" w:pos="434"/>
              </w:tabs>
              <w:spacing w:line="170" w:lineRule="exact"/>
              <w:rPr>
                <w:sz w:val="17"/>
              </w:rPr>
            </w:pPr>
            <w:r>
              <w:rPr>
                <w:sz w:val="17"/>
              </w:rPr>
              <w:t>22,5</w:t>
            </w:r>
          </w:p>
        </w:tc>
        <w:tc>
          <w:tcPr>
            <w:tcW w:w="862" w:type="dxa"/>
            <w:vAlign w:val="bottom"/>
          </w:tcPr>
          <w:p w:rsidR="00000000" w:rsidRDefault="00000000">
            <w:pPr>
              <w:tabs>
                <w:tab w:val="decimal" w:pos="434"/>
              </w:tabs>
              <w:spacing w:line="170" w:lineRule="exact"/>
              <w:rPr>
                <w:sz w:val="17"/>
              </w:rPr>
            </w:pPr>
            <w:r>
              <w:rPr>
                <w:sz w:val="17"/>
              </w:rPr>
              <w:t>9 444,8</w:t>
            </w:r>
          </w:p>
        </w:tc>
        <w:tc>
          <w:tcPr>
            <w:tcW w:w="871" w:type="dxa"/>
            <w:vAlign w:val="bottom"/>
          </w:tcPr>
          <w:p w:rsidR="00000000" w:rsidRDefault="00000000">
            <w:pPr>
              <w:tabs>
                <w:tab w:val="decimal" w:pos="434"/>
              </w:tabs>
              <w:spacing w:line="170" w:lineRule="exact"/>
              <w:rPr>
                <w:sz w:val="17"/>
              </w:rPr>
            </w:pPr>
            <w:r>
              <w:rPr>
                <w:sz w:val="17"/>
              </w:rPr>
              <w:t>2 189,4</w:t>
            </w:r>
          </w:p>
        </w:tc>
        <w:tc>
          <w:tcPr>
            <w:tcW w:w="790" w:type="dxa"/>
            <w:vAlign w:val="bottom"/>
          </w:tcPr>
          <w:p w:rsidR="00000000" w:rsidRDefault="00000000">
            <w:pPr>
              <w:tabs>
                <w:tab w:val="decimal" w:pos="434"/>
              </w:tabs>
              <w:spacing w:line="170" w:lineRule="exact"/>
              <w:rPr>
                <w:sz w:val="17"/>
              </w:rPr>
            </w:pPr>
            <w:r>
              <w:rPr>
                <w:sz w:val="17"/>
              </w:rPr>
              <w:t>23,2</w:t>
            </w:r>
          </w:p>
        </w:tc>
        <w:tc>
          <w:tcPr>
            <w:tcW w:w="862" w:type="dxa"/>
            <w:vAlign w:val="bottom"/>
          </w:tcPr>
          <w:p w:rsidR="00000000" w:rsidRDefault="00000000">
            <w:pPr>
              <w:tabs>
                <w:tab w:val="decimal" w:pos="434"/>
              </w:tabs>
              <w:spacing w:line="170" w:lineRule="exact"/>
              <w:rPr>
                <w:sz w:val="17"/>
              </w:rPr>
            </w:pPr>
            <w:r>
              <w:rPr>
                <w:sz w:val="17"/>
              </w:rPr>
              <w:t>9 569,8</w:t>
            </w:r>
          </w:p>
        </w:tc>
        <w:tc>
          <w:tcPr>
            <w:tcW w:w="871" w:type="dxa"/>
            <w:vAlign w:val="bottom"/>
          </w:tcPr>
          <w:p w:rsidR="00000000" w:rsidRDefault="00000000">
            <w:pPr>
              <w:tabs>
                <w:tab w:val="decimal" w:pos="434"/>
              </w:tabs>
              <w:spacing w:line="170" w:lineRule="exact"/>
              <w:rPr>
                <w:sz w:val="17"/>
              </w:rPr>
            </w:pPr>
            <w:r>
              <w:rPr>
                <w:sz w:val="17"/>
              </w:rPr>
              <w:t>2 290,6</w:t>
            </w:r>
          </w:p>
        </w:tc>
        <w:tc>
          <w:tcPr>
            <w:tcW w:w="790" w:type="dxa"/>
            <w:vAlign w:val="bottom"/>
          </w:tcPr>
          <w:p w:rsidR="00000000" w:rsidRDefault="00000000">
            <w:pPr>
              <w:tabs>
                <w:tab w:val="decimal" w:pos="434"/>
              </w:tabs>
              <w:spacing w:line="170" w:lineRule="exact"/>
              <w:rPr>
                <w:sz w:val="17"/>
              </w:rPr>
            </w:pPr>
            <w:r>
              <w:rPr>
                <w:sz w:val="17"/>
              </w:rPr>
              <w:t>23,9</w:t>
            </w:r>
          </w:p>
        </w:tc>
        <w:tc>
          <w:tcPr>
            <w:tcW w:w="862" w:type="dxa"/>
            <w:vAlign w:val="bottom"/>
          </w:tcPr>
          <w:p w:rsidR="00000000" w:rsidRDefault="00000000">
            <w:pPr>
              <w:tabs>
                <w:tab w:val="decimal" w:pos="434"/>
              </w:tabs>
              <w:spacing w:line="170" w:lineRule="exact"/>
              <w:rPr>
                <w:sz w:val="17"/>
              </w:rPr>
            </w:pPr>
            <w:r>
              <w:rPr>
                <w:sz w:val="17"/>
              </w:rPr>
              <w:t>9 719,3</w:t>
            </w:r>
          </w:p>
        </w:tc>
        <w:tc>
          <w:tcPr>
            <w:tcW w:w="871" w:type="dxa"/>
            <w:vAlign w:val="bottom"/>
          </w:tcPr>
          <w:p w:rsidR="00000000" w:rsidRDefault="00000000">
            <w:pPr>
              <w:tabs>
                <w:tab w:val="decimal" w:pos="434"/>
              </w:tabs>
              <w:spacing w:line="170" w:lineRule="exact"/>
              <w:rPr>
                <w:sz w:val="17"/>
              </w:rPr>
            </w:pPr>
            <w:r>
              <w:rPr>
                <w:sz w:val="17"/>
              </w:rPr>
              <w:t>2 414,5</w:t>
            </w:r>
          </w:p>
        </w:tc>
        <w:tc>
          <w:tcPr>
            <w:tcW w:w="790" w:type="dxa"/>
            <w:vAlign w:val="bottom"/>
          </w:tcPr>
          <w:p w:rsidR="00000000" w:rsidRDefault="00000000">
            <w:pPr>
              <w:tabs>
                <w:tab w:val="decimal" w:pos="434"/>
              </w:tabs>
              <w:spacing w:line="170" w:lineRule="exact"/>
              <w:rPr>
                <w:sz w:val="17"/>
              </w:rPr>
            </w:pPr>
            <w:r>
              <w:rPr>
                <w:sz w:val="17"/>
              </w:rPr>
              <w:t>24,8</w:t>
            </w:r>
          </w:p>
        </w:tc>
      </w:tr>
      <w:tr w:rsidR="00000000">
        <w:tblPrEx>
          <w:tblCellMar>
            <w:top w:w="0" w:type="dxa"/>
            <w:bottom w:w="0" w:type="dxa"/>
          </w:tblCellMar>
        </w:tblPrEx>
        <w:trPr>
          <w:jc w:val="center"/>
        </w:trPr>
        <w:tc>
          <w:tcPr>
            <w:tcW w:w="2324" w:type="dxa"/>
          </w:tcPr>
          <w:p w:rsidR="00000000" w:rsidRDefault="00000000">
            <w:pPr>
              <w:spacing w:line="170" w:lineRule="exact"/>
              <w:rPr>
                <w:sz w:val="17"/>
              </w:rPr>
            </w:pPr>
            <w:r>
              <w:rPr>
                <w:sz w:val="17"/>
              </w:rPr>
              <w:t>Административный пе</w:t>
            </w:r>
            <w:r>
              <w:rPr>
                <w:sz w:val="17"/>
              </w:rPr>
              <w:t>р</w:t>
            </w:r>
            <w:r>
              <w:rPr>
                <w:sz w:val="17"/>
              </w:rPr>
              <w:t>сонал, вс</w:t>
            </w:r>
            <w:r>
              <w:rPr>
                <w:sz w:val="17"/>
              </w:rPr>
              <w:t>е</w:t>
            </w:r>
            <w:r>
              <w:rPr>
                <w:sz w:val="17"/>
              </w:rPr>
              <w:t>го</w:t>
            </w:r>
          </w:p>
        </w:tc>
        <w:tc>
          <w:tcPr>
            <w:tcW w:w="862" w:type="dxa"/>
            <w:vAlign w:val="bottom"/>
          </w:tcPr>
          <w:p w:rsidR="00000000" w:rsidRDefault="00000000">
            <w:pPr>
              <w:tabs>
                <w:tab w:val="decimal" w:pos="434"/>
              </w:tabs>
              <w:spacing w:line="170" w:lineRule="exact"/>
              <w:rPr>
                <w:sz w:val="17"/>
              </w:rPr>
            </w:pPr>
            <w:r>
              <w:rPr>
                <w:sz w:val="17"/>
              </w:rPr>
              <w:t>7 601,7</w:t>
            </w:r>
          </w:p>
        </w:tc>
        <w:tc>
          <w:tcPr>
            <w:tcW w:w="871" w:type="dxa"/>
            <w:vAlign w:val="bottom"/>
          </w:tcPr>
          <w:p w:rsidR="00000000" w:rsidRDefault="00000000">
            <w:pPr>
              <w:tabs>
                <w:tab w:val="decimal" w:pos="434"/>
              </w:tabs>
              <w:spacing w:line="170" w:lineRule="exact"/>
              <w:rPr>
                <w:sz w:val="17"/>
              </w:rPr>
            </w:pPr>
            <w:r>
              <w:rPr>
                <w:sz w:val="17"/>
              </w:rPr>
              <w:t>4 693,9</w:t>
            </w:r>
          </w:p>
        </w:tc>
        <w:tc>
          <w:tcPr>
            <w:tcW w:w="790" w:type="dxa"/>
            <w:vAlign w:val="bottom"/>
          </w:tcPr>
          <w:p w:rsidR="00000000" w:rsidRDefault="00000000">
            <w:pPr>
              <w:tabs>
                <w:tab w:val="decimal" w:pos="434"/>
              </w:tabs>
              <w:spacing w:line="170" w:lineRule="exact"/>
              <w:rPr>
                <w:sz w:val="17"/>
              </w:rPr>
            </w:pPr>
            <w:r>
              <w:rPr>
                <w:sz w:val="17"/>
              </w:rPr>
              <w:t>61,7</w:t>
            </w:r>
          </w:p>
        </w:tc>
        <w:tc>
          <w:tcPr>
            <w:tcW w:w="862" w:type="dxa"/>
            <w:vAlign w:val="bottom"/>
          </w:tcPr>
          <w:p w:rsidR="00000000" w:rsidRDefault="00000000">
            <w:pPr>
              <w:tabs>
                <w:tab w:val="decimal" w:pos="434"/>
              </w:tabs>
              <w:spacing w:line="170" w:lineRule="exact"/>
              <w:rPr>
                <w:sz w:val="17"/>
              </w:rPr>
            </w:pPr>
            <w:r>
              <w:rPr>
                <w:sz w:val="17"/>
              </w:rPr>
              <w:t>7 658,6</w:t>
            </w:r>
          </w:p>
        </w:tc>
        <w:tc>
          <w:tcPr>
            <w:tcW w:w="871" w:type="dxa"/>
            <w:vAlign w:val="bottom"/>
          </w:tcPr>
          <w:p w:rsidR="00000000" w:rsidRDefault="00000000">
            <w:pPr>
              <w:tabs>
                <w:tab w:val="decimal" w:pos="434"/>
              </w:tabs>
              <w:spacing w:line="170" w:lineRule="exact"/>
              <w:rPr>
                <w:sz w:val="17"/>
              </w:rPr>
            </w:pPr>
            <w:r>
              <w:rPr>
                <w:sz w:val="17"/>
              </w:rPr>
              <w:t>4 752,2</w:t>
            </w:r>
          </w:p>
        </w:tc>
        <w:tc>
          <w:tcPr>
            <w:tcW w:w="790" w:type="dxa"/>
            <w:vAlign w:val="bottom"/>
          </w:tcPr>
          <w:p w:rsidR="00000000" w:rsidRDefault="00000000">
            <w:pPr>
              <w:tabs>
                <w:tab w:val="decimal" w:pos="434"/>
              </w:tabs>
              <w:spacing w:line="170" w:lineRule="exact"/>
              <w:rPr>
                <w:sz w:val="17"/>
              </w:rPr>
            </w:pPr>
            <w:r>
              <w:rPr>
                <w:sz w:val="17"/>
              </w:rPr>
              <w:t>62,1</w:t>
            </w:r>
          </w:p>
        </w:tc>
        <w:tc>
          <w:tcPr>
            <w:tcW w:w="862" w:type="dxa"/>
            <w:vAlign w:val="bottom"/>
          </w:tcPr>
          <w:p w:rsidR="00000000" w:rsidRDefault="00000000">
            <w:pPr>
              <w:tabs>
                <w:tab w:val="decimal" w:pos="434"/>
              </w:tabs>
              <w:spacing w:line="170" w:lineRule="exact"/>
              <w:rPr>
                <w:sz w:val="17"/>
              </w:rPr>
            </w:pPr>
            <w:r>
              <w:rPr>
                <w:sz w:val="17"/>
              </w:rPr>
              <w:t>7 660,1</w:t>
            </w:r>
          </w:p>
        </w:tc>
        <w:tc>
          <w:tcPr>
            <w:tcW w:w="871" w:type="dxa"/>
            <w:vAlign w:val="bottom"/>
          </w:tcPr>
          <w:p w:rsidR="00000000" w:rsidRDefault="00000000">
            <w:pPr>
              <w:tabs>
                <w:tab w:val="decimal" w:pos="434"/>
              </w:tabs>
              <w:spacing w:line="170" w:lineRule="exact"/>
              <w:rPr>
                <w:sz w:val="17"/>
              </w:rPr>
            </w:pPr>
            <w:r>
              <w:rPr>
                <w:sz w:val="17"/>
              </w:rPr>
              <w:t>4 757,1</w:t>
            </w:r>
          </w:p>
        </w:tc>
        <w:tc>
          <w:tcPr>
            <w:tcW w:w="790" w:type="dxa"/>
            <w:vAlign w:val="bottom"/>
          </w:tcPr>
          <w:p w:rsidR="00000000" w:rsidRDefault="00000000">
            <w:pPr>
              <w:tabs>
                <w:tab w:val="decimal" w:pos="434"/>
              </w:tabs>
              <w:spacing w:line="170" w:lineRule="exact"/>
              <w:rPr>
                <w:sz w:val="17"/>
              </w:rPr>
            </w:pPr>
            <w:r>
              <w:rPr>
                <w:sz w:val="17"/>
              </w:rPr>
              <w:t>62,1</w:t>
            </w:r>
          </w:p>
        </w:tc>
        <w:tc>
          <w:tcPr>
            <w:tcW w:w="862" w:type="dxa"/>
            <w:vAlign w:val="bottom"/>
          </w:tcPr>
          <w:p w:rsidR="00000000" w:rsidRDefault="00000000">
            <w:pPr>
              <w:tabs>
                <w:tab w:val="decimal" w:pos="434"/>
              </w:tabs>
              <w:spacing w:line="170" w:lineRule="exact"/>
              <w:rPr>
                <w:sz w:val="17"/>
              </w:rPr>
            </w:pPr>
            <w:r>
              <w:rPr>
                <w:sz w:val="17"/>
              </w:rPr>
              <w:t>7 989,9</w:t>
            </w:r>
          </w:p>
        </w:tc>
        <w:tc>
          <w:tcPr>
            <w:tcW w:w="871" w:type="dxa"/>
            <w:vAlign w:val="bottom"/>
          </w:tcPr>
          <w:p w:rsidR="00000000" w:rsidRDefault="00000000">
            <w:pPr>
              <w:tabs>
                <w:tab w:val="decimal" w:pos="434"/>
              </w:tabs>
              <w:spacing w:line="170" w:lineRule="exact"/>
              <w:rPr>
                <w:sz w:val="17"/>
              </w:rPr>
            </w:pPr>
            <w:r>
              <w:rPr>
                <w:sz w:val="17"/>
              </w:rPr>
              <w:t>4 880,3</w:t>
            </w:r>
          </w:p>
        </w:tc>
        <w:tc>
          <w:tcPr>
            <w:tcW w:w="790" w:type="dxa"/>
            <w:vAlign w:val="bottom"/>
          </w:tcPr>
          <w:p w:rsidR="00000000" w:rsidRDefault="00000000">
            <w:pPr>
              <w:tabs>
                <w:tab w:val="decimal" w:pos="434"/>
              </w:tabs>
              <w:spacing w:line="170" w:lineRule="exact"/>
              <w:rPr>
                <w:sz w:val="17"/>
              </w:rPr>
            </w:pPr>
            <w:r>
              <w:rPr>
                <w:sz w:val="17"/>
              </w:rPr>
              <w:t>61,1</w:t>
            </w:r>
          </w:p>
        </w:tc>
      </w:tr>
      <w:tr w:rsidR="00000000">
        <w:tblPrEx>
          <w:tblCellMar>
            <w:top w:w="0" w:type="dxa"/>
            <w:bottom w:w="0" w:type="dxa"/>
          </w:tblCellMar>
        </w:tblPrEx>
        <w:trPr>
          <w:jc w:val="center"/>
        </w:trPr>
        <w:tc>
          <w:tcPr>
            <w:tcW w:w="2324" w:type="dxa"/>
          </w:tcPr>
          <w:p w:rsidR="00000000" w:rsidRDefault="00000000">
            <w:pPr>
              <w:spacing w:line="170" w:lineRule="exact"/>
              <w:rPr>
                <w:b/>
                <w:sz w:val="17"/>
              </w:rPr>
            </w:pPr>
            <w:r>
              <w:rPr>
                <w:b/>
                <w:sz w:val="17"/>
              </w:rPr>
              <w:t>Высшие учебные завед</w:t>
            </w:r>
            <w:r>
              <w:rPr>
                <w:b/>
                <w:sz w:val="17"/>
              </w:rPr>
              <w:t>е</w:t>
            </w:r>
            <w:r>
              <w:rPr>
                <w:b/>
                <w:sz w:val="17"/>
              </w:rPr>
              <w:t>ния, вс</w:t>
            </w:r>
            <w:r>
              <w:rPr>
                <w:b/>
                <w:sz w:val="17"/>
              </w:rPr>
              <w:t>е</w:t>
            </w:r>
            <w:r>
              <w:rPr>
                <w:b/>
                <w:sz w:val="17"/>
              </w:rPr>
              <w:t>го</w:t>
            </w:r>
          </w:p>
        </w:tc>
        <w:tc>
          <w:tcPr>
            <w:tcW w:w="862" w:type="dxa"/>
            <w:vAlign w:val="bottom"/>
          </w:tcPr>
          <w:p w:rsidR="00000000" w:rsidRDefault="00000000">
            <w:pPr>
              <w:tabs>
                <w:tab w:val="decimal" w:pos="434"/>
              </w:tabs>
              <w:spacing w:line="170" w:lineRule="exact"/>
              <w:rPr>
                <w:b/>
                <w:sz w:val="17"/>
              </w:rPr>
            </w:pPr>
            <w:r>
              <w:rPr>
                <w:b/>
                <w:sz w:val="17"/>
              </w:rPr>
              <w:t>17 015,1</w:t>
            </w:r>
          </w:p>
        </w:tc>
        <w:tc>
          <w:tcPr>
            <w:tcW w:w="871" w:type="dxa"/>
            <w:vAlign w:val="bottom"/>
          </w:tcPr>
          <w:p w:rsidR="00000000" w:rsidRDefault="00000000">
            <w:pPr>
              <w:tabs>
                <w:tab w:val="decimal" w:pos="434"/>
              </w:tabs>
              <w:spacing w:line="170" w:lineRule="exact"/>
              <w:rPr>
                <w:b/>
                <w:sz w:val="17"/>
              </w:rPr>
            </w:pPr>
            <w:r>
              <w:rPr>
                <w:b/>
                <w:sz w:val="17"/>
              </w:rPr>
              <w:t>6 813,4</w:t>
            </w:r>
          </w:p>
        </w:tc>
        <w:tc>
          <w:tcPr>
            <w:tcW w:w="790" w:type="dxa"/>
            <w:vAlign w:val="bottom"/>
          </w:tcPr>
          <w:p w:rsidR="00000000" w:rsidRDefault="00000000">
            <w:pPr>
              <w:tabs>
                <w:tab w:val="decimal" w:pos="434"/>
              </w:tabs>
              <w:spacing w:line="170" w:lineRule="exact"/>
              <w:rPr>
                <w:b/>
                <w:sz w:val="17"/>
              </w:rPr>
            </w:pPr>
            <w:r>
              <w:rPr>
                <w:b/>
                <w:sz w:val="17"/>
              </w:rPr>
              <w:t>40,0</w:t>
            </w:r>
          </w:p>
        </w:tc>
        <w:tc>
          <w:tcPr>
            <w:tcW w:w="862" w:type="dxa"/>
            <w:vAlign w:val="bottom"/>
          </w:tcPr>
          <w:p w:rsidR="00000000" w:rsidRDefault="00000000">
            <w:pPr>
              <w:tabs>
                <w:tab w:val="decimal" w:pos="434"/>
              </w:tabs>
              <w:spacing w:line="170" w:lineRule="exact"/>
              <w:rPr>
                <w:b/>
                <w:sz w:val="17"/>
              </w:rPr>
            </w:pPr>
            <w:r>
              <w:rPr>
                <w:b/>
                <w:sz w:val="17"/>
              </w:rPr>
              <w:t>17 103,4</w:t>
            </w:r>
          </w:p>
        </w:tc>
        <w:tc>
          <w:tcPr>
            <w:tcW w:w="871" w:type="dxa"/>
            <w:vAlign w:val="bottom"/>
          </w:tcPr>
          <w:p w:rsidR="00000000" w:rsidRDefault="00000000">
            <w:pPr>
              <w:tabs>
                <w:tab w:val="decimal" w:pos="434"/>
              </w:tabs>
              <w:spacing w:line="170" w:lineRule="exact"/>
              <w:rPr>
                <w:b/>
                <w:sz w:val="17"/>
              </w:rPr>
            </w:pPr>
            <w:r>
              <w:rPr>
                <w:b/>
                <w:sz w:val="17"/>
              </w:rPr>
              <w:t>6 941,6</w:t>
            </w:r>
          </w:p>
        </w:tc>
        <w:tc>
          <w:tcPr>
            <w:tcW w:w="790" w:type="dxa"/>
            <w:vAlign w:val="bottom"/>
          </w:tcPr>
          <w:p w:rsidR="00000000" w:rsidRDefault="00000000">
            <w:pPr>
              <w:tabs>
                <w:tab w:val="decimal" w:pos="434"/>
              </w:tabs>
              <w:spacing w:line="170" w:lineRule="exact"/>
              <w:rPr>
                <w:b/>
                <w:sz w:val="17"/>
              </w:rPr>
            </w:pPr>
            <w:r>
              <w:rPr>
                <w:b/>
                <w:sz w:val="17"/>
              </w:rPr>
              <w:t>40,6</w:t>
            </w:r>
          </w:p>
        </w:tc>
        <w:tc>
          <w:tcPr>
            <w:tcW w:w="862" w:type="dxa"/>
            <w:vAlign w:val="bottom"/>
          </w:tcPr>
          <w:p w:rsidR="00000000" w:rsidRDefault="00000000">
            <w:pPr>
              <w:tabs>
                <w:tab w:val="decimal" w:pos="434"/>
              </w:tabs>
              <w:spacing w:line="170" w:lineRule="exact"/>
              <w:rPr>
                <w:b/>
                <w:sz w:val="17"/>
              </w:rPr>
            </w:pPr>
            <w:r>
              <w:rPr>
                <w:b/>
                <w:sz w:val="17"/>
              </w:rPr>
              <w:t>17 229,9</w:t>
            </w:r>
          </w:p>
        </w:tc>
        <w:tc>
          <w:tcPr>
            <w:tcW w:w="871" w:type="dxa"/>
            <w:vAlign w:val="bottom"/>
          </w:tcPr>
          <w:p w:rsidR="00000000" w:rsidRDefault="00000000">
            <w:pPr>
              <w:tabs>
                <w:tab w:val="decimal" w:pos="434"/>
              </w:tabs>
              <w:spacing w:line="170" w:lineRule="exact"/>
              <w:rPr>
                <w:b/>
                <w:sz w:val="17"/>
              </w:rPr>
            </w:pPr>
            <w:r>
              <w:rPr>
                <w:b/>
                <w:sz w:val="17"/>
              </w:rPr>
              <w:t>7 047,7</w:t>
            </w:r>
          </w:p>
        </w:tc>
        <w:tc>
          <w:tcPr>
            <w:tcW w:w="790" w:type="dxa"/>
            <w:vAlign w:val="bottom"/>
          </w:tcPr>
          <w:p w:rsidR="00000000" w:rsidRDefault="00000000">
            <w:pPr>
              <w:tabs>
                <w:tab w:val="decimal" w:pos="434"/>
              </w:tabs>
              <w:spacing w:line="170" w:lineRule="exact"/>
              <w:rPr>
                <w:b/>
                <w:sz w:val="17"/>
              </w:rPr>
            </w:pPr>
            <w:r>
              <w:rPr>
                <w:b/>
                <w:sz w:val="17"/>
              </w:rPr>
              <w:t>40,9</w:t>
            </w:r>
          </w:p>
        </w:tc>
        <w:tc>
          <w:tcPr>
            <w:tcW w:w="862" w:type="dxa"/>
            <w:vAlign w:val="bottom"/>
          </w:tcPr>
          <w:p w:rsidR="00000000" w:rsidRDefault="00000000">
            <w:pPr>
              <w:tabs>
                <w:tab w:val="decimal" w:pos="434"/>
              </w:tabs>
              <w:spacing w:line="170" w:lineRule="exact"/>
              <w:rPr>
                <w:b/>
                <w:sz w:val="17"/>
              </w:rPr>
            </w:pPr>
            <w:r>
              <w:rPr>
                <w:b/>
                <w:sz w:val="17"/>
              </w:rPr>
              <w:t>17 709,2</w:t>
            </w:r>
          </w:p>
        </w:tc>
        <w:tc>
          <w:tcPr>
            <w:tcW w:w="871" w:type="dxa"/>
            <w:vAlign w:val="bottom"/>
          </w:tcPr>
          <w:p w:rsidR="00000000" w:rsidRDefault="00000000">
            <w:pPr>
              <w:tabs>
                <w:tab w:val="decimal" w:pos="434"/>
              </w:tabs>
              <w:spacing w:line="170" w:lineRule="exact"/>
              <w:rPr>
                <w:b/>
                <w:sz w:val="17"/>
              </w:rPr>
            </w:pPr>
            <w:r>
              <w:rPr>
                <w:b/>
                <w:sz w:val="17"/>
              </w:rPr>
              <w:t>7 294,8</w:t>
            </w:r>
          </w:p>
        </w:tc>
        <w:tc>
          <w:tcPr>
            <w:tcW w:w="790" w:type="dxa"/>
            <w:vAlign w:val="bottom"/>
          </w:tcPr>
          <w:p w:rsidR="00000000" w:rsidRDefault="00000000">
            <w:pPr>
              <w:tabs>
                <w:tab w:val="decimal" w:pos="434"/>
              </w:tabs>
              <w:spacing w:line="170" w:lineRule="exact"/>
              <w:rPr>
                <w:b/>
                <w:sz w:val="17"/>
              </w:rPr>
            </w:pPr>
            <w:r>
              <w:rPr>
                <w:b/>
                <w:sz w:val="17"/>
              </w:rPr>
              <w:t>41,2</w:t>
            </w:r>
          </w:p>
        </w:tc>
      </w:tr>
      <w:tr w:rsidR="00000000">
        <w:tblPrEx>
          <w:tblCellMar>
            <w:top w:w="0" w:type="dxa"/>
            <w:bottom w:w="0" w:type="dxa"/>
          </w:tblCellMar>
        </w:tblPrEx>
        <w:trPr>
          <w:jc w:val="center"/>
        </w:trPr>
        <w:tc>
          <w:tcPr>
            <w:tcW w:w="2324" w:type="dxa"/>
          </w:tcPr>
          <w:p w:rsidR="00000000" w:rsidRDefault="00000000">
            <w:pPr>
              <w:spacing w:line="170" w:lineRule="exact"/>
              <w:rPr>
                <w:sz w:val="17"/>
              </w:rPr>
            </w:pPr>
            <w:r>
              <w:rPr>
                <w:b/>
                <w:sz w:val="17"/>
              </w:rPr>
              <w:t>Художественные, муз</w:t>
            </w:r>
            <w:r>
              <w:rPr>
                <w:b/>
                <w:sz w:val="17"/>
              </w:rPr>
              <w:t>ы</w:t>
            </w:r>
            <w:r>
              <w:rPr>
                <w:b/>
                <w:sz w:val="17"/>
              </w:rPr>
              <w:t>кальные</w:t>
            </w:r>
            <w:r>
              <w:rPr>
                <w:sz w:val="17"/>
              </w:rPr>
              <w:t xml:space="preserve"> </w:t>
            </w:r>
            <w:r>
              <w:rPr>
                <w:b/>
                <w:sz w:val="17"/>
              </w:rPr>
              <w:t>высшие уче</w:t>
            </w:r>
            <w:r>
              <w:rPr>
                <w:b/>
                <w:sz w:val="17"/>
              </w:rPr>
              <w:t>б</w:t>
            </w:r>
            <w:r>
              <w:rPr>
                <w:b/>
                <w:sz w:val="17"/>
              </w:rPr>
              <w:t>ные зав</w:t>
            </w:r>
            <w:r>
              <w:rPr>
                <w:b/>
                <w:sz w:val="17"/>
              </w:rPr>
              <w:t>е</w:t>
            </w:r>
            <w:r>
              <w:rPr>
                <w:b/>
                <w:sz w:val="17"/>
              </w:rPr>
              <w:t>дения</w:t>
            </w:r>
          </w:p>
        </w:tc>
        <w:tc>
          <w:tcPr>
            <w:tcW w:w="862" w:type="dxa"/>
            <w:vAlign w:val="bottom"/>
          </w:tcPr>
          <w:p w:rsidR="00000000" w:rsidRDefault="00000000">
            <w:pPr>
              <w:tabs>
                <w:tab w:val="decimal" w:pos="434"/>
              </w:tabs>
              <w:spacing w:line="170" w:lineRule="exact"/>
              <w:rPr>
                <w:sz w:val="17"/>
              </w:rPr>
            </w:pPr>
          </w:p>
        </w:tc>
        <w:tc>
          <w:tcPr>
            <w:tcW w:w="871" w:type="dxa"/>
            <w:vAlign w:val="bottom"/>
          </w:tcPr>
          <w:p w:rsidR="00000000" w:rsidRDefault="00000000">
            <w:pPr>
              <w:tabs>
                <w:tab w:val="decimal" w:pos="434"/>
              </w:tabs>
              <w:spacing w:line="170" w:lineRule="exact"/>
              <w:rPr>
                <w:sz w:val="17"/>
              </w:rPr>
            </w:pPr>
          </w:p>
        </w:tc>
        <w:tc>
          <w:tcPr>
            <w:tcW w:w="790" w:type="dxa"/>
            <w:vAlign w:val="bottom"/>
          </w:tcPr>
          <w:p w:rsidR="00000000" w:rsidRDefault="00000000">
            <w:pPr>
              <w:tabs>
                <w:tab w:val="decimal" w:pos="434"/>
              </w:tabs>
              <w:spacing w:line="170" w:lineRule="exact"/>
              <w:rPr>
                <w:sz w:val="17"/>
              </w:rPr>
            </w:pPr>
          </w:p>
        </w:tc>
        <w:tc>
          <w:tcPr>
            <w:tcW w:w="862" w:type="dxa"/>
            <w:vAlign w:val="bottom"/>
          </w:tcPr>
          <w:p w:rsidR="00000000" w:rsidRDefault="00000000">
            <w:pPr>
              <w:tabs>
                <w:tab w:val="decimal" w:pos="434"/>
              </w:tabs>
              <w:spacing w:line="170" w:lineRule="exact"/>
              <w:rPr>
                <w:sz w:val="17"/>
              </w:rPr>
            </w:pPr>
          </w:p>
        </w:tc>
        <w:tc>
          <w:tcPr>
            <w:tcW w:w="871" w:type="dxa"/>
            <w:vAlign w:val="bottom"/>
          </w:tcPr>
          <w:p w:rsidR="00000000" w:rsidRDefault="00000000">
            <w:pPr>
              <w:tabs>
                <w:tab w:val="decimal" w:pos="434"/>
              </w:tabs>
              <w:spacing w:line="170" w:lineRule="exact"/>
              <w:rPr>
                <w:sz w:val="17"/>
              </w:rPr>
            </w:pPr>
          </w:p>
        </w:tc>
        <w:tc>
          <w:tcPr>
            <w:tcW w:w="790" w:type="dxa"/>
            <w:vAlign w:val="bottom"/>
          </w:tcPr>
          <w:p w:rsidR="00000000" w:rsidRDefault="00000000">
            <w:pPr>
              <w:tabs>
                <w:tab w:val="decimal" w:pos="434"/>
              </w:tabs>
              <w:spacing w:line="170" w:lineRule="exact"/>
              <w:rPr>
                <w:sz w:val="17"/>
              </w:rPr>
            </w:pPr>
          </w:p>
        </w:tc>
        <w:tc>
          <w:tcPr>
            <w:tcW w:w="862" w:type="dxa"/>
            <w:vAlign w:val="bottom"/>
          </w:tcPr>
          <w:p w:rsidR="00000000" w:rsidRDefault="00000000">
            <w:pPr>
              <w:tabs>
                <w:tab w:val="decimal" w:pos="434"/>
              </w:tabs>
              <w:spacing w:line="170" w:lineRule="exact"/>
              <w:rPr>
                <w:sz w:val="17"/>
              </w:rPr>
            </w:pPr>
          </w:p>
        </w:tc>
        <w:tc>
          <w:tcPr>
            <w:tcW w:w="871" w:type="dxa"/>
            <w:vAlign w:val="bottom"/>
          </w:tcPr>
          <w:p w:rsidR="00000000" w:rsidRDefault="00000000">
            <w:pPr>
              <w:tabs>
                <w:tab w:val="decimal" w:pos="434"/>
              </w:tabs>
              <w:spacing w:line="170" w:lineRule="exact"/>
              <w:rPr>
                <w:sz w:val="17"/>
              </w:rPr>
            </w:pPr>
          </w:p>
        </w:tc>
        <w:tc>
          <w:tcPr>
            <w:tcW w:w="790" w:type="dxa"/>
            <w:vAlign w:val="bottom"/>
          </w:tcPr>
          <w:p w:rsidR="00000000" w:rsidRDefault="00000000">
            <w:pPr>
              <w:tabs>
                <w:tab w:val="decimal" w:pos="434"/>
              </w:tabs>
              <w:spacing w:line="170" w:lineRule="exact"/>
              <w:rPr>
                <w:sz w:val="17"/>
              </w:rPr>
            </w:pPr>
          </w:p>
        </w:tc>
        <w:tc>
          <w:tcPr>
            <w:tcW w:w="862" w:type="dxa"/>
            <w:vAlign w:val="bottom"/>
          </w:tcPr>
          <w:p w:rsidR="00000000" w:rsidRDefault="00000000">
            <w:pPr>
              <w:tabs>
                <w:tab w:val="decimal" w:pos="434"/>
              </w:tabs>
              <w:spacing w:line="170" w:lineRule="exact"/>
              <w:rPr>
                <w:sz w:val="17"/>
              </w:rPr>
            </w:pPr>
          </w:p>
        </w:tc>
        <w:tc>
          <w:tcPr>
            <w:tcW w:w="871" w:type="dxa"/>
            <w:vAlign w:val="bottom"/>
          </w:tcPr>
          <w:p w:rsidR="00000000" w:rsidRDefault="00000000">
            <w:pPr>
              <w:tabs>
                <w:tab w:val="decimal" w:pos="434"/>
              </w:tabs>
              <w:spacing w:line="170" w:lineRule="exact"/>
              <w:rPr>
                <w:sz w:val="17"/>
              </w:rPr>
            </w:pPr>
          </w:p>
        </w:tc>
        <w:tc>
          <w:tcPr>
            <w:tcW w:w="790" w:type="dxa"/>
            <w:vAlign w:val="bottom"/>
          </w:tcPr>
          <w:p w:rsidR="00000000" w:rsidRDefault="00000000">
            <w:pPr>
              <w:tabs>
                <w:tab w:val="decimal" w:pos="434"/>
              </w:tabs>
              <w:spacing w:line="170" w:lineRule="exact"/>
              <w:rPr>
                <w:sz w:val="17"/>
              </w:rPr>
            </w:pPr>
          </w:p>
        </w:tc>
      </w:tr>
      <w:tr w:rsidR="00000000">
        <w:tblPrEx>
          <w:tblCellMar>
            <w:top w:w="0" w:type="dxa"/>
            <w:bottom w:w="0" w:type="dxa"/>
          </w:tblCellMar>
        </w:tblPrEx>
        <w:trPr>
          <w:jc w:val="center"/>
        </w:trPr>
        <w:tc>
          <w:tcPr>
            <w:tcW w:w="2324" w:type="dxa"/>
          </w:tcPr>
          <w:p w:rsidR="00000000" w:rsidRDefault="00000000">
            <w:pPr>
              <w:spacing w:line="170" w:lineRule="exact"/>
              <w:rPr>
                <w:sz w:val="17"/>
              </w:rPr>
            </w:pPr>
            <w:r>
              <w:rPr>
                <w:sz w:val="17"/>
              </w:rPr>
              <w:t>Профессора на полной ста</w:t>
            </w:r>
            <w:r>
              <w:rPr>
                <w:sz w:val="17"/>
              </w:rPr>
              <w:t>в</w:t>
            </w:r>
            <w:r>
              <w:rPr>
                <w:sz w:val="17"/>
              </w:rPr>
              <w:t>ке</w:t>
            </w:r>
          </w:p>
        </w:tc>
        <w:tc>
          <w:tcPr>
            <w:tcW w:w="862" w:type="dxa"/>
            <w:vAlign w:val="bottom"/>
          </w:tcPr>
          <w:p w:rsidR="00000000" w:rsidRDefault="00000000">
            <w:pPr>
              <w:tabs>
                <w:tab w:val="decimal" w:pos="434"/>
              </w:tabs>
              <w:spacing w:line="170" w:lineRule="exact"/>
              <w:rPr>
                <w:sz w:val="17"/>
              </w:rPr>
            </w:pPr>
            <w:r>
              <w:rPr>
                <w:sz w:val="17"/>
              </w:rPr>
              <w:t>360,0</w:t>
            </w:r>
          </w:p>
        </w:tc>
        <w:tc>
          <w:tcPr>
            <w:tcW w:w="871" w:type="dxa"/>
            <w:vAlign w:val="bottom"/>
          </w:tcPr>
          <w:p w:rsidR="00000000" w:rsidRDefault="00000000">
            <w:pPr>
              <w:tabs>
                <w:tab w:val="decimal" w:pos="434"/>
              </w:tabs>
              <w:spacing w:line="170" w:lineRule="exact"/>
              <w:rPr>
                <w:sz w:val="17"/>
              </w:rPr>
            </w:pPr>
            <w:r>
              <w:rPr>
                <w:sz w:val="17"/>
              </w:rPr>
              <w:t>71,0</w:t>
            </w:r>
          </w:p>
        </w:tc>
        <w:tc>
          <w:tcPr>
            <w:tcW w:w="790" w:type="dxa"/>
            <w:vAlign w:val="bottom"/>
          </w:tcPr>
          <w:p w:rsidR="00000000" w:rsidRDefault="00000000">
            <w:pPr>
              <w:tabs>
                <w:tab w:val="decimal" w:pos="434"/>
              </w:tabs>
              <w:spacing w:line="170" w:lineRule="exact"/>
              <w:rPr>
                <w:sz w:val="17"/>
              </w:rPr>
            </w:pPr>
            <w:r>
              <w:rPr>
                <w:sz w:val="17"/>
              </w:rPr>
              <w:t>19,7</w:t>
            </w:r>
          </w:p>
        </w:tc>
        <w:tc>
          <w:tcPr>
            <w:tcW w:w="862" w:type="dxa"/>
            <w:vAlign w:val="bottom"/>
          </w:tcPr>
          <w:p w:rsidR="00000000" w:rsidRDefault="00000000">
            <w:pPr>
              <w:tabs>
                <w:tab w:val="decimal" w:pos="434"/>
              </w:tabs>
              <w:spacing w:line="170" w:lineRule="exact"/>
              <w:rPr>
                <w:sz w:val="17"/>
              </w:rPr>
            </w:pPr>
            <w:r>
              <w:rPr>
                <w:sz w:val="17"/>
              </w:rPr>
              <w:t>437,6</w:t>
            </w:r>
          </w:p>
        </w:tc>
        <w:tc>
          <w:tcPr>
            <w:tcW w:w="871" w:type="dxa"/>
            <w:vAlign w:val="bottom"/>
          </w:tcPr>
          <w:p w:rsidR="00000000" w:rsidRDefault="00000000">
            <w:pPr>
              <w:tabs>
                <w:tab w:val="decimal" w:pos="434"/>
              </w:tabs>
              <w:spacing w:line="170" w:lineRule="exact"/>
              <w:rPr>
                <w:sz w:val="17"/>
              </w:rPr>
            </w:pPr>
            <w:r>
              <w:rPr>
                <w:sz w:val="17"/>
              </w:rPr>
              <w:t>96,9</w:t>
            </w:r>
          </w:p>
        </w:tc>
        <w:tc>
          <w:tcPr>
            <w:tcW w:w="790" w:type="dxa"/>
            <w:vAlign w:val="bottom"/>
          </w:tcPr>
          <w:p w:rsidR="00000000" w:rsidRDefault="00000000">
            <w:pPr>
              <w:tabs>
                <w:tab w:val="decimal" w:pos="434"/>
              </w:tabs>
              <w:spacing w:line="170" w:lineRule="exact"/>
              <w:rPr>
                <w:sz w:val="17"/>
              </w:rPr>
            </w:pPr>
            <w:r>
              <w:rPr>
                <w:sz w:val="17"/>
              </w:rPr>
              <w:t>22,2</w:t>
            </w:r>
          </w:p>
        </w:tc>
        <w:tc>
          <w:tcPr>
            <w:tcW w:w="862" w:type="dxa"/>
            <w:vAlign w:val="bottom"/>
          </w:tcPr>
          <w:p w:rsidR="00000000" w:rsidRDefault="00000000">
            <w:pPr>
              <w:tabs>
                <w:tab w:val="decimal" w:pos="434"/>
              </w:tabs>
              <w:spacing w:line="170" w:lineRule="exact"/>
              <w:rPr>
                <w:sz w:val="17"/>
              </w:rPr>
            </w:pPr>
            <w:r>
              <w:rPr>
                <w:sz w:val="17"/>
              </w:rPr>
              <w:t>445,1</w:t>
            </w:r>
          </w:p>
        </w:tc>
        <w:tc>
          <w:tcPr>
            <w:tcW w:w="871" w:type="dxa"/>
            <w:vAlign w:val="bottom"/>
          </w:tcPr>
          <w:p w:rsidR="00000000" w:rsidRDefault="00000000">
            <w:pPr>
              <w:tabs>
                <w:tab w:val="decimal" w:pos="434"/>
              </w:tabs>
              <w:spacing w:line="170" w:lineRule="exact"/>
              <w:rPr>
                <w:sz w:val="17"/>
              </w:rPr>
            </w:pPr>
            <w:r>
              <w:rPr>
                <w:sz w:val="17"/>
              </w:rPr>
              <w:t>103,9</w:t>
            </w:r>
          </w:p>
        </w:tc>
        <w:tc>
          <w:tcPr>
            <w:tcW w:w="790" w:type="dxa"/>
            <w:vAlign w:val="bottom"/>
          </w:tcPr>
          <w:p w:rsidR="00000000" w:rsidRDefault="00000000">
            <w:pPr>
              <w:tabs>
                <w:tab w:val="decimal" w:pos="434"/>
              </w:tabs>
              <w:spacing w:line="170" w:lineRule="exact"/>
              <w:rPr>
                <w:sz w:val="17"/>
              </w:rPr>
            </w:pPr>
            <w:r>
              <w:rPr>
                <w:sz w:val="17"/>
              </w:rPr>
              <w:t>23,3</w:t>
            </w:r>
          </w:p>
        </w:tc>
        <w:tc>
          <w:tcPr>
            <w:tcW w:w="862" w:type="dxa"/>
            <w:vAlign w:val="bottom"/>
          </w:tcPr>
          <w:p w:rsidR="00000000" w:rsidRDefault="00000000">
            <w:pPr>
              <w:tabs>
                <w:tab w:val="decimal" w:pos="434"/>
              </w:tabs>
              <w:spacing w:line="170" w:lineRule="exact"/>
              <w:rPr>
                <w:sz w:val="17"/>
              </w:rPr>
            </w:pPr>
            <w:r>
              <w:rPr>
                <w:sz w:val="17"/>
              </w:rPr>
              <w:t>472,6</w:t>
            </w:r>
          </w:p>
        </w:tc>
        <w:tc>
          <w:tcPr>
            <w:tcW w:w="871" w:type="dxa"/>
            <w:vAlign w:val="bottom"/>
          </w:tcPr>
          <w:p w:rsidR="00000000" w:rsidRDefault="00000000">
            <w:pPr>
              <w:tabs>
                <w:tab w:val="decimal" w:pos="434"/>
              </w:tabs>
              <w:spacing w:line="170" w:lineRule="exact"/>
              <w:rPr>
                <w:sz w:val="17"/>
              </w:rPr>
            </w:pPr>
            <w:r>
              <w:rPr>
                <w:sz w:val="17"/>
              </w:rPr>
              <w:t>113,9</w:t>
            </w:r>
          </w:p>
        </w:tc>
        <w:tc>
          <w:tcPr>
            <w:tcW w:w="790" w:type="dxa"/>
            <w:vAlign w:val="bottom"/>
          </w:tcPr>
          <w:p w:rsidR="00000000" w:rsidRDefault="00000000">
            <w:pPr>
              <w:tabs>
                <w:tab w:val="decimal" w:pos="434"/>
              </w:tabs>
              <w:spacing w:line="170" w:lineRule="exact"/>
              <w:rPr>
                <w:sz w:val="17"/>
              </w:rPr>
            </w:pPr>
            <w:r>
              <w:rPr>
                <w:sz w:val="17"/>
              </w:rPr>
              <w:t>24,1</w:t>
            </w:r>
          </w:p>
        </w:tc>
      </w:tr>
      <w:tr w:rsidR="00000000">
        <w:tblPrEx>
          <w:tblCellMar>
            <w:top w:w="0" w:type="dxa"/>
            <w:bottom w:w="0" w:type="dxa"/>
          </w:tblCellMar>
        </w:tblPrEx>
        <w:trPr>
          <w:jc w:val="center"/>
        </w:trPr>
        <w:tc>
          <w:tcPr>
            <w:tcW w:w="2324" w:type="dxa"/>
          </w:tcPr>
          <w:p w:rsidR="00000000" w:rsidRDefault="00000000">
            <w:pPr>
              <w:spacing w:line="170" w:lineRule="exact"/>
              <w:rPr>
                <w:sz w:val="17"/>
              </w:rPr>
            </w:pPr>
            <w:r>
              <w:rPr>
                <w:sz w:val="17"/>
              </w:rPr>
              <w:t>Помощники, временные помощн</w:t>
            </w:r>
            <w:r>
              <w:rPr>
                <w:sz w:val="17"/>
              </w:rPr>
              <w:t>и</w:t>
            </w:r>
            <w:r>
              <w:rPr>
                <w:sz w:val="17"/>
              </w:rPr>
              <w:t>ки</w:t>
            </w:r>
          </w:p>
        </w:tc>
        <w:tc>
          <w:tcPr>
            <w:tcW w:w="862" w:type="dxa"/>
            <w:vAlign w:val="bottom"/>
          </w:tcPr>
          <w:p w:rsidR="00000000" w:rsidRDefault="00000000">
            <w:pPr>
              <w:tabs>
                <w:tab w:val="decimal" w:pos="434"/>
              </w:tabs>
              <w:spacing w:line="170" w:lineRule="exact"/>
              <w:rPr>
                <w:sz w:val="17"/>
              </w:rPr>
            </w:pPr>
            <w:r>
              <w:rPr>
                <w:sz w:val="17"/>
              </w:rPr>
              <w:t>203,5</w:t>
            </w:r>
          </w:p>
        </w:tc>
        <w:tc>
          <w:tcPr>
            <w:tcW w:w="871" w:type="dxa"/>
            <w:vAlign w:val="bottom"/>
          </w:tcPr>
          <w:p w:rsidR="00000000" w:rsidRDefault="00000000">
            <w:pPr>
              <w:tabs>
                <w:tab w:val="decimal" w:pos="434"/>
              </w:tabs>
              <w:spacing w:line="170" w:lineRule="exact"/>
              <w:rPr>
                <w:sz w:val="17"/>
              </w:rPr>
            </w:pPr>
            <w:r>
              <w:rPr>
                <w:sz w:val="17"/>
              </w:rPr>
              <w:t>75,0</w:t>
            </w:r>
          </w:p>
        </w:tc>
        <w:tc>
          <w:tcPr>
            <w:tcW w:w="790" w:type="dxa"/>
            <w:vAlign w:val="bottom"/>
          </w:tcPr>
          <w:p w:rsidR="00000000" w:rsidRDefault="00000000">
            <w:pPr>
              <w:tabs>
                <w:tab w:val="decimal" w:pos="434"/>
              </w:tabs>
              <w:spacing w:line="170" w:lineRule="exact"/>
              <w:rPr>
                <w:sz w:val="17"/>
              </w:rPr>
            </w:pPr>
            <w:r>
              <w:rPr>
                <w:sz w:val="17"/>
              </w:rPr>
              <w:t>36,9</w:t>
            </w:r>
          </w:p>
        </w:tc>
        <w:tc>
          <w:tcPr>
            <w:tcW w:w="862" w:type="dxa"/>
            <w:vAlign w:val="bottom"/>
          </w:tcPr>
          <w:p w:rsidR="00000000" w:rsidRDefault="00000000">
            <w:pPr>
              <w:tabs>
                <w:tab w:val="decimal" w:pos="434"/>
              </w:tabs>
              <w:spacing w:line="170" w:lineRule="exact"/>
              <w:rPr>
                <w:sz w:val="17"/>
              </w:rPr>
            </w:pPr>
            <w:r>
              <w:rPr>
                <w:sz w:val="17"/>
              </w:rPr>
              <w:t>206,5</w:t>
            </w:r>
          </w:p>
        </w:tc>
        <w:tc>
          <w:tcPr>
            <w:tcW w:w="871" w:type="dxa"/>
            <w:vAlign w:val="bottom"/>
          </w:tcPr>
          <w:p w:rsidR="00000000" w:rsidRDefault="00000000">
            <w:pPr>
              <w:tabs>
                <w:tab w:val="decimal" w:pos="434"/>
              </w:tabs>
              <w:spacing w:line="170" w:lineRule="exact"/>
              <w:rPr>
                <w:sz w:val="17"/>
              </w:rPr>
            </w:pPr>
            <w:r>
              <w:rPr>
                <w:sz w:val="17"/>
              </w:rPr>
              <w:t>77,3</w:t>
            </w:r>
          </w:p>
        </w:tc>
        <w:tc>
          <w:tcPr>
            <w:tcW w:w="790" w:type="dxa"/>
            <w:vAlign w:val="bottom"/>
          </w:tcPr>
          <w:p w:rsidR="00000000" w:rsidRDefault="00000000">
            <w:pPr>
              <w:tabs>
                <w:tab w:val="decimal" w:pos="434"/>
              </w:tabs>
              <w:spacing w:line="170" w:lineRule="exact"/>
              <w:rPr>
                <w:sz w:val="17"/>
              </w:rPr>
            </w:pPr>
            <w:r>
              <w:rPr>
                <w:sz w:val="17"/>
              </w:rPr>
              <w:t>37,4</w:t>
            </w:r>
          </w:p>
        </w:tc>
        <w:tc>
          <w:tcPr>
            <w:tcW w:w="862" w:type="dxa"/>
            <w:vAlign w:val="bottom"/>
          </w:tcPr>
          <w:p w:rsidR="00000000" w:rsidRDefault="00000000">
            <w:pPr>
              <w:tabs>
                <w:tab w:val="decimal" w:pos="434"/>
              </w:tabs>
              <w:spacing w:line="170" w:lineRule="exact"/>
              <w:rPr>
                <w:sz w:val="17"/>
              </w:rPr>
            </w:pPr>
            <w:r>
              <w:rPr>
                <w:sz w:val="17"/>
              </w:rPr>
              <w:t>212,8</w:t>
            </w:r>
          </w:p>
        </w:tc>
        <w:tc>
          <w:tcPr>
            <w:tcW w:w="871" w:type="dxa"/>
            <w:vAlign w:val="bottom"/>
          </w:tcPr>
          <w:p w:rsidR="00000000" w:rsidRDefault="00000000">
            <w:pPr>
              <w:tabs>
                <w:tab w:val="decimal" w:pos="434"/>
              </w:tabs>
              <w:spacing w:line="170" w:lineRule="exact"/>
              <w:rPr>
                <w:sz w:val="17"/>
              </w:rPr>
            </w:pPr>
            <w:r>
              <w:rPr>
                <w:sz w:val="17"/>
              </w:rPr>
              <w:t>77,5</w:t>
            </w:r>
          </w:p>
        </w:tc>
        <w:tc>
          <w:tcPr>
            <w:tcW w:w="790" w:type="dxa"/>
            <w:vAlign w:val="bottom"/>
          </w:tcPr>
          <w:p w:rsidR="00000000" w:rsidRDefault="00000000">
            <w:pPr>
              <w:tabs>
                <w:tab w:val="decimal" w:pos="434"/>
              </w:tabs>
              <w:spacing w:line="170" w:lineRule="exact"/>
              <w:rPr>
                <w:sz w:val="17"/>
              </w:rPr>
            </w:pPr>
            <w:r>
              <w:rPr>
                <w:sz w:val="17"/>
              </w:rPr>
              <w:t>36,4</w:t>
            </w:r>
          </w:p>
        </w:tc>
        <w:tc>
          <w:tcPr>
            <w:tcW w:w="862" w:type="dxa"/>
            <w:vAlign w:val="bottom"/>
          </w:tcPr>
          <w:p w:rsidR="00000000" w:rsidRDefault="00000000">
            <w:pPr>
              <w:tabs>
                <w:tab w:val="decimal" w:pos="434"/>
              </w:tabs>
              <w:spacing w:line="170" w:lineRule="exact"/>
              <w:rPr>
                <w:sz w:val="17"/>
              </w:rPr>
            </w:pPr>
            <w:r>
              <w:rPr>
                <w:sz w:val="17"/>
              </w:rPr>
              <w:t>224,2</w:t>
            </w:r>
          </w:p>
        </w:tc>
        <w:tc>
          <w:tcPr>
            <w:tcW w:w="871" w:type="dxa"/>
            <w:vAlign w:val="bottom"/>
          </w:tcPr>
          <w:p w:rsidR="00000000" w:rsidRDefault="00000000">
            <w:pPr>
              <w:tabs>
                <w:tab w:val="decimal" w:pos="434"/>
              </w:tabs>
              <w:spacing w:line="170" w:lineRule="exact"/>
              <w:rPr>
                <w:sz w:val="17"/>
              </w:rPr>
            </w:pPr>
            <w:r>
              <w:rPr>
                <w:sz w:val="17"/>
              </w:rPr>
              <w:t>82,5</w:t>
            </w:r>
          </w:p>
        </w:tc>
        <w:tc>
          <w:tcPr>
            <w:tcW w:w="790" w:type="dxa"/>
            <w:vAlign w:val="bottom"/>
          </w:tcPr>
          <w:p w:rsidR="00000000" w:rsidRDefault="00000000">
            <w:pPr>
              <w:tabs>
                <w:tab w:val="decimal" w:pos="434"/>
              </w:tabs>
              <w:spacing w:line="170" w:lineRule="exact"/>
              <w:rPr>
                <w:sz w:val="17"/>
              </w:rPr>
            </w:pPr>
            <w:r>
              <w:rPr>
                <w:sz w:val="17"/>
              </w:rPr>
              <w:t>36,8</w:t>
            </w:r>
          </w:p>
        </w:tc>
      </w:tr>
      <w:tr w:rsidR="00000000">
        <w:tblPrEx>
          <w:tblCellMar>
            <w:top w:w="0" w:type="dxa"/>
            <w:bottom w:w="0" w:type="dxa"/>
          </w:tblCellMar>
        </w:tblPrEx>
        <w:trPr>
          <w:jc w:val="center"/>
        </w:trPr>
        <w:tc>
          <w:tcPr>
            <w:tcW w:w="2324" w:type="dxa"/>
          </w:tcPr>
          <w:p w:rsidR="00000000" w:rsidRDefault="00000000">
            <w:pPr>
              <w:spacing w:line="170" w:lineRule="exact"/>
              <w:rPr>
                <w:sz w:val="17"/>
              </w:rPr>
            </w:pPr>
            <w:r>
              <w:rPr>
                <w:sz w:val="17"/>
              </w:rPr>
              <w:t>Научные работники, ф</w:t>
            </w:r>
            <w:r>
              <w:rPr>
                <w:sz w:val="17"/>
              </w:rPr>
              <w:t>е</w:t>
            </w:r>
            <w:r>
              <w:rPr>
                <w:sz w:val="17"/>
              </w:rPr>
              <w:t>деральные преподаватели и преподаватели, нанятые на временной о</w:t>
            </w:r>
            <w:r>
              <w:rPr>
                <w:sz w:val="17"/>
              </w:rPr>
              <w:t>с</w:t>
            </w:r>
            <w:r>
              <w:rPr>
                <w:sz w:val="17"/>
              </w:rPr>
              <w:t>нове</w:t>
            </w:r>
          </w:p>
        </w:tc>
        <w:tc>
          <w:tcPr>
            <w:tcW w:w="862" w:type="dxa"/>
            <w:vAlign w:val="bottom"/>
          </w:tcPr>
          <w:p w:rsidR="00000000" w:rsidRDefault="00000000">
            <w:pPr>
              <w:tabs>
                <w:tab w:val="decimal" w:pos="434"/>
              </w:tabs>
              <w:spacing w:line="170" w:lineRule="exact"/>
              <w:rPr>
                <w:sz w:val="17"/>
              </w:rPr>
            </w:pPr>
            <w:r>
              <w:rPr>
                <w:sz w:val="17"/>
              </w:rPr>
              <w:t>582,4</w:t>
            </w:r>
          </w:p>
        </w:tc>
        <w:tc>
          <w:tcPr>
            <w:tcW w:w="871" w:type="dxa"/>
            <w:vAlign w:val="bottom"/>
          </w:tcPr>
          <w:p w:rsidR="00000000" w:rsidRDefault="00000000">
            <w:pPr>
              <w:tabs>
                <w:tab w:val="decimal" w:pos="434"/>
              </w:tabs>
              <w:spacing w:line="170" w:lineRule="exact"/>
              <w:rPr>
                <w:sz w:val="17"/>
              </w:rPr>
            </w:pPr>
            <w:r>
              <w:rPr>
                <w:sz w:val="17"/>
              </w:rPr>
              <w:t>254,1</w:t>
            </w:r>
          </w:p>
        </w:tc>
        <w:tc>
          <w:tcPr>
            <w:tcW w:w="790" w:type="dxa"/>
            <w:vAlign w:val="bottom"/>
          </w:tcPr>
          <w:p w:rsidR="00000000" w:rsidRDefault="00000000">
            <w:pPr>
              <w:tabs>
                <w:tab w:val="decimal" w:pos="434"/>
              </w:tabs>
              <w:spacing w:line="170" w:lineRule="exact"/>
              <w:rPr>
                <w:sz w:val="17"/>
              </w:rPr>
            </w:pPr>
            <w:r>
              <w:rPr>
                <w:sz w:val="17"/>
              </w:rPr>
              <w:t>43,6</w:t>
            </w:r>
          </w:p>
        </w:tc>
        <w:tc>
          <w:tcPr>
            <w:tcW w:w="862" w:type="dxa"/>
            <w:vAlign w:val="bottom"/>
          </w:tcPr>
          <w:p w:rsidR="00000000" w:rsidRDefault="00000000">
            <w:pPr>
              <w:tabs>
                <w:tab w:val="decimal" w:pos="434"/>
              </w:tabs>
              <w:spacing w:line="170" w:lineRule="exact"/>
              <w:rPr>
                <w:sz w:val="17"/>
              </w:rPr>
            </w:pPr>
            <w:r>
              <w:rPr>
                <w:sz w:val="17"/>
              </w:rPr>
              <w:t>508,1</w:t>
            </w:r>
          </w:p>
        </w:tc>
        <w:tc>
          <w:tcPr>
            <w:tcW w:w="871" w:type="dxa"/>
            <w:vAlign w:val="bottom"/>
          </w:tcPr>
          <w:p w:rsidR="00000000" w:rsidRDefault="00000000">
            <w:pPr>
              <w:tabs>
                <w:tab w:val="decimal" w:pos="434"/>
              </w:tabs>
              <w:spacing w:line="170" w:lineRule="exact"/>
              <w:rPr>
                <w:sz w:val="17"/>
              </w:rPr>
            </w:pPr>
            <w:r>
              <w:rPr>
                <w:sz w:val="17"/>
              </w:rPr>
              <w:t>230,6</w:t>
            </w:r>
          </w:p>
        </w:tc>
        <w:tc>
          <w:tcPr>
            <w:tcW w:w="790" w:type="dxa"/>
            <w:vAlign w:val="bottom"/>
          </w:tcPr>
          <w:p w:rsidR="00000000" w:rsidRDefault="00000000">
            <w:pPr>
              <w:tabs>
                <w:tab w:val="decimal" w:pos="434"/>
              </w:tabs>
              <w:spacing w:line="170" w:lineRule="exact"/>
              <w:rPr>
                <w:sz w:val="17"/>
              </w:rPr>
            </w:pPr>
            <w:r>
              <w:rPr>
                <w:sz w:val="17"/>
              </w:rPr>
              <w:t>45,4</w:t>
            </w:r>
          </w:p>
        </w:tc>
        <w:tc>
          <w:tcPr>
            <w:tcW w:w="862" w:type="dxa"/>
            <w:vAlign w:val="bottom"/>
          </w:tcPr>
          <w:p w:rsidR="00000000" w:rsidRDefault="00000000">
            <w:pPr>
              <w:tabs>
                <w:tab w:val="decimal" w:pos="434"/>
              </w:tabs>
              <w:spacing w:line="170" w:lineRule="exact"/>
              <w:rPr>
                <w:sz w:val="17"/>
              </w:rPr>
            </w:pPr>
            <w:r>
              <w:rPr>
                <w:sz w:val="17"/>
              </w:rPr>
              <w:t>503,2</w:t>
            </w:r>
          </w:p>
        </w:tc>
        <w:tc>
          <w:tcPr>
            <w:tcW w:w="871" w:type="dxa"/>
            <w:vAlign w:val="bottom"/>
          </w:tcPr>
          <w:p w:rsidR="00000000" w:rsidRDefault="00000000">
            <w:pPr>
              <w:tabs>
                <w:tab w:val="decimal" w:pos="434"/>
              </w:tabs>
              <w:spacing w:line="170" w:lineRule="exact"/>
              <w:rPr>
                <w:sz w:val="17"/>
              </w:rPr>
            </w:pPr>
            <w:r>
              <w:rPr>
                <w:sz w:val="17"/>
              </w:rPr>
              <w:t>231,7</w:t>
            </w:r>
          </w:p>
        </w:tc>
        <w:tc>
          <w:tcPr>
            <w:tcW w:w="790" w:type="dxa"/>
            <w:vAlign w:val="bottom"/>
          </w:tcPr>
          <w:p w:rsidR="00000000" w:rsidRDefault="00000000">
            <w:pPr>
              <w:tabs>
                <w:tab w:val="decimal" w:pos="434"/>
              </w:tabs>
              <w:spacing w:line="170" w:lineRule="exact"/>
              <w:rPr>
                <w:sz w:val="17"/>
              </w:rPr>
            </w:pPr>
            <w:r>
              <w:rPr>
                <w:sz w:val="17"/>
              </w:rPr>
              <w:t>46,0</w:t>
            </w:r>
          </w:p>
        </w:tc>
        <w:tc>
          <w:tcPr>
            <w:tcW w:w="862" w:type="dxa"/>
            <w:vAlign w:val="bottom"/>
          </w:tcPr>
          <w:p w:rsidR="00000000" w:rsidRDefault="00000000">
            <w:pPr>
              <w:tabs>
                <w:tab w:val="decimal" w:pos="434"/>
              </w:tabs>
              <w:spacing w:line="170" w:lineRule="exact"/>
              <w:rPr>
                <w:sz w:val="17"/>
              </w:rPr>
            </w:pPr>
            <w:r>
              <w:rPr>
                <w:sz w:val="17"/>
              </w:rPr>
              <w:t>509,8</w:t>
            </w:r>
          </w:p>
        </w:tc>
        <w:tc>
          <w:tcPr>
            <w:tcW w:w="871" w:type="dxa"/>
            <w:vAlign w:val="bottom"/>
          </w:tcPr>
          <w:p w:rsidR="00000000" w:rsidRDefault="00000000">
            <w:pPr>
              <w:tabs>
                <w:tab w:val="decimal" w:pos="434"/>
              </w:tabs>
              <w:spacing w:line="170" w:lineRule="exact"/>
              <w:rPr>
                <w:sz w:val="17"/>
              </w:rPr>
            </w:pPr>
            <w:r>
              <w:rPr>
                <w:sz w:val="17"/>
              </w:rPr>
              <w:t>235,6</w:t>
            </w:r>
          </w:p>
        </w:tc>
        <w:tc>
          <w:tcPr>
            <w:tcW w:w="790" w:type="dxa"/>
            <w:vAlign w:val="bottom"/>
          </w:tcPr>
          <w:p w:rsidR="00000000" w:rsidRDefault="00000000">
            <w:pPr>
              <w:tabs>
                <w:tab w:val="decimal" w:pos="434"/>
              </w:tabs>
              <w:spacing w:line="170" w:lineRule="exact"/>
              <w:rPr>
                <w:sz w:val="17"/>
              </w:rPr>
            </w:pPr>
            <w:r>
              <w:rPr>
                <w:sz w:val="17"/>
              </w:rPr>
              <w:t>46,2</w:t>
            </w:r>
          </w:p>
        </w:tc>
      </w:tr>
      <w:tr w:rsidR="00000000">
        <w:tblPrEx>
          <w:tblCellMar>
            <w:top w:w="0" w:type="dxa"/>
            <w:bottom w:w="0" w:type="dxa"/>
          </w:tblCellMar>
        </w:tblPrEx>
        <w:trPr>
          <w:jc w:val="center"/>
        </w:trPr>
        <w:tc>
          <w:tcPr>
            <w:tcW w:w="2324" w:type="dxa"/>
          </w:tcPr>
          <w:p w:rsidR="00000000" w:rsidRDefault="00000000">
            <w:pPr>
              <w:spacing w:line="170" w:lineRule="exact"/>
              <w:rPr>
                <w:sz w:val="17"/>
              </w:rPr>
            </w:pPr>
            <w:r>
              <w:rPr>
                <w:sz w:val="17"/>
              </w:rPr>
              <w:t>Научные (и творческие) работники, всего</w:t>
            </w:r>
          </w:p>
        </w:tc>
        <w:tc>
          <w:tcPr>
            <w:tcW w:w="862" w:type="dxa"/>
            <w:vAlign w:val="bottom"/>
          </w:tcPr>
          <w:p w:rsidR="00000000" w:rsidRDefault="00000000">
            <w:pPr>
              <w:tabs>
                <w:tab w:val="decimal" w:pos="434"/>
              </w:tabs>
              <w:spacing w:line="170" w:lineRule="exact"/>
              <w:rPr>
                <w:sz w:val="17"/>
              </w:rPr>
            </w:pPr>
            <w:r>
              <w:rPr>
                <w:sz w:val="17"/>
              </w:rPr>
              <w:t>1 145,9</w:t>
            </w:r>
          </w:p>
        </w:tc>
        <w:tc>
          <w:tcPr>
            <w:tcW w:w="871" w:type="dxa"/>
            <w:vAlign w:val="bottom"/>
          </w:tcPr>
          <w:p w:rsidR="00000000" w:rsidRDefault="00000000">
            <w:pPr>
              <w:tabs>
                <w:tab w:val="decimal" w:pos="434"/>
              </w:tabs>
              <w:spacing w:line="170" w:lineRule="exact"/>
              <w:rPr>
                <w:sz w:val="17"/>
              </w:rPr>
            </w:pPr>
            <w:r>
              <w:rPr>
                <w:sz w:val="17"/>
              </w:rPr>
              <w:t>400,1</w:t>
            </w:r>
          </w:p>
        </w:tc>
        <w:tc>
          <w:tcPr>
            <w:tcW w:w="790" w:type="dxa"/>
            <w:vAlign w:val="bottom"/>
          </w:tcPr>
          <w:p w:rsidR="00000000" w:rsidRDefault="00000000">
            <w:pPr>
              <w:tabs>
                <w:tab w:val="decimal" w:pos="434"/>
              </w:tabs>
              <w:spacing w:line="170" w:lineRule="exact"/>
              <w:rPr>
                <w:sz w:val="17"/>
              </w:rPr>
            </w:pPr>
            <w:r>
              <w:rPr>
                <w:sz w:val="17"/>
              </w:rPr>
              <w:t>34,9</w:t>
            </w:r>
          </w:p>
        </w:tc>
        <w:tc>
          <w:tcPr>
            <w:tcW w:w="862" w:type="dxa"/>
            <w:vAlign w:val="bottom"/>
          </w:tcPr>
          <w:p w:rsidR="00000000" w:rsidRDefault="00000000">
            <w:pPr>
              <w:tabs>
                <w:tab w:val="decimal" w:pos="434"/>
              </w:tabs>
              <w:spacing w:line="170" w:lineRule="exact"/>
              <w:rPr>
                <w:sz w:val="17"/>
              </w:rPr>
            </w:pPr>
            <w:r>
              <w:rPr>
                <w:sz w:val="17"/>
              </w:rPr>
              <w:t>1 152,2</w:t>
            </w:r>
          </w:p>
        </w:tc>
        <w:tc>
          <w:tcPr>
            <w:tcW w:w="871" w:type="dxa"/>
            <w:vAlign w:val="bottom"/>
          </w:tcPr>
          <w:p w:rsidR="00000000" w:rsidRDefault="00000000">
            <w:pPr>
              <w:tabs>
                <w:tab w:val="decimal" w:pos="434"/>
              </w:tabs>
              <w:spacing w:line="170" w:lineRule="exact"/>
              <w:rPr>
                <w:sz w:val="17"/>
              </w:rPr>
            </w:pPr>
            <w:r>
              <w:rPr>
                <w:sz w:val="17"/>
              </w:rPr>
              <w:t>404,8</w:t>
            </w:r>
          </w:p>
        </w:tc>
        <w:tc>
          <w:tcPr>
            <w:tcW w:w="790" w:type="dxa"/>
            <w:vAlign w:val="bottom"/>
          </w:tcPr>
          <w:p w:rsidR="00000000" w:rsidRDefault="00000000">
            <w:pPr>
              <w:tabs>
                <w:tab w:val="decimal" w:pos="434"/>
              </w:tabs>
              <w:spacing w:line="170" w:lineRule="exact"/>
              <w:rPr>
                <w:sz w:val="17"/>
              </w:rPr>
            </w:pPr>
            <w:r>
              <w:rPr>
                <w:sz w:val="17"/>
              </w:rPr>
              <w:t>35,1</w:t>
            </w:r>
          </w:p>
        </w:tc>
        <w:tc>
          <w:tcPr>
            <w:tcW w:w="862" w:type="dxa"/>
            <w:vAlign w:val="bottom"/>
          </w:tcPr>
          <w:p w:rsidR="00000000" w:rsidRDefault="00000000">
            <w:pPr>
              <w:tabs>
                <w:tab w:val="decimal" w:pos="434"/>
              </w:tabs>
              <w:spacing w:line="170" w:lineRule="exact"/>
              <w:rPr>
                <w:sz w:val="17"/>
              </w:rPr>
            </w:pPr>
            <w:r>
              <w:rPr>
                <w:sz w:val="17"/>
              </w:rPr>
              <w:t>1 161,0</w:t>
            </w:r>
          </w:p>
        </w:tc>
        <w:tc>
          <w:tcPr>
            <w:tcW w:w="871" w:type="dxa"/>
            <w:vAlign w:val="bottom"/>
          </w:tcPr>
          <w:p w:rsidR="00000000" w:rsidRDefault="00000000">
            <w:pPr>
              <w:tabs>
                <w:tab w:val="decimal" w:pos="434"/>
              </w:tabs>
              <w:spacing w:line="170" w:lineRule="exact"/>
              <w:rPr>
                <w:sz w:val="17"/>
              </w:rPr>
            </w:pPr>
            <w:r>
              <w:rPr>
                <w:sz w:val="17"/>
              </w:rPr>
              <w:t>413,1</w:t>
            </w:r>
          </w:p>
        </w:tc>
        <w:tc>
          <w:tcPr>
            <w:tcW w:w="790" w:type="dxa"/>
            <w:vAlign w:val="bottom"/>
          </w:tcPr>
          <w:p w:rsidR="00000000" w:rsidRDefault="00000000">
            <w:pPr>
              <w:tabs>
                <w:tab w:val="decimal" w:pos="434"/>
              </w:tabs>
              <w:spacing w:line="170" w:lineRule="exact"/>
              <w:rPr>
                <w:sz w:val="17"/>
              </w:rPr>
            </w:pPr>
            <w:r>
              <w:rPr>
                <w:sz w:val="17"/>
              </w:rPr>
              <w:t>35,6</w:t>
            </w:r>
          </w:p>
        </w:tc>
        <w:tc>
          <w:tcPr>
            <w:tcW w:w="862" w:type="dxa"/>
            <w:vAlign w:val="bottom"/>
          </w:tcPr>
          <w:p w:rsidR="00000000" w:rsidRDefault="00000000">
            <w:pPr>
              <w:tabs>
                <w:tab w:val="decimal" w:pos="434"/>
              </w:tabs>
              <w:spacing w:line="170" w:lineRule="exact"/>
              <w:rPr>
                <w:sz w:val="17"/>
              </w:rPr>
            </w:pPr>
            <w:r>
              <w:rPr>
                <w:sz w:val="17"/>
              </w:rPr>
              <w:t>1 206,6</w:t>
            </w:r>
          </w:p>
        </w:tc>
        <w:tc>
          <w:tcPr>
            <w:tcW w:w="871" w:type="dxa"/>
            <w:vAlign w:val="bottom"/>
          </w:tcPr>
          <w:p w:rsidR="00000000" w:rsidRDefault="00000000">
            <w:pPr>
              <w:tabs>
                <w:tab w:val="decimal" w:pos="434"/>
              </w:tabs>
              <w:spacing w:line="170" w:lineRule="exact"/>
              <w:rPr>
                <w:sz w:val="17"/>
              </w:rPr>
            </w:pPr>
            <w:r>
              <w:rPr>
                <w:sz w:val="17"/>
              </w:rPr>
              <w:t>432,0</w:t>
            </w:r>
          </w:p>
        </w:tc>
        <w:tc>
          <w:tcPr>
            <w:tcW w:w="790" w:type="dxa"/>
            <w:vAlign w:val="bottom"/>
          </w:tcPr>
          <w:p w:rsidR="00000000" w:rsidRDefault="00000000">
            <w:pPr>
              <w:tabs>
                <w:tab w:val="decimal" w:pos="434"/>
              </w:tabs>
              <w:spacing w:line="170" w:lineRule="exact"/>
              <w:rPr>
                <w:sz w:val="17"/>
              </w:rPr>
            </w:pPr>
            <w:r>
              <w:rPr>
                <w:sz w:val="17"/>
              </w:rPr>
              <w:t>35,8</w:t>
            </w:r>
          </w:p>
        </w:tc>
      </w:tr>
      <w:tr w:rsidR="00000000">
        <w:tblPrEx>
          <w:tblCellMar>
            <w:top w:w="0" w:type="dxa"/>
            <w:bottom w:w="0" w:type="dxa"/>
          </w:tblCellMar>
        </w:tblPrEx>
        <w:trPr>
          <w:jc w:val="center"/>
        </w:trPr>
        <w:tc>
          <w:tcPr>
            <w:tcW w:w="2324" w:type="dxa"/>
          </w:tcPr>
          <w:p w:rsidR="00000000" w:rsidRDefault="00000000">
            <w:pPr>
              <w:spacing w:line="170" w:lineRule="exact"/>
              <w:rPr>
                <w:sz w:val="17"/>
              </w:rPr>
            </w:pPr>
            <w:r>
              <w:rPr>
                <w:sz w:val="17"/>
              </w:rPr>
              <w:t>Административный пе</w:t>
            </w:r>
            <w:r>
              <w:rPr>
                <w:sz w:val="17"/>
              </w:rPr>
              <w:t>р</w:t>
            </w:r>
            <w:r>
              <w:rPr>
                <w:sz w:val="17"/>
              </w:rPr>
              <w:t>сонал, вс</w:t>
            </w:r>
            <w:r>
              <w:rPr>
                <w:sz w:val="17"/>
              </w:rPr>
              <w:t>е</w:t>
            </w:r>
            <w:r>
              <w:rPr>
                <w:sz w:val="17"/>
              </w:rPr>
              <w:t>го</w:t>
            </w:r>
          </w:p>
        </w:tc>
        <w:tc>
          <w:tcPr>
            <w:tcW w:w="862" w:type="dxa"/>
            <w:vAlign w:val="bottom"/>
          </w:tcPr>
          <w:p w:rsidR="00000000" w:rsidRDefault="00000000">
            <w:pPr>
              <w:tabs>
                <w:tab w:val="decimal" w:pos="434"/>
              </w:tabs>
              <w:spacing w:line="170" w:lineRule="exact"/>
              <w:rPr>
                <w:sz w:val="17"/>
              </w:rPr>
            </w:pPr>
            <w:r>
              <w:rPr>
                <w:sz w:val="17"/>
              </w:rPr>
              <w:t>623,1</w:t>
            </w:r>
          </w:p>
        </w:tc>
        <w:tc>
          <w:tcPr>
            <w:tcW w:w="871" w:type="dxa"/>
            <w:vAlign w:val="bottom"/>
          </w:tcPr>
          <w:p w:rsidR="00000000" w:rsidRDefault="00000000">
            <w:pPr>
              <w:tabs>
                <w:tab w:val="decimal" w:pos="434"/>
              </w:tabs>
              <w:spacing w:line="170" w:lineRule="exact"/>
              <w:rPr>
                <w:sz w:val="17"/>
              </w:rPr>
            </w:pPr>
            <w:r>
              <w:rPr>
                <w:sz w:val="17"/>
              </w:rPr>
              <w:t>323,8</w:t>
            </w:r>
          </w:p>
        </w:tc>
        <w:tc>
          <w:tcPr>
            <w:tcW w:w="790" w:type="dxa"/>
            <w:vAlign w:val="bottom"/>
          </w:tcPr>
          <w:p w:rsidR="00000000" w:rsidRDefault="00000000">
            <w:pPr>
              <w:tabs>
                <w:tab w:val="decimal" w:pos="434"/>
              </w:tabs>
              <w:spacing w:line="170" w:lineRule="exact"/>
              <w:rPr>
                <w:sz w:val="17"/>
              </w:rPr>
            </w:pPr>
            <w:r>
              <w:rPr>
                <w:sz w:val="17"/>
              </w:rPr>
              <w:t>52,0</w:t>
            </w:r>
          </w:p>
        </w:tc>
        <w:tc>
          <w:tcPr>
            <w:tcW w:w="862" w:type="dxa"/>
            <w:vAlign w:val="bottom"/>
          </w:tcPr>
          <w:p w:rsidR="00000000" w:rsidRDefault="00000000">
            <w:pPr>
              <w:tabs>
                <w:tab w:val="decimal" w:pos="434"/>
              </w:tabs>
              <w:spacing w:line="170" w:lineRule="exact"/>
              <w:rPr>
                <w:sz w:val="17"/>
              </w:rPr>
            </w:pPr>
            <w:r>
              <w:rPr>
                <w:sz w:val="17"/>
              </w:rPr>
              <w:t>637,7</w:t>
            </w:r>
          </w:p>
        </w:tc>
        <w:tc>
          <w:tcPr>
            <w:tcW w:w="871" w:type="dxa"/>
            <w:vAlign w:val="bottom"/>
          </w:tcPr>
          <w:p w:rsidR="00000000" w:rsidRDefault="00000000">
            <w:pPr>
              <w:tabs>
                <w:tab w:val="decimal" w:pos="434"/>
              </w:tabs>
              <w:spacing w:line="170" w:lineRule="exact"/>
              <w:rPr>
                <w:sz w:val="17"/>
              </w:rPr>
            </w:pPr>
            <w:r>
              <w:rPr>
                <w:sz w:val="17"/>
              </w:rPr>
              <w:t>337,8</w:t>
            </w:r>
          </w:p>
        </w:tc>
        <w:tc>
          <w:tcPr>
            <w:tcW w:w="790" w:type="dxa"/>
            <w:vAlign w:val="bottom"/>
          </w:tcPr>
          <w:p w:rsidR="00000000" w:rsidRDefault="00000000">
            <w:pPr>
              <w:tabs>
                <w:tab w:val="decimal" w:pos="434"/>
              </w:tabs>
              <w:spacing w:line="170" w:lineRule="exact"/>
              <w:rPr>
                <w:sz w:val="17"/>
              </w:rPr>
            </w:pPr>
            <w:r>
              <w:rPr>
                <w:sz w:val="17"/>
              </w:rPr>
              <w:t>53,0</w:t>
            </w:r>
          </w:p>
        </w:tc>
        <w:tc>
          <w:tcPr>
            <w:tcW w:w="862" w:type="dxa"/>
            <w:vAlign w:val="bottom"/>
          </w:tcPr>
          <w:p w:rsidR="00000000" w:rsidRDefault="00000000">
            <w:pPr>
              <w:tabs>
                <w:tab w:val="decimal" w:pos="434"/>
              </w:tabs>
              <w:spacing w:line="170" w:lineRule="exact"/>
              <w:rPr>
                <w:sz w:val="17"/>
              </w:rPr>
            </w:pPr>
            <w:r>
              <w:rPr>
                <w:sz w:val="17"/>
              </w:rPr>
              <w:t>653,2</w:t>
            </w:r>
          </w:p>
        </w:tc>
        <w:tc>
          <w:tcPr>
            <w:tcW w:w="871" w:type="dxa"/>
            <w:vAlign w:val="bottom"/>
          </w:tcPr>
          <w:p w:rsidR="00000000" w:rsidRDefault="00000000">
            <w:pPr>
              <w:tabs>
                <w:tab w:val="decimal" w:pos="434"/>
              </w:tabs>
              <w:spacing w:line="170" w:lineRule="exact"/>
              <w:rPr>
                <w:sz w:val="17"/>
              </w:rPr>
            </w:pPr>
            <w:r>
              <w:rPr>
                <w:sz w:val="17"/>
              </w:rPr>
              <w:t>346,8</w:t>
            </w:r>
          </w:p>
        </w:tc>
        <w:tc>
          <w:tcPr>
            <w:tcW w:w="790" w:type="dxa"/>
            <w:vAlign w:val="bottom"/>
          </w:tcPr>
          <w:p w:rsidR="00000000" w:rsidRDefault="00000000">
            <w:pPr>
              <w:tabs>
                <w:tab w:val="decimal" w:pos="434"/>
              </w:tabs>
              <w:spacing w:line="170" w:lineRule="exact"/>
              <w:rPr>
                <w:sz w:val="17"/>
              </w:rPr>
            </w:pPr>
            <w:r>
              <w:rPr>
                <w:sz w:val="17"/>
              </w:rPr>
              <w:t>53,1</w:t>
            </w:r>
          </w:p>
        </w:tc>
        <w:tc>
          <w:tcPr>
            <w:tcW w:w="862" w:type="dxa"/>
            <w:vAlign w:val="bottom"/>
          </w:tcPr>
          <w:p w:rsidR="00000000" w:rsidRDefault="00000000">
            <w:pPr>
              <w:tabs>
                <w:tab w:val="decimal" w:pos="434"/>
              </w:tabs>
              <w:spacing w:line="170" w:lineRule="exact"/>
              <w:rPr>
                <w:sz w:val="17"/>
              </w:rPr>
            </w:pPr>
            <w:r>
              <w:rPr>
                <w:sz w:val="17"/>
              </w:rPr>
              <w:t>675,8</w:t>
            </w:r>
          </w:p>
        </w:tc>
        <w:tc>
          <w:tcPr>
            <w:tcW w:w="871" w:type="dxa"/>
            <w:vAlign w:val="bottom"/>
          </w:tcPr>
          <w:p w:rsidR="00000000" w:rsidRDefault="00000000">
            <w:pPr>
              <w:tabs>
                <w:tab w:val="decimal" w:pos="434"/>
              </w:tabs>
              <w:spacing w:line="170" w:lineRule="exact"/>
              <w:rPr>
                <w:sz w:val="17"/>
              </w:rPr>
            </w:pPr>
            <w:r>
              <w:rPr>
                <w:sz w:val="17"/>
              </w:rPr>
              <w:t>372,7</w:t>
            </w:r>
          </w:p>
        </w:tc>
        <w:tc>
          <w:tcPr>
            <w:tcW w:w="790" w:type="dxa"/>
            <w:vAlign w:val="bottom"/>
          </w:tcPr>
          <w:p w:rsidR="00000000" w:rsidRDefault="00000000">
            <w:pPr>
              <w:tabs>
                <w:tab w:val="decimal" w:pos="434"/>
              </w:tabs>
              <w:spacing w:line="170" w:lineRule="exact"/>
              <w:rPr>
                <w:sz w:val="17"/>
              </w:rPr>
            </w:pPr>
            <w:r>
              <w:rPr>
                <w:sz w:val="17"/>
              </w:rPr>
              <w:t>55,1</w:t>
            </w:r>
          </w:p>
        </w:tc>
      </w:tr>
      <w:tr w:rsidR="00000000">
        <w:tblPrEx>
          <w:tblCellMar>
            <w:top w:w="0" w:type="dxa"/>
            <w:bottom w:w="0" w:type="dxa"/>
          </w:tblCellMar>
        </w:tblPrEx>
        <w:trPr>
          <w:jc w:val="center"/>
        </w:trPr>
        <w:tc>
          <w:tcPr>
            <w:tcW w:w="2324" w:type="dxa"/>
          </w:tcPr>
          <w:p w:rsidR="00000000" w:rsidRDefault="00000000">
            <w:pPr>
              <w:spacing w:line="170" w:lineRule="exact"/>
              <w:rPr>
                <w:b/>
                <w:sz w:val="17"/>
              </w:rPr>
            </w:pPr>
            <w:r>
              <w:rPr>
                <w:b/>
                <w:sz w:val="17"/>
              </w:rPr>
              <w:t>Художественные, муз</w:t>
            </w:r>
            <w:r>
              <w:rPr>
                <w:b/>
                <w:sz w:val="17"/>
              </w:rPr>
              <w:t>ы</w:t>
            </w:r>
            <w:r>
              <w:rPr>
                <w:b/>
                <w:sz w:val="17"/>
              </w:rPr>
              <w:t>кальные высшие уче</w:t>
            </w:r>
            <w:r>
              <w:rPr>
                <w:b/>
                <w:sz w:val="17"/>
              </w:rPr>
              <w:t>б</w:t>
            </w:r>
            <w:r>
              <w:rPr>
                <w:b/>
                <w:sz w:val="17"/>
              </w:rPr>
              <w:t>ные заведения, вс</w:t>
            </w:r>
            <w:r>
              <w:rPr>
                <w:b/>
                <w:sz w:val="17"/>
              </w:rPr>
              <w:t>е</w:t>
            </w:r>
            <w:r>
              <w:rPr>
                <w:b/>
                <w:sz w:val="17"/>
              </w:rPr>
              <w:t>го</w:t>
            </w:r>
          </w:p>
        </w:tc>
        <w:tc>
          <w:tcPr>
            <w:tcW w:w="862" w:type="dxa"/>
            <w:vAlign w:val="bottom"/>
          </w:tcPr>
          <w:p w:rsidR="00000000" w:rsidRDefault="00000000">
            <w:pPr>
              <w:tabs>
                <w:tab w:val="decimal" w:pos="434"/>
              </w:tabs>
              <w:spacing w:line="170" w:lineRule="exact"/>
              <w:rPr>
                <w:b/>
                <w:sz w:val="17"/>
              </w:rPr>
            </w:pPr>
            <w:r>
              <w:rPr>
                <w:b/>
                <w:sz w:val="17"/>
              </w:rPr>
              <w:t>1 769,0</w:t>
            </w:r>
          </w:p>
        </w:tc>
        <w:tc>
          <w:tcPr>
            <w:tcW w:w="871" w:type="dxa"/>
            <w:vAlign w:val="bottom"/>
          </w:tcPr>
          <w:p w:rsidR="00000000" w:rsidRDefault="00000000">
            <w:pPr>
              <w:tabs>
                <w:tab w:val="decimal" w:pos="434"/>
              </w:tabs>
              <w:spacing w:line="170" w:lineRule="exact"/>
              <w:rPr>
                <w:b/>
                <w:sz w:val="17"/>
              </w:rPr>
            </w:pPr>
            <w:r>
              <w:rPr>
                <w:b/>
                <w:sz w:val="17"/>
              </w:rPr>
              <w:t>723,9</w:t>
            </w:r>
          </w:p>
        </w:tc>
        <w:tc>
          <w:tcPr>
            <w:tcW w:w="790" w:type="dxa"/>
            <w:vAlign w:val="bottom"/>
          </w:tcPr>
          <w:p w:rsidR="00000000" w:rsidRDefault="00000000">
            <w:pPr>
              <w:tabs>
                <w:tab w:val="decimal" w:pos="434"/>
              </w:tabs>
              <w:spacing w:line="170" w:lineRule="exact"/>
              <w:rPr>
                <w:b/>
                <w:sz w:val="17"/>
              </w:rPr>
            </w:pPr>
            <w:r>
              <w:rPr>
                <w:b/>
                <w:sz w:val="17"/>
              </w:rPr>
              <w:t>40,9</w:t>
            </w:r>
          </w:p>
        </w:tc>
        <w:tc>
          <w:tcPr>
            <w:tcW w:w="862" w:type="dxa"/>
            <w:vAlign w:val="bottom"/>
          </w:tcPr>
          <w:p w:rsidR="00000000" w:rsidRDefault="00000000">
            <w:pPr>
              <w:tabs>
                <w:tab w:val="decimal" w:pos="434"/>
              </w:tabs>
              <w:spacing w:line="170" w:lineRule="exact"/>
              <w:rPr>
                <w:b/>
                <w:sz w:val="17"/>
              </w:rPr>
            </w:pPr>
            <w:r>
              <w:rPr>
                <w:b/>
                <w:sz w:val="17"/>
              </w:rPr>
              <w:t>1 789,9</w:t>
            </w:r>
          </w:p>
        </w:tc>
        <w:tc>
          <w:tcPr>
            <w:tcW w:w="871" w:type="dxa"/>
            <w:vAlign w:val="bottom"/>
          </w:tcPr>
          <w:p w:rsidR="00000000" w:rsidRDefault="00000000">
            <w:pPr>
              <w:tabs>
                <w:tab w:val="decimal" w:pos="434"/>
              </w:tabs>
              <w:spacing w:line="170" w:lineRule="exact"/>
              <w:rPr>
                <w:b/>
                <w:sz w:val="17"/>
              </w:rPr>
            </w:pPr>
            <w:r>
              <w:rPr>
                <w:b/>
                <w:sz w:val="17"/>
              </w:rPr>
              <w:t>742,5</w:t>
            </w:r>
          </w:p>
        </w:tc>
        <w:tc>
          <w:tcPr>
            <w:tcW w:w="790" w:type="dxa"/>
            <w:vAlign w:val="bottom"/>
          </w:tcPr>
          <w:p w:rsidR="00000000" w:rsidRDefault="00000000">
            <w:pPr>
              <w:tabs>
                <w:tab w:val="decimal" w:pos="434"/>
              </w:tabs>
              <w:spacing w:line="170" w:lineRule="exact"/>
              <w:rPr>
                <w:b/>
                <w:sz w:val="17"/>
              </w:rPr>
            </w:pPr>
            <w:r>
              <w:rPr>
                <w:b/>
                <w:sz w:val="17"/>
              </w:rPr>
              <w:t>41,5</w:t>
            </w:r>
          </w:p>
        </w:tc>
        <w:tc>
          <w:tcPr>
            <w:tcW w:w="862" w:type="dxa"/>
            <w:vAlign w:val="bottom"/>
          </w:tcPr>
          <w:p w:rsidR="00000000" w:rsidRDefault="00000000">
            <w:pPr>
              <w:tabs>
                <w:tab w:val="decimal" w:pos="434"/>
              </w:tabs>
              <w:spacing w:line="170" w:lineRule="exact"/>
              <w:rPr>
                <w:b/>
                <w:sz w:val="17"/>
              </w:rPr>
            </w:pPr>
            <w:r>
              <w:rPr>
                <w:b/>
                <w:sz w:val="17"/>
              </w:rPr>
              <w:t>1 814,2</w:t>
            </w:r>
          </w:p>
        </w:tc>
        <w:tc>
          <w:tcPr>
            <w:tcW w:w="871" w:type="dxa"/>
            <w:vAlign w:val="bottom"/>
          </w:tcPr>
          <w:p w:rsidR="00000000" w:rsidRDefault="00000000">
            <w:pPr>
              <w:tabs>
                <w:tab w:val="decimal" w:pos="434"/>
              </w:tabs>
              <w:spacing w:line="170" w:lineRule="exact"/>
              <w:rPr>
                <w:b/>
                <w:sz w:val="17"/>
              </w:rPr>
            </w:pPr>
            <w:r>
              <w:rPr>
                <w:b/>
                <w:sz w:val="17"/>
              </w:rPr>
              <w:t>759,9</w:t>
            </w:r>
          </w:p>
        </w:tc>
        <w:tc>
          <w:tcPr>
            <w:tcW w:w="790" w:type="dxa"/>
            <w:vAlign w:val="bottom"/>
          </w:tcPr>
          <w:p w:rsidR="00000000" w:rsidRDefault="00000000">
            <w:pPr>
              <w:tabs>
                <w:tab w:val="decimal" w:pos="434"/>
              </w:tabs>
              <w:spacing w:line="170" w:lineRule="exact"/>
              <w:rPr>
                <w:b/>
                <w:sz w:val="17"/>
              </w:rPr>
            </w:pPr>
            <w:r>
              <w:rPr>
                <w:b/>
                <w:sz w:val="17"/>
              </w:rPr>
              <w:t>41,9</w:t>
            </w:r>
          </w:p>
        </w:tc>
        <w:tc>
          <w:tcPr>
            <w:tcW w:w="862" w:type="dxa"/>
            <w:vAlign w:val="bottom"/>
          </w:tcPr>
          <w:p w:rsidR="00000000" w:rsidRDefault="00000000">
            <w:pPr>
              <w:tabs>
                <w:tab w:val="decimal" w:pos="434"/>
              </w:tabs>
              <w:spacing w:line="170" w:lineRule="exact"/>
              <w:rPr>
                <w:b/>
                <w:sz w:val="17"/>
              </w:rPr>
            </w:pPr>
            <w:r>
              <w:rPr>
                <w:b/>
                <w:sz w:val="17"/>
              </w:rPr>
              <w:t>1 882,4</w:t>
            </w:r>
          </w:p>
        </w:tc>
        <w:tc>
          <w:tcPr>
            <w:tcW w:w="871" w:type="dxa"/>
            <w:vAlign w:val="bottom"/>
          </w:tcPr>
          <w:p w:rsidR="00000000" w:rsidRDefault="00000000">
            <w:pPr>
              <w:tabs>
                <w:tab w:val="decimal" w:pos="434"/>
              </w:tabs>
              <w:spacing w:line="170" w:lineRule="exact"/>
              <w:rPr>
                <w:b/>
                <w:sz w:val="17"/>
              </w:rPr>
            </w:pPr>
            <w:r>
              <w:rPr>
                <w:b/>
                <w:sz w:val="17"/>
              </w:rPr>
              <w:t>804,7</w:t>
            </w:r>
          </w:p>
        </w:tc>
        <w:tc>
          <w:tcPr>
            <w:tcW w:w="790" w:type="dxa"/>
            <w:vAlign w:val="bottom"/>
          </w:tcPr>
          <w:p w:rsidR="00000000" w:rsidRDefault="00000000">
            <w:pPr>
              <w:tabs>
                <w:tab w:val="decimal" w:pos="434"/>
              </w:tabs>
              <w:spacing w:line="170" w:lineRule="exact"/>
              <w:rPr>
                <w:b/>
                <w:sz w:val="17"/>
              </w:rPr>
            </w:pPr>
            <w:r>
              <w:rPr>
                <w:b/>
                <w:sz w:val="17"/>
              </w:rPr>
              <w:t>42,7</w:t>
            </w:r>
          </w:p>
        </w:tc>
      </w:tr>
      <w:tr w:rsidR="00000000">
        <w:tblPrEx>
          <w:tblCellMar>
            <w:top w:w="0" w:type="dxa"/>
            <w:bottom w:w="0" w:type="dxa"/>
          </w:tblCellMar>
        </w:tblPrEx>
        <w:trPr>
          <w:jc w:val="center"/>
        </w:trPr>
        <w:tc>
          <w:tcPr>
            <w:tcW w:w="2324" w:type="dxa"/>
            <w:tcBorders>
              <w:bottom w:val="single" w:sz="12" w:space="0" w:color="auto"/>
            </w:tcBorders>
          </w:tcPr>
          <w:p w:rsidR="00000000" w:rsidRDefault="00000000">
            <w:pPr>
              <w:spacing w:line="170" w:lineRule="exact"/>
              <w:rPr>
                <w:b/>
                <w:sz w:val="17"/>
              </w:rPr>
            </w:pPr>
            <w:r>
              <w:rPr>
                <w:b/>
                <w:sz w:val="17"/>
              </w:rPr>
              <w:t>Всего</w:t>
            </w:r>
          </w:p>
        </w:tc>
        <w:tc>
          <w:tcPr>
            <w:tcW w:w="862" w:type="dxa"/>
            <w:tcBorders>
              <w:bottom w:val="single" w:sz="12" w:space="0" w:color="auto"/>
            </w:tcBorders>
            <w:vAlign w:val="bottom"/>
          </w:tcPr>
          <w:p w:rsidR="00000000" w:rsidRDefault="00000000">
            <w:pPr>
              <w:tabs>
                <w:tab w:val="decimal" w:pos="434"/>
              </w:tabs>
              <w:spacing w:line="170" w:lineRule="exact"/>
              <w:rPr>
                <w:b/>
                <w:sz w:val="17"/>
              </w:rPr>
            </w:pPr>
            <w:r>
              <w:rPr>
                <w:b/>
                <w:sz w:val="17"/>
              </w:rPr>
              <w:t>18 784,1</w:t>
            </w:r>
          </w:p>
        </w:tc>
        <w:tc>
          <w:tcPr>
            <w:tcW w:w="871" w:type="dxa"/>
            <w:tcBorders>
              <w:bottom w:val="single" w:sz="12" w:space="0" w:color="auto"/>
            </w:tcBorders>
            <w:vAlign w:val="bottom"/>
          </w:tcPr>
          <w:p w:rsidR="00000000" w:rsidRDefault="00000000">
            <w:pPr>
              <w:tabs>
                <w:tab w:val="decimal" w:pos="434"/>
              </w:tabs>
              <w:spacing w:line="170" w:lineRule="exact"/>
              <w:rPr>
                <w:b/>
                <w:sz w:val="17"/>
              </w:rPr>
            </w:pPr>
            <w:r>
              <w:rPr>
                <w:b/>
                <w:sz w:val="17"/>
              </w:rPr>
              <w:t>7537,3</w:t>
            </w:r>
          </w:p>
        </w:tc>
        <w:tc>
          <w:tcPr>
            <w:tcW w:w="790" w:type="dxa"/>
            <w:tcBorders>
              <w:bottom w:val="single" w:sz="12" w:space="0" w:color="auto"/>
            </w:tcBorders>
            <w:vAlign w:val="bottom"/>
          </w:tcPr>
          <w:p w:rsidR="00000000" w:rsidRDefault="00000000">
            <w:pPr>
              <w:tabs>
                <w:tab w:val="decimal" w:pos="434"/>
              </w:tabs>
              <w:spacing w:line="170" w:lineRule="exact"/>
              <w:rPr>
                <w:b/>
                <w:sz w:val="17"/>
              </w:rPr>
            </w:pPr>
            <w:r>
              <w:rPr>
                <w:b/>
                <w:sz w:val="17"/>
              </w:rPr>
              <w:t>40,1</w:t>
            </w:r>
          </w:p>
        </w:tc>
        <w:tc>
          <w:tcPr>
            <w:tcW w:w="862" w:type="dxa"/>
            <w:tcBorders>
              <w:bottom w:val="single" w:sz="12" w:space="0" w:color="auto"/>
            </w:tcBorders>
            <w:vAlign w:val="bottom"/>
          </w:tcPr>
          <w:p w:rsidR="00000000" w:rsidRDefault="00000000">
            <w:pPr>
              <w:tabs>
                <w:tab w:val="decimal" w:pos="434"/>
              </w:tabs>
              <w:spacing w:line="170" w:lineRule="exact"/>
              <w:rPr>
                <w:b/>
                <w:sz w:val="17"/>
              </w:rPr>
            </w:pPr>
            <w:r>
              <w:rPr>
                <w:b/>
                <w:sz w:val="17"/>
              </w:rPr>
              <w:t>18 893,3</w:t>
            </w:r>
          </w:p>
        </w:tc>
        <w:tc>
          <w:tcPr>
            <w:tcW w:w="871" w:type="dxa"/>
            <w:tcBorders>
              <w:bottom w:val="single" w:sz="12" w:space="0" w:color="auto"/>
            </w:tcBorders>
            <w:vAlign w:val="bottom"/>
          </w:tcPr>
          <w:p w:rsidR="00000000" w:rsidRDefault="00000000">
            <w:pPr>
              <w:tabs>
                <w:tab w:val="decimal" w:pos="434"/>
              </w:tabs>
              <w:spacing w:line="170" w:lineRule="exact"/>
              <w:rPr>
                <w:b/>
                <w:sz w:val="17"/>
              </w:rPr>
            </w:pPr>
            <w:r>
              <w:rPr>
                <w:b/>
                <w:sz w:val="17"/>
              </w:rPr>
              <w:t>7 684,1</w:t>
            </w:r>
          </w:p>
        </w:tc>
        <w:tc>
          <w:tcPr>
            <w:tcW w:w="790" w:type="dxa"/>
            <w:tcBorders>
              <w:bottom w:val="single" w:sz="12" w:space="0" w:color="auto"/>
            </w:tcBorders>
            <w:vAlign w:val="bottom"/>
          </w:tcPr>
          <w:p w:rsidR="00000000" w:rsidRDefault="00000000">
            <w:pPr>
              <w:tabs>
                <w:tab w:val="decimal" w:pos="434"/>
              </w:tabs>
              <w:spacing w:line="170" w:lineRule="exact"/>
              <w:rPr>
                <w:b/>
                <w:sz w:val="17"/>
              </w:rPr>
            </w:pPr>
            <w:r>
              <w:rPr>
                <w:b/>
                <w:sz w:val="17"/>
              </w:rPr>
              <w:t>40,7</w:t>
            </w:r>
          </w:p>
        </w:tc>
        <w:tc>
          <w:tcPr>
            <w:tcW w:w="862" w:type="dxa"/>
            <w:tcBorders>
              <w:bottom w:val="single" w:sz="12" w:space="0" w:color="auto"/>
            </w:tcBorders>
            <w:vAlign w:val="bottom"/>
          </w:tcPr>
          <w:p w:rsidR="00000000" w:rsidRDefault="00000000">
            <w:pPr>
              <w:tabs>
                <w:tab w:val="decimal" w:pos="434"/>
              </w:tabs>
              <w:spacing w:line="170" w:lineRule="exact"/>
              <w:rPr>
                <w:b/>
                <w:sz w:val="17"/>
              </w:rPr>
            </w:pPr>
            <w:r>
              <w:rPr>
                <w:b/>
                <w:sz w:val="17"/>
              </w:rPr>
              <w:t>19 044,1</w:t>
            </w:r>
          </w:p>
        </w:tc>
        <w:tc>
          <w:tcPr>
            <w:tcW w:w="871" w:type="dxa"/>
            <w:tcBorders>
              <w:bottom w:val="single" w:sz="12" w:space="0" w:color="auto"/>
            </w:tcBorders>
            <w:vAlign w:val="bottom"/>
          </w:tcPr>
          <w:p w:rsidR="00000000" w:rsidRDefault="00000000">
            <w:pPr>
              <w:tabs>
                <w:tab w:val="decimal" w:pos="434"/>
              </w:tabs>
              <w:spacing w:line="170" w:lineRule="exact"/>
              <w:rPr>
                <w:b/>
                <w:sz w:val="17"/>
              </w:rPr>
            </w:pPr>
            <w:r>
              <w:rPr>
                <w:b/>
                <w:sz w:val="17"/>
              </w:rPr>
              <w:t>7 807,6</w:t>
            </w:r>
          </w:p>
        </w:tc>
        <w:tc>
          <w:tcPr>
            <w:tcW w:w="790" w:type="dxa"/>
            <w:tcBorders>
              <w:bottom w:val="single" w:sz="12" w:space="0" w:color="auto"/>
            </w:tcBorders>
            <w:vAlign w:val="bottom"/>
          </w:tcPr>
          <w:p w:rsidR="00000000" w:rsidRDefault="00000000">
            <w:pPr>
              <w:tabs>
                <w:tab w:val="decimal" w:pos="434"/>
              </w:tabs>
              <w:spacing w:line="170" w:lineRule="exact"/>
              <w:rPr>
                <w:b/>
                <w:sz w:val="17"/>
              </w:rPr>
            </w:pPr>
            <w:r>
              <w:rPr>
                <w:b/>
                <w:sz w:val="17"/>
              </w:rPr>
              <w:t>41,0</w:t>
            </w:r>
          </w:p>
        </w:tc>
        <w:tc>
          <w:tcPr>
            <w:tcW w:w="862" w:type="dxa"/>
            <w:tcBorders>
              <w:bottom w:val="single" w:sz="12" w:space="0" w:color="auto"/>
            </w:tcBorders>
            <w:vAlign w:val="bottom"/>
          </w:tcPr>
          <w:p w:rsidR="00000000" w:rsidRDefault="00000000">
            <w:pPr>
              <w:tabs>
                <w:tab w:val="decimal" w:pos="434"/>
              </w:tabs>
              <w:spacing w:line="170" w:lineRule="exact"/>
              <w:rPr>
                <w:b/>
                <w:sz w:val="17"/>
              </w:rPr>
            </w:pPr>
            <w:r>
              <w:rPr>
                <w:b/>
                <w:sz w:val="17"/>
              </w:rPr>
              <w:t>19 591,3</w:t>
            </w:r>
          </w:p>
        </w:tc>
        <w:tc>
          <w:tcPr>
            <w:tcW w:w="871" w:type="dxa"/>
            <w:tcBorders>
              <w:bottom w:val="single" w:sz="12" w:space="0" w:color="auto"/>
            </w:tcBorders>
            <w:vAlign w:val="bottom"/>
          </w:tcPr>
          <w:p w:rsidR="00000000" w:rsidRDefault="00000000">
            <w:pPr>
              <w:tabs>
                <w:tab w:val="decimal" w:pos="434"/>
              </w:tabs>
              <w:spacing w:line="170" w:lineRule="exact"/>
              <w:rPr>
                <w:b/>
                <w:sz w:val="17"/>
              </w:rPr>
            </w:pPr>
            <w:r>
              <w:rPr>
                <w:b/>
                <w:sz w:val="17"/>
              </w:rPr>
              <w:t>8 099,5</w:t>
            </w:r>
          </w:p>
        </w:tc>
        <w:tc>
          <w:tcPr>
            <w:tcW w:w="790" w:type="dxa"/>
            <w:tcBorders>
              <w:bottom w:val="single" w:sz="12" w:space="0" w:color="auto"/>
            </w:tcBorders>
            <w:vAlign w:val="bottom"/>
          </w:tcPr>
          <w:p w:rsidR="00000000" w:rsidRDefault="00000000">
            <w:pPr>
              <w:tabs>
                <w:tab w:val="decimal" w:pos="434"/>
              </w:tabs>
              <w:spacing w:line="170" w:lineRule="exact"/>
              <w:rPr>
                <w:b/>
                <w:sz w:val="17"/>
              </w:rPr>
            </w:pPr>
            <w:r>
              <w:rPr>
                <w:b/>
                <w:sz w:val="17"/>
              </w:rPr>
              <w:t>41,3</w:t>
            </w:r>
          </w:p>
        </w:tc>
      </w:tr>
    </w:tbl>
    <w:p w:rsidR="00000000" w:rsidRDefault="00000000">
      <w:pPr>
        <w:pStyle w:val="50"/>
      </w:pPr>
    </w:p>
    <w:p w:rsidR="00000000" w:rsidRDefault="00000000">
      <w:pPr>
        <w:ind w:left="284" w:hanging="284"/>
        <w:rPr>
          <w:sz w:val="17"/>
        </w:rPr>
      </w:pPr>
      <w:r>
        <w:rPr>
          <w:sz w:val="17"/>
          <w:vertAlign w:val="superscript"/>
        </w:rPr>
        <w:t>1</w:t>
      </w:r>
      <w:r>
        <w:rPr>
          <w:sz w:val="17"/>
        </w:rPr>
        <w:tab/>
        <w:t>Численность персонала показана с помощью числа занятых должностей по состоянию на 1 января.</w:t>
      </w:r>
    </w:p>
    <w:p w:rsidR="00000000" w:rsidRDefault="00000000">
      <w:pPr>
        <w:rPr>
          <w:sz w:val="17"/>
          <w:lang w:val="en-US"/>
        </w:rPr>
      </w:pPr>
      <w:r>
        <w:rPr>
          <w:i/>
          <w:sz w:val="17"/>
        </w:rPr>
        <w:t>Источник</w:t>
      </w:r>
      <w:r>
        <w:rPr>
          <w:sz w:val="17"/>
          <w:lang w:val="en-US"/>
        </w:rPr>
        <w:t xml:space="preserve">: </w:t>
      </w:r>
      <w:r>
        <w:rPr>
          <w:sz w:val="17"/>
          <w:lang w:val="fr-LU"/>
        </w:rPr>
        <w:t>BMBWK, Personal-Datei</w:t>
      </w:r>
    </w:p>
    <w:p w:rsidR="00000000" w:rsidRDefault="00000000">
      <w:pPr>
        <w:pStyle w:val="SingleTxt"/>
        <w:pageBreakBefore/>
        <w:tabs>
          <w:tab w:val="clear" w:pos="1267"/>
        </w:tabs>
        <w:ind w:left="0" w:right="62"/>
        <w:jc w:val="left"/>
        <w:rPr>
          <w:b/>
        </w:rPr>
      </w:pPr>
      <w:r>
        <w:rPr>
          <w:b/>
        </w:rPr>
        <w:t>Динамика численности студентов в высших учебных заведениях, художественных и музыкальных высших учебных завед</w:t>
      </w:r>
      <w:r>
        <w:rPr>
          <w:b/>
        </w:rPr>
        <w:t>е</w:t>
      </w:r>
      <w:r>
        <w:rPr>
          <w:b/>
        </w:rPr>
        <w:t>ниях и в школах профессионального о</w:t>
      </w:r>
      <w:r>
        <w:rPr>
          <w:b/>
        </w:rPr>
        <w:t>б</w:t>
      </w:r>
      <w:r>
        <w:rPr>
          <w:b/>
        </w:rPr>
        <w:t>разования, зимние семестры 1998-2000 годов</w:t>
      </w:r>
      <w:r>
        <w:rPr>
          <w:b/>
          <w:vertAlign w:val="superscript"/>
        </w:rPr>
        <w:t>1</w:t>
      </w:r>
    </w:p>
    <w:tbl>
      <w:tblPr>
        <w:tblW w:w="0" w:type="auto"/>
        <w:jc w:val="center"/>
        <w:tblLayout w:type="fixed"/>
        <w:tblLook w:val="00BF" w:firstRow="1" w:lastRow="0" w:firstColumn="1" w:lastColumn="0" w:noHBand="0" w:noVBand="0"/>
      </w:tblPr>
      <w:tblGrid>
        <w:gridCol w:w="1191"/>
        <w:gridCol w:w="1094"/>
        <w:gridCol w:w="1095"/>
        <w:gridCol w:w="286"/>
        <w:gridCol w:w="810"/>
        <w:gridCol w:w="1150"/>
        <w:gridCol w:w="1150"/>
        <w:gridCol w:w="1095"/>
        <w:gridCol w:w="1150"/>
        <w:gridCol w:w="1098"/>
        <w:gridCol w:w="1150"/>
        <w:gridCol w:w="1147"/>
      </w:tblGrid>
      <w:tr w:rsidR="00000000">
        <w:tblPrEx>
          <w:tblCellMar>
            <w:top w:w="0" w:type="dxa"/>
            <w:bottom w:w="0" w:type="dxa"/>
          </w:tblCellMar>
        </w:tblPrEx>
        <w:trPr>
          <w:cantSplit/>
          <w:jc w:val="center"/>
        </w:trPr>
        <w:tc>
          <w:tcPr>
            <w:tcW w:w="1191" w:type="dxa"/>
            <w:vMerge w:val="restart"/>
            <w:tcBorders>
              <w:top w:val="single" w:sz="6" w:space="0" w:color="auto"/>
            </w:tcBorders>
            <w:vAlign w:val="bottom"/>
          </w:tcPr>
          <w:p w:rsidR="00000000" w:rsidRDefault="00000000">
            <w:pPr>
              <w:jc w:val="center"/>
              <w:rPr>
                <w:i/>
                <w:sz w:val="17"/>
              </w:rPr>
            </w:pPr>
            <w:r>
              <w:rPr>
                <w:i/>
                <w:sz w:val="17"/>
              </w:rPr>
              <w:t xml:space="preserve">Зимний </w:t>
            </w:r>
            <w:r>
              <w:rPr>
                <w:i/>
                <w:sz w:val="17"/>
              </w:rPr>
              <w:br/>
              <w:t>с</w:t>
            </w:r>
            <w:r>
              <w:rPr>
                <w:i/>
                <w:sz w:val="17"/>
              </w:rPr>
              <w:t>е</w:t>
            </w:r>
            <w:r>
              <w:rPr>
                <w:i/>
                <w:sz w:val="17"/>
              </w:rPr>
              <w:t>местр</w:t>
            </w:r>
          </w:p>
        </w:tc>
        <w:tc>
          <w:tcPr>
            <w:tcW w:w="5585" w:type="dxa"/>
            <w:gridSpan w:val="6"/>
            <w:tcBorders>
              <w:top w:val="single" w:sz="6" w:space="0" w:color="auto"/>
              <w:bottom w:val="single" w:sz="6" w:space="0" w:color="auto"/>
            </w:tcBorders>
            <w:vAlign w:val="bottom"/>
          </w:tcPr>
          <w:p w:rsidR="00000000" w:rsidRDefault="00000000">
            <w:pPr>
              <w:jc w:val="center"/>
              <w:rPr>
                <w:i/>
                <w:sz w:val="17"/>
              </w:rPr>
            </w:pPr>
            <w:r>
              <w:rPr>
                <w:i/>
                <w:sz w:val="17"/>
              </w:rPr>
              <w:t>Студенты в квалификационных программах</w:t>
            </w:r>
          </w:p>
        </w:tc>
        <w:tc>
          <w:tcPr>
            <w:tcW w:w="5640" w:type="dxa"/>
            <w:gridSpan w:val="5"/>
            <w:tcBorders>
              <w:top w:val="single" w:sz="6" w:space="0" w:color="auto"/>
              <w:bottom w:val="single" w:sz="6" w:space="0" w:color="auto"/>
            </w:tcBorders>
            <w:vAlign w:val="bottom"/>
          </w:tcPr>
          <w:p w:rsidR="00000000" w:rsidRDefault="00000000">
            <w:pPr>
              <w:jc w:val="center"/>
              <w:rPr>
                <w:i/>
                <w:sz w:val="17"/>
              </w:rPr>
            </w:pPr>
            <w:r>
              <w:rPr>
                <w:i/>
                <w:sz w:val="17"/>
              </w:rPr>
              <w:t>Новые учащиеся</w:t>
            </w:r>
          </w:p>
        </w:tc>
      </w:tr>
      <w:tr w:rsidR="00000000">
        <w:tblPrEx>
          <w:tblCellMar>
            <w:top w:w="0" w:type="dxa"/>
            <w:bottom w:w="0" w:type="dxa"/>
          </w:tblCellMar>
        </w:tblPrEx>
        <w:trPr>
          <w:cantSplit/>
          <w:jc w:val="center"/>
        </w:trPr>
        <w:tc>
          <w:tcPr>
            <w:tcW w:w="1191" w:type="dxa"/>
            <w:vMerge/>
            <w:vAlign w:val="bottom"/>
          </w:tcPr>
          <w:p w:rsidR="00000000" w:rsidRDefault="00000000">
            <w:pPr>
              <w:jc w:val="center"/>
              <w:rPr>
                <w:i/>
                <w:sz w:val="17"/>
              </w:rPr>
            </w:pPr>
          </w:p>
        </w:tc>
        <w:tc>
          <w:tcPr>
            <w:tcW w:w="2189" w:type="dxa"/>
            <w:gridSpan w:val="2"/>
            <w:tcBorders>
              <w:top w:val="single" w:sz="6" w:space="0" w:color="auto"/>
              <w:bottom w:val="single" w:sz="6" w:space="0" w:color="auto"/>
            </w:tcBorders>
            <w:vAlign w:val="bottom"/>
          </w:tcPr>
          <w:p w:rsidR="00000000" w:rsidRDefault="00000000">
            <w:pPr>
              <w:jc w:val="center"/>
              <w:rPr>
                <w:i/>
                <w:sz w:val="17"/>
              </w:rPr>
            </w:pPr>
            <w:r>
              <w:rPr>
                <w:i/>
                <w:sz w:val="17"/>
              </w:rPr>
              <w:t xml:space="preserve">Австрийские </w:t>
            </w:r>
            <w:r>
              <w:rPr>
                <w:i/>
                <w:sz w:val="17"/>
              </w:rPr>
              <w:br/>
              <w:t>и иностра</w:t>
            </w:r>
            <w:r>
              <w:rPr>
                <w:i/>
                <w:sz w:val="17"/>
              </w:rPr>
              <w:t>н</w:t>
            </w:r>
            <w:r>
              <w:rPr>
                <w:i/>
                <w:sz w:val="17"/>
              </w:rPr>
              <w:t>ные</w:t>
            </w:r>
          </w:p>
        </w:tc>
        <w:tc>
          <w:tcPr>
            <w:tcW w:w="3396" w:type="dxa"/>
            <w:gridSpan w:val="4"/>
            <w:tcBorders>
              <w:top w:val="single" w:sz="6" w:space="0" w:color="auto"/>
              <w:bottom w:val="single" w:sz="6" w:space="0" w:color="auto"/>
            </w:tcBorders>
            <w:vAlign w:val="bottom"/>
          </w:tcPr>
          <w:p w:rsidR="00000000" w:rsidRDefault="00000000">
            <w:pPr>
              <w:jc w:val="center"/>
              <w:rPr>
                <w:i/>
                <w:sz w:val="17"/>
              </w:rPr>
            </w:pPr>
            <w:r>
              <w:rPr>
                <w:i/>
                <w:sz w:val="17"/>
              </w:rPr>
              <w:t>из которых женщин</w:t>
            </w:r>
          </w:p>
        </w:tc>
        <w:tc>
          <w:tcPr>
            <w:tcW w:w="2245" w:type="dxa"/>
            <w:gridSpan w:val="2"/>
            <w:tcBorders>
              <w:top w:val="single" w:sz="6" w:space="0" w:color="auto"/>
              <w:bottom w:val="single" w:sz="6" w:space="0" w:color="auto"/>
            </w:tcBorders>
            <w:vAlign w:val="bottom"/>
          </w:tcPr>
          <w:p w:rsidR="00000000" w:rsidRDefault="00000000">
            <w:pPr>
              <w:jc w:val="center"/>
              <w:rPr>
                <w:i/>
                <w:sz w:val="17"/>
              </w:rPr>
            </w:pPr>
            <w:r>
              <w:rPr>
                <w:i/>
                <w:sz w:val="17"/>
              </w:rPr>
              <w:t xml:space="preserve">Австрийские </w:t>
            </w:r>
            <w:r>
              <w:rPr>
                <w:i/>
                <w:sz w:val="17"/>
              </w:rPr>
              <w:br/>
              <w:t>и иностра</w:t>
            </w:r>
            <w:r>
              <w:rPr>
                <w:i/>
                <w:sz w:val="17"/>
              </w:rPr>
              <w:t>н</w:t>
            </w:r>
            <w:r>
              <w:rPr>
                <w:i/>
                <w:sz w:val="17"/>
              </w:rPr>
              <w:t>ные</w:t>
            </w:r>
          </w:p>
        </w:tc>
        <w:tc>
          <w:tcPr>
            <w:tcW w:w="3395" w:type="dxa"/>
            <w:gridSpan w:val="3"/>
            <w:tcBorders>
              <w:top w:val="single" w:sz="6" w:space="0" w:color="auto"/>
              <w:bottom w:val="single" w:sz="6" w:space="0" w:color="auto"/>
            </w:tcBorders>
            <w:vAlign w:val="bottom"/>
          </w:tcPr>
          <w:p w:rsidR="00000000" w:rsidRDefault="00000000">
            <w:pPr>
              <w:jc w:val="center"/>
              <w:rPr>
                <w:i/>
                <w:sz w:val="17"/>
              </w:rPr>
            </w:pPr>
            <w:r>
              <w:rPr>
                <w:i/>
                <w:sz w:val="17"/>
              </w:rPr>
              <w:t>из которых женщин</w:t>
            </w:r>
          </w:p>
        </w:tc>
      </w:tr>
      <w:tr w:rsidR="00000000">
        <w:tblPrEx>
          <w:tblCellMar>
            <w:top w:w="0" w:type="dxa"/>
            <w:bottom w:w="0" w:type="dxa"/>
          </w:tblCellMar>
        </w:tblPrEx>
        <w:trPr>
          <w:cantSplit/>
          <w:jc w:val="center"/>
        </w:trPr>
        <w:tc>
          <w:tcPr>
            <w:tcW w:w="1191" w:type="dxa"/>
            <w:vMerge/>
            <w:tcBorders>
              <w:bottom w:val="single" w:sz="12" w:space="0" w:color="auto"/>
            </w:tcBorders>
            <w:vAlign w:val="bottom"/>
          </w:tcPr>
          <w:p w:rsidR="00000000" w:rsidRDefault="00000000">
            <w:pPr>
              <w:jc w:val="center"/>
              <w:rPr>
                <w:i/>
                <w:sz w:val="17"/>
              </w:rPr>
            </w:pPr>
          </w:p>
        </w:tc>
        <w:tc>
          <w:tcPr>
            <w:tcW w:w="1094" w:type="dxa"/>
            <w:tcBorders>
              <w:top w:val="single" w:sz="6" w:space="0" w:color="auto"/>
              <w:bottom w:val="single" w:sz="12" w:space="0" w:color="auto"/>
            </w:tcBorders>
            <w:vAlign w:val="bottom"/>
          </w:tcPr>
          <w:p w:rsidR="00000000" w:rsidRDefault="00000000">
            <w:pPr>
              <w:jc w:val="center"/>
              <w:rPr>
                <w:i/>
                <w:sz w:val="17"/>
              </w:rPr>
            </w:pPr>
            <w:r>
              <w:rPr>
                <w:i/>
                <w:sz w:val="17"/>
              </w:rPr>
              <w:t>Общая числе</w:t>
            </w:r>
            <w:r>
              <w:rPr>
                <w:i/>
                <w:sz w:val="17"/>
              </w:rPr>
              <w:t>н</w:t>
            </w:r>
            <w:r>
              <w:rPr>
                <w:i/>
                <w:sz w:val="17"/>
              </w:rPr>
              <w:t>ность</w:t>
            </w:r>
          </w:p>
        </w:tc>
        <w:tc>
          <w:tcPr>
            <w:tcW w:w="1095" w:type="dxa"/>
            <w:tcBorders>
              <w:top w:val="single" w:sz="6" w:space="0" w:color="auto"/>
              <w:bottom w:val="single" w:sz="12" w:space="0" w:color="auto"/>
            </w:tcBorders>
            <w:vAlign w:val="bottom"/>
          </w:tcPr>
          <w:p w:rsidR="00000000" w:rsidRDefault="00000000">
            <w:pPr>
              <w:jc w:val="center"/>
              <w:rPr>
                <w:i/>
                <w:sz w:val="17"/>
              </w:rPr>
            </w:pPr>
            <w:r>
              <w:rPr>
                <w:i/>
                <w:sz w:val="17"/>
              </w:rPr>
              <w:t>Изменение в %</w:t>
            </w:r>
            <w:r>
              <w:rPr>
                <w:i/>
                <w:sz w:val="17"/>
                <w:vertAlign w:val="superscript"/>
              </w:rPr>
              <w:t>2</w:t>
            </w:r>
          </w:p>
        </w:tc>
        <w:tc>
          <w:tcPr>
            <w:tcW w:w="1096" w:type="dxa"/>
            <w:gridSpan w:val="2"/>
            <w:tcBorders>
              <w:top w:val="single" w:sz="6" w:space="0" w:color="auto"/>
              <w:bottom w:val="single" w:sz="12" w:space="0" w:color="auto"/>
            </w:tcBorders>
            <w:vAlign w:val="bottom"/>
          </w:tcPr>
          <w:p w:rsidR="00000000" w:rsidRDefault="00000000">
            <w:pPr>
              <w:jc w:val="center"/>
              <w:rPr>
                <w:i/>
                <w:sz w:val="17"/>
              </w:rPr>
            </w:pPr>
            <w:r>
              <w:rPr>
                <w:i/>
                <w:sz w:val="17"/>
              </w:rPr>
              <w:t>Общая числе</w:t>
            </w:r>
            <w:r>
              <w:rPr>
                <w:i/>
                <w:sz w:val="17"/>
              </w:rPr>
              <w:t>н</w:t>
            </w:r>
            <w:r>
              <w:rPr>
                <w:i/>
                <w:sz w:val="17"/>
              </w:rPr>
              <w:t>ность</w:t>
            </w:r>
          </w:p>
        </w:tc>
        <w:tc>
          <w:tcPr>
            <w:tcW w:w="1150" w:type="dxa"/>
            <w:tcBorders>
              <w:top w:val="single" w:sz="6" w:space="0" w:color="auto"/>
              <w:bottom w:val="single" w:sz="12" w:space="0" w:color="auto"/>
            </w:tcBorders>
            <w:vAlign w:val="bottom"/>
          </w:tcPr>
          <w:p w:rsidR="00000000" w:rsidRDefault="00000000">
            <w:pPr>
              <w:jc w:val="center"/>
              <w:rPr>
                <w:i/>
                <w:sz w:val="17"/>
              </w:rPr>
            </w:pPr>
            <w:r>
              <w:rPr>
                <w:i/>
                <w:sz w:val="17"/>
              </w:rPr>
              <w:t>Изменение в %</w:t>
            </w:r>
          </w:p>
        </w:tc>
        <w:tc>
          <w:tcPr>
            <w:tcW w:w="1150" w:type="dxa"/>
            <w:tcBorders>
              <w:top w:val="single" w:sz="6" w:space="0" w:color="auto"/>
              <w:bottom w:val="single" w:sz="12" w:space="0" w:color="auto"/>
            </w:tcBorders>
            <w:vAlign w:val="bottom"/>
          </w:tcPr>
          <w:p w:rsidR="00000000" w:rsidRDefault="00000000">
            <w:pPr>
              <w:jc w:val="center"/>
              <w:rPr>
                <w:i/>
                <w:sz w:val="17"/>
              </w:rPr>
            </w:pPr>
            <w:r>
              <w:rPr>
                <w:i/>
                <w:sz w:val="17"/>
              </w:rPr>
              <w:t>% женщин</w:t>
            </w:r>
          </w:p>
        </w:tc>
        <w:tc>
          <w:tcPr>
            <w:tcW w:w="1095" w:type="dxa"/>
            <w:tcBorders>
              <w:top w:val="single" w:sz="6" w:space="0" w:color="auto"/>
              <w:bottom w:val="single" w:sz="12" w:space="0" w:color="auto"/>
            </w:tcBorders>
            <w:vAlign w:val="bottom"/>
          </w:tcPr>
          <w:p w:rsidR="00000000" w:rsidRDefault="00000000">
            <w:pPr>
              <w:jc w:val="center"/>
              <w:rPr>
                <w:i/>
                <w:sz w:val="17"/>
              </w:rPr>
            </w:pPr>
            <w:r>
              <w:rPr>
                <w:i/>
                <w:sz w:val="17"/>
              </w:rPr>
              <w:t>Общая числе</w:t>
            </w:r>
            <w:r>
              <w:rPr>
                <w:i/>
                <w:sz w:val="17"/>
              </w:rPr>
              <w:t>н</w:t>
            </w:r>
            <w:r>
              <w:rPr>
                <w:i/>
                <w:sz w:val="17"/>
              </w:rPr>
              <w:t>ность</w:t>
            </w:r>
          </w:p>
        </w:tc>
        <w:tc>
          <w:tcPr>
            <w:tcW w:w="1150" w:type="dxa"/>
            <w:tcBorders>
              <w:top w:val="single" w:sz="6" w:space="0" w:color="auto"/>
              <w:bottom w:val="single" w:sz="12" w:space="0" w:color="auto"/>
            </w:tcBorders>
            <w:vAlign w:val="bottom"/>
          </w:tcPr>
          <w:p w:rsidR="00000000" w:rsidRDefault="00000000">
            <w:pPr>
              <w:jc w:val="center"/>
              <w:rPr>
                <w:i/>
                <w:sz w:val="17"/>
              </w:rPr>
            </w:pPr>
            <w:r>
              <w:rPr>
                <w:i/>
                <w:sz w:val="17"/>
              </w:rPr>
              <w:t>Изменение в %</w:t>
            </w:r>
            <w:r>
              <w:rPr>
                <w:i/>
                <w:sz w:val="17"/>
                <w:vertAlign w:val="superscript"/>
              </w:rPr>
              <w:t>2</w:t>
            </w:r>
          </w:p>
        </w:tc>
        <w:tc>
          <w:tcPr>
            <w:tcW w:w="1098" w:type="dxa"/>
            <w:tcBorders>
              <w:top w:val="single" w:sz="6" w:space="0" w:color="auto"/>
              <w:bottom w:val="single" w:sz="12" w:space="0" w:color="auto"/>
            </w:tcBorders>
            <w:vAlign w:val="bottom"/>
          </w:tcPr>
          <w:p w:rsidR="00000000" w:rsidRDefault="00000000">
            <w:pPr>
              <w:jc w:val="center"/>
              <w:rPr>
                <w:i/>
                <w:sz w:val="17"/>
              </w:rPr>
            </w:pPr>
            <w:r>
              <w:rPr>
                <w:i/>
                <w:sz w:val="17"/>
              </w:rPr>
              <w:t>Общая числе</w:t>
            </w:r>
            <w:r>
              <w:rPr>
                <w:i/>
                <w:sz w:val="17"/>
              </w:rPr>
              <w:t>н</w:t>
            </w:r>
            <w:r>
              <w:rPr>
                <w:i/>
                <w:sz w:val="17"/>
              </w:rPr>
              <w:t>ность</w:t>
            </w:r>
          </w:p>
        </w:tc>
        <w:tc>
          <w:tcPr>
            <w:tcW w:w="1150" w:type="dxa"/>
            <w:tcBorders>
              <w:top w:val="single" w:sz="6" w:space="0" w:color="auto"/>
              <w:bottom w:val="single" w:sz="12" w:space="0" w:color="auto"/>
            </w:tcBorders>
            <w:vAlign w:val="bottom"/>
          </w:tcPr>
          <w:p w:rsidR="00000000" w:rsidRDefault="00000000">
            <w:pPr>
              <w:jc w:val="center"/>
              <w:rPr>
                <w:i/>
                <w:sz w:val="17"/>
              </w:rPr>
            </w:pPr>
            <w:r>
              <w:rPr>
                <w:i/>
                <w:sz w:val="17"/>
              </w:rPr>
              <w:t>Изменение в %</w:t>
            </w:r>
          </w:p>
        </w:tc>
        <w:tc>
          <w:tcPr>
            <w:tcW w:w="1147" w:type="dxa"/>
            <w:tcBorders>
              <w:top w:val="single" w:sz="6" w:space="0" w:color="auto"/>
              <w:bottom w:val="single" w:sz="12" w:space="0" w:color="auto"/>
            </w:tcBorders>
            <w:vAlign w:val="bottom"/>
          </w:tcPr>
          <w:p w:rsidR="00000000" w:rsidRDefault="00000000">
            <w:pPr>
              <w:jc w:val="center"/>
              <w:rPr>
                <w:i/>
                <w:sz w:val="17"/>
              </w:rPr>
            </w:pPr>
            <w:r>
              <w:rPr>
                <w:i/>
                <w:sz w:val="17"/>
              </w:rPr>
              <w:t>% женщин</w:t>
            </w:r>
          </w:p>
        </w:tc>
      </w:tr>
      <w:tr w:rsidR="00000000">
        <w:tblPrEx>
          <w:tblCellMar>
            <w:top w:w="0" w:type="dxa"/>
            <w:bottom w:w="0" w:type="dxa"/>
          </w:tblCellMar>
        </w:tblPrEx>
        <w:trPr>
          <w:cantSplit/>
          <w:jc w:val="center"/>
        </w:trPr>
        <w:tc>
          <w:tcPr>
            <w:tcW w:w="3380" w:type="dxa"/>
            <w:gridSpan w:val="3"/>
            <w:tcBorders>
              <w:top w:val="single" w:sz="12" w:space="0" w:color="auto"/>
            </w:tcBorders>
          </w:tcPr>
          <w:p w:rsidR="00000000" w:rsidRDefault="00000000">
            <w:pPr>
              <w:pStyle w:val="Header"/>
              <w:tabs>
                <w:tab w:val="clear" w:pos="4320"/>
                <w:tab w:val="clear" w:pos="8640"/>
              </w:tabs>
              <w:spacing w:line="200" w:lineRule="exact"/>
              <w:rPr>
                <w:noProof w:val="0"/>
                <w:spacing w:val="4"/>
                <w:w w:val="103"/>
                <w:kern w:val="14"/>
              </w:rPr>
            </w:pPr>
            <w:r>
              <w:rPr>
                <w:noProof w:val="0"/>
                <w:spacing w:val="4"/>
                <w:w w:val="103"/>
                <w:kern w:val="14"/>
              </w:rPr>
              <w:t>Высшие учебные з</w:t>
            </w:r>
            <w:r>
              <w:rPr>
                <w:noProof w:val="0"/>
                <w:spacing w:val="4"/>
                <w:w w:val="103"/>
                <w:kern w:val="14"/>
              </w:rPr>
              <w:t>а</w:t>
            </w:r>
            <w:r>
              <w:rPr>
                <w:noProof w:val="0"/>
                <w:spacing w:val="4"/>
                <w:w w:val="103"/>
                <w:kern w:val="14"/>
              </w:rPr>
              <w:t>ведения</w:t>
            </w:r>
          </w:p>
        </w:tc>
        <w:tc>
          <w:tcPr>
            <w:tcW w:w="1096" w:type="dxa"/>
            <w:gridSpan w:val="2"/>
            <w:tcBorders>
              <w:top w:val="single" w:sz="12" w:space="0" w:color="auto"/>
            </w:tcBorders>
            <w:vAlign w:val="center"/>
          </w:tcPr>
          <w:p w:rsidR="00000000" w:rsidRDefault="00000000">
            <w:pPr>
              <w:jc w:val="right"/>
              <w:rPr>
                <w:sz w:val="17"/>
              </w:rPr>
            </w:pPr>
          </w:p>
        </w:tc>
        <w:tc>
          <w:tcPr>
            <w:tcW w:w="1150" w:type="dxa"/>
            <w:tcBorders>
              <w:top w:val="single" w:sz="12" w:space="0" w:color="auto"/>
            </w:tcBorders>
            <w:vAlign w:val="center"/>
          </w:tcPr>
          <w:p w:rsidR="00000000" w:rsidRDefault="00000000">
            <w:pPr>
              <w:jc w:val="right"/>
              <w:rPr>
                <w:sz w:val="17"/>
              </w:rPr>
            </w:pPr>
          </w:p>
        </w:tc>
        <w:tc>
          <w:tcPr>
            <w:tcW w:w="1150" w:type="dxa"/>
            <w:tcBorders>
              <w:top w:val="single" w:sz="12" w:space="0" w:color="auto"/>
            </w:tcBorders>
            <w:vAlign w:val="center"/>
          </w:tcPr>
          <w:p w:rsidR="00000000" w:rsidRDefault="00000000">
            <w:pPr>
              <w:jc w:val="right"/>
              <w:rPr>
                <w:sz w:val="17"/>
              </w:rPr>
            </w:pPr>
          </w:p>
        </w:tc>
        <w:tc>
          <w:tcPr>
            <w:tcW w:w="1095" w:type="dxa"/>
            <w:tcBorders>
              <w:top w:val="single" w:sz="12" w:space="0" w:color="auto"/>
            </w:tcBorders>
            <w:vAlign w:val="center"/>
          </w:tcPr>
          <w:p w:rsidR="00000000" w:rsidRDefault="00000000">
            <w:pPr>
              <w:jc w:val="right"/>
              <w:rPr>
                <w:sz w:val="17"/>
              </w:rPr>
            </w:pPr>
          </w:p>
        </w:tc>
        <w:tc>
          <w:tcPr>
            <w:tcW w:w="1150" w:type="dxa"/>
            <w:tcBorders>
              <w:top w:val="single" w:sz="12" w:space="0" w:color="auto"/>
            </w:tcBorders>
            <w:vAlign w:val="center"/>
          </w:tcPr>
          <w:p w:rsidR="00000000" w:rsidRDefault="00000000">
            <w:pPr>
              <w:jc w:val="right"/>
              <w:rPr>
                <w:sz w:val="17"/>
              </w:rPr>
            </w:pPr>
          </w:p>
        </w:tc>
        <w:tc>
          <w:tcPr>
            <w:tcW w:w="1098" w:type="dxa"/>
            <w:tcBorders>
              <w:top w:val="single" w:sz="12" w:space="0" w:color="auto"/>
            </w:tcBorders>
            <w:vAlign w:val="center"/>
          </w:tcPr>
          <w:p w:rsidR="00000000" w:rsidRDefault="00000000">
            <w:pPr>
              <w:jc w:val="right"/>
              <w:rPr>
                <w:sz w:val="17"/>
              </w:rPr>
            </w:pPr>
          </w:p>
        </w:tc>
        <w:tc>
          <w:tcPr>
            <w:tcW w:w="1150" w:type="dxa"/>
            <w:tcBorders>
              <w:top w:val="single" w:sz="12" w:space="0" w:color="auto"/>
            </w:tcBorders>
            <w:vAlign w:val="center"/>
          </w:tcPr>
          <w:p w:rsidR="00000000" w:rsidRDefault="00000000">
            <w:pPr>
              <w:jc w:val="right"/>
              <w:rPr>
                <w:sz w:val="17"/>
              </w:rPr>
            </w:pPr>
          </w:p>
        </w:tc>
        <w:tc>
          <w:tcPr>
            <w:tcW w:w="1147" w:type="dxa"/>
            <w:tcBorders>
              <w:top w:val="single" w:sz="12" w:space="0" w:color="auto"/>
            </w:tcBorders>
            <w:vAlign w:val="center"/>
          </w:tcPr>
          <w:p w:rsidR="00000000" w:rsidRDefault="00000000">
            <w:pPr>
              <w:jc w:val="right"/>
              <w:rPr>
                <w:sz w:val="17"/>
              </w:rPr>
            </w:pP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1999</w:t>
            </w:r>
          </w:p>
        </w:tc>
        <w:tc>
          <w:tcPr>
            <w:tcW w:w="1094" w:type="dxa"/>
            <w:vAlign w:val="center"/>
          </w:tcPr>
          <w:p w:rsidR="00000000" w:rsidRDefault="00000000">
            <w:pPr>
              <w:tabs>
                <w:tab w:val="decimal" w:pos="767"/>
              </w:tabs>
              <w:rPr>
                <w:sz w:val="17"/>
              </w:rPr>
            </w:pPr>
            <w:r>
              <w:rPr>
                <w:sz w:val="17"/>
              </w:rPr>
              <w:t>220 831</w:t>
            </w:r>
          </w:p>
        </w:tc>
        <w:tc>
          <w:tcPr>
            <w:tcW w:w="1095" w:type="dxa"/>
            <w:vAlign w:val="center"/>
          </w:tcPr>
          <w:p w:rsidR="00000000" w:rsidRDefault="00000000">
            <w:pPr>
              <w:tabs>
                <w:tab w:val="decimal" w:pos="567"/>
              </w:tabs>
              <w:rPr>
                <w:i/>
                <w:sz w:val="17"/>
              </w:rPr>
            </w:pPr>
            <w:r>
              <w:rPr>
                <w:i/>
                <w:sz w:val="17"/>
              </w:rPr>
              <w:t>2,8</w:t>
            </w:r>
          </w:p>
        </w:tc>
        <w:tc>
          <w:tcPr>
            <w:tcW w:w="1096" w:type="dxa"/>
            <w:gridSpan w:val="2"/>
            <w:vAlign w:val="center"/>
          </w:tcPr>
          <w:p w:rsidR="00000000" w:rsidRDefault="00000000">
            <w:pPr>
              <w:pStyle w:val="Header"/>
              <w:tabs>
                <w:tab w:val="clear" w:pos="4320"/>
                <w:tab w:val="clear" w:pos="8640"/>
                <w:tab w:val="decimal" w:pos="794"/>
              </w:tabs>
              <w:spacing w:line="200" w:lineRule="exact"/>
              <w:rPr>
                <w:noProof w:val="0"/>
                <w:spacing w:val="4"/>
                <w:w w:val="103"/>
                <w:kern w:val="14"/>
              </w:rPr>
            </w:pPr>
            <w:r>
              <w:rPr>
                <w:noProof w:val="0"/>
                <w:spacing w:val="4"/>
                <w:w w:val="103"/>
                <w:kern w:val="14"/>
              </w:rPr>
              <w:t>110 618</w:t>
            </w:r>
          </w:p>
        </w:tc>
        <w:tc>
          <w:tcPr>
            <w:tcW w:w="1150" w:type="dxa"/>
            <w:vAlign w:val="center"/>
          </w:tcPr>
          <w:p w:rsidR="00000000" w:rsidRDefault="00000000">
            <w:pPr>
              <w:pStyle w:val="Header"/>
              <w:tabs>
                <w:tab w:val="clear" w:pos="4320"/>
                <w:tab w:val="clear" w:pos="8640"/>
                <w:tab w:val="decimal" w:pos="567"/>
              </w:tabs>
              <w:spacing w:line="200" w:lineRule="exact"/>
              <w:rPr>
                <w:noProof w:val="0"/>
                <w:spacing w:val="4"/>
                <w:w w:val="103"/>
                <w:kern w:val="14"/>
              </w:rPr>
            </w:pPr>
          </w:p>
        </w:tc>
        <w:tc>
          <w:tcPr>
            <w:tcW w:w="1150" w:type="dxa"/>
            <w:vAlign w:val="center"/>
          </w:tcPr>
          <w:p w:rsidR="00000000" w:rsidRDefault="00000000">
            <w:pPr>
              <w:tabs>
                <w:tab w:val="decimal" w:pos="567"/>
              </w:tabs>
              <w:rPr>
                <w:i/>
                <w:sz w:val="17"/>
              </w:rPr>
            </w:pPr>
            <w:r>
              <w:rPr>
                <w:i/>
                <w:sz w:val="17"/>
              </w:rPr>
              <w:t>50,1</w:t>
            </w:r>
          </w:p>
        </w:tc>
        <w:tc>
          <w:tcPr>
            <w:tcW w:w="1095" w:type="dxa"/>
            <w:vAlign w:val="center"/>
          </w:tcPr>
          <w:p w:rsidR="00000000" w:rsidRDefault="00000000">
            <w:pPr>
              <w:tabs>
                <w:tab w:val="decimal" w:pos="567"/>
              </w:tabs>
              <w:rPr>
                <w:sz w:val="17"/>
              </w:rPr>
            </w:pPr>
            <w:r>
              <w:rPr>
                <w:sz w:val="17"/>
              </w:rPr>
              <w:t>28 755</w:t>
            </w:r>
          </w:p>
        </w:tc>
        <w:tc>
          <w:tcPr>
            <w:tcW w:w="1150" w:type="dxa"/>
            <w:vAlign w:val="center"/>
          </w:tcPr>
          <w:p w:rsidR="00000000" w:rsidRDefault="00000000">
            <w:pPr>
              <w:tabs>
                <w:tab w:val="decimal" w:pos="567"/>
              </w:tabs>
              <w:rPr>
                <w:i/>
                <w:sz w:val="17"/>
              </w:rPr>
            </w:pPr>
            <w:r>
              <w:rPr>
                <w:i/>
                <w:sz w:val="17"/>
              </w:rPr>
              <w:t>7,8</w:t>
            </w:r>
          </w:p>
        </w:tc>
        <w:tc>
          <w:tcPr>
            <w:tcW w:w="1098" w:type="dxa"/>
            <w:vAlign w:val="center"/>
          </w:tcPr>
          <w:p w:rsidR="00000000" w:rsidRDefault="00000000">
            <w:pPr>
              <w:tabs>
                <w:tab w:val="decimal" w:pos="567"/>
              </w:tabs>
              <w:rPr>
                <w:sz w:val="17"/>
              </w:rPr>
            </w:pPr>
            <w:r>
              <w:rPr>
                <w:sz w:val="17"/>
              </w:rPr>
              <w:t>16 612</w:t>
            </w:r>
          </w:p>
        </w:tc>
        <w:tc>
          <w:tcPr>
            <w:tcW w:w="1150" w:type="dxa"/>
            <w:vAlign w:val="center"/>
          </w:tcPr>
          <w:p w:rsidR="00000000" w:rsidRDefault="00000000">
            <w:pPr>
              <w:tabs>
                <w:tab w:val="decimal" w:pos="567"/>
              </w:tabs>
              <w:rPr>
                <w:i/>
                <w:sz w:val="17"/>
              </w:rPr>
            </w:pPr>
            <w:r>
              <w:rPr>
                <w:i/>
                <w:sz w:val="17"/>
              </w:rPr>
              <w:t>10,0</w:t>
            </w:r>
          </w:p>
        </w:tc>
        <w:tc>
          <w:tcPr>
            <w:tcW w:w="1147" w:type="dxa"/>
            <w:vAlign w:val="center"/>
          </w:tcPr>
          <w:p w:rsidR="00000000" w:rsidRDefault="00000000">
            <w:pPr>
              <w:tabs>
                <w:tab w:val="decimal" w:pos="567"/>
              </w:tabs>
              <w:rPr>
                <w:i/>
                <w:sz w:val="17"/>
              </w:rPr>
            </w:pPr>
            <w:r>
              <w:rPr>
                <w:i/>
                <w:sz w:val="17"/>
              </w:rPr>
              <w:t>57,8</w:t>
            </w: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2000</w:t>
            </w:r>
          </w:p>
        </w:tc>
        <w:tc>
          <w:tcPr>
            <w:tcW w:w="1094" w:type="dxa"/>
            <w:vAlign w:val="center"/>
          </w:tcPr>
          <w:p w:rsidR="00000000" w:rsidRDefault="00000000">
            <w:pPr>
              <w:tabs>
                <w:tab w:val="decimal" w:pos="767"/>
              </w:tabs>
              <w:rPr>
                <w:sz w:val="17"/>
              </w:rPr>
            </w:pPr>
            <w:r>
              <w:rPr>
                <w:sz w:val="17"/>
              </w:rPr>
              <w:t>221 505</w:t>
            </w:r>
          </w:p>
        </w:tc>
        <w:tc>
          <w:tcPr>
            <w:tcW w:w="1095" w:type="dxa"/>
            <w:vAlign w:val="center"/>
          </w:tcPr>
          <w:p w:rsidR="00000000" w:rsidRDefault="00000000">
            <w:pPr>
              <w:tabs>
                <w:tab w:val="decimal" w:pos="567"/>
              </w:tabs>
              <w:rPr>
                <w:i/>
                <w:sz w:val="17"/>
              </w:rPr>
            </w:pPr>
            <w:r>
              <w:rPr>
                <w:i/>
                <w:sz w:val="17"/>
              </w:rPr>
              <w:t>0,3</w:t>
            </w:r>
          </w:p>
        </w:tc>
        <w:tc>
          <w:tcPr>
            <w:tcW w:w="1096" w:type="dxa"/>
            <w:gridSpan w:val="2"/>
            <w:vAlign w:val="center"/>
          </w:tcPr>
          <w:p w:rsidR="00000000" w:rsidRDefault="00000000">
            <w:pPr>
              <w:tabs>
                <w:tab w:val="decimal" w:pos="794"/>
              </w:tabs>
              <w:rPr>
                <w:sz w:val="17"/>
              </w:rPr>
            </w:pPr>
            <w:r>
              <w:rPr>
                <w:sz w:val="17"/>
              </w:rPr>
              <w:t>113 224</w:t>
            </w:r>
          </w:p>
        </w:tc>
        <w:tc>
          <w:tcPr>
            <w:tcW w:w="1150" w:type="dxa"/>
            <w:vAlign w:val="center"/>
          </w:tcPr>
          <w:p w:rsidR="00000000" w:rsidRDefault="00000000">
            <w:pPr>
              <w:tabs>
                <w:tab w:val="decimal" w:pos="567"/>
              </w:tabs>
              <w:rPr>
                <w:i/>
                <w:sz w:val="17"/>
              </w:rPr>
            </w:pPr>
            <w:r>
              <w:rPr>
                <w:i/>
                <w:sz w:val="17"/>
              </w:rPr>
              <w:t>2,4</w:t>
            </w:r>
          </w:p>
        </w:tc>
        <w:tc>
          <w:tcPr>
            <w:tcW w:w="1150" w:type="dxa"/>
            <w:vAlign w:val="center"/>
          </w:tcPr>
          <w:p w:rsidR="00000000" w:rsidRDefault="00000000">
            <w:pPr>
              <w:tabs>
                <w:tab w:val="decimal" w:pos="567"/>
              </w:tabs>
              <w:rPr>
                <w:i/>
                <w:sz w:val="17"/>
              </w:rPr>
            </w:pPr>
            <w:r>
              <w:rPr>
                <w:i/>
                <w:sz w:val="17"/>
              </w:rPr>
              <w:t>51,1</w:t>
            </w:r>
          </w:p>
        </w:tc>
        <w:tc>
          <w:tcPr>
            <w:tcW w:w="1095" w:type="dxa"/>
            <w:vAlign w:val="center"/>
          </w:tcPr>
          <w:p w:rsidR="00000000" w:rsidRDefault="00000000">
            <w:pPr>
              <w:tabs>
                <w:tab w:val="decimal" w:pos="567"/>
              </w:tabs>
              <w:rPr>
                <w:sz w:val="17"/>
              </w:rPr>
            </w:pPr>
            <w:r>
              <w:rPr>
                <w:sz w:val="17"/>
              </w:rPr>
              <w:t>29 388</w:t>
            </w:r>
          </w:p>
        </w:tc>
        <w:tc>
          <w:tcPr>
            <w:tcW w:w="1150" w:type="dxa"/>
            <w:vAlign w:val="center"/>
          </w:tcPr>
          <w:p w:rsidR="00000000" w:rsidRDefault="00000000">
            <w:pPr>
              <w:tabs>
                <w:tab w:val="decimal" w:pos="567"/>
              </w:tabs>
              <w:rPr>
                <w:i/>
                <w:sz w:val="17"/>
              </w:rPr>
            </w:pPr>
            <w:r>
              <w:rPr>
                <w:i/>
                <w:sz w:val="17"/>
              </w:rPr>
              <w:t>2,2</w:t>
            </w:r>
          </w:p>
        </w:tc>
        <w:tc>
          <w:tcPr>
            <w:tcW w:w="1098" w:type="dxa"/>
            <w:vAlign w:val="center"/>
          </w:tcPr>
          <w:p w:rsidR="00000000" w:rsidRDefault="00000000">
            <w:pPr>
              <w:tabs>
                <w:tab w:val="decimal" w:pos="567"/>
              </w:tabs>
              <w:rPr>
                <w:sz w:val="17"/>
              </w:rPr>
            </w:pPr>
            <w:r>
              <w:rPr>
                <w:sz w:val="17"/>
              </w:rPr>
              <w:t>16 639</w:t>
            </w:r>
          </w:p>
        </w:tc>
        <w:tc>
          <w:tcPr>
            <w:tcW w:w="1150" w:type="dxa"/>
            <w:vAlign w:val="center"/>
          </w:tcPr>
          <w:p w:rsidR="00000000" w:rsidRDefault="00000000">
            <w:pPr>
              <w:tabs>
                <w:tab w:val="decimal" w:pos="567"/>
              </w:tabs>
              <w:rPr>
                <w:i/>
                <w:sz w:val="17"/>
              </w:rPr>
            </w:pPr>
            <w:r>
              <w:rPr>
                <w:i/>
                <w:sz w:val="17"/>
              </w:rPr>
              <w:t>0,2</w:t>
            </w:r>
          </w:p>
        </w:tc>
        <w:tc>
          <w:tcPr>
            <w:tcW w:w="1147" w:type="dxa"/>
            <w:vAlign w:val="center"/>
          </w:tcPr>
          <w:p w:rsidR="00000000" w:rsidRDefault="00000000">
            <w:pPr>
              <w:tabs>
                <w:tab w:val="decimal" w:pos="567"/>
              </w:tabs>
              <w:rPr>
                <w:i/>
                <w:sz w:val="17"/>
              </w:rPr>
            </w:pPr>
            <w:r>
              <w:rPr>
                <w:i/>
                <w:sz w:val="17"/>
              </w:rPr>
              <w:t>56,6</w:t>
            </w: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2001</w:t>
            </w:r>
          </w:p>
        </w:tc>
        <w:tc>
          <w:tcPr>
            <w:tcW w:w="1094" w:type="dxa"/>
            <w:vAlign w:val="center"/>
          </w:tcPr>
          <w:p w:rsidR="00000000" w:rsidRDefault="00000000">
            <w:pPr>
              <w:tabs>
                <w:tab w:val="decimal" w:pos="767"/>
              </w:tabs>
              <w:rPr>
                <w:sz w:val="17"/>
              </w:rPr>
            </w:pPr>
            <w:r>
              <w:rPr>
                <w:sz w:val="17"/>
              </w:rPr>
              <w:t>176 811</w:t>
            </w:r>
          </w:p>
        </w:tc>
        <w:tc>
          <w:tcPr>
            <w:tcW w:w="1095" w:type="dxa"/>
            <w:vAlign w:val="center"/>
          </w:tcPr>
          <w:p w:rsidR="00000000" w:rsidRDefault="00000000">
            <w:pPr>
              <w:tabs>
                <w:tab w:val="decimal" w:pos="567"/>
              </w:tabs>
              <w:rPr>
                <w:i/>
                <w:sz w:val="17"/>
              </w:rPr>
            </w:pPr>
            <w:r>
              <w:rPr>
                <w:i/>
                <w:sz w:val="17"/>
              </w:rPr>
              <w:t>-20,2</w:t>
            </w:r>
          </w:p>
        </w:tc>
        <w:tc>
          <w:tcPr>
            <w:tcW w:w="1096" w:type="dxa"/>
            <w:gridSpan w:val="2"/>
            <w:vAlign w:val="center"/>
          </w:tcPr>
          <w:p w:rsidR="00000000" w:rsidRDefault="00000000">
            <w:pPr>
              <w:tabs>
                <w:tab w:val="decimal" w:pos="794"/>
              </w:tabs>
              <w:rPr>
                <w:sz w:val="17"/>
              </w:rPr>
            </w:pPr>
            <w:r>
              <w:rPr>
                <w:sz w:val="17"/>
              </w:rPr>
              <w:t>92 208</w:t>
            </w:r>
          </w:p>
        </w:tc>
        <w:tc>
          <w:tcPr>
            <w:tcW w:w="1150" w:type="dxa"/>
            <w:vAlign w:val="center"/>
          </w:tcPr>
          <w:p w:rsidR="00000000" w:rsidRDefault="00000000">
            <w:pPr>
              <w:tabs>
                <w:tab w:val="decimal" w:pos="567"/>
              </w:tabs>
              <w:rPr>
                <w:i/>
                <w:sz w:val="17"/>
              </w:rPr>
            </w:pPr>
            <w:r>
              <w:rPr>
                <w:i/>
                <w:sz w:val="17"/>
              </w:rPr>
              <w:t>-18,6</w:t>
            </w:r>
          </w:p>
        </w:tc>
        <w:tc>
          <w:tcPr>
            <w:tcW w:w="1150" w:type="dxa"/>
            <w:vAlign w:val="center"/>
          </w:tcPr>
          <w:p w:rsidR="00000000" w:rsidRDefault="00000000">
            <w:pPr>
              <w:tabs>
                <w:tab w:val="decimal" w:pos="567"/>
              </w:tabs>
              <w:rPr>
                <w:i/>
                <w:sz w:val="17"/>
              </w:rPr>
            </w:pPr>
            <w:r>
              <w:rPr>
                <w:i/>
                <w:sz w:val="17"/>
              </w:rPr>
              <w:t>52,2</w:t>
            </w:r>
          </w:p>
        </w:tc>
        <w:tc>
          <w:tcPr>
            <w:tcW w:w="1095" w:type="dxa"/>
            <w:vAlign w:val="center"/>
          </w:tcPr>
          <w:p w:rsidR="00000000" w:rsidRDefault="00000000">
            <w:pPr>
              <w:tabs>
                <w:tab w:val="decimal" w:pos="567"/>
              </w:tabs>
              <w:rPr>
                <w:sz w:val="17"/>
              </w:rPr>
            </w:pPr>
            <w:r>
              <w:rPr>
                <w:sz w:val="17"/>
              </w:rPr>
              <w:t>25 300</w:t>
            </w:r>
          </w:p>
        </w:tc>
        <w:tc>
          <w:tcPr>
            <w:tcW w:w="1150" w:type="dxa"/>
            <w:vAlign w:val="center"/>
          </w:tcPr>
          <w:p w:rsidR="00000000" w:rsidRDefault="00000000">
            <w:pPr>
              <w:tabs>
                <w:tab w:val="decimal" w:pos="567"/>
              </w:tabs>
              <w:rPr>
                <w:i/>
                <w:sz w:val="17"/>
              </w:rPr>
            </w:pPr>
            <w:r>
              <w:rPr>
                <w:i/>
                <w:sz w:val="17"/>
              </w:rPr>
              <w:t>-13,9</w:t>
            </w:r>
          </w:p>
        </w:tc>
        <w:tc>
          <w:tcPr>
            <w:tcW w:w="1098" w:type="dxa"/>
            <w:vAlign w:val="center"/>
          </w:tcPr>
          <w:p w:rsidR="00000000" w:rsidRDefault="00000000">
            <w:pPr>
              <w:tabs>
                <w:tab w:val="decimal" w:pos="567"/>
              </w:tabs>
              <w:rPr>
                <w:sz w:val="17"/>
              </w:rPr>
            </w:pPr>
            <w:r>
              <w:rPr>
                <w:sz w:val="17"/>
              </w:rPr>
              <w:t>14 542</w:t>
            </w:r>
          </w:p>
        </w:tc>
        <w:tc>
          <w:tcPr>
            <w:tcW w:w="1150" w:type="dxa"/>
            <w:vAlign w:val="center"/>
          </w:tcPr>
          <w:p w:rsidR="00000000" w:rsidRDefault="00000000">
            <w:pPr>
              <w:tabs>
                <w:tab w:val="decimal" w:pos="567"/>
              </w:tabs>
              <w:rPr>
                <w:i/>
                <w:sz w:val="17"/>
              </w:rPr>
            </w:pPr>
            <w:r>
              <w:rPr>
                <w:i/>
                <w:sz w:val="17"/>
              </w:rPr>
              <w:t>-12,6</w:t>
            </w:r>
          </w:p>
        </w:tc>
        <w:tc>
          <w:tcPr>
            <w:tcW w:w="1147" w:type="dxa"/>
            <w:vAlign w:val="center"/>
          </w:tcPr>
          <w:p w:rsidR="00000000" w:rsidRDefault="00000000">
            <w:pPr>
              <w:tabs>
                <w:tab w:val="decimal" w:pos="567"/>
              </w:tabs>
              <w:rPr>
                <w:i/>
                <w:sz w:val="17"/>
              </w:rPr>
            </w:pPr>
            <w:r>
              <w:rPr>
                <w:i/>
                <w:sz w:val="17"/>
              </w:rPr>
              <w:t>57,5</w:t>
            </w:r>
          </w:p>
        </w:tc>
      </w:tr>
      <w:tr w:rsidR="00000000">
        <w:tblPrEx>
          <w:tblCellMar>
            <w:top w:w="0" w:type="dxa"/>
            <w:bottom w:w="0" w:type="dxa"/>
          </w:tblCellMar>
        </w:tblPrEx>
        <w:trPr>
          <w:jc w:val="center"/>
        </w:trPr>
        <w:tc>
          <w:tcPr>
            <w:tcW w:w="1191" w:type="dxa"/>
          </w:tcPr>
          <w:p w:rsidR="00000000" w:rsidRDefault="00000000">
            <w:pPr>
              <w:jc w:val="center"/>
              <w:rPr>
                <w:b/>
                <w:sz w:val="17"/>
              </w:rPr>
            </w:pPr>
            <w:r>
              <w:rPr>
                <w:b/>
                <w:sz w:val="17"/>
              </w:rPr>
              <w:t>2002</w:t>
            </w:r>
          </w:p>
        </w:tc>
        <w:tc>
          <w:tcPr>
            <w:tcW w:w="1094" w:type="dxa"/>
            <w:vAlign w:val="center"/>
          </w:tcPr>
          <w:p w:rsidR="00000000" w:rsidRDefault="00000000">
            <w:pPr>
              <w:tabs>
                <w:tab w:val="decimal" w:pos="767"/>
              </w:tabs>
              <w:rPr>
                <w:b/>
                <w:sz w:val="17"/>
              </w:rPr>
            </w:pPr>
            <w:r>
              <w:rPr>
                <w:b/>
                <w:sz w:val="17"/>
              </w:rPr>
              <w:t>179 966</w:t>
            </w:r>
          </w:p>
        </w:tc>
        <w:tc>
          <w:tcPr>
            <w:tcW w:w="1095" w:type="dxa"/>
            <w:vAlign w:val="center"/>
          </w:tcPr>
          <w:p w:rsidR="00000000" w:rsidRDefault="00000000">
            <w:pPr>
              <w:tabs>
                <w:tab w:val="decimal" w:pos="567"/>
              </w:tabs>
              <w:rPr>
                <w:b/>
                <w:i/>
                <w:sz w:val="17"/>
              </w:rPr>
            </w:pPr>
            <w:r>
              <w:rPr>
                <w:b/>
                <w:i/>
                <w:sz w:val="17"/>
              </w:rPr>
              <w:t>1,8</w:t>
            </w:r>
          </w:p>
        </w:tc>
        <w:tc>
          <w:tcPr>
            <w:tcW w:w="1096" w:type="dxa"/>
            <w:gridSpan w:val="2"/>
            <w:vAlign w:val="center"/>
          </w:tcPr>
          <w:p w:rsidR="00000000" w:rsidRDefault="00000000">
            <w:pPr>
              <w:tabs>
                <w:tab w:val="decimal" w:pos="794"/>
              </w:tabs>
              <w:rPr>
                <w:b/>
                <w:sz w:val="17"/>
              </w:rPr>
            </w:pPr>
            <w:r>
              <w:rPr>
                <w:b/>
                <w:sz w:val="17"/>
              </w:rPr>
              <w:t>94 728</w:t>
            </w:r>
          </w:p>
        </w:tc>
        <w:tc>
          <w:tcPr>
            <w:tcW w:w="1150" w:type="dxa"/>
            <w:vAlign w:val="center"/>
          </w:tcPr>
          <w:p w:rsidR="00000000" w:rsidRDefault="00000000">
            <w:pPr>
              <w:tabs>
                <w:tab w:val="decimal" w:pos="567"/>
              </w:tabs>
              <w:rPr>
                <w:b/>
                <w:i/>
                <w:sz w:val="17"/>
              </w:rPr>
            </w:pPr>
            <w:r>
              <w:rPr>
                <w:b/>
                <w:i/>
                <w:sz w:val="17"/>
              </w:rPr>
              <w:t>2,7</w:t>
            </w:r>
          </w:p>
        </w:tc>
        <w:tc>
          <w:tcPr>
            <w:tcW w:w="1150" w:type="dxa"/>
            <w:vAlign w:val="center"/>
          </w:tcPr>
          <w:p w:rsidR="00000000" w:rsidRDefault="00000000">
            <w:pPr>
              <w:tabs>
                <w:tab w:val="decimal" w:pos="567"/>
              </w:tabs>
              <w:rPr>
                <w:b/>
                <w:i/>
                <w:sz w:val="17"/>
              </w:rPr>
            </w:pPr>
            <w:r>
              <w:rPr>
                <w:b/>
                <w:i/>
                <w:sz w:val="17"/>
              </w:rPr>
              <w:t>52,6</w:t>
            </w:r>
          </w:p>
        </w:tc>
        <w:tc>
          <w:tcPr>
            <w:tcW w:w="1095" w:type="dxa"/>
            <w:vAlign w:val="center"/>
          </w:tcPr>
          <w:p w:rsidR="00000000" w:rsidRDefault="00000000">
            <w:pPr>
              <w:tabs>
                <w:tab w:val="decimal" w:pos="567"/>
              </w:tabs>
              <w:rPr>
                <w:b/>
                <w:sz w:val="17"/>
              </w:rPr>
            </w:pPr>
            <w:r>
              <w:rPr>
                <w:b/>
                <w:sz w:val="17"/>
              </w:rPr>
              <w:t>28 178</w:t>
            </w:r>
          </w:p>
        </w:tc>
        <w:tc>
          <w:tcPr>
            <w:tcW w:w="1150" w:type="dxa"/>
            <w:vAlign w:val="center"/>
          </w:tcPr>
          <w:p w:rsidR="00000000" w:rsidRDefault="00000000">
            <w:pPr>
              <w:tabs>
                <w:tab w:val="decimal" w:pos="567"/>
              </w:tabs>
              <w:rPr>
                <w:b/>
                <w:i/>
                <w:sz w:val="17"/>
              </w:rPr>
            </w:pPr>
            <w:r>
              <w:rPr>
                <w:b/>
                <w:i/>
                <w:sz w:val="17"/>
              </w:rPr>
              <w:t>11,4</w:t>
            </w:r>
          </w:p>
        </w:tc>
        <w:tc>
          <w:tcPr>
            <w:tcW w:w="1098" w:type="dxa"/>
            <w:vAlign w:val="center"/>
          </w:tcPr>
          <w:p w:rsidR="00000000" w:rsidRDefault="00000000">
            <w:pPr>
              <w:tabs>
                <w:tab w:val="decimal" w:pos="567"/>
              </w:tabs>
              <w:rPr>
                <w:b/>
                <w:sz w:val="17"/>
              </w:rPr>
            </w:pPr>
            <w:r>
              <w:rPr>
                <w:b/>
                <w:sz w:val="17"/>
              </w:rPr>
              <w:t>15 945</w:t>
            </w:r>
          </w:p>
        </w:tc>
        <w:tc>
          <w:tcPr>
            <w:tcW w:w="1150" w:type="dxa"/>
            <w:vAlign w:val="center"/>
          </w:tcPr>
          <w:p w:rsidR="00000000" w:rsidRDefault="00000000">
            <w:pPr>
              <w:tabs>
                <w:tab w:val="decimal" w:pos="567"/>
              </w:tabs>
              <w:rPr>
                <w:b/>
                <w:i/>
                <w:sz w:val="17"/>
              </w:rPr>
            </w:pPr>
            <w:r>
              <w:rPr>
                <w:b/>
                <w:i/>
                <w:sz w:val="17"/>
              </w:rPr>
              <w:t>9,6</w:t>
            </w:r>
          </w:p>
        </w:tc>
        <w:tc>
          <w:tcPr>
            <w:tcW w:w="1147" w:type="dxa"/>
            <w:vAlign w:val="center"/>
          </w:tcPr>
          <w:p w:rsidR="00000000" w:rsidRDefault="00000000">
            <w:pPr>
              <w:tabs>
                <w:tab w:val="decimal" w:pos="567"/>
              </w:tabs>
              <w:rPr>
                <w:b/>
                <w:i/>
                <w:sz w:val="17"/>
              </w:rPr>
            </w:pPr>
            <w:r>
              <w:rPr>
                <w:b/>
                <w:i/>
                <w:sz w:val="17"/>
              </w:rPr>
              <w:t>56,6</w:t>
            </w:r>
          </w:p>
        </w:tc>
      </w:tr>
      <w:tr w:rsidR="00000000">
        <w:tblPrEx>
          <w:tblCellMar>
            <w:top w:w="0" w:type="dxa"/>
            <w:bottom w:w="0" w:type="dxa"/>
          </w:tblCellMar>
        </w:tblPrEx>
        <w:trPr>
          <w:cantSplit/>
          <w:jc w:val="center"/>
        </w:trPr>
        <w:tc>
          <w:tcPr>
            <w:tcW w:w="4476" w:type="dxa"/>
            <w:gridSpan w:val="5"/>
          </w:tcPr>
          <w:p w:rsidR="00000000" w:rsidRDefault="00000000">
            <w:pPr>
              <w:rPr>
                <w:sz w:val="17"/>
              </w:rPr>
            </w:pPr>
            <w:r>
              <w:rPr>
                <w:sz w:val="17"/>
              </w:rPr>
              <w:t>Художественные, музыкальные учебные завед</w:t>
            </w:r>
            <w:r>
              <w:rPr>
                <w:sz w:val="17"/>
              </w:rPr>
              <w:t>е</w:t>
            </w:r>
            <w:r>
              <w:rPr>
                <w:sz w:val="17"/>
              </w:rPr>
              <w:t>ния</w:t>
            </w:r>
          </w:p>
        </w:tc>
        <w:tc>
          <w:tcPr>
            <w:tcW w:w="1150" w:type="dxa"/>
            <w:vAlign w:val="center"/>
          </w:tcPr>
          <w:p w:rsidR="00000000" w:rsidRDefault="00000000">
            <w:pPr>
              <w:tabs>
                <w:tab w:val="decimal" w:pos="567"/>
              </w:tabs>
              <w:rPr>
                <w:i/>
                <w:sz w:val="17"/>
              </w:rPr>
            </w:pPr>
          </w:p>
        </w:tc>
        <w:tc>
          <w:tcPr>
            <w:tcW w:w="1150" w:type="dxa"/>
            <w:vAlign w:val="center"/>
          </w:tcPr>
          <w:p w:rsidR="00000000" w:rsidRDefault="00000000">
            <w:pPr>
              <w:tabs>
                <w:tab w:val="decimal" w:pos="567"/>
              </w:tabs>
              <w:jc w:val="right"/>
              <w:rPr>
                <w:i/>
                <w:sz w:val="17"/>
              </w:rPr>
            </w:pPr>
          </w:p>
        </w:tc>
        <w:tc>
          <w:tcPr>
            <w:tcW w:w="1095" w:type="dxa"/>
            <w:vAlign w:val="center"/>
          </w:tcPr>
          <w:p w:rsidR="00000000" w:rsidRDefault="00000000">
            <w:pPr>
              <w:tabs>
                <w:tab w:val="decimal" w:pos="567"/>
              </w:tabs>
              <w:jc w:val="right"/>
              <w:rPr>
                <w:sz w:val="17"/>
              </w:rPr>
            </w:pPr>
          </w:p>
        </w:tc>
        <w:tc>
          <w:tcPr>
            <w:tcW w:w="1150" w:type="dxa"/>
            <w:vAlign w:val="center"/>
          </w:tcPr>
          <w:p w:rsidR="00000000" w:rsidRDefault="00000000">
            <w:pPr>
              <w:tabs>
                <w:tab w:val="decimal" w:pos="567"/>
              </w:tabs>
              <w:jc w:val="right"/>
              <w:rPr>
                <w:i/>
                <w:sz w:val="17"/>
              </w:rPr>
            </w:pPr>
          </w:p>
        </w:tc>
        <w:tc>
          <w:tcPr>
            <w:tcW w:w="1098" w:type="dxa"/>
            <w:vAlign w:val="center"/>
          </w:tcPr>
          <w:p w:rsidR="00000000" w:rsidRDefault="00000000">
            <w:pPr>
              <w:tabs>
                <w:tab w:val="decimal" w:pos="567"/>
              </w:tabs>
              <w:jc w:val="right"/>
              <w:rPr>
                <w:sz w:val="17"/>
              </w:rPr>
            </w:pPr>
          </w:p>
        </w:tc>
        <w:tc>
          <w:tcPr>
            <w:tcW w:w="1150" w:type="dxa"/>
            <w:vAlign w:val="center"/>
          </w:tcPr>
          <w:p w:rsidR="00000000" w:rsidRDefault="00000000">
            <w:pPr>
              <w:tabs>
                <w:tab w:val="decimal" w:pos="567"/>
              </w:tabs>
              <w:jc w:val="right"/>
              <w:rPr>
                <w:i/>
                <w:sz w:val="17"/>
              </w:rPr>
            </w:pPr>
          </w:p>
        </w:tc>
        <w:tc>
          <w:tcPr>
            <w:tcW w:w="1147" w:type="dxa"/>
            <w:vAlign w:val="center"/>
          </w:tcPr>
          <w:p w:rsidR="00000000" w:rsidRDefault="00000000">
            <w:pPr>
              <w:tabs>
                <w:tab w:val="decimal" w:pos="567"/>
              </w:tabs>
              <w:jc w:val="right"/>
              <w:rPr>
                <w:i/>
                <w:sz w:val="17"/>
              </w:rPr>
            </w:pP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1999</w:t>
            </w:r>
          </w:p>
        </w:tc>
        <w:tc>
          <w:tcPr>
            <w:tcW w:w="1094" w:type="dxa"/>
            <w:vAlign w:val="center"/>
          </w:tcPr>
          <w:p w:rsidR="00000000" w:rsidRDefault="00000000">
            <w:pPr>
              <w:tabs>
                <w:tab w:val="decimal" w:pos="768"/>
              </w:tabs>
              <w:rPr>
                <w:sz w:val="17"/>
              </w:rPr>
            </w:pPr>
            <w:r>
              <w:rPr>
                <w:sz w:val="17"/>
              </w:rPr>
              <w:t>7 746</w:t>
            </w:r>
          </w:p>
        </w:tc>
        <w:tc>
          <w:tcPr>
            <w:tcW w:w="1095" w:type="dxa"/>
            <w:vAlign w:val="center"/>
          </w:tcPr>
          <w:p w:rsidR="00000000" w:rsidRDefault="00000000">
            <w:pPr>
              <w:tabs>
                <w:tab w:val="decimal" w:pos="567"/>
              </w:tabs>
              <w:rPr>
                <w:i/>
                <w:sz w:val="17"/>
              </w:rPr>
            </w:pPr>
            <w:r>
              <w:rPr>
                <w:i/>
                <w:sz w:val="17"/>
              </w:rPr>
              <w:t>6,2</w:t>
            </w:r>
          </w:p>
        </w:tc>
        <w:tc>
          <w:tcPr>
            <w:tcW w:w="1096" w:type="dxa"/>
            <w:gridSpan w:val="2"/>
            <w:vAlign w:val="center"/>
          </w:tcPr>
          <w:p w:rsidR="00000000" w:rsidRDefault="00000000">
            <w:pPr>
              <w:tabs>
                <w:tab w:val="decimal" w:pos="794"/>
              </w:tabs>
              <w:rPr>
                <w:sz w:val="17"/>
              </w:rPr>
            </w:pPr>
            <w:r>
              <w:rPr>
                <w:sz w:val="17"/>
              </w:rPr>
              <w:t>4 346</w:t>
            </w:r>
          </w:p>
        </w:tc>
        <w:tc>
          <w:tcPr>
            <w:tcW w:w="1150" w:type="dxa"/>
            <w:vAlign w:val="center"/>
          </w:tcPr>
          <w:p w:rsidR="00000000" w:rsidRDefault="00000000">
            <w:pPr>
              <w:tabs>
                <w:tab w:val="decimal" w:pos="567"/>
              </w:tabs>
              <w:rPr>
                <w:i/>
                <w:sz w:val="17"/>
              </w:rPr>
            </w:pPr>
          </w:p>
        </w:tc>
        <w:tc>
          <w:tcPr>
            <w:tcW w:w="1150" w:type="dxa"/>
            <w:vAlign w:val="center"/>
          </w:tcPr>
          <w:p w:rsidR="00000000" w:rsidRDefault="00000000">
            <w:pPr>
              <w:tabs>
                <w:tab w:val="decimal" w:pos="567"/>
              </w:tabs>
              <w:rPr>
                <w:i/>
                <w:sz w:val="17"/>
              </w:rPr>
            </w:pPr>
            <w:r>
              <w:rPr>
                <w:i/>
                <w:sz w:val="17"/>
              </w:rPr>
              <w:t>56,1</w:t>
            </w:r>
          </w:p>
        </w:tc>
        <w:tc>
          <w:tcPr>
            <w:tcW w:w="1095" w:type="dxa"/>
            <w:vAlign w:val="center"/>
          </w:tcPr>
          <w:p w:rsidR="00000000" w:rsidRDefault="00000000">
            <w:pPr>
              <w:tabs>
                <w:tab w:val="decimal" w:pos="567"/>
              </w:tabs>
              <w:rPr>
                <w:sz w:val="17"/>
              </w:rPr>
            </w:pPr>
            <w:r>
              <w:rPr>
                <w:sz w:val="17"/>
              </w:rPr>
              <w:t>901</w:t>
            </w:r>
          </w:p>
        </w:tc>
        <w:tc>
          <w:tcPr>
            <w:tcW w:w="1150" w:type="dxa"/>
            <w:vAlign w:val="center"/>
          </w:tcPr>
          <w:p w:rsidR="00000000" w:rsidRDefault="00000000">
            <w:pPr>
              <w:tabs>
                <w:tab w:val="decimal" w:pos="567"/>
              </w:tabs>
              <w:rPr>
                <w:i/>
                <w:sz w:val="17"/>
              </w:rPr>
            </w:pPr>
            <w:r>
              <w:rPr>
                <w:i/>
                <w:sz w:val="17"/>
              </w:rPr>
              <w:t>8,0</w:t>
            </w:r>
          </w:p>
        </w:tc>
        <w:tc>
          <w:tcPr>
            <w:tcW w:w="1098" w:type="dxa"/>
            <w:vAlign w:val="center"/>
          </w:tcPr>
          <w:p w:rsidR="00000000" w:rsidRDefault="00000000">
            <w:pPr>
              <w:tabs>
                <w:tab w:val="decimal" w:pos="567"/>
              </w:tabs>
              <w:rPr>
                <w:sz w:val="17"/>
              </w:rPr>
            </w:pPr>
            <w:r>
              <w:rPr>
                <w:sz w:val="17"/>
              </w:rPr>
              <w:t>501</w:t>
            </w:r>
          </w:p>
        </w:tc>
        <w:tc>
          <w:tcPr>
            <w:tcW w:w="1150" w:type="dxa"/>
            <w:vAlign w:val="center"/>
          </w:tcPr>
          <w:p w:rsidR="00000000" w:rsidRDefault="00000000">
            <w:pPr>
              <w:tabs>
                <w:tab w:val="decimal" w:pos="567"/>
              </w:tabs>
              <w:rPr>
                <w:i/>
                <w:sz w:val="17"/>
              </w:rPr>
            </w:pPr>
            <w:r>
              <w:rPr>
                <w:i/>
                <w:sz w:val="17"/>
              </w:rPr>
              <w:t>3,3</w:t>
            </w:r>
          </w:p>
        </w:tc>
        <w:tc>
          <w:tcPr>
            <w:tcW w:w="1147" w:type="dxa"/>
            <w:vAlign w:val="center"/>
          </w:tcPr>
          <w:p w:rsidR="00000000" w:rsidRDefault="00000000">
            <w:pPr>
              <w:tabs>
                <w:tab w:val="decimal" w:pos="567"/>
              </w:tabs>
              <w:rPr>
                <w:i/>
                <w:sz w:val="17"/>
              </w:rPr>
            </w:pPr>
            <w:r>
              <w:rPr>
                <w:i/>
                <w:sz w:val="17"/>
              </w:rPr>
              <w:t>55,6</w:t>
            </w: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2000</w:t>
            </w:r>
          </w:p>
        </w:tc>
        <w:tc>
          <w:tcPr>
            <w:tcW w:w="1094" w:type="dxa"/>
            <w:vAlign w:val="center"/>
          </w:tcPr>
          <w:p w:rsidR="00000000" w:rsidRDefault="00000000">
            <w:pPr>
              <w:tabs>
                <w:tab w:val="decimal" w:pos="768"/>
              </w:tabs>
              <w:rPr>
                <w:sz w:val="17"/>
              </w:rPr>
            </w:pPr>
            <w:r>
              <w:rPr>
                <w:sz w:val="17"/>
              </w:rPr>
              <w:t>7 742</w:t>
            </w:r>
          </w:p>
        </w:tc>
        <w:tc>
          <w:tcPr>
            <w:tcW w:w="1095" w:type="dxa"/>
            <w:vAlign w:val="center"/>
          </w:tcPr>
          <w:p w:rsidR="00000000" w:rsidRDefault="00000000">
            <w:pPr>
              <w:tabs>
                <w:tab w:val="decimal" w:pos="567"/>
              </w:tabs>
              <w:rPr>
                <w:i/>
                <w:sz w:val="17"/>
              </w:rPr>
            </w:pPr>
            <w:r>
              <w:rPr>
                <w:i/>
                <w:sz w:val="17"/>
              </w:rPr>
              <w:t>-0,1</w:t>
            </w:r>
          </w:p>
        </w:tc>
        <w:tc>
          <w:tcPr>
            <w:tcW w:w="1096" w:type="dxa"/>
            <w:gridSpan w:val="2"/>
            <w:vAlign w:val="center"/>
          </w:tcPr>
          <w:p w:rsidR="00000000" w:rsidRDefault="00000000">
            <w:pPr>
              <w:tabs>
                <w:tab w:val="decimal" w:pos="794"/>
              </w:tabs>
              <w:rPr>
                <w:sz w:val="17"/>
              </w:rPr>
            </w:pPr>
            <w:r>
              <w:rPr>
                <w:sz w:val="17"/>
              </w:rPr>
              <w:t>4 395</w:t>
            </w:r>
          </w:p>
        </w:tc>
        <w:tc>
          <w:tcPr>
            <w:tcW w:w="1150" w:type="dxa"/>
            <w:vAlign w:val="center"/>
          </w:tcPr>
          <w:p w:rsidR="00000000" w:rsidRDefault="00000000">
            <w:pPr>
              <w:tabs>
                <w:tab w:val="decimal" w:pos="567"/>
              </w:tabs>
              <w:rPr>
                <w:i/>
                <w:sz w:val="17"/>
              </w:rPr>
            </w:pPr>
            <w:r>
              <w:rPr>
                <w:i/>
                <w:sz w:val="17"/>
              </w:rPr>
              <w:t>1,1</w:t>
            </w:r>
          </w:p>
        </w:tc>
        <w:tc>
          <w:tcPr>
            <w:tcW w:w="1150" w:type="dxa"/>
            <w:vAlign w:val="center"/>
          </w:tcPr>
          <w:p w:rsidR="00000000" w:rsidRDefault="00000000">
            <w:pPr>
              <w:tabs>
                <w:tab w:val="decimal" w:pos="567"/>
              </w:tabs>
              <w:rPr>
                <w:i/>
                <w:sz w:val="17"/>
              </w:rPr>
            </w:pPr>
            <w:r>
              <w:rPr>
                <w:i/>
                <w:sz w:val="17"/>
              </w:rPr>
              <w:t>56,8</w:t>
            </w:r>
          </w:p>
        </w:tc>
        <w:tc>
          <w:tcPr>
            <w:tcW w:w="1095" w:type="dxa"/>
            <w:vAlign w:val="center"/>
          </w:tcPr>
          <w:p w:rsidR="00000000" w:rsidRDefault="00000000">
            <w:pPr>
              <w:tabs>
                <w:tab w:val="decimal" w:pos="567"/>
              </w:tabs>
              <w:rPr>
                <w:sz w:val="17"/>
              </w:rPr>
            </w:pPr>
            <w:r>
              <w:rPr>
                <w:sz w:val="17"/>
              </w:rPr>
              <w:t>876</w:t>
            </w:r>
          </w:p>
        </w:tc>
        <w:tc>
          <w:tcPr>
            <w:tcW w:w="1150" w:type="dxa"/>
            <w:vAlign w:val="center"/>
          </w:tcPr>
          <w:p w:rsidR="00000000" w:rsidRDefault="00000000">
            <w:pPr>
              <w:tabs>
                <w:tab w:val="decimal" w:pos="567"/>
              </w:tabs>
              <w:rPr>
                <w:i/>
                <w:sz w:val="17"/>
              </w:rPr>
            </w:pPr>
            <w:r>
              <w:rPr>
                <w:i/>
                <w:sz w:val="17"/>
              </w:rPr>
              <w:t>-2,8</w:t>
            </w:r>
          </w:p>
        </w:tc>
        <w:tc>
          <w:tcPr>
            <w:tcW w:w="1098" w:type="dxa"/>
            <w:vAlign w:val="center"/>
          </w:tcPr>
          <w:p w:rsidR="00000000" w:rsidRDefault="00000000">
            <w:pPr>
              <w:tabs>
                <w:tab w:val="decimal" w:pos="567"/>
              </w:tabs>
              <w:rPr>
                <w:sz w:val="17"/>
              </w:rPr>
            </w:pPr>
            <w:r>
              <w:rPr>
                <w:sz w:val="17"/>
              </w:rPr>
              <w:t>486</w:t>
            </w:r>
          </w:p>
        </w:tc>
        <w:tc>
          <w:tcPr>
            <w:tcW w:w="1150" w:type="dxa"/>
            <w:vAlign w:val="center"/>
          </w:tcPr>
          <w:p w:rsidR="00000000" w:rsidRDefault="00000000">
            <w:pPr>
              <w:tabs>
                <w:tab w:val="decimal" w:pos="567"/>
              </w:tabs>
              <w:rPr>
                <w:i/>
                <w:sz w:val="17"/>
              </w:rPr>
            </w:pPr>
            <w:r>
              <w:rPr>
                <w:i/>
                <w:sz w:val="17"/>
              </w:rPr>
              <w:t>-3,0</w:t>
            </w:r>
          </w:p>
        </w:tc>
        <w:tc>
          <w:tcPr>
            <w:tcW w:w="1147" w:type="dxa"/>
            <w:vAlign w:val="center"/>
          </w:tcPr>
          <w:p w:rsidR="00000000" w:rsidRDefault="00000000">
            <w:pPr>
              <w:tabs>
                <w:tab w:val="decimal" w:pos="567"/>
              </w:tabs>
              <w:rPr>
                <w:i/>
                <w:sz w:val="17"/>
              </w:rPr>
            </w:pPr>
            <w:r>
              <w:rPr>
                <w:i/>
                <w:sz w:val="17"/>
              </w:rPr>
              <w:t>55,5</w:t>
            </w: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2001</w:t>
            </w:r>
          </w:p>
        </w:tc>
        <w:tc>
          <w:tcPr>
            <w:tcW w:w="1094" w:type="dxa"/>
            <w:vAlign w:val="center"/>
          </w:tcPr>
          <w:p w:rsidR="00000000" w:rsidRDefault="00000000">
            <w:pPr>
              <w:tabs>
                <w:tab w:val="decimal" w:pos="768"/>
              </w:tabs>
              <w:rPr>
                <w:sz w:val="17"/>
              </w:rPr>
            </w:pPr>
            <w:r>
              <w:rPr>
                <w:sz w:val="17"/>
              </w:rPr>
              <w:t>7 542</w:t>
            </w:r>
          </w:p>
        </w:tc>
        <w:tc>
          <w:tcPr>
            <w:tcW w:w="1095" w:type="dxa"/>
            <w:vAlign w:val="center"/>
          </w:tcPr>
          <w:p w:rsidR="00000000" w:rsidRDefault="00000000">
            <w:pPr>
              <w:tabs>
                <w:tab w:val="decimal" w:pos="567"/>
              </w:tabs>
              <w:rPr>
                <w:i/>
                <w:sz w:val="17"/>
              </w:rPr>
            </w:pPr>
            <w:r>
              <w:rPr>
                <w:i/>
                <w:sz w:val="17"/>
              </w:rPr>
              <w:t>-2,6</w:t>
            </w:r>
          </w:p>
        </w:tc>
        <w:tc>
          <w:tcPr>
            <w:tcW w:w="1096" w:type="dxa"/>
            <w:gridSpan w:val="2"/>
            <w:vAlign w:val="center"/>
          </w:tcPr>
          <w:p w:rsidR="00000000" w:rsidRDefault="00000000">
            <w:pPr>
              <w:tabs>
                <w:tab w:val="decimal" w:pos="794"/>
              </w:tabs>
              <w:rPr>
                <w:sz w:val="17"/>
              </w:rPr>
            </w:pPr>
            <w:r>
              <w:rPr>
                <w:sz w:val="17"/>
              </w:rPr>
              <w:t>4 347</w:t>
            </w:r>
          </w:p>
        </w:tc>
        <w:tc>
          <w:tcPr>
            <w:tcW w:w="1150" w:type="dxa"/>
            <w:vAlign w:val="center"/>
          </w:tcPr>
          <w:p w:rsidR="00000000" w:rsidRDefault="00000000">
            <w:pPr>
              <w:tabs>
                <w:tab w:val="decimal" w:pos="567"/>
              </w:tabs>
              <w:rPr>
                <w:i/>
                <w:sz w:val="17"/>
              </w:rPr>
            </w:pPr>
            <w:r>
              <w:rPr>
                <w:i/>
                <w:sz w:val="17"/>
              </w:rPr>
              <w:t>-1,1</w:t>
            </w:r>
          </w:p>
        </w:tc>
        <w:tc>
          <w:tcPr>
            <w:tcW w:w="1150" w:type="dxa"/>
            <w:vAlign w:val="center"/>
          </w:tcPr>
          <w:p w:rsidR="00000000" w:rsidRDefault="00000000">
            <w:pPr>
              <w:tabs>
                <w:tab w:val="decimal" w:pos="567"/>
              </w:tabs>
              <w:rPr>
                <w:i/>
                <w:sz w:val="17"/>
              </w:rPr>
            </w:pPr>
            <w:r>
              <w:rPr>
                <w:i/>
                <w:sz w:val="17"/>
              </w:rPr>
              <w:t>57,6</w:t>
            </w:r>
          </w:p>
        </w:tc>
        <w:tc>
          <w:tcPr>
            <w:tcW w:w="1095" w:type="dxa"/>
            <w:vAlign w:val="center"/>
          </w:tcPr>
          <w:p w:rsidR="00000000" w:rsidRDefault="00000000">
            <w:pPr>
              <w:tabs>
                <w:tab w:val="decimal" w:pos="567"/>
              </w:tabs>
              <w:rPr>
                <w:sz w:val="17"/>
              </w:rPr>
            </w:pPr>
            <w:r>
              <w:rPr>
                <w:sz w:val="17"/>
              </w:rPr>
              <w:t>869</w:t>
            </w:r>
          </w:p>
        </w:tc>
        <w:tc>
          <w:tcPr>
            <w:tcW w:w="1150" w:type="dxa"/>
            <w:vAlign w:val="center"/>
          </w:tcPr>
          <w:p w:rsidR="00000000" w:rsidRDefault="00000000">
            <w:pPr>
              <w:tabs>
                <w:tab w:val="decimal" w:pos="567"/>
              </w:tabs>
              <w:rPr>
                <w:i/>
                <w:sz w:val="17"/>
              </w:rPr>
            </w:pPr>
            <w:r>
              <w:rPr>
                <w:i/>
                <w:sz w:val="17"/>
              </w:rPr>
              <w:t>-0,8</w:t>
            </w:r>
          </w:p>
        </w:tc>
        <w:tc>
          <w:tcPr>
            <w:tcW w:w="1098" w:type="dxa"/>
            <w:vAlign w:val="center"/>
          </w:tcPr>
          <w:p w:rsidR="00000000" w:rsidRDefault="00000000">
            <w:pPr>
              <w:tabs>
                <w:tab w:val="decimal" w:pos="567"/>
              </w:tabs>
              <w:rPr>
                <w:sz w:val="17"/>
              </w:rPr>
            </w:pPr>
            <w:r>
              <w:rPr>
                <w:sz w:val="17"/>
              </w:rPr>
              <w:t>522</w:t>
            </w:r>
          </w:p>
        </w:tc>
        <w:tc>
          <w:tcPr>
            <w:tcW w:w="1150" w:type="dxa"/>
            <w:vAlign w:val="center"/>
          </w:tcPr>
          <w:p w:rsidR="00000000" w:rsidRDefault="00000000">
            <w:pPr>
              <w:tabs>
                <w:tab w:val="decimal" w:pos="567"/>
              </w:tabs>
              <w:rPr>
                <w:i/>
                <w:sz w:val="17"/>
              </w:rPr>
            </w:pPr>
            <w:r>
              <w:rPr>
                <w:i/>
                <w:sz w:val="17"/>
              </w:rPr>
              <w:t>7,4</w:t>
            </w:r>
          </w:p>
        </w:tc>
        <w:tc>
          <w:tcPr>
            <w:tcW w:w="1147" w:type="dxa"/>
            <w:vAlign w:val="center"/>
          </w:tcPr>
          <w:p w:rsidR="00000000" w:rsidRDefault="00000000">
            <w:pPr>
              <w:tabs>
                <w:tab w:val="decimal" w:pos="567"/>
              </w:tabs>
              <w:rPr>
                <w:i/>
                <w:sz w:val="17"/>
              </w:rPr>
            </w:pPr>
            <w:r>
              <w:rPr>
                <w:i/>
                <w:sz w:val="17"/>
              </w:rPr>
              <w:t>60,1</w:t>
            </w:r>
          </w:p>
        </w:tc>
      </w:tr>
      <w:tr w:rsidR="00000000">
        <w:tblPrEx>
          <w:tblCellMar>
            <w:top w:w="0" w:type="dxa"/>
            <w:bottom w:w="0" w:type="dxa"/>
          </w:tblCellMar>
        </w:tblPrEx>
        <w:trPr>
          <w:jc w:val="center"/>
        </w:trPr>
        <w:tc>
          <w:tcPr>
            <w:tcW w:w="1191" w:type="dxa"/>
          </w:tcPr>
          <w:p w:rsidR="00000000" w:rsidRDefault="00000000">
            <w:pPr>
              <w:jc w:val="center"/>
              <w:rPr>
                <w:b/>
                <w:sz w:val="17"/>
              </w:rPr>
            </w:pPr>
            <w:r>
              <w:rPr>
                <w:b/>
                <w:sz w:val="17"/>
              </w:rPr>
              <w:t>2002</w:t>
            </w:r>
          </w:p>
        </w:tc>
        <w:tc>
          <w:tcPr>
            <w:tcW w:w="1094" w:type="dxa"/>
            <w:vAlign w:val="center"/>
          </w:tcPr>
          <w:p w:rsidR="00000000" w:rsidRDefault="00000000">
            <w:pPr>
              <w:tabs>
                <w:tab w:val="decimal" w:pos="768"/>
              </w:tabs>
              <w:rPr>
                <w:b/>
                <w:sz w:val="17"/>
              </w:rPr>
            </w:pPr>
            <w:r>
              <w:rPr>
                <w:b/>
                <w:sz w:val="17"/>
              </w:rPr>
              <w:t>7 593</w:t>
            </w:r>
          </w:p>
        </w:tc>
        <w:tc>
          <w:tcPr>
            <w:tcW w:w="1095" w:type="dxa"/>
            <w:vAlign w:val="center"/>
          </w:tcPr>
          <w:p w:rsidR="00000000" w:rsidRDefault="00000000">
            <w:pPr>
              <w:tabs>
                <w:tab w:val="decimal" w:pos="567"/>
              </w:tabs>
              <w:rPr>
                <w:b/>
                <w:i/>
                <w:sz w:val="17"/>
              </w:rPr>
            </w:pPr>
            <w:r>
              <w:rPr>
                <w:b/>
                <w:i/>
                <w:sz w:val="17"/>
              </w:rPr>
              <w:t>0,7</w:t>
            </w:r>
          </w:p>
        </w:tc>
        <w:tc>
          <w:tcPr>
            <w:tcW w:w="1096" w:type="dxa"/>
            <w:gridSpan w:val="2"/>
            <w:vAlign w:val="center"/>
          </w:tcPr>
          <w:p w:rsidR="00000000" w:rsidRDefault="00000000">
            <w:pPr>
              <w:tabs>
                <w:tab w:val="decimal" w:pos="794"/>
              </w:tabs>
              <w:rPr>
                <w:b/>
                <w:sz w:val="17"/>
              </w:rPr>
            </w:pPr>
            <w:r>
              <w:rPr>
                <w:b/>
                <w:sz w:val="17"/>
              </w:rPr>
              <w:t>4 369</w:t>
            </w:r>
          </w:p>
        </w:tc>
        <w:tc>
          <w:tcPr>
            <w:tcW w:w="1150" w:type="dxa"/>
            <w:vAlign w:val="center"/>
          </w:tcPr>
          <w:p w:rsidR="00000000" w:rsidRDefault="00000000">
            <w:pPr>
              <w:tabs>
                <w:tab w:val="decimal" w:pos="567"/>
              </w:tabs>
              <w:rPr>
                <w:b/>
                <w:i/>
                <w:sz w:val="17"/>
              </w:rPr>
            </w:pPr>
            <w:r>
              <w:rPr>
                <w:b/>
                <w:i/>
                <w:sz w:val="17"/>
              </w:rPr>
              <w:t>0,5</w:t>
            </w:r>
          </w:p>
        </w:tc>
        <w:tc>
          <w:tcPr>
            <w:tcW w:w="1150" w:type="dxa"/>
            <w:vAlign w:val="center"/>
          </w:tcPr>
          <w:p w:rsidR="00000000" w:rsidRDefault="00000000">
            <w:pPr>
              <w:tabs>
                <w:tab w:val="decimal" w:pos="567"/>
              </w:tabs>
              <w:rPr>
                <w:b/>
                <w:i/>
                <w:sz w:val="17"/>
              </w:rPr>
            </w:pPr>
            <w:r>
              <w:rPr>
                <w:b/>
                <w:i/>
                <w:sz w:val="17"/>
              </w:rPr>
              <w:t>57,5</w:t>
            </w:r>
          </w:p>
        </w:tc>
        <w:tc>
          <w:tcPr>
            <w:tcW w:w="1095" w:type="dxa"/>
            <w:vAlign w:val="center"/>
          </w:tcPr>
          <w:p w:rsidR="00000000" w:rsidRDefault="00000000">
            <w:pPr>
              <w:tabs>
                <w:tab w:val="decimal" w:pos="567"/>
              </w:tabs>
              <w:rPr>
                <w:b/>
                <w:sz w:val="17"/>
              </w:rPr>
            </w:pPr>
            <w:r>
              <w:rPr>
                <w:b/>
                <w:sz w:val="17"/>
              </w:rPr>
              <w:t>919</w:t>
            </w:r>
          </w:p>
        </w:tc>
        <w:tc>
          <w:tcPr>
            <w:tcW w:w="1150" w:type="dxa"/>
            <w:vAlign w:val="center"/>
          </w:tcPr>
          <w:p w:rsidR="00000000" w:rsidRDefault="00000000">
            <w:pPr>
              <w:tabs>
                <w:tab w:val="decimal" w:pos="567"/>
              </w:tabs>
              <w:rPr>
                <w:b/>
                <w:i/>
                <w:sz w:val="17"/>
              </w:rPr>
            </w:pPr>
            <w:r>
              <w:rPr>
                <w:b/>
                <w:i/>
                <w:sz w:val="17"/>
              </w:rPr>
              <w:t>5,8</w:t>
            </w:r>
          </w:p>
        </w:tc>
        <w:tc>
          <w:tcPr>
            <w:tcW w:w="1098" w:type="dxa"/>
            <w:vAlign w:val="center"/>
          </w:tcPr>
          <w:p w:rsidR="00000000" w:rsidRDefault="00000000">
            <w:pPr>
              <w:tabs>
                <w:tab w:val="decimal" w:pos="567"/>
              </w:tabs>
              <w:rPr>
                <w:b/>
                <w:sz w:val="17"/>
              </w:rPr>
            </w:pPr>
            <w:r>
              <w:rPr>
                <w:b/>
                <w:sz w:val="17"/>
              </w:rPr>
              <w:t>490</w:t>
            </w:r>
          </w:p>
        </w:tc>
        <w:tc>
          <w:tcPr>
            <w:tcW w:w="1150" w:type="dxa"/>
            <w:vAlign w:val="center"/>
          </w:tcPr>
          <w:p w:rsidR="00000000" w:rsidRDefault="00000000">
            <w:pPr>
              <w:tabs>
                <w:tab w:val="decimal" w:pos="567"/>
              </w:tabs>
              <w:rPr>
                <w:b/>
                <w:i/>
                <w:sz w:val="17"/>
              </w:rPr>
            </w:pPr>
            <w:r>
              <w:rPr>
                <w:b/>
                <w:i/>
                <w:sz w:val="17"/>
              </w:rPr>
              <w:t>-6,1</w:t>
            </w:r>
          </w:p>
        </w:tc>
        <w:tc>
          <w:tcPr>
            <w:tcW w:w="1147" w:type="dxa"/>
            <w:vAlign w:val="center"/>
          </w:tcPr>
          <w:p w:rsidR="00000000" w:rsidRDefault="00000000">
            <w:pPr>
              <w:tabs>
                <w:tab w:val="decimal" w:pos="567"/>
              </w:tabs>
              <w:rPr>
                <w:b/>
                <w:i/>
                <w:sz w:val="17"/>
              </w:rPr>
            </w:pPr>
            <w:r>
              <w:rPr>
                <w:b/>
                <w:i/>
                <w:sz w:val="17"/>
              </w:rPr>
              <w:t>53,3</w:t>
            </w:r>
          </w:p>
        </w:tc>
      </w:tr>
      <w:tr w:rsidR="00000000">
        <w:tblPrEx>
          <w:tblCellMar>
            <w:top w:w="0" w:type="dxa"/>
            <w:bottom w:w="0" w:type="dxa"/>
          </w:tblCellMar>
        </w:tblPrEx>
        <w:trPr>
          <w:cantSplit/>
          <w:jc w:val="center"/>
        </w:trPr>
        <w:tc>
          <w:tcPr>
            <w:tcW w:w="3666" w:type="dxa"/>
            <w:gridSpan w:val="4"/>
          </w:tcPr>
          <w:p w:rsidR="00000000" w:rsidRDefault="00000000">
            <w:pPr>
              <w:rPr>
                <w:i/>
                <w:sz w:val="17"/>
              </w:rPr>
            </w:pPr>
            <w:r>
              <w:rPr>
                <w:sz w:val="17"/>
              </w:rPr>
              <w:t>Школы профессионального образов</w:t>
            </w:r>
            <w:r>
              <w:rPr>
                <w:sz w:val="17"/>
              </w:rPr>
              <w:t>а</w:t>
            </w:r>
            <w:r>
              <w:rPr>
                <w:sz w:val="17"/>
              </w:rPr>
              <w:t>ния</w:t>
            </w:r>
            <w:r>
              <w:rPr>
                <w:sz w:val="17"/>
                <w:vertAlign w:val="superscript"/>
              </w:rPr>
              <w:t>3</w:t>
            </w:r>
          </w:p>
        </w:tc>
        <w:tc>
          <w:tcPr>
            <w:tcW w:w="810" w:type="dxa"/>
            <w:vAlign w:val="center"/>
          </w:tcPr>
          <w:p w:rsidR="00000000" w:rsidRDefault="00000000">
            <w:pPr>
              <w:jc w:val="right"/>
              <w:rPr>
                <w:sz w:val="17"/>
              </w:rPr>
            </w:pPr>
          </w:p>
        </w:tc>
        <w:tc>
          <w:tcPr>
            <w:tcW w:w="1150" w:type="dxa"/>
            <w:vAlign w:val="center"/>
          </w:tcPr>
          <w:p w:rsidR="00000000" w:rsidRDefault="00000000">
            <w:pPr>
              <w:tabs>
                <w:tab w:val="decimal" w:pos="567"/>
              </w:tabs>
              <w:rPr>
                <w:i/>
                <w:sz w:val="17"/>
              </w:rPr>
            </w:pPr>
          </w:p>
        </w:tc>
        <w:tc>
          <w:tcPr>
            <w:tcW w:w="1150" w:type="dxa"/>
            <w:vAlign w:val="center"/>
          </w:tcPr>
          <w:p w:rsidR="00000000" w:rsidRDefault="00000000">
            <w:pPr>
              <w:tabs>
                <w:tab w:val="decimal" w:pos="567"/>
              </w:tabs>
              <w:jc w:val="right"/>
              <w:rPr>
                <w:i/>
                <w:sz w:val="17"/>
              </w:rPr>
            </w:pPr>
          </w:p>
        </w:tc>
        <w:tc>
          <w:tcPr>
            <w:tcW w:w="1095" w:type="dxa"/>
            <w:vAlign w:val="center"/>
          </w:tcPr>
          <w:p w:rsidR="00000000" w:rsidRDefault="00000000">
            <w:pPr>
              <w:tabs>
                <w:tab w:val="decimal" w:pos="567"/>
              </w:tabs>
              <w:jc w:val="right"/>
              <w:rPr>
                <w:sz w:val="17"/>
              </w:rPr>
            </w:pPr>
          </w:p>
        </w:tc>
        <w:tc>
          <w:tcPr>
            <w:tcW w:w="1150" w:type="dxa"/>
            <w:vAlign w:val="center"/>
          </w:tcPr>
          <w:p w:rsidR="00000000" w:rsidRDefault="00000000">
            <w:pPr>
              <w:tabs>
                <w:tab w:val="decimal" w:pos="567"/>
              </w:tabs>
              <w:jc w:val="right"/>
              <w:rPr>
                <w:i/>
                <w:sz w:val="17"/>
              </w:rPr>
            </w:pPr>
          </w:p>
        </w:tc>
        <w:tc>
          <w:tcPr>
            <w:tcW w:w="1098" w:type="dxa"/>
            <w:vAlign w:val="center"/>
          </w:tcPr>
          <w:p w:rsidR="00000000" w:rsidRDefault="00000000">
            <w:pPr>
              <w:tabs>
                <w:tab w:val="decimal" w:pos="567"/>
              </w:tabs>
              <w:jc w:val="right"/>
              <w:rPr>
                <w:sz w:val="17"/>
              </w:rPr>
            </w:pPr>
          </w:p>
        </w:tc>
        <w:tc>
          <w:tcPr>
            <w:tcW w:w="1150" w:type="dxa"/>
            <w:vAlign w:val="center"/>
          </w:tcPr>
          <w:p w:rsidR="00000000" w:rsidRDefault="00000000">
            <w:pPr>
              <w:tabs>
                <w:tab w:val="decimal" w:pos="567"/>
              </w:tabs>
              <w:jc w:val="right"/>
              <w:rPr>
                <w:i/>
                <w:sz w:val="17"/>
              </w:rPr>
            </w:pPr>
          </w:p>
        </w:tc>
        <w:tc>
          <w:tcPr>
            <w:tcW w:w="1147" w:type="dxa"/>
            <w:vAlign w:val="center"/>
          </w:tcPr>
          <w:p w:rsidR="00000000" w:rsidRDefault="00000000">
            <w:pPr>
              <w:tabs>
                <w:tab w:val="decimal" w:pos="567"/>
              </w:tabs>
              <w:jc w:val="right"/>
              <w:rPr>
                <w:i/>
                <w:sz w:val="17"/>
              </w:rPr>
            </w:pP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1999</w:t>
            </w:r>
          </w:p>
        </w:tc>
        <w:tc>
          <w:tcPr>
            <w:tcW w:w="1094" w:type="dxa"/>
            <w:vAlign w:val="center"/>
          </w:tcPr>
          <w:p w:rsidR="00000000" w:rsidRDefault="00000000">
            <w:pPr>
              <w:tabs>
                <w:tab w:val="decimal" w:pos="767"/>
              </w:tabs>
              <w:rPr>
                <w:sz w:val="17"/>
              </w:rPr>
            </w:pPr>
            <w:r>
              <w:rPr>
                <w:sz w:val="17"/>
              </w:rPr>
              <w:t>9 970</w:t>
            </w:r>
          </w:p>
        </w:tc>
        <w:tc>
          <w:tcPr>
            <w:tcW w:w="1095" w:type="dxa"/>
            <w:vAlign w:val="center"/>
          </w:tcPr>
          <w:p w:rsidR="00000000" w:rsidRDefault="00000000">
            <w:pPr>
              <w:tabs>
                <w:tab w:val="decimal" w:pos="567"/>
              </w:tabs>
              <w:rPr>
                <w:i/>
                <w:sz w:val="17"/>
              </w:rPr>
            </w:pPr>
            <w:r>
              <w:rPr>
                <w:i/>
                <w:sz w:val="17"/>
              </w:rPr>
              <w:t>26,7</w:t>
            </w:r>
          </w:p>
        </w:tc>
        <w:tc>
          <w:tcPr>
            <w:tcW w:w="1096" w:type="dxa"/>
            <w:gridSpan w:val="2"/>
            <w:vAlign w:val="center"/>
          </w:tcPr>
          <w:p w:rsidR="00000000" w:rsidRDefault="00000000">
            <w:pPr>
              <w:tabs>
                <w:tab w:val="decimal" w:pos="732"/>
              </w:tabs>
              <w:rPr>
                <w:sz w:val="17"/>
              </w:rPr>
            </w:pPr>
            <w:r>
              <w:rPr>
                <w:sz w:val="17"/>
              </w:rPr>
              <w:t>2 911</w:t>
            </w:r>
          </w:p>
        </w:tc>
        <w:tc>
          <w:tcPr>
            <w:tcW w:w="1150" w:type="dxa"/>
            <w:vAlign w:val="center"/>
          </w:tcPr>
          <w:p w:rsidR="00000000" w:rsidRDefault="00000000">
            <w:pPr>
              <w:tabs>
                <w:tab w:val="decimal" w:pos="567"/>
              </w:tabs>
              <w:rPr>
                <w:i/>
                <w:sz w:val="17"/>
              </w:rPr>
            </w:pPr>
          </w:p>
        </w:tc>
        <w:tc>
          <w:tcPr>
            <w:tcW w:w="1150" w:type="dxa"/>
            <w:vAlign w:val="center"/>
          </w:tcPr>
          <w:p w:rsidR="00000000" w:rsidRDefault="00000000">
            <w:pPr>
              <w:tabs>
                <w:tab w:val="decimal" w:pos="567"/>
              </w:tabs>
              <w:rPr>
                <w:i/>
                <w:sz w:val="17"/>
              </w:rPr>
            </w:pPr>
            <w:r>
              <w:rPr>
                <w:i/>
                <w:sz w:val="17"/>
              </w:rPr>
              <w:t>29,2</w:t>
            </w:r>
          </w:p>
        </w:tc>
        <w:tc>
          <w:tcPr>
            <w:tcW w:w="1095" w:type="dxa"/>
            <w:vAlign w:val="center"/>
          </w:tcPr>
          <w:p w:rsidR="00000000" w:rsidRDefault="00000000">
            <w:pPr>
              <w:tabs>
                <w:tab w:val="decimal" w:pos="567"/>
              </w:tabs>
              <w:rPr>
                <w:sz w:val="17"/>
              </w:rPr>
            </w:pPr>
            <w:r>
              <w:rPr>
                <w:sz w:val="17"/>
              </w:rPr>
              <w:t>3 612</w:t>
            </w:r>
          </w:p>
        </w:tc>
        <w:tc>
          <w:tcPr>
            <w:tcW w:w="1150" w:type="dxa"/>
            <w:vAlign w:val="center"/>
          </w:tcPr>
          <w:p w:rsidR="00000000" w:rsidRDefault="00000000">
            <w:pPr>
              <w:tabs>
                <w:tab w:val="decimal" w:pos="567"/>
              </w:tabs>
              <w:rPr>
                <w:i/>
                <w:sz w:val="17"/>
              </w:rPr>
            </w:pPr>
            <w:r>
              <w:rPr>
                <w:i/>
                <w:sz w:val="17"/>
              </w:rPr>
              <w:t>20,4</w:t>
            </w:r>
          </w:p>
        </w:tc>
        <w:tc>
          <w:tcPr>
            <w:tcW w:w="1098" w:type="dxa"/>
            <w:vAlign w:val="center"/>
          </w:tcPr>
          <w:p w:rsidR="00000000" w:rsidRDefault="00000000">
            <w:pPr>
              <w:tabs>
                <w:tab w:val="decimal" w:pos="567"/>
              </w:tabs>
              <w:rPr>
                <w:sz w:val="17"/>
              </w:rPr>
            </w:pPr>
            <w:r>
              <w:rPr>
                <w:sz w:val="17"/>
              </w:rPr>
              <w:t>1 088</w:t>
            </w:r>
          </w:p>
        </w:tc>
        <w:tc>
          <w:tcPr>
            <w:tcW w:w="1150" w:type="dxa"/>
            <w:vAlign w:val="center"/>
          </w:tcPr>
          <w:p w:rsidR="00000000" w:rsidRDefault="00000000">
            <w:pPr>
              <w:tabs>
                <w:tab w:val="decimal" w:pos="567"/>
              </w:tabs>
              <w:rPr>
                <w:i/>
                <w:sz w:val="17"/>
              </w:rPr>
            </w:pPr>
            <w:r>
              <w:rPr>
                <w:i/>
                <w:sz w:val="17"/>
              </w:rPr>
              <w:t>22,0</w:t>
            </w:r>
          </w:p>
        </w:tc>
        <w:tc>
          <w:tcPr>
            <w:tcW w:w="1147" w:type="dxa"/>
            <w:vAlign w:val="center"/>
          </w:tcPr>
          <w:p w:rsidR="00000000" w:rsidRDefault="00000000">
            <w:pPr>
              <w:tabs>
                <w:tab w:val="decimal" w:pos="567"/>
              </w:tabs>
              <w:rPr>
                <w:i/>
                <w:sz w:val="17"/>
              </w:rPr>
            </w:pPr>
            <w:r>
              <w:rPr>
                <w:i/>
                <w:sz w:val="17"/>
              </w:rPr>
              <w:t>30,1</w:t>
            </w: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2000</w:t>
            </w:r>
          </w:p>
        </w:tc>
        <w:tc>
          <w:tcPr>
            <w:tcW w:w="1094" w:type="dxa"/>
            <w:vAlign w:val="center"/>
          </w:tcPr>
          <w:p w:rsidR="00000000" w:rsidRDefault="00000000">
            <w:pPr>
              <w:tabs>
                <w:tab w:val="decimal" w:pos="767"/>
              </w:tabs>
              <w:rPr>
                <w:sz w:val="17"/>
              </w:rPr>
            </w:pPr>
            <w:r>
              <w:rPr>
                <w:sz w:val="17"/>
              </w:rPr>
              <w:t>11 743</w:t>
            </w:r>
          </w:p>
        </w:tc>
        <w:tc>
          <w:tcPr>
            <w:tcW w:w="1095" w:type="dxa"/>
            <w:vAlign w:val="center"/>
          </w:tcPr>
          <w:p w:rsidR="00000000" w:rsidRDefault="00000000">
            <w:pPr>
              <w:tabs>
                <w:tab w:val="decimal" w:pos="567"/>
              </w:tabs>
              <w:rPr>
                <w:i/>
                <w:sz w:val="17"/>
              </w:rPr>
            </w:pPr>
            <w:r>
              <w:rPr>
                <w:i/>
                <w:sz w:val="17"/>
              </w:rPr>
              <w:t>17,8</w:t>
            </w:r>
          </w:p>
        </w:tc>
        <w:tc>
          <w:tcPr>
            <w:tcW w:w="1096" w:type="dxa"/>
            <w:gridSpan w:val="2"/>
            <w:vAlign w:val="center"/>
          </w:tcPr>
          <w:p w:rsidR="00000000" w:rsidRDefault="00000000">
            <w:pPr>
              <w:tabs>
                <w:tab w:val="decimal" w:pos="732"/>
              </w:tabs>
              <w:rPr>
                <w:sz w:val="17"/>
              </w:rPr>
            </w:pPr>
            <w:r>
              <w:rPr>
                <w:sz w:val="17"/>
              </w:rPr>
              <w:t>3 612</w:t>
            </w:r>
          </w:p>
        </w:tc>
        <w:tc>
          <w:tcPr>
            <w:tcW w:w="1150" w:type="dxa"/>
            <w:vAlign w:val="center"/>
          </w:tcPr>
          <w:p w:rsidR="00000000" w:rsidRDefault="00000000">
            <w:pPr>
              <w:tabs>
                <w:tab w:val="decimal" w:pos="567"/>
              </w:tabs>
              <w:rPr>
                <w:i/>
                <w:sz w:val="17"/>
              </w:rPr>
            </w:pPr>
            <w:r>
              <w:rPr>
                <w:i/>
                <w:sz w:val="17"/>
              </w:rPr>
              <w:t>24,1</w:t>
            </w:r>
          </w:p>
        </w:tc>
        <w:tc>
          <w:tcPr>
            <w:tcW w:w="1150" w:type="dxa"/>
            <w:vAlign w:val="center"/>
          </w:tcPr>
          <w:p w:rsidR="00000000" w:rsidRDefault="00000000">
            <w:pPr>
              <w:tabs>
                <w:tab w:val="decimal" w:pos="567"/>
              </w:tabs>
              <w:rPr>
                <w:i/>
                <w:sz w:val="17"/>
              </w:rPr>
            </w:pPr>
            <w:r>
              <w:rPr>
                <w:i/>
                <w:sz w:val="17"/>
              </w:rPr>
              <w:t>30,8</w:t>
            </w:r>
          </w:p>
        </w:tc>
        <w:tc>
          <w:tcPr>
            <w:tcW w:w="1095" w:type="dxa"/>
            <w:vAlign w:val="center"/>
          </w:tcPr>
          <w:p w:rsidR="00000000" w:rsidRDefault="00000000">
            <w:pPr>
              <w:tabs>
                <w:tab w:val="decimal" w:pos="567"/>
              </w:tabs>
              <w:rPr>
                <w:sz w:val="17"/>
              </w:rPr>
            </w:pPr>
            <w:r>
              <w:rPr>
                <w:sz w:val="17"/>
              </w:rPr>
              <w:t>4 217</w:t>
            </w:r>
          </w:p>
        </w:tc>
        <w:tc>
          <w:tcPr>
            <w:tcW w:w="1150" w:type="dxa"/>
            <w:vAlign w:val="center"/>
          </w:tcPr>
          <w:p w:rsidR="00000000" w:rsidRDefault="00000000">
            <w:pPr>
              <w:tabs>
                <w:tab w:val="decimal" w:pos="567"/>
              </w:tabs>
              <w:rPr>
                <w:i/>
                <w:sz w:val="17"/>
              </w:rPr>
            </w:pPr>
            <w:r>
              <w:rPr>
                <w:i/>
                <w:sz w:val="17"/>
              </w:rPr>
              <w:t>16,7</w:t>
            </w:r>
          </w:p>
        </w:tc>
        <w:tc>
          <w:tcPr>
            <w:tcW w:w="1098" w:type="dxa"/>
            <w:vAlign w:val="center"/>
          </w:tcPr>
          <w:p w:rsidR="00000000" w:rsidRDefault="00000000">
            <w:pPr>
              <w:tabs>
                <w:tab w:val="decimal" w:pos="567"/>
              </w:tabs>
              <w:rPr>
                <w:sz w:val="17"/>
              </w:rPr>
            </w:pPr>
            <w:r>
              <w:rPr>
                <w:sz w:val="17"/>
              </w:rPr>
              <w:t>1 316</w:t>
            </w:r>
          </w:p>
        </w:tc>
        <w:tc>
          <w:tcPr>
            <w:tcW w:w="1150" w:type="dxa"/>
            <w:vAlign w:val="center"/>
          </w:tcPr>
          <w:p w:rsidR="00000000" w:rsidRDefault="00000000">
            <w:pPr>
              <w:tabs>
                <w:tab w:val="decimal" w:pos="567"/>
              </w:tabs>
              <w:rPr>
                <w:i/>
                <w:sz w:val="17"/>
              </w:rPr>
            </w:pPr>
            <w:r>
              <w:rPr>
                <w:i/>
                <w:sz w:val="17"/>
              </w:rPr>
              <w:t>21,0</w:t>
            </w:r>
          </w:p>
        </w:tc>
        <w:tc>
          <w:tcPr>
            <w:tcW w:w="1147" w:type="dxa"/>
            <w:vAlign w:val="center"/>
          </w:tcPr>
          <w:p w:rsidR="00000000" w:rsidRDefault="00000000">
            <w:pPr>
              <w:tabs>
                <w:tab w:val="decimal" w:pos="567"/>
              </w:tabs>
              <w:rPr>
                <w:i/>
                <w:sz w:val="17"/>
              </w:rPr>
            </w:pPr>
            <w:r>
              <w:rPr>
                <w:i/>
                <w:sz w:val="17"/>
              </w:rPr>
              <w:t>31,2</w:t>
            </w: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2001</w:t>
            </w:r>
          </w:p>
        </w:tc>
        <w:tc>
          <w:tcPr>
            <w:tcW w:w="1094" w:type="dxa"/>
            <w:vAlign w:val="center"/>
          </w:tcPr>
          <w:p w:rsidR="00000000" w:rsidRDefault="00000000">
            <w:pPr>
              <w:tabs>
                <w:tab w:val="decimal" w:pos="767"/>
              </w:tabs>
              <w:rPr>
                <w:sz w:val="17"/>
              </w:rPr>
            </w:pPr>
            <w:r>
              <w:rPr>
                <w:sz w:val="17"/>
              </w:rPr>
              <w:t>14 338</w:t>
            </w:r>
          </w:p>
        </w:tc>
        <w:tc>
          <w:tcPr>
            <w:tcW w:w="1095" w:type="dxa"/>
            <w:vAlign w:val="center"/>
          </w:tcPr>
          <w:p w:rsidR="00000000" w:rsidRDefault="00000000">
            <w:pPr>
              <w:tabs>
                <w:tab w:val="decimal" w:pos="567"/>
              </w:tabs>
              <w:rPr>
                <w:i/>
                <w:sz w:val="17"/>
              </w:rPr>
            </w:pPr>
            <w:r>
              <w:rPr>
                <w:i/>
                <w:sz w:val="17"/>
              </w:rPr>
              <w:t>22,1</w:t>
            </w:r>
          </w:p>
        </w:tc>
        <w:tc>
          <w:tcPr>
            <w:tcW w:w="1096" w:type="dxa"/>
            <w:gridSpan w:val="2"/>
            <w:vAlign w:val="center"/>
          </w:tcPr>
          <w:p w:rsidR="00000000" w:rsidRDefault="00000000">
            <w:pPr>
              <w:tabs>
                <w:tab w:val="decimal" w:pos="732"/>
              </w:tabs>
              <w:rPr>
                <w:sz w:val="17"/>
              </w:rPr>
            </w:pPr>
            <w:r>
              <w:rPr>
                <w:sz w:val="17"/>
              </w:rPr>
              <w:t>4 803</w:t>
            </w:r>
          </w:p>
        </w:tc>
        <w:tc>
          <w:tcPr>
            <w:tcW w:w="1150" w:type="dxa"/>
            <w:vAlign w:val="center"/>
          </w:tcPr>
          <w:p w:rsidR="00000000" w:rsidRDefault="00000000">
            <w:pPr>
              <w:tabs>
                <w:tab w:val="decimal" w:pos="567"/>
              </w:tabs>
              <w:rPr>
                <w:i/>
                <w:sz w:val="17"/>
              </w:rPr>
            </w:pPr>
            <w:r>
              <w:rPr>
                <w:i/>
                <w:sz w:val="17"/>
              </w:rPr>
              <w:t>33,0</w:t>
            </w:r>
          </w:p>
        </w:tc>
        <w:tc>
          <w:tcPr>
            <w:tcW w:w="1150" w:type="dxa"/>
            <w:vAlign w:val="center"/>
          </w:tcPr>
          <w:p w:rsidR="00000000" w:rsidRDefault="00000000">
            <w:pPr>
              <w:tabs>
                <w:tab w:val="decimal" w:pos="567"/>
              </w:tabs>
              <w:rPr>
                <w:i/>
                <w:sz w:val="17"/>
              </w:rPr>
            </w:pPr>
            <w:r>
              <w:rPr>
                <w:i/>
                <w:sz w:val="17"/>
              </w:rPr>
              <w:t>33,5</w:t>
            </w:r>
          </w:p>
        </w:tc>
        <w:tc>
          <w:tcPr>
            <w:tcW w:w="1095" w:type="dxa"/>
            <w:vAlign w:val="center"/>
          </w:tcPr>
          <w:p w:rsidR="00000000" w:rsidRDefault="00000000">
            <w:pPr>
              <w:tabs>
                <w:tab w:val="decimal" w:pos="567"/>
              </w:tabs>
              <w:rPr>
                <w:sz w:val="17"/>
              </w:rPr>
            </w:pPr>
            <w:r>
              <w:rPr>
                <w:sz w:val="17"/>
              </w:rPr>
              <w:t>5 410</w:t>
            </w:r>
          </w:p>
        </w:tc>
        <w:tc>
          <w:tcPr>
            <w:tcW w:w="1150" w:type="dxa"/>
            <w:vAlign w:val="center"/>
          </w:tcPr>
          <w:p w:rsidR="00000000" w:rsidRDefault="00000000">
            <w:pPr>
              <w:tabs>
                <w:tab w:val="decimal" w:pos="567"/>
              </w:tabs>
              <w:rPr>
                <w:i/>
                <w:sz w:val="17"/>
              </w:rPr>
            </w:pPr>
            <w:r>
              <w:rPr>
                <w:i/>
                <w:sz w:val="17"/>
              </w:rPr>
              <w:t>28,3</w:t>
            </w:r>
          </w:p>
        </w:tc>
        <w:tc>
          <w:tcPr>
            <w:tcW w:w="1098" w:type="dxa"/>
            <w:vAlign w:val="center"/>
          </w:tcPr>
          <w:p w:rsidR="00000000" w:rsidRDefault="00000000">
            <w:pPr>
              <w:tabs>
                <w:tab w:val="decimal" w:pos="567"/>
              </w:tabs>
              <w:rPr>
                <w:sz w:val="17"/>
              </w:rPr>
            </w:pPr>
            <w:r>
              <w:rPr>
                <w:sz w:val="17"/>
              </w:rPr>
              <w:t>1 967</w:t>
            </w:r>
          </w:p>
        </w:tc>
        <w:tc>
          <w:tcPr>
            <w:tcW w:w="1150" w:type="dxa"/>
            <w:vAlign w:val="center"/>
          </w:tcPr>
          <w:p w:rsidR="00000000" w:rsidRDefault="00000000">
            <w:pPr>
              <w:tabs>
                <w:tab w:val="decimal" w:pos="567"/>
              </w:tabs>
              <w:rPr>
                <w:i/>
                <w:sz w:val="17"/>
              </w:rPr>
            </w:pPr>
            <w:r>
              <w:rPr>
                <w:i/>
                <w:sz w:val="17"/>
              </w:rPr>
              <w:t>49,5</w:t>
            </w:r>
          </w:p>
        </w:tc>
        <w:tc>
          <w:tcPr>
            <w:tcW w:w="1147" w:type="dxa"/>
            <w:vAlign w:val="center"/>
          </w:tcPr>
          <w:p w:rsidR="00000000" w:rsidRDefault="00000000">
            <w:pPr>
              <w:tabs>
                <w:tab w:val="decimal" w:pos="567"/>
              </w:tabs>
              <w:rPr>
                <w:i/>
                <w:sz w:val="17"/>
              </w:rPr>
            </w:pPr>
            <w:r>
              <w:rPr>
                <w:i/>
                <w:sz w:val="17"/>
              </w:rPr>
              <w:t>36,4</w:t>
            </w:r>
          </w:p>
        </w:tc>
      </w:tr>
      <w:tr w:rsidR="00000000">
        <w:tblPrEx>
          <w:tblCellMar>
            <w:top w:w="0" w:type="dxa"/>
            <w:bottom w:w="0" w:type="dxa"/>
          </w:tblCellMar>
        </w:tblPrEx>
        <w:trPr>
          <w:jc w:val="center"/>
        </w:trPr>
        <w:tc>
          <w:tcPr>
            <w:tcW w:w="1191" w:type="dxa"/>
          </w:tcPr>
          <w:p w:rsidR="00000000" w:rsidRDefault="00000000">
            <w:pPr>
              <w:jc w:val="center"/>
              <w:rPr>
                <w:b/>
                <w:sz w:val="17"/>
              </w:rPr>
            </w:pPr>
            <w:r>
              <w:rPr>
                <w:b/>
                <w:sz w:val="17"/>
              </w:rPr>
              <w:t>2002</w:t>
            </w:r>
          </w:p>
        </w:tc>
        <w:tc>
          <w:tcPr>
            <w:tcW w:w="1094" w:type="dxa"/>
            <w:vAlign w:val="center"/>
          </w:tcPr>
          <w:p w:rsidR="00000000" w:rsidRDefault="00000000">
            <w:pPr>
              <w:tabs>
                <w:tab w:val="decimal" w:pos="767"/>
              </w:tabs>
              <w:rPr>
                <w:b/>
                <w:sz w:val="17"/>
              </w:rPr>
            </w:pPr>
            <w:r>
              <w:rPr>
                <w:b/>
                <w:sz w:val="17"/>
              </w:rPr>
              <w:t>17 409</w:t>
            </w:r>
          </w:p>
        </w:tc>
        <w:tc>
          <w:tcPr>
            <w:tcW w:w="1095" w:type="dxa"/>
            <w:vAlign w:val="center"/>
          </w:tcPr>
          <w:p w:rsidR="00000000" w:rsidRDefault="00000000">
            <w:pPr>
              <w:tabs>
                <w:tab w:val="decimal" w:pos="567"/>
              </w:tabs>
              <w:rPr>
                <w:b/>
                <w:i/>
                <w:sz w:val="17"/>
              </w:rPr>
            </w:pPr>
            <w:r>
              <w:rPr>
                <w:b/>
                <w:i/>
                <w:sz w:val="17"/>
              </w:rPr>
              <w:t>21,4</w:t>
            </w:r>
          </w:p>
        </w:tc>
        <w:tc>
          <w:tcPr>
            <w:tcW w:w="1096" w:type="dxa"/>
            <w:gridSpan w:val="2"/>
            <w:vAlign w:val="center"/>
          </w:tcPr>
          <w:p w:rsidR="00000000" w:rsidRDefault="00000000">
            <w:pPr>
              <w:tabs>
                <w:tab w:val="decimal" w:pos="732"/>
              </w:tabs>
              <w:rPr>
                <w:b/>
                <w:sz w:val="17"/>
              </w:rPr>
            </w:pPr>
            <w:r>
              <w:rPr>
                <w:b/>
                <w:sz w:val="17"/>
              </w:rPr>
              <w:t>6 392</w:t>
            </w:r>
          </w:p>
        </w:tc>
        <w:tc>
          <w:tcPr>
            <w:tcW w:w="1150" w:type="dxa"/>
            <w:vAlign w:val="center"/>
          </w:tcPr>
          <w:p w:rsidR="00000000" w:rsidRDefault="00000000">
            <w:pPr>
              <w:tabs>
                <w:tab w:val="decimal" w:pos="567"/>
              </w:tabs>
              <w:rPr>
                <w:b/>
                <w:i/>
                <w:sz w:val="17"/>
              </w:rPr>
            </w:pPr>
            <w:r>
              <w:rPr>
                <w:b/>
                <w:i/>
                <w:sz w:val="17"/>
              </w:rPr>
              <w:t>33,1</w:t>
            </w:r>
          </w:p>
        </w:tc>
        <w:tc>
          <w:tcPr>
            <w:tcW w:w="1150" w:type="dxa"/>
            <w:vAlign w:val="center"/>
          </w:tcPr>
          <w:p w:rsidR="00000000" w:rsidRDefault="00000000">
            <w:pPr>
              <w:tabs>
                <w:tab w:val="decimal" w:pos="567"/>
              </w:tabs>
              <w:rPr>
                <w:b/>
                <w:i/>
                <w:sz w:val="17"/>
              </w:rPr>
            </w:pPr>
            <w:r>
              <w:rPr>
                <w:b/>
                <w:i/>
                <w:sz w:val="17"/>
              </w:rPr>
              <w:t>36,7</w:t>
            </w:r>
          </w:p>
        </w:tc>
        <w:tc>
          <w:tcPr>
            <w:tcW w:w="1095" w:type="dxa"/>
            <w:vAlign w:val="center"/>
          </w:tcPr>
          <w:p w:rsidR="00000000" w:rsidRDefault="00000000">
            <w:pPr>
              <w:tabs>
                <w:tab w:val="decimal" w:pos="567"/>
              </w:tabs>
              <w:rPr>
                <w:b/>
                <w:sz w:val="17"/>
              </w:rPr>
            </w:pPr>
            <w:r>
              <w:rPr>
                <w:b/>
                <w:sz w:val="17"/>
              </w:rPr>
              <w:t>6 488</w:t>
            </w:r>
          </w:p>
        </w:tc>
        <w:tc>
          <w:tcPr>
            <w:tcW w:w="1150" w:type="dxa"/>
            <w:vAlign w:val="center"/>
          </w:tcPr>
          <w:p w:rsidR="00000000" w:rsidRDefault="00000000">
            <w:pPr>
              <w:tabs>
                <w:tab w:val="decimal" w:pos="567"/>
              </w:tabs>
              <w:rPr>
                <w:b/>
                <w:i/>
                <w:sz w:val="17"/>
              </w:rPr>
            </w:pPr>
            <w:r>
              <w:rPr>
                <w:b/>
                <w:i/>
                <w:sz w:val="17"/>
              </w:rPr>
              <w:t>19,9</w:t>
            </w:r>
          </w:p>
        </w:tc>
        <w:tc>
          <w:tcPr>
            <w:tcW w:w="1098" w:type="dxa"/>
            <w:vAlign w:val="center"/>
          </w:tcPr>
          <w:p w:rsidR="00000000" w:rsidRDefault="00000000">
            <w:pPr>
              <w:tabs>
                <w:tab w:val="decimal" w:pos="567"/>
              </w:tabs>
              <w:rPr>
                <w:b/>
                <w:sz w:val="17"/>
              </w:rPr>
            </w:pPr>
            <w:r>
              <w:rPr>
                <w:b/>
                <w:sz w:val="17"/>
              </w:rPr>
              <w:t>2 576</w:t>
            </w:r>
          </w:p>
        </w:tc>
        <w:tc>
          <w:tcPr>
            <w:tcW w:w="1150" w:type="dxa"/>
            <w:vAlign w:val="center"/>
          </w:tcPr>
          <w:p w:rsidR="00000000" w:rsidRDefault="00000000">
            <w:pPr>
              <w:tabs>
                <w:tab w:val="decimal" w:pos="567"/>
              </w:tabs>
              <w:rPr>
                <w:b/>
                <w:i/>
                <w:sz w:val="17"/>
              </w:rPr>
            </w:pPr>
            <w:r>
              <w:rPr>
                <w:b/>
                <w:i/>
                <w:sz w:val="17"/>
              </w:rPr>
              <w:t>31,0</w:t>
            </w:r>
          </w:p>
        </w:tc>
        <w:tc>
          <w:tcPr>
            <w:tcW w:w="1147" w:type="dxa"/>
            <w:vAlign w:val="center"/>
          </w:tcPr>
          <w:p w:rsidR="00000000" w:rsidRDefault="00000000">
            <w:pPr>
              <w:tabs>
                <w:tab w:val="decimal" w:pos="567"/>
              </w:tabs>
              <w:rPr>
                <w:b/>
                <w:i/>
                <w:sz w:val="17"/>
              </w:rPr>
            </w:pPr>
            <w:r>
              <w:rPr>
                <w:b/>
                <w:i/>
                <w:sz w:val="17"/>
              </w:rPr>
              <w:t>39,7</w:t>
            </w:r>
          </w:p>
        </w:tc>
      </w:tr>
      <w:tr w:rsidR="00000000">
        <w:tblPrEx>
          <w:tblCellMar>
            <w:top w:w="0" w:type="dxa"/>
            <w:bottom w:w="0" w:type="dxa"/>
          </w:tblCellMar>
        </w:tblPrEx>
        <w:trPr>
          <w:jc w:val="center"/>
        </w:trPr>
        <w:tc>
          <w:tcPr>
            <w:tcW w:w="1191" w:type="dxa"/>
          </w:tcPr>
          <w:p w:rsidR="00000000" w:rsidRDefault="00000000">
            <w:pPr>
              <w:rPr>
                <w:b/>
                <w:sz w:val="17"/>
              </w:rPr>
            </w:pPr>
            <w:r>
              <w:rPr>
                <w:b/>
                <w:sz w:val="17"/>
              </w:rPr>
              <w:t>Всего</w:t>
            </w:r>
            <w:r>
              <w:rPr>
                <w:b/>
                <w:sz w:val="17"/>
                <w:vertAlign w:val="superscript"/>
              </w:rPr>
              <w:t>3, 4</w:t>
            </w:r>
          </w:p>
        </w:tc>
        <w:tc>
          <w:tcPr>
            <w:tcW w:w="1094" w:type="dxa"/>
            <w:vAlign w:val="center"/>
          </w:tcPr>
          <w:p w:rsidR="00000000" w:rsidRDefault="00000000">
            <w:pPr>
              <w:jc w:val="right"/>
              <w:rPr>
                <w:sz w:val="17"/>
              </w:rPr>
            </w:pPr>
          </w:p>
        </w:tc>
        <w:tc>
          <w:tcPr>
            <w:tcW w:w="1095" w:type="dxa"/>
            <w:vAlign w:val="center"/>
          </w:tcPr>
          <w:p w:rsidR="00000000" w:rsidRDefault="00000000">
            <w:pPr>
              <w:jc w:val="right"/>
              <w:rPr>
                <w:i/>
                <w:sz w:val="17"/>
              </w:rPr>
            </w:pPr>
          </w:p>
        </w:tc>
        <w:tc>
          <w:tcPr>
            <w:tcW w:w="1096" w:type="dxa"/>
            <w:gridSpan w:val="2"/>
            <w:vAlign w:val="center"/>
          </w:tcPr>
          <w:p w:rsidR="00000000" w:rsidRDefault="00000000">
            <w:pPr>
              <w:jc w:val="right"/>
              <w:rPr>
                <w:sz w:val="17"/>
              </w:rPr>
            </w:pPr>
          </w:p>
        </w:tc>
        <w:tc>
          <w:tcPr>
            <w:tcW w:w="1150" w:type="dxa"/>
            <w:vAlign w:val="center"/>
          </w:tcPr>
          <w:p w:rsidR="00000000" w:rsidRDefault="00000000">
            <w:pPr>
              <w:tabs>
                <w:tab w:val="decimal" w:pos="567"/>
              </w:tabs>
              <w:rPr>
                <w:i/>
                <w:sz w:val="17"/>
              </w:rPr>
            </w:pPr>
          </w:p>
        </w:tc>
        <w:tc>
          <w:tcPr>
            <w:tcW w:w="1150" w:type="dxa"/>
            <w:vAlign w:val="center"/>
          </w:tcPr>
          <w:p w:rsidR="00000000" w:rsidRDefault="00000000">
            <w:pPr>
              <w:tabs>
                <w:tab w:val="decimal" w:pos="567"/>
              </w:tabs>
              <w:jc w:val="right"/>
              <w:rPr>
                <w:i/>
                <w:sz w:val="17"/>
              </w:rPr>
            </w:pPr>
          </w:p>
        </w:tc>
        <w:tc>
          <w:tcPr>
            <w:tcW w:w="1095" w:type="dxa"/>
            <w:vAlign w:val="center"/>
          </w:tcPr>
          <w:p w:rsidR="00000000" w:rsidRDefault="00000000">
            <w:pPr>
              <w:tabs>
                <w:tab w:val="decimal" w:pos="567"/>
              </w:tabs>
              <w:jc w:val="right"/>
              <w:rPr>
                <w:sz w:val="17"/>
              </w:rPr>
            </w:pPr>
          </w:p>
        </w:tc>
        <w:tc>
          <w:tcPr>
            <w:tcW w:w="1150" w:type="dxa"/>
            <w:vAlign w:val="center"/>
          </w:tcPr>
          <w:p w:rsidR="00000000" w:rsidRDefault="00000000">
            <w:pPr>
              <w:tabs>
                <w:tab w:val="decimal" w:pos="567"/>
              </w:tabs>
              <w:jc w:val="right"/>
              <w:rPr>
                <w:i/>
                <w:sz w:val="17"/>
              </w:rPr>
            </w:pPr>
          </w:p>
        </w:tc>
        <w:tc>
          <w:tcPr>
            <w:tcW w:w="1098" w:type="dxa"/>
            <w:vAlign w:val="center"/>
          </w:tcPr>
          <w:p w:rsidR="00000000" w:rsidRDefault="00000000">
            <w:pPr>
              <w:tabs>
                <w:tab w:val="decimal" w:pos="567"/>
              </w:tabs>
              <w:jc w:val="right"/>
              <w:rPr>
                <w:sz w:val="17"/>
              </w:rPr>
            </w:pPr>
          </w:p>
        </w:tc>
        <w:tc>
          <w:tcPr>
            <w:tcW w:w="1150" w:type="dxa"/>
            <w:vAlign w:val="center"/>
          </w:tcPr>
          <w:p w:rsidR="00000000" w:rsidRDefault="00000000">
            <w:pPr>
              <w:tabs>
                <w:tab w:val="decimal" w:pos="567"/>
              </w:tabs>
              <w:jc w:val="right"/>
              <w:rPr>
                <w:i/>
                <w:sz w:val="17"/>
              </w:rPr>
            </w:pPr>
          </w:p>
        </w:tc>
        <w:tc>
          <w:tcPr>
            <w:tcW w:w="1147" w:type="dxa"/>
            <w:vAlign w:val="center"/>
          </w:tcPr>
          <w:p w:rsidR="00000000" w:rsidRDefault="00000000">
            <w:pPr>
              <w:tabs>
                <w:tab w:val="decimal" w:pos="567"/>
              </w:tabs>
              <w:jc w:val="right"/>
              <w:rPr>
                <w:i/>
                <w:sz w:val="17"/>
              </w:rPr>
            </w:pP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1999</w:t>
            </w:r>
          </w:p>
        </w:tc>
        <w:tc>
          <w:tcPr>
            <w:tcW w:w="1094" w:type="dxa"/>
            <w:vAlign w:val="center"/>
          </w:tcPr>
          <w:p w:rsidR="00000000" w:rsidRDefault="00000000">
            <w:pPr>
              <w:pStyle w:val="Header"/>
              <w:tabs>
                <w:tab w:val="clear" w:pos="4320"/>
                <w:tab w:val="clear" w:pos="8640"/>
                <w:tab w:val="decimal" w:pos="768"/>
              </w:tabs>
              <w:spacing w:line="200" w:lineRule="exact"/>
              <w:rPr>
                <w:noProof w:val="0"/>
                <w:spacing w:val="4"/>
                <w:w w:val="103"/>
                <w:kern w:val="14"/>
              </w:rPr>
            </w:pPr>
            <w:r>
              <w:rPr>
                <w:noProof w:val="0"/>
                <w:spacing w:val="4"/>
                <w:w w:val="103"/>
                <w:kern w:val="14"/>
              </w:rPr>
              <w:t>237 272</w:t>
            </w:r>
          </w:p>
        </w:tc>
        <w:tc>
          <w:tcPr>
            <w:tcW w:w="1095" w:type="dxa"/>
            <w:vAlign w:val="center"/>
          </w:tcPr>
          <w:p w:rsidR="00000000" w:rsidRDefault="00000000">
            <w:pPr>
              <w:tabs>
                <w:tab w:val="decimal" w:pos="567"/>
              </w:tabs>
              <w:rPr>
                <w:i/>
                <w:sz w:val="17"/>
              </w:rPr>
            </w:pPr>
            <w:r>
              <w:rPr>
                <w:i/>
                <w:sz w:val="17"/>
              </w:rPr>
              <w:t>3,6</w:t>
            </w:r>
          </w:p>
        </w:tc>
        <w:tc>
          <w:tcPr>
            <w:tcW w:w="1096" w:type="dxa"/>
            <w:gridSpan w:val="2"/>
            <w:vAlign w:val="center"/>
          </w:tcPr>
          <w:p w:rsidR="00000000" w:rsidRDefault="00000000">
            <w:pPr>
              <w:tabs>
                <w:tab w:val="decimal" w:pos="732"/>
              </w:tabs>
              <w:rPr>
                <w:sz w:val="17"/>
              </w:rPr>
            </w:pPr>
            <w:r>
              <w:rPr>
                <w:sz w:val="17"/>
              </w:rPr>
              <w:t>117 050</w:t>
            </w:r>
          </w:p>
        </w:tc>
        <w:tc>
          <w:tcPr>
            <w:tcW w:w="1150" w:type="dxa"/>
            <w:vAlign w:val="center"/>
          </w:tcPr>
          <w:p w:rsidR="00000000" w:rsidRDefault="00000000">
            <w:pPr>
              <w:tabs>
                <w:tab w:val="decimal" w:pos="567"/>
              </w:tabs>
              <w:rPr>
                <w:i/>
                <w:sz w:val="17"/>
              </w:rPr>
            </w:pPr>
          </w:p>
        </w:tc>
        <w:tc>
          <w:tcPr>
            <w:tcW w:w="1150" w:type="dxa"/>
            <w:vAlign w:val="center"/>
          </w:tcPr>
          <w:p w:rsidR="00000000" w:rsidRDefault="00000000">
            <w:pPr>
              <w:tabs>
                <w:tab w:val="decimal" w:pos="567"/>
              </w:tabs>
              <w:rPr>
                <w:i/>
                <w:sz w:val="17"/>
              </w:rPr>
            </w:pPr>
            <w:r>
              <w:rPr>
                <w:i/>
                <w:sz w:val="17"/>
              </w:rPr>
              <w:t>49,3</w:t>
            </w:r>
          </w:p>
        </w:tc>
        <w:tc>
          <w:tcPr>
            <w:tcW w:w="1095" w:type="dxa"/>
            <w:vAlign w:val="center"/>
          </w:tcPr>
          <w:p w:rsidR="00000000" w:rsidRDefault="00000000">
            <w:pPr>
              <w:tabs>
                <w:tab w:val="decimal" w:pos="567"/>
              </w:tabs>
              <w:rPr>
                <w:sz w:val="17"/>
              </w:rPr>
            </w:pPr>
            <w:r>
              <w:rPr>
                <w:sz w:val="17"/>
              </w:rPr>
              <w:t>33 268</w:t>
            </w:r>
          </w:p>
        </w:tc>
        <w:tc>
          <w:tcPr>
            <w:tcW w:w="1150" w:type="dxa"/>
            <w:vAlign w:val="center"/>
          </w:tcPr>
          <w:p w:rsidR="00000000" w:rsidRDefault="00000000">
            <w:pPr>
              <w:tabs>
                <w:tab w:val="decimal" w:pos="567"/>
              </w:tabs>
              <w:rPr>
                <w:i/>
                <w:sz w:val="17"/>
              </w:rPr>
            </w:pPr>
            <w:r>
              <w:rPr>
                <w:i/>
                <w:sz w:val="17"/>
              </w:rPr>
              <w:t>9,0</w:t>
            </w:r>
          </w:p>
        </w:tc>
        <w:tc>
          <w:tcPr>
            <w:tcW w:w="1098" w:type="dxa"/>
            <w:vAlign w:val="center"/>
          </w:tcPr>
          <w:p w:rsidR="00000000" w:rsidRDefault="00000000">
            <w:pPr>
              <w:tabs>
                <w:tab w:val="decimal" w:pos="567"/>
              </w:tabs>
              <w:rPr>
                <w:sz w:val="17"/>
              </w:rPr>
            </w:pPr>
            <w:r>
              <w:rPr>
                <w:sz w:val="17"/>
              </w:rPr>
              <w:t>18 201</w:t>
            </w:r>
          </w:p>
        </w:tc>
        <w:tc>
          <w:tcPr>
            <w:tcW w:w="1150" w:type="dxa"/>
            <w:vAlign w:val="center"/>
          </w:tcPr>
          <w:p w:rsidR="00000000" w:rsidRDefault="00000000">
            <w:pPr>
              <w:tabs>
                <w:tab w:val="decimal" w:pos="567"/>
              </w:tabs>
              <w:rPr>
                <w:i/>
                <w:sz w:val="17"/>
              </w:rPr>
            </w:pPr>
            <w:r>
              <w:rPr>
                <w:i/>
                <w:sz w:val="17"/>
              </w:rPr>
              <w:t>10,5</w:t>
            </w:r>
          </w:p>
        </w:tc>
        <w:tc>
          <w:tcPr>
            <w:tcW w:w="1147" w:type="dxa"/>
            <w:vAlign w:val="center"/>
          </w:tcPr>
          <w:p w:rsidR="00000000" w:rsidRDefault="00000000">
            <w:pPr>
              <w:tabs>
                <w:tab w:val="decimal" w:pos="567"/>
              </w:tabs>
              <w:rPr>
                <w:i/>
                <w:sz w:val="17"/>
              </w:rPr>
            </w:pPr>
            <w:r>
              <w:rPr>
                <w:i/>
                <w:sz w:val="17"/>
              </w:rPr>
              <w:t>54,7</w:t>
            </w: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2000</w:t>
            </w:r>
          </w:p>
        </w:tc>
        <w:tc>
          <w:tcPr>
            <w:tcW w:w="1094" w:type="dxa"/>
            <w:vAlign w:val="center"/>
          </w:tcPr>
          <w:p w:rsidR="00000000" w:rsidRDefault="00000000">
            <w:pPr>
              <w:tabs>
                <w:tab w:val="decimal" w:pos="768"/>
              </w:tabs>
              <w:rPr>
                <w:sz w:val="17"/>
              </w:rPr>
            </w:pPr>
            <w:r>
              <w:rPr>
                <w:sz w:val="17"/>
              </w:rPr>
              <w:t>239 691</w:t>
            </w:r>
          </w:p>
        </w:tc>
        <w:tc>
          <w:tcPr>
            <w:tcW w:w="1095" w:type="dxa"/>
            <w:vAlign w:val="center"/>
          </w:tcPr>
          <w:p w:rsidR="00000000" w:rsidRDefault="00000000">
            <w:pPr>
              <w:tabs>
                <w:tab w:val="decimal" w:pos="567"/>
              </w:tabs>
              <w:rPr>
                <w:i/>
                <w:sz w:val="17"/>
              </w:rPr>
            </w:pPr>
            <w:r>
              <w:rPr>
                <w:i/>
                <w:sz w:val="17"/>
              </w:rPr>
              <w:t>1,0</w:t>
            </w:r>
          </w:p>
        </w:tc>
        <w:tc>
          <w:tcPr>
            <w:tcW w:w="1096" w:type="dxa"/>
            <w:gridSpan w:val="2"/>
            <w:vAlign w:val="center"/>
          </w:tcPr>
          <w:p w:rsidR="00000000" w:rsidRDefault="00000000">
            <w:pPr>
              <w:tabs>
                <w:tab w:val="decimal" w:pos="732"/>
              </w:tabs>
              <w:rPr>
                <w:sz w:val="17"/>
              </w:rPr>
            </w:pPr>
            <w:r>
              <w:rPr>
                <w:sz w:val="17"/>
              </w:rPr>
              <w:t>120 375</w:t>
            </w:r>
          </w:p>
        </w:tc>
        <w:tc>
          <w:tcPr>
            <w:tcW w:w="1150" w:type="dxa"/>
            <w:vAlign w:val="center"/>
          </w:tcPr>
          <w:p w:rsidR="00000000" w:rsidRDefault="00000000">
            <w:pPr>
              <w:tabs>
                <w:tab w:val="decimal" w:pos="567"/>
              </w:tabs>
              <w:rPr>
                <w:i/>
                <w:sz w:val="17"/>
              </w:rPr>
            </w:pPr>
            <w:r>
              <w:rPr>
                <w:i/>
                <w:sz w:val="17"/>
              </w:rPr>
              <w:t>2,8</w:t>
            </w:r>
          </w:p>
        </w:tc>
        <w:tc>
          <w:tcPr>
            <w:tcW w:w="1150" w:type="dxa"/>
            <w:vAlign w:val="center"/>
          </w:tcPr>
          <w:p w:rsidR="00000000" w:rsidRDefault="00000000">
            <w:pPr>
              <w:tabs>
                <w:tab w:val="decimal" w:pos="567"/>
              </w:tabs>
              <w:rPr>
                <w:i/>
                <w:sz w:val="17"/>
              </w:rPr>
            </w:pPr>
            <w:r>
              <w:rPr>
                <w:i/>
                <w:sz w:val="17"/>
              </w:rPr>
              <w:t>50,2</w:t>
            </w:r>
          </w:p>
        </w:tc>
        <w:tc>
          <w:tcPr>
            <w:tcW w:w="1095" w:type="dxa"/>
            <w:vAlign w:val="center"/>
          </w:tcPr>
          <w:p w:rsidR="00000000" w:rsidRDefault="00000000">
            <w:pPr>
              <w:tabs>
                <w:tab w:val="decimal" w:pos="567"/>
              </w:tabs>
              <w:rPr>
                <w:sz w:val="17"/>
              </w:rPr>
            </w:pPr>
            <w:r>
              <w:rPr>
                <w:sz w:val="17"/>
              </w:rPr>
              <w:t>34 481</w:t>
            </w:r>
          </w:p>
        </w:tc>
        <w:tc>
          <w:tcPr>
            <w:tcW w:w="1150" w:type="dxa"/>
            <w:vAlign w:val="center"/>
          </w:tcPr>
          <w:p w:rsidR="00000000" w:rsidRDefault="00000000">
            <w:pPr>
              <w:tabs>
                <w:tab w:val="decimal" w:pos="567"/>
              </w:tabs>
              <w:rPr>
                <w:i/>
                <w:sz w:val="17"/>
              </w:rPr>
            </w:pPr>
            <w:r>
              <w:rPr>
                <w:i/>
                <w:sz w:val="17"/>
              </w:rPr>
              <w:t>3,6</w:t>
            </w:r>
          </w:p>
        </w:tc>
        <w:tc>
          <w:tcPr>
            <w:tcW w:w="1098" w:type="dxa"/>
            <w:vAlign w:val="center"/>
          </w:tcPr>
          <w:p w:rsidR="00000000" w:rsidRDefault="00000000">
            <w:pPr>
              <w:tabs>
                <w:tab w:val="decimal" w:pos="567"/>
              </w:tabs>
              <w:rPr>
                <w:sz w:val="17"/>
              </w:rPr>
            </w:pPr>
            <w:r>
              <w:rPr>
                <w:sz w:val="17"/>
              </w:rPr>
              <w:t>18 441</w:t>
            </w:r>
          </w:p>
        </w:tc>
        <w:tc>
          <w:tcPr>
            <w:tcW w:w="1150" w:type="dxa"/>
            <w:vAlign w:val="center"/>
          </w:tcPr>
          <w:p w:rsidR="00000000" w:rsidRDefault="00000000">
            <w:pPr>
              <w:tabs>
                <w:tab w:val="decimal" w:pos="567"/>
              </w:tabs>
              <w:rPr>
                <w:i/>
                <w:sz w:val="17"/>
              </w:rPr>
            </w:pPr>
            <w:r>
              <w:rPr>
                <w:i/>
                <w:sz w:val="17"/>
              </w:rPr>
              <w:t>1,3</w:t>
            </w:r>
          </w:p>
        </w:tc>
        <w:tc>
          <w:tcPr>
            <w:tcW w:w="1147" w:type="dxa"/>
            <w:vAlign w:val="center"/>
          </w:tcPr>
          <w:p w:rsidR="00000000" w:rsidRDefault="00000000">
            <w:pPr>
              <w:tabs>
                <w:tab w:val="decimal" w:pos="567"/>
              </w:tabs>
              <w:rPr>
                <w:i/>
                <w:sz w:val="17"/>
              </w:rPr>
            </w:pPr>
            <w:r>
              <w:rPr>
                <w:i/>
                <w:sz w:val="17"/>
              </w:rPr>
              <w:t>53,5</w:t>
            </w:r>
          </w:p>
        </w:tc>
      </w:tr>
      <w:tr w:rsidR="00000000">
        <w:tblPrEx>
          <w:tblCellMar>
            <w:top w:w="0" w:type="dxa"/>
            <w:bottom w:w="0" w:type="dxa"/>
          </w:tblCellMar>
        </w:tblPrEx>
        <w:trPr>
          <w:jc w:val="center"/>
        </w:trPr>
        <w:tc>
          <w:tcPr>
            <w:tcW w:w="1191" w:type="dxa"/>
          </w:tcPr>
          <w:p w:rsidR="00000000" w:rsidRDefault="00000000">
            <w:pPr>
              <w:jc w:val="center"/>
              <w:rPr>
                <w:sz w:val="17"/>
              </w:rPr>
            </w:pPr>
            <w:r>
              <w:rPr>
                <w:sz w:val="17"/>
              </w:rPr>
              <w:t>2001</w:t>
            </w:r>
          </w:p>
        </w:tc>
        <w:tc>
          <w:tcPr>
            <w:tcW w:w="1094" w:type="dxa"/>
            <w:vAlign w:val="center"/>
          </w:tcPr>
          <w:p w:rsidR="00000000" w:rsidRDefault="00000000">
            <w:pPr>
              <w:tabs>
                <w:tab w:val="decimal" w:pos="768"/>
              </w:tabs>
              <w:rPr>
                <w:sz w:val="17"/>
              </w:rPr>
            </w:pPr>
            <w:r>
              <w:rPr>
                <w:sz w:val="17"/>
              </w:rPr>
              <w:t>197 143</w:t>
            </w:r>
          </w:p>
        </w:tc>
        <w:tc>
          <w:tcPr>
            <w:tcW w:w="1095" w:type="dxa"/>
            <w:vAlign w:val="center"/>
          </w:tcPr>
          <w:p w:rsidR="00000000" w:rsidRDefault="00000000">
            <w:pPr>
              <w:tabs>
                <w:tab w:val="decimal" w:pos="567"/>
              </w:tabs>
              <w:rPr>
                <w:i/>
                <w:sz w:val="17"/>
              </w:rPr>
            </w:pPr>
            <w:r>
              <w:rPr>
                <w:i/>
                <w:sz w:val="17"/>
              </w:rPr>
              <w:t>-17,8</w:t>
            </w:r>
          </w:p>
        </w:tc>
        <w:tc>
          <w:tcPr>
            <w:tcW w:w="1096" w:type="dxa"/>
            <w:gridSpan w:val="2"/>
            <w:vAlign w:val="center"/>
          </w:tcPr>
          <w:p w:rsidR="00000000" w:rsidRDefault="00000000">
            <w:pPr>
              <w:tabs>
                <w:tab w:val="decimal" w:pos="732"/>
              </w:tabs>
              <w:rPr>
                <w:sz w:val="17"/>
              </w:rPr>
            </w:pPr>
            <w:r>
              <w:rPr>
                <w:sz w:val="17"/>
              </w:rPr>
              <w:t>100 340</w:t>
            </w:r>
          </w:p>
        </w:tc>
        <w:tc>
          <w:tcPr>
            <w:tcW w:w="1150" w:type="dxa"/>
            <w:vAlign w:val="center"/>
          </w:tcPr>
          <w:p w:rsidR="00000000" w:rsidRDefault="00000000">
            <w:pPr>
              <w:tabs>
                <w:tab w:val="decimal" w:pos="567"/>
              </w:tabs>
              <w:rPr>
                <w:i/>
                <w:sz w:val="17"/>
              </w:rPr>
            </w:pPr>
            <w:r>
              <w:rPr>
                <w:i/>
                <w:sz w:val="17"/>
              </w:rPr>
              <w:t>-16,6</w:t>
            </w:r>
          </w:p>
        </w:tc>
        <w:tc>
          <w:tcPr>
            <w:tcW w:w="1150" w:type="dxa"/>
            <w:vAlign w:val="center"/>
          </w:tcPr>
          <w:p w:rsidR="00000000" w:rsidRDefault="00000000">
            <w:pPr>
              <w:tabs>
                <w:tab w:val="decimal" w:pos="567"/>
              </w:tabs>
              <w:rPr>
                <w:i/>
                <w:sz w:val="17"/>
              </w:rPr>
            </w:pPr>
            <w:r>
              <w:rPr>
                <w:i/>
                <w:sz w:val="17"/>
              </w:rPr>
              <w:t>50,9</w:t>
            </w:r>
          </w:p>
        </w:tc>
        <w:tc>
          <w:tcPr>
            <w:tcW w:w="1095" w:type="dxa"/>
            <w:vAlign w:val="center"/>
          </w:tcPr>
          <w:p w:rsidR="00000000" w:rsidRDefault="00000000">
            <w:pPr>
              <w:tabs>
                <w:tab w:val="decimal" w:pos="567"/>
              </w:tabs>
              <w:rPr>
                <w:sz w:val="17"/>
              </w:rPr>
            </w:pPr>
            <w:r>
              <w:rPr>
                <w:sz w:val="17"/>
              </w:rPr>
              <w:t>31 579</w:t>
            </w:r>
          </w:p>
        </w:tc>
        <w:tc>
          <w:tcPr>
            <w:tcW w:w="1150" w:type="dxa"/>
            <w:vAlign w:val="center"/>
          </w:tcPr>
          <w:p w:rsidR="00000000" w:rsidRDefault="00000000">
            <w:pPr>
              <w:tabs>
                <w:tab w:val="decimal" w:pos="567"/>
              </w:tabs>
              <w:rPr>
                <w:i/>
                <w:sz w:val="17"/>
              </w:rPr>
            </w:pPr>
            <w:r>
              <w:rPr>
                <w:i/>
                <w:sz w:val="17"/>
              </w:rPr>
              <w:t>-8,4</w:t>
            </w:r>
          </w:p>
        </w:tc>
        <w:tc>
          <w:tcPr>
            <w:tcW w:w="1098" w:type="dxa"/>
            <w:vAlign w:val="center"/>
          </w:tcPr>
          <w:p w:rsidR="00000000" w:rsidRDefault="00000000">
            <w:pPr>
              <w:tabs>
                <w:tab w:val="decimal" w:pos="567"/>
              </w:tabs>
              <w:rPr>
                <w:sz w:val="17"/>
              </w:rPr>
            </w:pPr>
            <w:r>
              <w:rPr>
                <w:sz w:val="17"/>
              </w:rPr>
              <w:t>17 031</w:t>
            </w:r>
          </w:p>
        </w:tc>
        <w:tc>
          <w:tcPr>
            <w:tcW w:w="1150" w:type="dxa"/>
            <w:vAlign w:val="center"/>
          </w:tcPr>
          <w:p w:rsidR="00000000" w:rsidRDefault="00000000">
            <w:pPr>
              <w:tabs>
                <w:tab w:val="decimal" w:pos="567"/>
              </w:tabs>
              <w:rPr>
                <w:i/>
                <w:sz w:val="17"/>
              </w:rPr>
            </w:pPr>
            <w:r>
              <w:rPr>
                <w:i/>
                <w:sz w:val="17"/>
              </w:rPr>
              <w:t>-7,6</w:t>
            </w:r>
          </w:p>
        </w:tc>
        <w:tc>
          <w:tcPr>
            <w:tcW w:w="1147" w:type="dxa"/>
            <w:vAlign w:val="center"/>
          </w:tcPr>
          <w:p w:rsidR="00000000" w:rsidRDefault="00000000">
            <w:pPr>
              <w:tabs>
                <w:tab w:val="decimal" w:pos="567"/>
              </w:tabs>
              <w:rPr>
                <w:i/>
                <w:sz w:val="17"/>
              </w:rPr>
            </w:pPr>
            <w:r>
              <w:rPr>
                <w:i/>
                <w:sz w:val="17"/>
              </w:rPr>
              <w:t>53,9</w:t>
            </w:r>
          </w:p>
        </w:tc>
      </w:tr>
      <w:tr w:rsidR="00000000">
        <w:tblPrEx>
          <w:tblCellMar>
            <w:top w:w="0" w:type="dxa"/>
            <w:bottom w:w="0" w:type="dxa"/>
          </w:tblCellMar>
        </w:tblPrEx>
        <w:trPr>
          <w:jc w:val="center"/>
        </w:trPr>
        <w:tc>
          <w:tcPr>
            <w:tcW w:w="1191" w:type="dxa"/>
            <w:tcBorders>
              <w:bottom w:val="single" w:sz="12" w:space="0" w:color="auto"/>
            </w:tcBorders>
            <w:shd w:val="clear" w:color="auto" w:fill="FFFF00"/>
          </w:tcPr>
          <w:p w:rsidR="00000000" w:rsidRDefault="00000000">
            <w:pPr>
              <w:jc w:val="center"/>
              <w:rPr>
                <w:b/>
                <w:sz w:val="17"/>
              </w:rPr>
            </w:pPr>
            <w:r>
              <w:rPr>
                <w:b/>
                <w:sz w:val="17"/>
              </w:rPr>
              <w:t>2002</w:t>
            </w:r>
          </w:p>
        </w:tc>
        <w:tc>
          <w:tcPr>
            <w:tcW w:w="1094" w:type="dxa"/>
            <w:tcBorders>
              <w:bottom w:val="single" w:sz="12" w:space="0" w:color="auto"/>
            </w:tcBorders>
            <w:shd w:val="clear" w:color="auto" w:fill="FFFF00"/>
            <w:vAlign w:val="center"/>
          </w:tcPr>
          <w:p w:rsidR="00000000" w:rsidRDefault="00000000">
            <w:pPr>
              <w:tabs>
                <w:tab w:val="decimal" w:pos="768"/>
              </w:tabs>
              <w:rPr>
                <w:b/>
                <w:sz w:val="17"/>
              </w:rPr>
            </w:pPr>
            <w:r>
              <w:rPr>
                <w:b/>
                <w:sz w:val="17"/>
              </w:rPr>
              <w:t>203 774</w:t>
            </w:r>
          </w:p>
        </w:tc>
        <w:tc>
          <w:tcPr>
            <w:tcW w:w="1095" w:type="dxa"/>
            <w:tcBorders>
              <w:bottom w:val="single" w:sz="12" w:space="0" w:color="auto"/>
            </w:tcBorders>
            <w:shd w:val="clear" w:color="auto" w:fill="FFFF00"/>
            <w:vAlign w:val="center"/>
          </w:tcPr>
          <w:p w:rsidR="00000000" w:rsidRDefault="00000000">
            <w:pPr>
              <w:tabs>
                <w:tab w:val="decimal" w:pos="567"/>
              </w:tabs>
              <w:rPr>
                <w:b/>
                <w:i/>
                <w:sz w:val="17"/>
              </w:rPr>
            </w:pPr>
            <w:r>
              <w:rPr>
                <w:b/>
                <w:i/>
                <w:sz w:val="17"/>
              </w:rPr>
              <w:t>3,4</w:t>
            </w:r>
          </w:p>
        </w:tc>
        <w:tc>
          <w:tcPr>
            <w:tcW w:w="1096" w:type="dxa"/>
            <w:gridSpan w:val="2"/>
            <w:tcBorders>
              <w:bottom w:val="single" w:sz="12" w:space="0" w:color="auto"/>
            </w:tcBorders>
            <w:shd w:val="clear" w:color="auto" w:fill="FFFF00"/>
            <w:vAlign w:val="center"/>
          </w:tcPr>
          <w:p w:rsidR="00000000" w:rsidRDefault="00000000">
            <w:pPr>
              <w:tabs>
                <w:tab w:val="decimal" w:pos="732"/>
              </w:tabs>
              <w:rPr>
                <w:b/>
                <w:sz w:val="17"/>
              </w:rPr>
            </w:pPr>
            <w:r>
              <w:rPr>
                <w:b/>
                <w:sz w:val="17"/>
              </w:rPr>
              <w:t>104 677</w:t>
            </w:r>
          </w:p>
        </w:tc>
        <w:tc>
          <w:tcPr>
            <w:tcW w:w="1150" w:type="dxa"/>
            <w:tcBorders>
              <w:bottom w:val="single" w:sz="12" w:space="0" w:color="auto"/>
            </w:tcBorders>
            <w:shd w:val="clear" w:color="auto" w:fill="FFFF00"/>
            <w:vAlign w:val="center"/>
          </w:tcPr>
          <w:p w:rsidR="00000000" w:rsidRDefault="00000000">
            <w:pPr>
              <w:tabs>
                <w:tab w:val="decimal" w:pos="567"/>
              </w:tabs>
              <w:rPr>
                <w:b/>
                <w:i/>
                <w:sz w:val="17"/>
              </w:rPr>
            </w:pPr>
            <w:r>
              <w:rPr>
                <w:b/>
                <w:i/>
                <w:sz w:val="17"/>
              </w:rPr>
              <w:t>4,3</w:t>
            </w:r>
          </w:p>
        </w:tc>
        <w:tc>
          <w:tcPr>
            <w:tcW w:w="1150" w:type="dxa"/>
            <w:tcBorders>
              <w:bottom w:val="single" w:sz="12" w:space="0" w:color="auto"/>
            </w:tcBorders>
            <w:shd w:val="clear" w:color="auto" w:fill="FFFF00"/>
            <w:vAlign w:val="center"/>
          </w:tcPr>
          <w:p w:rsidR="00000000" w:rsidRDefault="00000000">
            <w:pPr>
              <w:tabs>
                <w:tab w:val="decimal" w:pos="567"/>
              </w:tabs>
              <w:rPr>
                <w:b/>
                <w:i/>
                <w:sz w:val="17"/>
              </w:rPr>
            </w:pPr>
            <w:r>
              <w:rPr>
                <w:b/>
                <w:i/>
                <w:sz w:val="17"/>
              </w:rPr>
              <w:t>51,4</w:t>
            </w:r>
          </w:p>
        </w:tc>
        <w:tc>
          <w:tcPr>
            <w:tcW w:w="1095" w:type="dxa"/>
            <w:tcBorders>
              <w:bottom w:val="single" w:sz="12" w:space="0" w:color="auto"/>
            </w:tcBorders>
            <w:shd w:val="clear" w:color="auto" w:fill="FFFF00"/>
            <w:vAlign w:val="center"/>
          </w:tcPr>
          <w:p w:rsidR="00000000" w:rsidRDefault="00000000">
            <w:pPr>
              <w:tabs>
                <w:tab w:val="decimal" w:pos="567"/>
              </w:tabs>
              <w:rPr>
                <w:b/>
                <w:sz w:val="17"/>
              </w:rPr>
            </w:pPr>
            <w:r>
              <w:rPr>
                <w:b/>
                <w:sz w:val="17"/>
              </w:rPr>
              <w:t>35 585</w:t>
            </w:r>
          </w:p>
        </w:tc>
        <w:tc>
          <w:tcPr>
            <w:tcW w:w="1150" w:type="dxa"/>
            <w:tcBorders>
              <w:bottom w:val="single" w:sz="12" w:space="0" w:color="auto"/>
            </w:tcBorders>
            <w:shd w:val="clear" w:color="auto" w:fill="FFFF00"/>
            <w:vAlign w:val="center"/>
          </w:tcPr>
          <w:p w:rsidR="00000000" w:rsidRDefault="00000000">
            <w:pPr>
              <w:tabs>
                <w:tab w:val="decimal" w:pos="567"/>
              </w:tabs>
              <w:rPr>
                <w:b/>
                <w:i/>
                <w:sz w:val="17"/>
              </w:rPr>
            </w:pPr>
            <w:r>
              <w:rPr>
                <w:b/>
                <w:i/>
                <w:sz w:val="17"/>
              </w:rPr>
              <w:t>12,7</w:t>
            </w:r>
          </w:p>
        </w:tc>
        <w:tc>
          <w:tcPr>
            <w:tcW w:w="1098" w:type="dxa"/>
            <w:tcBorders>
              <w:bottom w:val="single" w:sz="12" w:space="0" w:color="auto"/>
            </w:tcBorders>
            <w:shd w:val="clear" w:color="auto" w:fill="FFFF00"/>
            <w:vAlign w:val="center"/>
          </w:tcPr>
          <w:p w:rsidR="00000000" w:rsidRDefault="00000000">
            <w:pPr>
              <w:tabs>
                <w:tab w:val="decimal" w:pos="567"/>
              </w:tabs>
              <w:rPr>
                <w:b/>
                <w:sz w:val="17"/>
              </w:rPr>
            </w:pPr>
            <w:r>
              <w:rPr>
                <w:b/>
                <w:sz w:val="17"/>
              </w:rPr>
              <w:t>19 011</w:t>
            </w:r>
          </w:p>
        </w:tc>
        <w:tc>
          <w:tcPr>
            <w:tcW w:w="1150" w:type="dxa"/>
            <w:tcBorders>
              <w:bottom w:val="single" w:sz="12" w:space="0" w:color="auto"/>
            </w:tcBorders>
            <w:shd w:val="clear" w:color="auto" w:fill="FFFF00"/>
            <w:vAlign w:val="center"/>
          </w:tcPr>
          <w:p w:rsidR="00000000" w:rsidRDefault="00000000">
            <w:pPr>
              <w:tabs>
                <w:tab w:val="decimal" w:pos="567"/>
              </w:tabs>
              <w:rPr>
                <w:b/>
                <w:i/>
                <w:sz w:val="17"/>
              </w:rPr>
            </w:pPr>
            <w:r>
              <w:rPr>
                <w:b/>
                <w:i/>
                <w:sz w:val="17"/>
              </w:rPr>
              <w:t>11,6</w:t>
            </w:r>
          </w:p>
        </w:tc>
        <w:tc>
          <w:tcPr>
            <w:tcW w:w="1147" w:type="dxa"/>
            <w:tcBorders>
              <w:bottom w:val="single" w:sz="12" w:space="0" w:color="auto"/>
            </w:tcBorders>
            <w:shd w:val="clear" w:color="auto" w:fill="FFFF00"/>
            <w:vAlign w:val="center"/>
          </w:tcPr>
          <w:p w:rsidR="00000000" w:rsidRDefault="00000000">
            <w:pPr>
              <w:tabs>
                <w:tab w:val="decimal" w:pos="567"/>
              </w:tabs>
              <w:rPr>
                <w:b/>
                <w:i/>
                <w:sz w:val="17"/>
              </w:rPr>
            </w:pPr>
            <w:r>
              <w:rPr>
                <w:b/>
                <w:i/>
                <w:sz w:val="17"/>
              </w:rPr>
              <w:t>53,4</w:t>
            </w:r>
          </w:p>
        </w:tc>
      </w:tr>
    </w:tbl>
    <w:p w:rsidR="00000000" w:rsidRDefault="00000000">
      <w:pPr>
        <w:pStyle w:val="50"/>
      </w:pPr>
    </w:p>
    <w:p w:rsidR="00000000" w:rsidRDefault="00000000">
      <w:pPr>
        <w:ind w:left="284" w:hanging="284"/>
        <w:rPr>
          <w:sz w:val="17"/>
        </w:rPr>
      </w:pPr>
      <w:r>
        <w:rPr>
          <w:sz w:val="17"/>
          <w:vertAlign w:val="superscript"/>
        </w:rPr>
        <w:t>1</w:t>
      </w:r>
      <w:r>
        <w:rPr>
          <w:sz w:val="17"/>
        </w:rPr>
        <w:tab/>
        <w:t>Зимний семестр 2002 года: предварительные денные. Снижение числа студентов в зимний семестр 2001 года примерно на 20% прежде всего обусло</w:t>
      </w:r>
      <w:r>
        <w:rPr>
          <w:sz w:val="17"/>
        </w:rPr>
        <w:t>в</w:t>
      </w:r>
      <w:r>
        <w:rPr>
          <w:sz w:val="17"/>
        </w:rPr>
        <w:t>лено введением платы за обучение, начиная с этого семестра, и отражает, прежде всего, отчисление зарегистрированных, но не посещавших занятия студентов.</w:t>
      </w:r>
    </w:p>
    <w:p w:rsidR="00000000" w:rsidRDefault="00000000">
      <w:pPr>
        <w:ind w:left="284" w:hanging="284"/>
        <w:rPr>
          <w:sz w:val="17"/>
        </w:rPr>
      </w:pPr>
      <w:r>
        <w:rPr>
          <w:sz w:val="17"/>
          <w:vertAlign w:val="superscript"/>
        </w:rPr>
        <w:t>2</w:t>
      </w:r>
      <w:r>
        <w:rPr>
          <w:sz w:val="17"/>
        </w:rPr>
        <w:tab/>
        <w:t>Изменения по сравнению с предшествующим годом в процентах.</w:t>
      </w:r>
    </w:p>
    <w:p w:rsidR="00000000" w:rsidRDefault="00000000">
      <w:pPr>
        <w:ind w:left="284" w:hanging="284"/>
        <w:rPr>
          <w:sz w:val="17"/>
        </w:rPr>
      </w:pPr>
      <w:r>
        <w:rPr>
          <w:sz w:val="17"/>
          <w:vertAlign w:val="superscript"/>
        </w:rPr>
        <w:t>3,4</w:t>
      </w:r>
      <w:r>
        <w:rPr>
          <w:sz w:val="17"/>
        </w:rPr>
        <w:tab/>
        <w:t>Включая возможный двойной подсчет.</w:t>
      </w:r>
    </w:p>
    <w:p w:rsidR="00000000" w:rsidRDefault="00000000">
      <w:pPr>
        <w:pStyle w:val="50"/>
      </w:pPr>
    </w:p>
    <w:p w:rsidR="00000000" w:rsidRDefault="00000000">
      <w:pPr>
        <w:rPr>
          <w:sz w:val="17"/>
        </w:rPr>
      </w:pPr>
      <w:r>
        <w:rPr>
          <w:i/>
          <w:sz w:val="17"/>
        </w:rPr>
        <w:t>Источник</w:t>
      </w:r>
      <w:r>
        <w:rPr>
          <w:sz w:val="17"/>
        </w:rPr>
        <w:t xml:space="preserve"> для школ профессионального образования: Статистическое управление Австрии</w:t>
      </w:r>
    </w:p>
    <w:p w:rsidR="00000000" w:rsidRDefault="00000000">
      <w:pPr>
        <w:pStyle w:val="SingleTxt"/>
        <w:pageBreakBefore/>
        <w:tabs>
          <w:tab w:val="clear" w:pos="1267"/>
        </w:tabs>
        <w:ind w:left="0"/>
        <w:jc w:val="left"/>
        <w:rPr>
          <w:b/>
        </w:rPr>
      </w:pPr>
      <w:r>
        <w:rPr>
          <w:b/>
          <w:lang w:eastAsia="de-AT"/>
        </w:rPr>
        <w:t xml:space="preserve">Наиболее высокие достижения в области образования постоянно проживающего населения по состоянию </w:t>
      </w:r>
      <w:r>
        <w:rPr>
          <w:b/>
          <w:lang w:eastAsia="de-AT"/>
        </w:rPr>
        <w:br/>
        <w:t>на день пер</w:t>
      </w:r>
      <w:r>
        <w:rPr>
          <w:b/>
          <w:lang w:eastAsia="de-AT"/>
        </w:rPr>
        <w:t>е</w:t>
      </w:r>
      <w:r>
        <w:rPr>
          <w:b/>
          <w:lang w:eastAsia="de-AT"/>
        </w:rPr>
        <w:t>писи в процентах, 15 лет и старше, переписи 1971 и 2001 годов</w:t>
      </w:r>
    </w:p>
    <w:p w:rsidR="00000000" w:rsidRDefault="00000000">
      <w:pPr>
        <w:pStyle w:val="SingleTxt"/>
        <w:tabs>
          <w:tab w:val="clear" w:pos="1267"/>
        </w:tabs>
        <w:ind w:left="0"/>
        <w:rPr>
          <w:b/>
          <w:sz w:val="17"/>
          <w:u w:val="single"/>
          <w:lang w:eastAsia="de-AT"/>
        </w:rPr>
      </w:pPr>
    </w:p>
    <w:p w:rsidR="00000000" w:rsidRDefault="00000000">
      <w:pPr>
        <w:pStyle w:val="SingleTxt"/>
        <w:tabs>
          <w:tab w:val="clear" w:pos="1267"/>
        </w:tabs>
        <w:ind w:left="0"/>
        <w:rPr>
          <w:u w:val="single"/>
        </w:rPr>
      </w:pPr>
      <w:r>
        <w:rPr>
          <w:b/>
          <w:sz w:val="17"/>
          <w:u w:val="single"/>
          <w:lang w:eastAsia="de-AT"/>
        </w:rPr>
        <w:t>Перепись 2001 года</w:t>
      </w:r>
    </w:p>
    <w:tbl>
      <w:tblPr>
        <w:tblW w:w="0" w:type="auto"/>
        <w:jc w:val="center"/>
        <w:tblLayout w:type="fixed"/>
        <w:tblCellMar>
          <w:left w:w="70" w:type="dxa"/>
          <w:right w:w="70" w:type="dxa"/>
        </w:tblCellMar>
        <w:tblLook w:val="0000" w:firstRow="0" w:lastRow="0" w:firstColumn="0" w:lastColumn="0" w:noHBand="0" w:noVBand="0"/>
      </w:tblPr>
      <w:tblGrid>
        <w:gridCol w:w="913"/>
        <w:gridCol w:w="1606"/>
        <w:gridCol w:w="1668"/>
        <w:gridCol w:w="1209"/>
        <w:gridCol w:w="1475"/>
        <w:gridCol w:w="1533"/>
        <w:gridCol w:w="1511"/>
        <w:gridCol w:w="1193"/>
        <w:gridCol w:w="1232"/>
      </w:tblGrid>
      <w:tr w:rsidR="00000000">
        <w:tblPrEx>
          <w:tblCellMar>
            <w:top w:w="0" w:type="dxa"/>
            <w:bottom w:w="0" w:type="dxa"/>
          </w:tblCellMar>
        </w:tblPrEx>
        <w:trPr>
          <w:jc w:val="center"/>
        </w:trPr>
        <w:tc>
          <w:tcPr>
            <w:tcW w:w="913"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p>
        </w:tc>
        <w:tc>
          <w:tcPr>
            <w:tcW w:w="1606" w:type="dxa"/>
            <w:tcBorders>
              <w:top w:val="single" w:sz="4" w:space="0" w:color="auto"/>
              <w:left w:val="nil"/>
              <w:bottom w:val="single" w:sz="12" w:space="0" w:color="auto"/>
              <w:right w:val="nil"/>
            </w:tcBorders>
            <w:vAlign w:val="bottom"/>
          </w:tcPr>
          <w:p w:rsidR="00000000" w:rsidRDefault="00000000">
            <w:pPr>
              <w:pStyle w:val="Header"/>
              <w:tabs>
                <w:tab w:val="clear" w:pos="4320"/>
                <w:tab w:val="clear" w:pos="8640"/>
              </w:tabs>
              <w:spacing w:line="200" w:lineRule="exact"/>
              <w:jc w:val="center"/>
              <w:rPr>
                <w:i/>
                <w:noProof w:val="0"/>
                <w:spacing w:val="4"/>
                <w:w w:val="103"/>
                <w:kern w:val="14"/>
                <w:lang w:eastAsia="de-AT"/>
              </w:rPr>
            </w:pPr>
            <w:r>
              <w:rPr>
                <w:i/>
              </w:rPr>
              <w:t>Вуз,</w:t>
            </w:r>
            <w:r>
              <w:rPr>
                <w:i/>
              </w:rPr>
              <w:br/>
            </w:r>
            <w:r>
              <w:rPr>
                <w:i/>
                <w:noProof w:val="0"/>
                <w:spacing w:val="4"/>
                <w:w w:val="103"/>
                <w:kern w:val="14"/>
                <w:lang w:eastAsia="de-AT"/>
              </w:rPr>
              <w:t>политехническое училище</w:t>
            </w:r>
          </w:p>
        </w:tc>
        <w:tc>
          <w:tcPr>
            <w:tcW w:w="1668"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Техническое или профессиональное училище, педагог</w:t>
            </w:r>
            <w:r>
              <w:rPr>
                <w:i/>
                <w:sz w:val="17"/>
                <w:lang w:eastAsia="de-AT"/>
              </w:rPr>
              <w:t>и</w:t>
            </w:r>
            <w:r>
              <w:rPr>
                <w:i/>
                <w:sz w:val="17"/>
                <w:lang w:eastAsia="de-AT"/>
              </w:rPr>
              <w:t>ческое училище</w:t>
            </w:r>
          </w:p>
        </w:tc>
        <w:tc>
          <w:tcPr>
            <w:tcW w:w="1209"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Техникум, курсы по окончании школы</w:t>
            </w:r>
          </w:p>
        </w:tc>
        <w:tc>
          <w:tcPr>
            <w:tcW w:w="1475"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Высшее, среднее профессионал</w:t>
            </w:r>
            <w:r>
              <w:rPr>
                <w:i/>
                <w:sz w:val="17"/>
                <w:lang w:eastAsia="de-AT"/>
              </w:rPr>
              <w:t>ь</w:t>
            </w:r>
            <w:r>
              <w:rPr>
                <w:i/>
                <w:sz w:val="17"/>
                <w:lang w:eastAsia="de-AT"/>
              </w:rPr>
              <w:t>но-техническое уч</w:t>
            </w:r>
            <w:r>
              <w:rPr>
                <w:i/>
                <w:sz w:val="17"/>
                <w:lang w:eastAsia="de-AT"/>
              </w:rPr>
              <w:t>и</w:t>
            </w:r>
            <w:r>
              <w:rPr>
                <w:i/>
                <w:sz w:val="17"/>
                <w:lang w:eastAsia="de-AT"/>
              </w:rPr>
              <w:t>лище</w:t>
            </w:r>
          </w:p>
        </w:tc>
        <w:tc>
          <w:tcPr>
            <w:tcW w:w="1533"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Специальная средняя школа</w:t>
            </w:r>
          </w:p>
        </w:tc>
        <w:tc>
          <w:tcPr>
            <w:tcW w:w="1511"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Начальное пр</w:t>
            </w:r>
            <w:r>
              <w:rPr>
                <w:i/>
                <w:sz w:val="17"/>
                <w:lang w:eastAsia="de-AT"/>
              </w:rPr>
              <w:t>о</w:t>
            </w:r>
            <w:r>
              <w:rPr>
                <w:i/>
                <w:sz w:val="17"/>
                <w:lang w:eastAsia="de-AT"/>
              </w:rPr>
              <w:t>фессионально-техническое уч</w:t>
            </w:r>
            <w:r>
              <w:rPr>
                <w:i/>
                <w:sz w:val="17"/>
                <w:lang w:eastAsia="de-AT"/>
              </w:rPr>
              <w:t>и</w:t>
            </w:r>
            <w:r>
              <w:rPr>
                <w:i/>
                <w:sz w:val="17"/>
                <w:lang w:eastAsia="de-AT"/>
              </w:rPr>
              <w:t>лище</w:t>
            </w:r>
          </w:p>
        </w:tc>
        <w:tc>
          <w:tcPr>
            <w:tcW w:w="1193"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Ремесленные курсы</w:t>
            </w:r>
          </w:p>
        </w:tc>
        <w:tc>
          <w:tcPr>
            <w:tcW w:w="1232"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Обязател</w:t>
            </w:r>
            <w:r>
              <w:rPr>
                <w:i/>
                <w:sz w:val="17"/>
                <w:lang w:eastAsia="de-AT"/>
              </w:rPr>
              <w:t>ь</w:t>
            </w:r>
            <w:r>
              <w:rPr>
                <w:i/>
                <w:sz w:val="17"/>
                <w:lang w:eastAsia="de-AT"/>
              </w:rPr>
              <w:t>ная школа</w:t>
            </w:r>
          </w:p>
        </w:tc>
      </w:tr>
      <w:tr w:rsidR="00000000">
        <w:tblPrEx>
          <w:tblCellMar>
            <w:top w:w="0" w:type="dxa"/>
            <w:bottom w:w="0" w:type="dxa"/>
          </w:tblCellMar>
        </w:tblPrEx>
        <w:trPr>
          <w:jc w:val="center"/>
        </w:trPr>
        <w:tc>
          <w:tcPr>
            <w:tcW w:w="913" w:type="dxa"/>
            <w:tcBorders>
              <w:top w:val="single" w:sz="12" w:space="0" w:color="auto"/>
              <w:left w:val="nil"/>
              <w:bottom w:val="nil"/>
              <w:right w:val="nil"/>
            </w:tcBorders>
            <w:shd w:val="clear" w:color="auto" w:fill="FF00FF"/>
            <w:vAlign w:val="bottom"/>
          </w:tcPr>
          <w:p w:rsidR="00000000" w:rsidRDefault="00000000">
            <w:pPr>
              <w:rPr>
                <w:sz w:val="17"/>
                <w:lang w:eastAsia="de-AT"/>
              </w:rPr>
            </w:pPr>
            <w:r>
              <w:rPr>
                <w:sz w:val="17"/>
                <w:lang w:eastAsia="de-AT"/>
              </w:rPr>
              <w:t>Женщ</w:t>
            </w:r>
            <w:r>
              <w:rPr>
                <w:sz w:val="17"/>
                <w:lang w:eastAsia="de-AT"/>
              </w:rPr>
              <w:t>и</w:t>
            </w:r>
            <w:r>
              <w:rPr>
                <w:sz w:val="17"/>
                <w:lang w:eastAsia="de-AT"/>
              </w:rPr>
              <w:t>ны</w:t>
            </w:r>
          </w:p>
        </w:tc>
        <w:tc>
          <w:tcPr>
            <w:tcW w:w="1606" w:type="dxa"/>
            <w:tcBorders>
              <w:top w:val="single" w:sz="12" w:space="0" w:color="auto"/>
              <w:left w:val="nil"/>
              <w:bottom w:val="nil"/>
              <w:right w:val="nil"/>
            </w:tcBorders>
            <w:shd w:val="clear" w:color="auto" w:fill="FF00FF"/>
            <w:vAlign w:val="bottom"/>
          </w:tcPr>
          <w:p w:rsidR="00000000" w:rsidRDefault="00000000">
            <w:pPr>
              <w:tabs>
                <w:tab w:val="decimal" w:pos="752"/>
              </w:tabs>
              <w:rPr>
                <w:sz w:val="17"/>
                <w:lang w:eastAsia="de-AT"/>
              </w:rPr>
            </w:pPr>
            <w:r>
              <w:rPr>
                <w:sz w:val="17"/>
                <w:lang w:eastAsia="de-AT"/>
              </w:rPr>
              <w:t>4,5</w:t>
            </w:r>
          </w:p>
        </w:tc>
        <w:tc>
          <w:tcPr>
            <w:tcW w:w="1668" w:type="dxa"/>
            <w:tcBorders>
              <w:top w:val="single" w:sz="12" w:space="0" w:color="auto"/>
              <w:left w:val="nil"/>
              <w:bottom w:val="nil"/>
              <w:right w:val="nil"/>
            </w:tcBorders>
            <w:shd w:val="clear" w:color="auto" w:fill="FF00FF"/>
            <w:vAlign w:val="bottom"/>
          </w:tcPr>
          <w:p w:rsidR="00000000" w:rsidRDefault="00000000">
            <w:pPr>
              <w:tabs>
                <w:tab w:val="decimal" w:pos="752"/>
              </w:tabs>
              <w:rPr>
                <w:sz w:val="17"/>
                <w:lang w:eastAsia="de-AT"/>
              </w:rPr>
            </w:pPr>
            <w:r>
              <w:rPr>
                <w:sz w:val="17"/>
                <w:lang w:eastAsia="de-AT"/>
              </w:rPr>
              <w:t>2,5</w:t>
            </w:r>
          </w:p>
        </w:tc>
        <w:tc>
          <w:tcPr>
            <w:tcW w:w="1209" w:type="dxa"/>
            <w:tcBorders>
              <w:top w:val="single" w:sz="12" w:space="0" w:color="auto"/>
              <w:left w:val="nil"/>
              <w:bottom w:val="nil"/>
              <w:right w:val="nil"/>
            </w:tcBorders>
            <w:shd w:val="clear" w:color="auto" w:fill="FF00FF"/>
            <w:vAlign w:val="bottom"/>
          </w:tcPr>
          <w:p w:rsidR="00000000" w:rsidRDefault="00000000">
            <w:pPr>
              <w:tabs>
                <w:tab w:val="decimal" w:pos="752"/>
              </w:tabs>
              <w:rPr>
                <w:sz w:val="17"/>
                <w:lang w:eastAsia="de-AT"/>
              </w:rPr>
            </w:pPr>
            <w:r>
              <w:rPr>
                <w:sz w:val="17"/>
                <w:lang w:eastAsia="de-AT"/>
              </w:rPr>
              <w:t>0,6</w:t>
            </w:r>
          </w:p>
        </w:tc>
        <w:tc>
          <w:tcPr>
            <w:tcW w:w="1475" w:type="dxa"/>
            <w:tcBorders>
              <w:top w:val="single" w:sz="12" w:space="0" w:color="auto"/>
              <w:left w:val="nil"/>
              <w:bottom w:val="nil"/>
              <w:right w:val="nil"/>
            </w:tcBorders>
            <w:shd w:val="clear" w:color="auto" w:fill="FF00FF"/>
            <w:vAlign w:val="bottom"/>
          </w:tcPr>
          <w:p w:rsidR="00000000" w:rsidRDefault="00000000">
            <w:pPr>
              <w:tabs>
                <w:tab w:val="decimal" w:pos="752"/>
              </w:tabs>
              <w:rPr>
                <w:sz w:val="17"/>
                <w:lang w:eastAsia="de-AT"/>
              </w:rPr>
            </w:pPr>
            <w:r>
              <w:rPr>
                <w:sz w:val="17"/>
                <w:lang w:eastAsia="de-AT"/>
              </w:rPr>
              <w:t>5,0</w:t>
            </w:r>
          </w:p>
        </w:tc>
        <w:tc>
          <w:tcPr>
            <w:tcW w:w="1533" w:type="dxa"/>
            <w:tcBorders>
              <w:top w:val="single" w:sz="12" w:space="0" w:color="auto"/>
              <w:left w:val="nil"/>
              <w:bottom w:val="nil"/>
              <w:right w:val="nil"/>
            </w:tcBorders>
            <w:shd w:val="clear" w:color="auto" w:fill="FF00FF"/>
            <w:vAlign w:val="bottom"/>
          </w:tcPr>
          <w:p w:rsidR="00000000" w:rsidRDefault="00000000">
            <w:pPr>
              <w:tabs>
                <w:tab w:val="decimal" w:pos="752"/>
              </w:tabs>
              <w:rPr>
                <w:sz w:val="17"/>
                <w:lang w:eastAsia="de-AT"/>
              </w:rPr>
            </w:pPr>
            <w:r>
              <w:rPr>
                <w:sz w:val="17"/>
                <w:lang w:eastAsia="de-AT"/>
              </w:rPr>
              <w:t>5,3</w:t>
            </w:r>
          </w:p>
        </w:tc>
        <w:tc>
          <w:tcPr>
            <w:tcW w:w="1511" w:type="dxa"/>
            <w:tcBorders>
              <w:top w:val="single" w:sz="12" w:space="0" w:color="auto"/>
              <w:left w:val="nil"/>
              <w:bottom w:val="nil"/>
              <w:right w:val="nil"/>
            </w:tcBorders>
            <w:shd w:val="clear" w:color="auto" w:fill="FF00FF"/>
            <w:vAlign w:val="bottom"/>
          </w:tcPr>
          <w:p w:rsidR="00000000" w:rsidRDefault="00000000">
            <w:pPr>
              <w:tabs>
                <w:tab w:val="decimal" w:pos="752"/>
              </w:tabs>
              <w:rPr>
                <w:sz w:val="17"/>
                <w:lang w:eastAsia="de-AT"/>
              </w:rPr>
            </w:pPr>
            <w:r>
              <w:rPr>
                <w:sz w:val="17"/>
                <w:lang w:eastAsia="de-AT"/>
              </w:rPr>
              <w:t>15,8</w:t>
            </w:r>
          </w:p>
        </w:tc>
        <w:tc>
          <w:tcPr>
            <w:tcW w:w="1193" w:type="dxa"/>
            <w:tcBorders>
              <w:top w:val="single" w:sz="12" w:space="0" w:color="auto"/>
              <w:left w:val="nil"/>
              <w:bottom w:val="nil"/>
              <w:right w:val="nil"/>
            </w:tcBorders>
            <w:shd w:val="clear" w:color="auto" w:fill="FF00FF"/>
            <w:vAlign w:val="bottom"/>
          </w:tcPr>
          <w:p w:rsidR="00000000" w:rsidRDefault="00000000">
            <w:pPr>
              <w:tabs>
                <w:tab w:val="decimal" w:pos="752"/>
              </w:tabs>
              <w:rPr>
                <w:sz w:val="17"/>
                <w:lang w:eastAsia="de-AT"/>
              </w:rPr>
            </w:pPr>
            <w:r>
              <w:rPr>
                <w:sz w:val="17"/>
                <w:lang w:eastAsia="de-AT"/>
              </w:rPr>
              <w:t>22,9</w:t>
            </w:r>
          </w:p>
        </w:tc>
        <w:tc>
          <w:tcPr>
            <w:tcW w:w="1232" w:type="dxa"/>
            <w:tcBorders>
              <w:top w:val="single" w:sz="12" w:space="0" w:color="auto"/>
              <w:left w:val="nil"/>
              <w:bottom w:val="nil"/>
              <w:right w:val="nil"/>
            </w:tcBorders>
            <w:shd w:val="clear" w:color="auto" w:fill="FF00FF"/>
            <w:vAlign w:val="bottom"/>
          </w:tcPr>
          <w:p w:rsidR="00000000" w:rsidRDefault="00000000">
            <w:pPr>
              <w:tabs>
                <w:tab w:val="decimal" w:pos="752"/>
              </w:tabs>
              <w:rPr>
                <w:sz w:val="17"/>
                <w:lang w:eastAsia="de-AT"/>
              </w:rPr>
            </w:pPr>
            <w:r>
              <w:rPr>
                <w:sz w:val="17"/>
                <w:lang w:eastAsia="de-AT"/>
              </w:rPr>
              <w:t>43,6</w:t>
            </w:r>
          </w:p>
        </w:tc>
      </w:tr>
      <w:tr w:rsidR="00000000">
        <w:tblPrEx>
          <w:tblCellMar>
            <w:top w:w="0" w:type="dxa"/>
            <w:bottom w:w="0" w:type="dxa"/>
          </w:tblCellMar>
        </w:tblPrEx>
        <w:trPr>
          <w:jc w:val="center"/>
        </w:trPr>
        <w:tc>
          <w:tcPr>
            <w:tcW w:w="913" w:type="dxa"/>
            <w:tcBorders>
              <w:top w:val="nil"/>
              <w:left w:val="nil"/>
              <w:right w:val="nil"/>
            </w:tcBorders>
            <w:shd w:val="clear" w:color="auto" w:fill="00FFFF"/>
            <w:vAlign w:val="bottom"/>
          </w:tcPr>
          <w:p w:rsidR="00000000" w:rsidRDefault="00000000">
            <w:pPr>
              <w:rPr>
                <w:sz w:val="17"/>
                <w:lang w:eastAsia="de-AT"/>
              </w:rPr>
            </w:pPr>
            <w:r>
              <w:rPr>
                <w:sz w:val="17"/>
                <w:lang w:eastAsia="de-AT"/>
              </w:rPr>
              <w:t>Мужч</w:t>
            </w:r>
            <w:r>
              <w:rPr>
                <w:sz w:val="17"/>
                <w:lang w:eastAsia="de-AT"/>
              </w:rPr>
              <w:t>и</w:t>
            </w:r>
            <w:r>
              <w:rPr>
                <w:sz w:val="17"/>
                <w:lang w:eastAsia="de-AT"/>
              </w:rPr>
              <w:t>ны</w:t>
            </w:r>
          </w:p>
        </w:tc>
        <w:tc>
          <w:tcPr>
            <w:tcW w:w="1606" w:type="dxa"/>
            <w:tcBorders>
              <w:top w:val="nil"/>
              <w:left w:val="nil"/>
              <w:right w:val="nil"/>
            </w:tcBorders>
            <w:shd w:val="clear" w:color="auto" w:fill="00FFFF"/>
            <w:vAlign w:val="bottom"/>
          </w:tcPr>
          <w:p w:rsidR="00000000" w:rsidRDefault="00000000">
            <w:pPr>
              <w:tabs>
                <w:tab w:val="decimal" w:pos="752"/>
              </w:tabs>
              <w:rPr>
                <w:sz w:val="17"/>
                <w:lang w:eastAsia="de-AT"/>
              </w:rPr>
            </w:pPr>
            <w:r>
              <w:rPr>
                <w:sz w:val="17"/>
                <w:lang w:eastAsia="de-AT"/>
              </w:rPr>
              <w:t>7,2</w:t>
            </w:r>
          </w:p>
        </w:tc>
        <w:tc>
          <w:tcPr>
            <w:tcW w:w="1668" w:type="dxa"/>
            <w:tcBorders>
              <w:top w:val="nil"/>
              <w:left w:val="nil"/>
              <w:right w:val="nil"/>
            </w:tcBorders>
            <w:shd w:val="clear" w:color="auto" w:fill="00FFFF"/>
            <w:vAlign w:val="bottom"/>
          </w:tcPr>
          <w:p w:rsidR="00000000" w:rsidRDefault="00000000">
            <w:pPr>
              <w:tabs>
                <w:tab w:val="decimal" w:pos="752"/>
              </w:tabs>
              <w:rPr>
                <w:sz w:val="17"/>
                <w:lang w:eastAsia="de-AT"/>
              </w:rPr>
            </w:pPr>
            <w:r>
              <w:rPr>
                <w:sz w:val="17"/>
                <w:lang w:eastAsia="de-AT"/>
              </w:rPr>
              <w:t>0,8</w:t>
            </w:r>
          </w:p>
        </w:tc>
        <w:tc>
          <w:tcPr>
            <w:tcW w:w="1209" w:type="dxa"/>
            <w:tcBorders>
              <w:top w:val="nil"/>
              <w:left w:val="nil"/>
              <w:right w:val="nil"/>
            </w:tcBorders>
            <w:shd w:val="clear" w:color="auto" w:fill="00FFFF"/>
            <w:vAlign w:val="bottom"/>
          </w:tcPr>
          <w:p w:rsidR="00000000" w:rsidRDefault="00000000">
            <w:pPr>
              <w:tabs>
                <w:tab w:val="decimal" w:pos="752"/>
              </w:tabs>
              <w:rPr>
                <w:sz w:val="17"/>
                <w:lang w:eastAsia="de-AT"/>
              </w:rPr>
            </w:pPr>
            <w:r>
              <w:rPr>
                <w:sz w:val="17"/>
                <w:lang w:eastAsia="de-AT"/>
              </w:rPr>
              <w:t>0,4</w:t>
            </w:r>
          </w:p>
        </w:tc>
        <w:tc>
          <w:tcPr>
            <w:tcW w:w="1475" w:type="dxa"/>
            <w:tcBorders>
              <w:top w:val="nil"/>
              <w:left w:val="nil"/>
              <w:right w:val="nil"/>
            </w:tcBorders>
            <w:shd w:val="clear" w:color="auto" w:fill="00FFFF"/>
            <w:vAlign w:val="bottom"/>
          </w:tcPr>
          <w:p w:rsidR="00000000" w:rsidRDefault="00000000">
            <w:pPr>
              <w:tabs>
                <w:tab w:val="decimal" w:pos="752"/>
              </w:tabs>
              <w:rPr>
                <w:sz w:val="17"/>
                <w:lang w:eastAsia="de-AT"/>
              </w:rPr>
            </w:pPr>
            <w:r>
              <w:rPr>
                <w:sz w:val="17"/>
                <w:lang w:eastAsia="de-AT"/>
              </w:rPr>
              <w:t>6,5</w:t>
            </w:r>
          </w:p>
        </w:tc>
        <w:tc>
          <w:tcPr>
            <w:tcW w:w="1533" w:type="dxa"/>
            <w:tcBorders>
              <w:top w:val="nil"/>
              <w:left w:val="nil"/>
              <w:right w:val="nil"/>
            </w:tcBorders>
            <w:shd w:val="clear" w:color="auto" w:fill="00FFFF"/>
            <w:vAlign w:val="bottom"/>
          </w:tcPr>
          <w:p w:rsidR="00000000" w:rsidRDefault="00000000">
            <w:pPr>
              <w:tabs>
                <w:tab w:val="decimal" w:pos="752"/>
              </w:tabs>
              <w:rPr>
                <w:sz w:val="17"/>
                <w:lang w:eastAsia="de-AT"/>
              </w:rPr>
            </w:pPr>
            <w:r>
              <w:rPr>
                <w:sz w:val="17"/>
                <w:lang w:eastAsia="de-AT"/>
              </w:rPr>
              <w:t>5,1</w:t>
            </w:r>
          </w:p>
        </w:tc>
        <w:tc>
          <w:tcPr>
            <w:tcW w:w="1511" w:type="dxa"/>
            <w:tcBorders>
              <w:top w:val="nil"/>
              <w:left w:val="nil"/>
              <w:right w:val="nil"/>
            </w:tcBorders>
            <w:shd w:val="clear" w:color="auto" w:fill="00FFFF"/>
            <w:vAlign w:val="bottom"/>
          </w:tcPr>
          <w:p w:rsidR="00000000" w:rsidRDefault="00000000">
            <w:pPr>
              <w:tabs>
                <w:tab w:val="decimal" w:pos="752"/>
              </w:tabs>
              <w:rPr>
                <w:sz w:val="17"/>
                <w:lang w:eastAsia="de-AT"/>
              </w:rPr>
            </w:pPr>
            <w:r>
              <w:rPr>
                <w:sz w:val="17"/>
                <w:lang w:eastAsia="de-AT"/>
              </w:rPr>
              <w:t>7,0</w:t>
            </w:r>
          </w:p>
        </w:tc>
        <w:tc>
          <w:tcPr>
            <w:tcW w:w="1193" w:type="dxa"/>
            <w:tcBorders>
              <w:top w:val="nil"/>
              <w:left w:val="nil"/>
              <w:right w:val="nil"/>
            </w:tcBorders>
            <w:shd w:val="clear" w:color="auto" w:fill="00FFFF"/>
            <w:vAlign w:val="bottom"/>
          </w:tcPr>
          <w:p w:rsidR="00000000" w:rsidRDefault="00000000">
            <w:pPr>
              <w:tabs>
                <w:tab w:val="decimal" w:pos="752"/>
              </w:tabs>
              <w:rPr>
                <w:sz w:val="17"/>
                <w:lang w:eastAsia="de-AT"/>
              </w:rPr>
            </w:pPr>
            <w:r>
              <w:rPr>
                <w:sz w:val="17"/>
                <w:lang w:eastAsia="de-AT"/>
              </w:rPr>
              <w:t>45,9</w:t>
            </w:r>
          </w:p>
        </w:tc>
        <w:tc>
          <w:tcPr>
            <w:tcW w:w="1232" w:type="dxa"/>
            <w:tcBorders>
              <w:top w:val="nil"/>
              <w:left w:val="nil"/>
              <w:right w:val="nil"/>
            </w:tcBorders>
            <w:shd w:val="clear" w:color="auto" w:fill="00FFFF"/>
            <w:vAlign w:val="bottom"/>
          </w:tcPr>
          <w:p w:rsidR="00000000" w:rsidRDefault="00000000">
            <w:pPr>
              <w:tabs>
                <w:tab w:val="decimal" w:pos="752"/>
              </w:tabs>
              <w:rPr>
                <w:sz w:val="17"/>
                <w:lang w:eastAsia="de-AT"/>
              </w:rPr>
            </w:pPr>
            <w:r>
              <w:rPr>
                <w:sz w:val="17"/>
                <w:lang w:eastAsia="de-AT"/>
              </w:rPr>
              <w:t>27,0</w:t>
            </w:r>
          </w:p>
        </w:tc>
      </w:tr>
      <w:tr w:rsidR="00000000">
        <w:tblPrEx>
          <w:tblCellMar>
            <w:top w:w="0" w:type="dxa"/>
            <w:bottom w:w="0" w:type="dxa"/>
          </w:tblCellMar>
        </w:tblPrEx>
        <w:trPr>
          <w:jc w:val="center"/>
        </w:trPr>
        <w:tc>
          <w:tcPr>
            <w:tcW w:w="913" w:type="dxa"/>
            <w:tcBorders>
              <w:top w:val="nil"/>
              <w:left w:val="nil"/>
              <w:bottom w:val="single" w:sz="12" w:space="0" w:color="auto"/>
              <w:right w:val="nil"/>
            </w:tcBorders>
            <w:shd w:val="clear" w:color="auto" w:fill="00FF00"/>
            <w:vAlign w:val="bottom"/>
          </w:tcPr>
          <w:p w:rsidR="00000000" w:rsidRDefault="00000000">
            <w:pPr>
              <w:rPr>
                <w:sz w:val="17"/>
                <w:lang w:eastAsia="de-AT"/>
              </w:rPr>
            </w:pPr>
            <w:r>
              <w:rPr>
                <w:sz w:val="17"/>
                <w:lang w:eastAsia="de-AT"/>
              </w:rPr>
              <w:t>Всего</w:t>
            </w:r>
          </w:p>
        </w:tc>
        <w:tc>
          <w:tcPr>
            <w:tcW w:w="1606" w:type="dxa"/>
            <w:tcBorders>
              <w:top w:val="nil"/>
              <w:left w:val="nil"/>
              <w:bottom w:val="single" w:sz="12" w:space="0" w:color="auto"/>
              <w:right w:val="nil"/>
            </w:tcBorders>
            <w:shd w:val="clear" w:color="auto" w:fill="00FF00"/>
            <w:vAlign w:val="bottom"/>
          </w:tcPr>
          <w:p w:rsidR="00000000" w:rsidRDefault="00000000">
            <w:pPr>
              <w:tabs>
                <w:tab w:val="decimal" w:pos="752"/>
              </w:tabs>
              <w:rPr>
                <w:sz w:val="17"/>
                <w:lang w:eastAsia="de-AT"/>
              </w:rPr>
            </w:pPr>
            <w:r>
              <w:rPr>
                <w:sz w:val="17"/>
                <w:lang w:eastAsia="de-AT"/>
              </w:rPr>
              <w:t>5,8</w:t>
            </w:r>
          </w:p>
        </w:tc>
        <w:tc>
          <w:tcPr>
            <w:tcW w:w="1668" w:type="dxa"/>
            <w:tcBorders>
              <w:top w:val="nil"/>
              <w:left w:val="nil"/>
              <w:bottom w:val="single" w:sz="12" w:space="0" w:color="auto"/>
              <w:right w:val="nil"/>
            </w:tcBorders>
            <w:shd w:val="clear" w:color="auto" w:fill="00FF00"/>
            <w:vAlign w:val="bottom"/>
          </w:tcPr>
          <w:p w:rsidR="00000000" w:rsidRDefault="00000000">
            <w:pPr>
              <w:tabs>
                <w:tab w:val="decimal" w:pos="752"/>
              </w:tabs>
              <w:rPr>
                <w:sz w:val="17"/>
                <w:lang w:eastAsia="de-AT"/>
              </w:rPr>
            </w:pPr>
            <w:r>
              <w:rPr>
                <w:sz w:val="17"/>
                <w:lang w:eastAsia="de-AT"/>
              </w:rPr>
              <w:t>1,7</w:t>
            </w:r>
          </w:p>
        </w:tc>
        <w:tc>
          <w:tcPr>
            <w:tcW w:w="1209" w:type="dxa"/>
            <w:tcBorders>
              <w:top w:val="nil"/>
              <w:left w:val="nil"/>
              <w:bottom w:val="single" w:sz="12" w:space="0" w:color="auto"/>
              <w:right w:val="nil"/>
            </w:tcBorders>
            <w:shd w:val="clear" w:color="auto" w:fill="00FF00"/>
            <w:vAlign w:val="bottom"/>
          </w:tcPr>
          <w:p w:rsidR="00000000" w:rsidRDefault="00000000">
            <w:pPr>
              <w:tabs>
                <w:tab w:val="decimal" w:pos="752"/>
              </w:tabs>
              <w:rPr>
                <w:sz w:val="17"/>
                <w:lang w:eastAsia="de-AT"/>
              </w:rPr>
            </w:pPr>
            <w:r>
              <w:rPr>
                <w:sz w:val="17"/>
                <w:lang w:eastAsia="de-AT"/>
              </w:rPr>
              <w:t>0,5</w:t>
            </w:r>
          </w:p>
        </w:tc>
        <w:tc>
          <w:tcPr>
            <w:tcW w:w="1475" w:type="dxa"/>
            <w:tcBorders>
              <w:top w:val="nil"/>
              <w:left w:val="nil"/>
              <w:bottom w:val="single" w:sz="12" w:space="0" w:color="auto"/>
              <w:right w:val="nil"/>
            </w:tcBorders>
            <w:shd w:val="clear" w:color="auto" w:fill="00FF00"/>
            <w:vAlign w:val="bottom"/>
          </w:tcPr>
          <w:p w:rsidR="00000000" w:rsidRDefault="00000000">
            <w:pPr>
              <w:tabs>
                <w:tab w:val="decimal" w:pos="752"/>
              </w:tabs>
              <w:rPr>
                <w:sz w:val="17"/>
                <w:lang w:eastAsia="de-AT"/>
              </w:rPr>
            </w:pPr>
            <w:r>
              <w:rPr>
                <w:sz w:val="17"/>
                <w:lang w:eastAsia="de-AT"/>
              </w:rPr>
              <w:t>5,7</w:t>
            </w:r>
          </w:p>
        </w:tc>
        <w:tc>
          <w:tcPr>
            <w:tcW w:w="1533" w:type="dxa"/>
            <w:tcBorders>
              <w:top w:val="nil"/>
              <w:left w:val="nil"/>
              <w:bottom w:val="single" w:sz="12" w:space="0" w:color="auto"/>
              <w:right w:val="nil"/>
            </w:tcBorders>
            <w:shd w:val="clear" w:color="auto" w:fill="00FF00"/>
            <w:vAlign w:val="bottom"/>
          </w:tcPr>
          <w:p w:rsidR="00000000" w:rsidRDefault="00000000">
            <w:pPr>
              <w:tabs>
                <w:tab w:val="decimal" w:pos="752"/>
              </w:tabs>
              <w:rPr>
                <w:sz w:val="17"/>
                <w:lang w:eastAsia="de-AT"/>
              </w:rPr>
            </w:pPr>
            <w:r>
              <w:rPr>
                <w:sz w:val="17"/>
                <w:lang w:eastAsia="de-AT"/>
              </w:rPr>
              <w:t>5,2</w:t>
            </w:r>
          </w:p>
        </w:tc>
        <w:tc>
          <w:tcPr>
            <w:tcW w:w="1511" w:type="dxa"/>
            <w:tcBorders>
              <w:top w:val="nil"/>
              <w:left w:val="nil"/>
              <w:bottom w:val="single" w:sz="12" w:space="0" w:color="auto"/>
              <w:right w:val="nil"/>
            </w:tcBorders>
            <w:shd w:val="clear" w:color="auto" w:fill="00FF00"/>
            <w:vAlign w:val="bottom"/>
          </w:tcPr>
          <w:p w:rsidR="00000000" w:rsidRDefault="00000000">
            <w:pPr>
              <w:tabs>
                <w:tab w:val="decimal" w:pos="752"/>
              </w:tabs>
              <w:rPr>
                <w:sz w:val="17"/>
                <w:lang w:eastAsia="de-AT"/>
              </w:rPr>
            </w:pPr>
            <w:r>
              <w:rPr>
                <w:sz w:val="17"/>
                <w:lang w:eastAsia="de-AT"/>
              </w:rPr>
              <w:t>11,5</w:t>
            </w:r>
          </w:p>
        </w:tc>
        <w:tc>
          <w:tcPr>
            <w:tcW w:w="1193" w:type="dxa"/>
            <w:tcBorders>
              <w:top w:val="nil"/>
              <w:left w:val="nil"/>
              <w:bottom w:val="single" w:sz="12" w:space="0" w:color="auto"/>
              <w:right w:val="nil"/>
            </w:tcBorders>
            <w:shd w:val="clear" w:color="auto" w:fill="00FF00"/>
            <w:vAlign w:val="bottom"/>
          </w:tcPr>
          <w:p w:rsidR="00000000" w:rsidRDefault="00000000">
            <w:pPr>
              <w:tabs>
                <w:tab w:val="decimal" w:pos="752"/>
              </w:tabs>
              <w:rPr>
                <w:sz w:val="17"/>
                <w:lang w:eastAsia="de-AT"/>
              </w:rPr>
            </w:pPr>
            <w:r>
              <w:rPr>
                <w:sz w:val="17"/>
                <w:lang w:eastAsia="de-AT"/>
              </w:rPr>
              <w:t>33,9</w:t>
            </w:r>
          </w:p>
        </w:tc>
        <w:tc>
          <w:tcPr>
            <w:tcW w:w="1232" w:type="dxa"/>
            <w:tcBorders>
              <w:top w:val="nil"/>
              <w:left w:val="nil"/>
              <w:bottom w:val="single" w:sz="12" w:space="0" w:color="auto"/>
              <w:right w:val="nil"/>
            </w:tcBorders>
            <w:shd w:val="clear" w:color="auto" w:fill="00FF00"/>
            <w:vAlign w:val="bottom"/>
          </w:tcPr>
          <w:p w:rsidR="00000000" w:rsidRDefault="00000000">
            <w:pPr>
              <w:tabs>
                <w:tab w:val="decimal" w:pos="752"/>
              </w:tabs>
              <w:rPr>
                <w:sz w:val="17"/>
                <w:lang w:eastAsia="de-AT"/>
              </w:rPr>
            </w:pPr>
            <w:r>
              <w:rPr>
                <w:sz w:val="17"/>
                <w:lang w:eastAsia="de-AT"/>
              </w:rPr>
              <w:t>35,7</w:t>
            </w:r>
          </w:p>
        </w:tc>
      </w:tr>
    </w:tbl>
    <w:p w:rsidR="00000000" w:rsidRDefault="00000000">
      <w:pPr>
        <w:pStyle w:val="SingleTxt"/>
        <w:tabs>
          <w:tab w:val="clear" w:pos="1267"/>
        </w:tabs>
        <w:ind w:left="0"/>
        <w:rPr>
          <w:b/>
          <w:sz w:val="17"/>
          <w:u w:val="single"/>
          <w:lang w:eastAsia="de-AT"/>
        </w:rPr>
      </w:pPr>
    </w:p>
    <w:p w:rsidR="00000000" w:rsidRDefault="00000000">
      <w:pPr>
        <w:pStyle w:val="SingleTxt"/>
        <w:tabs>
          <w:tab w:val="clear" w:pos="1267"/>
        </w:tabs>
        <w:ind w:left="0"/>
      </w:pPr>
      <w:r>
        <w:rPr>
          <w:b/>
          <w:sz w:val="17"/>
          <w:u w:val="single"/>
          <w:lang w:eastAsia="de-AT"/>
        </w:rPr>
        <w:t>Перепись 1971 года</w:t>
      </w:r>
    </w:p>
    <w:tbl>
      <w:tblPr>
        <w:tblW w:w="0" w:type="auto"/>
        <w:jc w:val="center"/>
        <w:tblLayout w:type="fixed"/>
        <w:tblCellMar>
          <w:left w:w="70" w:type="dxa"/>
          <w:right w:w="70" w:type="dxa"/>
        </w:tblCellMar>
        <w:tblLook w:val="0000" w:firstRow="0" w:lastRow="0" w:firstColumn="0" w:lastColumn="0" w:noHBand="0" w:noVBand="0"/>
      </w:tblPr>
      <w:tblGrid>
        <w:gridCol w:w="893"/>
        <w:gridCol w:w="1609"/>
        <w:gridCol w:w="1671"/>
        <w:gridCol w:w="1212"/>
        <w:gridCol w:w="1478"/>
        <w:gridCol w:w="1535"/>
        <w:gridCol w:w="1513"/>
        <w:gridCol w:w="1195"/>
        <w:gridCol w:w="1234"/>
      </w:tblGrid>
      <w:tr w:rsidR="00000000">
        <w:tblPrEx>
          <w:tblCellMar>
            <w:top w:w="0" w:type="dxa"/>
            <w:bottom w:w="0" w:type="dxa"/>
          </w:tblCellMar>
        </w:tblPrEx>
        <w:trPr>
          <w:jc w:val="center"/>
        </w:trPr>
        <w:tc>
          <w:tcPr>
            <w:tcW w:w="893"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p>
        </w:tc>
        <w:tc>
          <w:tcPr>
            <w:tcW w:w="1609"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Вуз,</w:t>
            </w:r>
            <w:r>
              <w:rPr>
                <w:i/>
                <w:sz w:val="17"/>
                <w:lang w:eastAsia="de-AT"/>
              </w:rPr>
              <w:br/>
              <w:t>политехническое училище</w:t>
            </w:r>
          </w:p>
        </w:tc>
        <w:tc>
          <w:tcPr>
            <w:tcW w:w="1671"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Техническое или профессиональное училище, педагог</w:t>
            </w:r>
            <w:r>
              <w:rPr>
                <w:i/>
                <w:sz w:val="17"/>
                <w:lang w:eastAsia="de-AT"/>
              </w:rPr>
              <w:t>и</w:t>
            </w:r>
            <w:r>
              <w:rPr>
                <w:i/>
                <w:sz w:val="17"/>
                <w:lang w:eastAsia="de-AT"/>
              </w:rPr>
              <w:t>ческое училище</w:t>
            </w:r>
          </w:p>
        </w:tc>
        <w:tc>
          <w:tcPr>
            <w:tcW w:w="1212"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Техникум, курсы по окончании школы</w:t>
            </w:r>
          </w:p>
        </w:tc>
        <w:tc>
          <w:tcPr>
            <w:tcW w:w="1478"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Высшее, среднее профессионал</w:t>
            </w:r>
            <w:r>
              <w:rPr>
                <w:i/>
                <w:sz w:val="17"/>
                <w:lang w:eastAsia="de-AT"/>
              </w:rPr>
              <w:t>ь</w:t>
            </w:r>
            <w:r>
              <w:rPr>
                <w:i/>
                <w:sz w:val="17"/>
                <w:lang w:eastAsia="de-AT"/>
              </w:rPr>
              <w:t>но-техническое уч</w:t>
            </w:r>
            <w:r>
              <w:rPr>
                <w:i/>
                <w:sz w:val="17"/>
                <w:lang w:eastAsia="de-AT"/>
              </w:rPr>
              <w:t>и</w:t>
            </w:r>
            <w:r>
              <w:rPr>
                <w:i/>
                <w:sz w:val="17"/>
                <w:lang w:eastAsia="de-AT"/>
              </w:rPr>
              <w:t>лище</w:t>
            </w:r>
          </w:p>
        </w:tc>
        <w:tc>
          <w:tcPr>
            <w:tcW w:w="1535"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Специальная средняя школа</w:t>
            </w:r>
          </w:p>
        </w:tc>
        <w:tc>
          <w:tcPr>
            <w:tcW w:w="1513"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Начальное пр</w:t>
            </w:r>
            <w:r>
              <w:rPr>
                <w:i/>
                <w:sz w:val="17"/>
                <w:lang w:eastAsia="de-AT"/>
              </w:rPr>
              <w:t>о</w:t>
            </w:r>
            <w:r>
              <w:rPr>
                <w:i/>
                <w:sz w:val="17"/>
                <w:lang w:eastAsia="de-AT"/>
              </w:rPr>
              <w:t>фессионально-техническое уч</w:t>
            </w:r>
            <w:r>
              <w:rPr>
                <w:i/>
                <w:sz w:val="17"/>
                <w:lang w:eastAsia="de-AT"/>
              </w:rPr>
              <w:t>и</w:t>
            </w:r>
            <w:r>
              <w:rPr>
                <w:i/>
                <w:sz w:val="17"/>
                <w:lang w:eastAsia="de-AT"/>
              </w:rPr>
              <w:t>лище</w:t>
            </w:r>
          </w:p>
        </w:tc>
        <w:tc>
          <w:tcPr>
            <w:tcW w:w="1195"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Ремесленные курсы</w:t>
            </w:r>
          </w:p>
        </w:tc>
        <w:tc>
          <w:tcPr>
            <w:tcW w:w="1234" w:type="dxa"/>
            <w:tcBorders>
              <w:top w:val="single" w:sz="4" w:space="0" w:color="auto"/>
              <w:left w:val="nil"/>
              <w:bottom w:val="single" w:sz="12" w:space="0" w:color="auto"/>
              <w:right w:val="nil"/>
            </w:tcBorders>
            <w:vAlign w:val="bottom"/>
          </w:tcPr>
          <w:p w:rsidR="00000000" w:rsidRDefault="00000000">
            <w:pPr>
              <w:jc w:val="center"/>
              <w:rPr>
                <w:i/>
                <w:sz w:val="17"/>
                <w:lang w:eastAsia="de-AT"/>
              </w:rPr>
            </w:pPr>
            <w:r>
              <w:rPr>
                <w:i/>
                <w:sz w:val="17"/>
                <w:lang w:eastAsia="de-AT"/>
              </w:rPr>
              <w:t>Обязател</w:t>
            </w:r>
            <w:r>
              <w:rPr>
                <w:i/>
                <w:sz w:val="17"/>
                <w:lang w:eastAsia="de-AT"/>
              </w:rPr>
              <w:t>ь</w:t>
            </w:r>
            <w:r>
              <w:rPr>
                <w:i/>
                <w:sz w:val="17"/>
                <w:lang w:eastAsia="de-AT"/>
              </w:rPr>
              <w:t>ная школа</w:t>
            </w:r>
          </w:p>
        </w:tc>
      </w:tr>
      <w:tr w:rsidR="00000000">
        <w:tblPrEx>
          <w:tblCellMar>
            <w:top w:w="0" w:type="dxa"/>
            <w:bottom w:w="0" w:type="dxa"/>
          </w:tblCellMar>
        </w:tblPrEx>
        <w:trPr>
          <w:jc w:val="center"/>
        </w:trPr>
        <w:tc>
          <w:tcPr>
            <w:tcW w:w="893" w:type="dxa"/>
            <w:tcBorders>
              <w:top w:val="single" w:sz="12" w:space="0" w:color="auto"/>
              <w:left w:val="nil"/>
              <w:bottom w:val="nil"/>
              <w:right w:val="nil"/>
            </w:tcBorders>
            <w:shd w:val="clear" w:color="auto" w:fill="FF00FF"/>
            <w:vAlign w:val="bottom"/>
          </w:tcPr>
          <w:p w:rsidR="00000000" w:rsidRDefault="00000000">
            <w:pPr>
              <w:rPr>
                <w:sz w:val="17"/>
                <w:lang w:eastAsia="de-AT"/>
              </w:rPr>
            </w:pPr>
            <w:r>
              <w:rPr>
                <w:sz w:val="17"/>
                <w:lang w:eastAsia="de-AT"/>
              </w:rPr>
              <w:t>Женщ</w:t>
            </w:r>
            <w:r>
              <w:rPr>
                <w:sz w:val="17"/>
                <w:lang w:eastAsia="de-AT"/>
              </w:rPr>
              <w:t>и</w:t>
            </w:r>
            <w:r>
              <w:rPr>
                <w:sz w:val="17"/>
                <w:lang w:eastAsia="de-AT"/>
              </w:rPr>
              <w:t>ны</w:t>
            </w:r>
          </w:p>
        </w:tc>
        <w:tc>
          <w:tcPr>
            <w:tcW w:w="1609" w:type="dxa"/>
            <w:tcBorders>
              <w:top w:val="single" w:sz="12" w:space="0" w:color="auto"/>
              <w:left w:val="nil"/>
              <w:bottom w:val="nil"/>
              <w:right w:val="nil"/>
            </w:tcBorders>
            <w:shd w:val="clear" w:color="auto" w:fill="FF00FF"/>
            <w:vAlign w:val="bottom"/>
          </w:tcPr>
          <w:p w:rsidR="00000000" w:rsidRDefault="00000000">
            <w:pPr>
              <w:jc w:val="center"/>
              <w:rPr>
                <w:sz w:val="17"/>
                <w:lang w:eastAsia="de-AT"/>
              </w:rPr>
            </w:pPr>
            <w:r>
              <w:rPr>
                <w:sz w:val="17"/>
                <w:lang w:eastAsia="de-AT"/>
              </w:rPr>
              <w:t>0,9</w:t>
            </w:r>
          </w:p>
        </w:tc>
        <w:tc>
          <w:tcPr>
            <w:tcW w:w="1671" w:type="dxa"/>
            <w:tcBorders>
              <w:top w:val="single" w:sz="12" w:space="0" w:color="auto"/>
              <w:left w:val="nil"/>
              <w:bottom w:val="nil"/>
              <w:right w:val="nil"/>
            </w:tcBorders>
            <w:shd w:val="clear" w:color="auto" w:fill="FF00FF"/>
            <w:vAlign w:val="bottom"/>
          </w:tcPr>
          <w:p w:rsidR="00000000" w:rsidRDefault="00000000">
            <w:pPr>
              <w:jc w:val="center"/>
              <w:rPr>
                <w:sz w:val="17"/>
                <w:lang w:eastAsia="de-AT"/>
              </w:rPr>
            </w:pPr>
            <w:r>
              <w:rPr>
                <w:sz w:val="17"/>
                <w:lang w:eastAsia="de-AT"/>
              </w:rPr>
              <w:t>0,1</w:t>
            </w:r>
          </w:p>
        </w:tc>
        <w:tc>
          <w:tcPr>
            <w:tcW w:w="1212" w:type="dxa"/>
            <w:tcBorders>
              <w:top w:val="single" w:sz="12" w:space="0" w:color="auto"/>
              <w:left w:val="nil"/>
              <w:bottom w:val="nil"/>
              <w:right w:val="nil"/>
            </w:tcBorders>
            <w:shd w:val="clear" w:color="auto" w:fill="FF00FF"/>
            <w:vAlign w:val="bottom"/>
          </w:tcPr>
          <w:p w:rsidR="00000000" w:rsidRDefault="00000000">
            <w:pPr>
              <w:jc w:val="center"/>
              <w:rPr>
                <w:sz w:val="17"/>
                <w:lang w:eastAsia="de-AT"/>
              </w:rPr>
            </w:pPr>
            <w:r>
              <w:rPr>
                <w:sz w:val="17"/>
                <w:lang w:eastAsia="de-AT"/>
              </w:rPr>
              <w:t>-</w:t>
            </w:r>
          </w:p>
        </w:tc>
        <w:tc>
          <w:tcPr>
            <w:tcW w:w="1478" w:type="dxa"/>
            <w:tcBorders>
              <w:top w:val="single" w:sz="12" w:space="0" w:color="auto"/>
              <w:left w:val="nil"/>
              <w:bottom w:val="nil"/>
              <w:right w:val="nil"/>
            </w:tcBorders>
            <w:shd w:val="clear" w:color="auto" w:fill="FF00FF"/>
            <w:vAlign w:val="bottom"/>
          </w:tcPr>
          <w:p w:rsidR="00000000" w:rsidRDefault="00000000">
            <w:pPr>
              <w:jc w:val="center"/>
              <w:rPr>
                <w:sz w:val="17"/>
                <w:lang w:eastAsia="de-AT"/>
              </w:rPr>
            </w:pPr>
            <w:r>
              <w:rPr>
                <w:sz w:val="17"/>
                <w:lang w:eastAsia="de-AT"/>
              </w:rPr>
              <w:t>1,8</w:t>
            </w:r>
          </w:p>
        </w:tc>
        <w:tc>
          <w:tcPr>
            <w:tcW w:w="1535" w:type="dxa"/>
            <w:tcBorders>
              <w:top w:val="single" w:sz="12" w:space="0" w:color="auto"/>
              <w:left w:val="nil"/>
              <w:bottom w:val="nil"/>
              <w:right w:val="nil"/>
            </w:tcBorders>
            <w:shd w:val="clear" w:color="auto" w:fill="FF00FF"/>
            <w:vAlign w:val="bottom"/>
          </w:tcPr>
          <w:p w:rsidR="00000000" w:rsidRDefault="00000000">
            <w:pPr>
              <w:jc w:val="center"/>
              <w:rPr>
                <w:sz w:val="17"/>
                <w:lang w:eastAsia="de-AT"/>
              </w:rPr>
            </w:pPr>
            <w:r>
              <w:rPr>
                <w:sz w:val="17"/>
                <w:lang w:eastAsia="de-AT"/>
              </w:rPr>
              <w:t>2,7</w:t>
            </w:r>
          </w:p>
        </w:tc>
        <w:tc>
          <w:tcPr>
            <w:tcW w:w="1513" w:type="dxa"/>
            <w:tcBorders>
              <w:top w:val="single" w:sz="12" w:space="0" w:color="auto"/>
              <w:left w:val="nil"/>
              <w:bottom w:val="nil"/>
              <w:right w:val="nil"/>
            </w:tcBorders>
            <w:shd w:val="clear" w:color="auto" w:fill="FF00FF"/>
            <w:vAlign w:val="bottom"/>
          </w:tcPr>
          <w:p w:rsidR="00000000" w:rsidRDefault="00000000">
            <w:pPr>
              <w:jc w:val="center"/>
              <w:rPr>
                <w:sz w:val="17"/>
                <w:lang w:eastAsia="de-AT"/>
              </w:rPr>
            </w:pPr>
            <w:r>
              <w:rPr>
                <w:sz w:val="17"/>
                <w:lang w:eastAsia="de-AT"/>
              </w:rPr>
              <w:t>8,9</w:t>
            </w:r>
          </w:p>
        </w:tc>
        <w:tc>
          <w:tcPr>
            <w:tcW w:w="1195" w:type="dxa"/>
            <w:tcBorders>
              <w:top w:val="single" w:sz="12" w:space="0" w:color="auto"/>
              <w:left w:val="nil"/>
              <w:bottom w:val="nil"/>
              <w:right w:val="nil"/>
            </w:tcBorders>
            <w:shd w:val="clear" w:color="auto" w:fill="FF00FF"/>
            <w:vAlign w:val="bottom"/>
          </w:tcPr>
          <w:p w:rsidR="00000000" w:rsidRDefault="00000000">
            <w:pPr>
              <w:jc w:val="center"/>
              <w:rPr>
                <w:sz w:val="17"/>
                <w:lang w:eastAsia="de-AT"/>
              </w:rPr>
            </w:pPr>
            <w:r>
              <w:rPr>
                <w:sz w:val="17"/>
                <w:lang w:eastAsia="de-AT"/>
              </w:rPr>
              <w:t>12,6</w:t>
            </w:r>
          </w:p>
        </w:tc>
        <w:tc>
          <w:tcPr>
            <w:tcW w:w="1234" w:type="dxa"/>
            <w:tcBorders>
              <w:top w:val="single" w:sz="12" w:space="0" w:color="auto"/>
              <w:left w:val="nil"/>
              <w:bottom w:val="nil"/>
              <w:right w:val="nil"/>
            </w:tcBorders>
            <w:shd w:val="clear" w:color="auto" w:fill="FF00FF"/>
            <w:vAlign w:val="bottom"/>
          </w:tcPr>
          <w:p w:rsidR="00000000" w:rsidRDefault="00000000">
            <w:pPr>
              <w:jc w:val="center"/>
              <w:rPr>
                <w:sz w:val="17"/>
                <w:lang w:eastAsia="de-AT"/>
              </w:rPr>
            </w:pPr>
            <w:r>
              <w:rPr>
                <w:sz w:val="17"/>
                <w:lang w:eastAsia="de-AT"/>
              </w:rPr>
              <w:t>73,0</w:t>
            </w:r>
          </w:p>
        </w:tc>
      </w:tr>
      <w:tr w:rsidR="00000000">
        <w:tblPrEx>
          <w:tblCellMar>
            <w:top w:w="0" w:type="dxa"/>
            <w:bottom w:w="0" w:type="dxa"/>
          </w:tblCellMar>
        </w:tblPrEx>
        <w:trPr>
          <w:jc w:val="center"/>
        </w:trPr>
        <w:tc>
          <w:tcPr>
            <w:tcW w:w="893" w:type="dxa"/>
            <w:tcBorders>
              <w:top w:val="nil"/>
              <w:left w:val="nil"/>
              <w:right w:val="nil"/>
            </w:tcBorders>
            <w:shd w:val="clear" w:color="auto" w:fill="00FFFF"/>
            <w:vAlign w:val="bottom"/>
          </w:tcPr>
          <w:p w:rsidR="00000000" w:rsidRDefault="00000000">
            <w:pPr>
              <w:rPr>
                <w:sz w:val="17"/>
                <w:lang w:eastAsia="de-AT"/>
              </w:rPr>
            </w:pPr>
            <w:r>
              <w:rPr>
                <w:sz w:val="17"/>
                <w:lang w:val="en-GB" w:eastAsia="de-AT"/>
              </w:rPr>
              <w:t>Men</w:t>
            </w:r>
          </w:p>
        </w:tc>
        <w:tc>
          <w:tcPr>
            <w:tcW w:w="1609" w:type="dxa"/>
            <w:tcBorders>
              <w:top w:val="nil"/>
              <w:left w:val="nil"/>
              <w:right w:val="nil"/>
            </w:tcBorders>
            <w:shd w:val="clear" w:color="auto" w:fill="00FFFF"/>
            <w:vAlign w:val="bottom"/>
          </w:tcPr>
          <w:p w:rsidR="00000000" w:rsidRDefault="00000000">
            <w:pPr>
              <w:jc w:val="center"/>
              <w:rPr>
                <w:sz w:val="17"/>
                <w:lang w:eastAsia="de-AT"/>
              </w:rPr>
            </w:pPr>
            <w:r>
              <w:rPr>
                <w:sz w:val="17"/>
                <w:lang w:eastAsia="de-AT"/>
              </w:rPr>
              <w:t>3,5</w:t>
            </w:r>
          </w:p>
        </w:tc>
        <w:tc>
          <w:tcPr>
            <w:tcW w:w="1671" w:type="dxa"/>
            <w:tcBorders>
              <w:top w:val="nil"/>
              <w:left w:val="nil"/>
              <w:right w:val="nil"/>
            </w:tcBorders>
            <w:shd w:val="clear" w:color="auto" w:fill="00FFFF"/>
            <w:vAlign w:val="bottom"/>
          </w:tcPr>
          <w:p w:rsidR="00000000" w:rsidRDefault="00000000">
            <w:pPr>
              <w:jc w:val="center"/>
              <w:rPr>
                <w:sz w:val="17"/>
                <w:lang w:eastAsia="de-AT"/>
              </w:rPr>
            </w:pPr>
            <w:r>
              <w:rPr>
                <w:sz w:val="17"/>
                <w:lang w:eastAsia="de-AT"/>
              </w:rPr>
              <w:t>0,0</w:t>
            </w:r>
          </w:p>
        </w:tc>
        <w:tc>
          <w:tcPr>
            <w:tcW w:w="1212" w:type="dxa"/>
            <w:tcBorders>
              <w:top w:val="nil"/>
              <w:left w:val="nil"/>
              <w:right w:val="nil"/>
            </w:tcBorders>
            <w:shd w:val="clear" w:color="auto" w:fill="00FFFF"/>
            <w:vAlign w:val="bottom"/>
          </w:tcPr>
          <w:p w:rsidR="00000000" w:rsidRDefault="00000000">
            <w:pPr>
              <w:jc w:val="center"/>
              <w:rPr>
                <w:sz w:val="17"/>
                <w:lang w:eastAsia="de-AT"/>
              </w:rPr>
            </w:pPr>
            <w:r>
              <w:rPr>
                <w:sz w:val="17"/>
                <w:lang w:eastAsia="de-AT"/>
              </w:rPr>
              <w:t>-</w:t>
            </w:r>
          </w:p>
        </w:tc>
        <w:tc>
          <w:tcPr>
            <w:tcW w:w="1478" w:type="dxa"/>
            <w:tcBorders>
              <w:top w:val="nil"/>
              <w:left w:val="nil"/>
              <w:right w:val="nil"/>
            </w:tcBorders>
            <w:shd w:val="clear" w:color="auto" w:fill="00FFFF"/>
            <w:vAlign w:val="bottom"/>
          </w:tcPr>
          <w:p w:rsidR="00000000" w:rsidRDefault="00000000">
            <w:pPr>
              <w:jc w:val="center"/>
              <w:rPr>
                <w:sz w:val="17"/>
                <w:lang w:eastAsia="de-AT"/>
              </w:rPr>
            </w:pPr>
            <w:r>
              <w:rPr>
                <w:sz w:val="17"/>
                <w:lang w:eastAsia="de-AT"/>
              </w:rPr>
              <w:t>3,1</w:t>
            </w:r>
          </w:p>
        </w:tc>
        <w:tc>
          <w:tcPr>
            <w:tcW w:w="1535" w:type="dxa"/>
            <w:tcBorders>
              <w:top w:val="nil"/>
              <w:left w:val="nil"/>
              <w:right w:val="nil"/>
            </w:tcBorders>
            <w:shd w:val="clear" w:color="auto" w:fill="00FFFF"/>
            <w:vAlign w:val="bottom"/>
          </w:tcPr>
          <w:p w:rsidR="00000000" w:rsidRDefault="00000000">
            <w:pPr>
              <w:jc w:val="center"/>
              <w:rPr>
                <w:sz w:val="17"/>
                <w:lang w:eastAsia="de-AT"/>
              </w:rPr>
            </w:pPr>
            <w:r>
              <w:rPr>
                <w:sz w:val="17"/>
                <w:lang w:eastAsia="de-AT"/>
              </w:rPr>
              <w:t>4,3</w:t>
            </w:r>
          </w:p>
        </w:tc>
        <w:tc>
          <w:tcPr>
            <w:tcW w:w="1513" w:type="dxa"/>
            <w:tcBorders>
              <w:top w:val="nil"/>
              <w:left w:val="nil"/>
              <w:right w:val="nil"/>
            </w:tcBorders>
            <w:shd w:val="clear" w:color="auto" w:fill="00FFFF"/>
            <w:vAlign w:val="bottom"/>
          </w:tcPr>
          <w:p w:rsidR="00000000" w:rsidRDefault="00000000">
            <w:pPr>
              <w:jc w:val="center"/>
              <w:rPr>
                <w:sz w:val="17"/>
                <w:lang w:eastAsia="de-AT"/>
              </w:rPr>
            </w:pPr>
            <w:r>
              <w:rPr>
                <w:sz w:val="17"/>
                <w:lang w:eastAsia="de-AT"/>
              </w:rPr>
              <w:t>4,7</w:t>
            </w:r>
          </w:p>
        </w:tc>
        <w:tc>
          <w:tcPr>
            <w:tcW w:w="1195" w:type="dxa"/>
            <w:tcBorders>
              <w:top w:val="nil"/>
              <w:left w:val="nil"/>
              <w:right w:val="nil"/>
            </w:tcBorders>
            <w:shd w:val="clear" w:color="auto" w:fill="00FFFF"/>
            <w:vAlign w:val="bottom"/>
          </w:tcPr>
          <w:p w:rsidR="00000000" w:rsidRDefault="00000000">
            <w:pPr>
              <w:jc w:val="center"/>
              <w:rPr>
                <w:sz w:val="17"/>
                <w:lang w:eastAsia="de-AT"/>
              </w:rPr>
            </w:pPr>
            <w:r>
              <w:rPr>
                <w:sz w:val="17"/>
                <w:lang w:eastAsia="de-AT"/>
              </w:rPr>
              <w:t>35,5</w:t>
            </w:r>
          </w:p>
        </w:tc>
        <w:tc>
          <w:tcPr>
            <w:tcW w:w="1234" w:type="dxa"/>
            <w:tcBorders>
              <w:top w:val="nil"/>
              <w:left w:val="nil"/>
              <w:right w:val="nil"/>
            </w:tcBorders>
            <w:shd w:val="clear" w:color="auto" w:fill="00FFFF"/>
            <w:vAlign w:val="bottom"/>
          </w:tcPr>
          <w:p w:rsidR="00000000" w:rsidRDefault="00000000">
            <w:pPr>
              <w:jc w:val="center"/>
              <w:rPr>
                <w:sz w:val="17"/>
                <w:lang w:eastAsia="de-AT"/>
              </w:rPr>
            </w:pPr>
            <w:r>
              <w:rPr>
                <w:sz w:val="17"/>
                <w:lang w:eastAsia="de-AT"/>
              </w:rPr>
              <w:t>48,9</w:t>
            </w:r>
          </w:p>
        </w:tc>
      </w:tr>
      <w:tr w:rsidR="00000000">
        <w:tblPrEx>
          <w:tblCellMar>
            <w:top w:w="0" w:type="dxa"/>
            <w:bottom w:w="0" w:type="dxa"/>
          </w:tblCellMar>
        </w:tblPrEx>
        <w:trPr>
          <w:jc w:val="center"/>
        </w:trPr>
        <w:tc>
          <w:tcPr>
            <w:tcW w:w="893" w:type="dxa"/>
            <w:tcBorders>
              <w:top w:val="nil"/>
              <w:left w:val="nil"/>
              <w:bottom w:val="single" w:sz="12" w:space="0" w:color="auto"/>
              <w:right w:val="nil"/>
            </w:tcBorders>
            <w:shd w:val="clear" w:color="auto" w:fill="00FF00"/>
            <w:vAlign w:val="bottom"/>
          </w:tcPr>
          <w:p w:rsidR="00000000" w:rsidRDefault="00000000">
            <w:pPr>
              <w:rPr>
                <w:sz w:val="17"/>
                <w:lang w:eastAsia="de-AT"/>
              </w:rPr>
            </w:pPr>
            <w:r>
              <w:rPr>
                <w:sz w:val="17"/>
                <w:lang w:eastAsia="de-AT"/>
              </w:rPr>
              <w:t>Всего</w:t>
            </w:r>
          </w:p>
        </w:tc>
        <w:tc>
          <w:tcPr>
            <w:tcW w:w="1609" w:type="dxa"/>
            <w:tcBorders>
              <w:top w:val="nil"/>
              <w:left w:val="nil"/>
              <w:bottom w:val="single" w:sz="12" w:space="0" w:color="auto"/>
              <w:right w:val="nil"/>
            </w:tcBorders>
            <w:shd w:val="clear" w:color="auto" w:fill="00FF00"/>
            <w:vAlign w:val="bottom"/>
          </w:tcPr>
          <w:p w:rsidR="00000000" w:rsidRDefault="00000000">
            <w:pPr>
              <w:jc w:val="center"/>
              <w:rPr>
                <w:sz w:val="17"/>
                <w:lang w:val="de-DE" w:eastAsia="de-AT"/>
              </w:rPr>
            </w:pPr>
            <w:r>
              <w:rPr>
                <w:sz w:val="17"/>
                <w:lang w:val="de-DE" w:eastAsia="de-AT"/>
              </w:rPr>
              <w:t>2,1</w:t>
            </w:r>
          </w:p>
        </w:tc>
        <w:tc>
          <w:tcPr>
            <w:tcW w:w="1671" w:type="dxa"/>
            <w:tcBorders>
              <w:top w:val="nil"/>
              <w:left w:val="nil"/>
              <w:bottom w:val="single" w:sz="12" w:space="0" w:color="auto"/>
              <w:right w:val="nil"/>
            </w:tcBorders>
            <w:shd w:val="clear" w:color="auto" w:fill="00FF00"/>
            <w:vAlign w:val="bottom"/>
          </w:tcPr>
          <w:p w:rsidR="00000000" w:rsidRDefault="00000000">
            <w:pPr>
              <w:jc w:val="center"/>
              <w:rPr>
                <w:sz w:val="17"/>
                <w:lang w:val="de-DE" w:eastAsia="de-AT"/>
              </w:rPr>
            </w:pPr>
            <w:r>
              <w:rPr>
                <w:sz w:val="17"/>
                <w:lang w:val="de-DE" w:eastAsia="de-AT"/>
              </w:rPr>
              <w:t>0,0</w:t>
            </w:r>
          </w:p>
        </w:tc>
        <w:tc>
          <w:tcPr>
            <w:tcW w:w="1212" w:type="dxa"/>
            <w:tcBorders>
              <w:top w:val="nil"/>
              <w:left w:val="nil"/>
              <w:bottom w:val="single" w:sz="12" w:space="0" w:color="auto"/>
              <w:right w:val="nil"/>
            </w:tcBorders>
            <w:shd w:val="clear" w:color="auto" w:fill="00FF00"/>
            <w:vAlign w:val="bottom"/>
          </w:tcPr>
          <w:p w:rsidR="00000000" w:rsidRDefault="00000000">
            <w:pPr>
              <w:jc w:val="center"/>
              <w:rPr>
                <w:sz w:val="17"/>
                <w:lang w:val="de-DE" w:eastAsia="de-AT"/>
              </w:rPr>
            </w:pPr>
            <w:r>
              <w:rPr>
                <w:sz w:val="17"/>
                <w:lang w:val="de-DE" w:eastAsia="de-AT"/>
              </w:rPr>
              <w:t>-</w:t>
            </w:r>
          </w:p>
        </w:tc>
        <w:tc>
          <w:tcPr>
            <w:tcW w:w="1478" w:type="dxa"/>
            <w:tcBorders>
              <w:top w:val="nil"/>
              <w:left w:val="nil"/>
              <w:bottom w:val="single" w:sz="12" w:space="0" w:color="auto"/>
              <w:right w:val="nil"/>
            </w:tcBorders>
            <w:shd w:val="clear" w:color="auto" w:fill="00FF00"/>
            <w:vAlign w:val="bottom"/>
          </w:tcPr>
          <w:p w:rsidR="00000000" w:rsidRDefault="00000000">
            <w:pPr>
              <w:jc w:val="center"/>
              <w:rPr>
                <w:sz w:val="17"/>
                <w:lang w:val="de-DE" w:eastAsia="de-AT"/>
              </w:rPr>
            </w:pPr>
            <w:r>
              <w:rPr>
                <w:sz w:val="17"/>
                <w:lang w:val="de-DE" w:eastAsia="de-AT"/>
              </w:rPr>
              <w:t>2,4</w:t>
            </w:r>
          </w:p>
        </w:tc>
        <w:tc>
          <w:tcPr>
            <w:tcW w:w="1535" w:type="dxa"/>
            <w:tcBorders>
              <w:top w:val="nil"/>
              <w:left w:val="nil"/>
              <w:bottom w:val="single" w:sz="12" w:space="0" w:color="auto"/>
              <w:right w:val="nil"/>
            </w:tcBorders>
            <w:shd w:val="clear" w:color="auto" w:fill="00FF00"/>
            <w:vAlign w:val="bottom"/>
          </w:tcPr>
          <w:p w:rsidR="00000000" w:rsidRDefault="00000000">
            <w:pPr>
              <w:jc w:val="center"/>
              <w:rPr>
                <w:sz w:val="17"/>
                <w:lang w:val="de-DE" w:eastAsia="de-AT"/>
              </w:rPr>
            </w:pPr>
            <w:r>
              <w:rPr>
                <w:sz w:val="17"/>
                <w:lang w:val="de-DE" w:eastAsia="de-AT"/>
              </w:rPr>
              <w:t>3,4</w:t>
            </w:r>
          </w:p>
        </w:tc>
        <w:tc>
          <w:tcPr>
            <w:tcW w:w="1513" w:type="dxa"/>
            <w:tcBorders>
              <w:top w:val="nil"/>
              <w:left w:val="nil"/>
              <w:bottom w:val="single" w:sz="12" w:space="0" w:color="auto"/>
              <w:right w:val="nil"/>
            </w:tcBorders>
            <w:shd w:val="clear" w:color="auto" w:fill="00FF00"/>
            <w:vAlign w:val="bottom"/>
          </w:tcPr>
          <w:p w:rsidR="00000000" w:rsidRDefault="00000000">
            <w:pPr>
              <w:jc w:val="center"/>
              <w:rPr>
                <w:sz w:val="17"/>
                <w:lang w:val="de-DE" w:eastAsia="de-AT"/>
              </w:rPr>
            </w:pPr>
            <w:r>
              <w:rPr>
                <w:sz w:val="17"/>
                <w:lang w:val="de-DE" w:eastAsia="de-AT"/>
              </w:rPr>
              <w:t>7,0</w:t>
            </w:r>
          </w:p>
        </w:tc>
        <w:tc>
          <w:tcPr>
            <w:tcW w:w="1195" w:type="dxa"/>
            <w:tcBorders>
              <w:top w:val="nil"/>
              <w:left w:val="nil"/>
              <w:bottom w:val="single" w:sz="12" w:space="0" w:color="auto"/>
              <w:right w:val="nil"/>
            </w:tcBorders>
            <w:shd w:val="clear" w:color="auto" w:fill="00FF00"/>
            <w:vAlign w:val="bottom"/>
          </w:tcPr>
          <w:p w:rsidR="00000000" w:rsidRDefault="00000000">
            <w:pPr>
              <w:jc w:val="center"/>
              <w:rPr>
                <w:sz w:val="17"/>
                <w:lang w:val="de-DE" w:eastAsia="de-AT"/>
              </w:rPr>
            </w:pPr>
            <w:r>
              <w:rPr>
                <w:sz w:val="17"/>
                <w:lang w:val="de-DE" w:eastAsia="de-AT"/>
              </w:rPr>
              <w:t>23,1</w:t>
            </w:r>
          </w:p>
        </w:tc>
        <w:tc>
          <w:tcPr>
            <w:tcW w:w="1234" w:type="dxa"/>
            <w:tcBorders>
              <w:top w:val="nil"/>
              <w:left w:val="nil"/>
              <w:bottom w:val="single" w:sz="12" w:space="0" w:color="auto"/>
              <w:right w:val="nil"/>
            </w:tcBorders>
            <w:shd w:val="clear" w:color="auto" w:fill="00FF00"/>
            <w:vAlign w:val="bottom"/>
          </w:tcPr>
          <w:p w:rsidR="00000000" w:rsidRDefault="00000000">
            <w:pPr>
              <w:jc w:val="center"/>
              <w:rPr>
                <w:sz w:val="17"/>
                <w:lang w:val="de-DE" w:eastAsia="de-AT"/>
              </w:rPr>
            </w:pPr>
            <w:r>
              <w:rPr>
                <w:sz w:val="17"/>
                <w:lang w:val="de-DE" w:eastAsia="de-AT"/>
              </w:rPr>
              <w:t>62,0</w:t>
            </w:r>
          </w:p>
        </w:tc>
      </w:tr>
    </w:tbl>
    <w:p w:rsidR="00000000" w:rsidRDefault="00000000">
      <w:pPr>
        <w:pStyle w:val="50"/>
        <w:rPr>
          <w:lang w:val="de-DE"/>
        </w:rPr>
      </w:pPr>
    </w:p>
    <w:p w:rsidR="00000000" w:rsidRDefault="00000000">
      <w:pPr>
        <w:jc w:val="both"/>
        <w:rPr>
          <w:sz w:val="17"/>
          <w:lang w:eastAsia="de-AT"/>
        </w:rPr>
      </w:pPr>
      <w:r>
        <w:rPr>
          <w:i/>
          <w:sz w:val="17"/>
          <w:lang w:val="de-AT" w:eastAsia="de-AT"/>
        </w:rPr>
        <w:t>Источник</w:t>
      </w:r>
      <w:r>
        <w:rPr>
          <w:sz w:val="17"/>
          <w:lang w:val="de-AT" w:eastAsia="de-AT"/>
        </w:rPr>
        <w:t>: Статистическое управление Австрии</w:t>
      </w:r>
    </w:p>
    <w:p w:rsidR="00000000" w:rsidRDefault="00000000">
      <w:pPr>
        <w:jc w:val="both"/>
      </w:pPr>
    </w:p>
    <w:p w:rsidR="00000000" w:rsidRDefault="00000000">
      <w:pPr>
        <w:jc w:val="both"/>
      </w:pPr>
    </w:p>
    <w:p w:rsidR="00000000" w:rsidRDefault="00000000">
      <w:pPr>
        <w:jc w:val="both"/>
      </w:pPr>
    </w:p>
    <w:p w:rsidR="00000000" w:rsidRDefault="00000000">
      <w:pPr>
        <w:pageBreakBefore/>
        <w:spacing w:before="600"/>
        <w:jc w:val="both"/>
        <w:rPr>
          <w:b/>
        </w:rPr>
      </w:pPr>
      <w:r>
        <w:rPr>
          <w:b/>
          <w:lang w:val="de-AT"/>
        </w:rPr>
        <w:t>Фермы, находящиеся под управлением</w:t>
      </w:r>
      <w:r>
        <w:rPr>
          <w:b/>
        </w:rPr>
        <w:t xml:space="preserve"> женщин и мужчин</w:t>
      </w:r>
    </w:p>
    <w:p w:rsidR="00000000" w:rsidRDefault="00000000">
      <w:pPr>
        <w:jc w:val="both"/>
      </w:pPr>
    </w:p>
    <w:p w:rsidR="00000000" w:rsidRDefault="00000000">
      <w:pPr>
        <w:jc w:val="both"/>
      </w:pPr>
    </w:p>
    <w:p w:rsidR="00000000" w:rsidRDefault="00000000">
      <w:pPr>
        <w:jc w:val="both"/>
      </w:pPr>
    </w:p>
    <w:p w:rsidR="00000000" w:rsidRDefault="00000000">
      <w:pPr>
        <w:jc w:val="both"/>
      </w:pPr>
    </w:p>
    <w:tbl>
      <w:tblPr>
        <w:tblW w:w="0" w:type="auto"/>
        <w:tblInd w:w="-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335"/>
        <w:gridCol w:w="160"/>
        <w:gridCol w:w="808"/>
        <w:gridCol w:w="139"/>
        <w:gridCol w:w="163"/>
        <w:gridCol w:w="10"/>
        <w:gridCol w:w="87"/>
        <w:gridCol w:w="10"/>
        <w:gridCol w:w="62"/>
        <w:gridCol w:w="1243"/>
        <w:gridCol w:w="734"/>
        <w:gridCol w:w="160"/>
        <w:gridCol w:w="2336"/>
        <w:gridCol w:w="160"/>
        <w:gridCol w:w="539"/>
        <w:gridCol w:w="31"/>
        <w:gridCol w:w="236"/>
        <w:gridCol w:w="209"/>
        <w:gridCol w:w="261"/>
        <w:gridCol w:w="108"/>
        <w:gridCol w:w="1322"/>
        <w:gridCol w:w="21"/>
        <w:gridCol w:w="1206"/>
      </w:tblGrid>
      <w:tr w:rsidR="00000000">
        <w:tblPrEx>
          <w:tblCellMar>
            <w:top w:w="0" w:type="dxa"/>
            <w:bottom w:w="0" w:type="dxa"/>
          </w:tblCellMar>
        </w:tblPrEx>
        <w:trPr>
          <w:cantSplit/>
        </w:trPr>
        <w:tc>
          <w:tcPr>
            <w:tcW w:w="5751" w:type="dxa"/>
            <w:gridSpan w:val="11"/>
            <w:tcBorders>
              <w:top w:val="nil"/>
              <w:left w:val="nil"/>
              <w:bottom w:val="nil"/>
              <w:right w:val="nil"/>
            </w:tcBorders>
            <w:vAlign w:val="center"/>
          </w:tcPr>
          <w:p w:rsidR="00000000" w:rsidRDefault="00000000">
            <w:pPr>
              <w:pStyle w:val="Header"/>
              <w:jc w:val="center"/>
              <w:rPr>
                <w:b/>
              </w:rPr>
            </w:pPr>
            <w:r>
              <w:rPr>
                <w:b/>
              </w:rPr>
              <w:t xml:space="preserve">Доля ферм, находящихся под управлением женщин </w:t>
            </w:r>
            <w:r>
              <w:rPr>
                <w:b/>
              </w:rPr>
              <w:br/>
              <w:t>и мужчин в разбивке по возрасту</w:t>
            </w:r>
          </w:p>
          <w:p w:rsidR="00000000" w:rsidRDefault="00000000">
            <w:pPr>
              <w:pStyle w:val="Header"/>
              <w:spacing w:before="120"/>
              <w:jc w:val="center"/>
            </w:pPr>
            <w:r>
              <w:t xml:space="preserve">Всего 121.286 (=100 %; 59 % из которых находятся </w:t>
            </w:r>
            <w:r>
              <w:br/>
              <w:t>под управлением мужчин, а 41 % – женщин)</w:t>
            </w:r>
          </w:p>
          <w:p w:rsidR="00000000" w:rsidRDefault="00000000">
            <w:pPr>
              <w:jc w:val="both"/>
              <w:rPr>
                <w:b/>
                <w:sz w:val="17"/>
              </w:rPr>
            </w:pPr>
          </w:p>
        </w:tc>
        <w:tc>
          <w:tcPr>
            <w:tcW w:w="160" w:type="dxa"/>
            <w:tcBorders>
              <w:top w:val="nil"/>
              <w:left w:val="nil"/>
              <w:bottom w:val="nil"/>
              <w:right w:val="nil"/>
            </w:tcBorders>
            <w:vAlign w:val="center"/>
          </w:tcPr>
          <w:p w:rsidR="00000000" w:rsidRDefault="00000000">
            <w:pPr>
              <w:jc w:val="both"/>
              <w:rPr>
                <w:b/>
                <w:sz w:val="17"/>
              </w:rPr>
            </w:pPr>
          </w:p>
        </w:tc>
        <w:tc>
          <w:tcPr>
            <w:tcW w:w="6429" w:type="dxa"/>
            <w:gridSpan w:val="11"/>
            <w:tcBorders>
              <w:top w:val="nil"/>
              <w:left w:val="nil"/>
              <w:bottom w:val="nil"/>
              <w:right w:val="nil"/>
            </w:tcBorders>
            <w:vAlign w:val="center"/>
          </w:tcPr>
          <w:p w:rsidR="00000000" w:rsidRDefault="00000000">
            <w:pPr>
              <w:jc w:val="center"/>
              <w:rPr>
                <w:b/>
                <w:sz w:val="17"/>
              </w:rPr>
            </w:pPr>
            <w:r>
              <w:rPr>
                <w:b/>
                <w:sz w:val="17"/>
              </w:rPr>
              <w:t>В разбивке по площади фермерских участков</w:t>
            </w:r>
          </w:p>
        </w:tc>
      </w:tr>
      <w:tr w:rsidR="00000000">
        <w:tblPrEx>
          <w:tblCellMar>
            <w:top w:w="0" w:type="dxa"/>
            <w:bottom w:w="0" w:type="dxa"/>
          </w:tblCellMar>
        </w:tblPrEx>
        <w:tc>
          <w:tcPr>
            <w:tcW w:w="2335" w:type="dxa"/>
            <w:tcBorders>
              <w:top w:val="nil"/>
              <w:left w:val="nil"/>
              <w:bottom w:val="nil"/>
              <w:right w:val="nil"/>
            </w:tcBorders>
            <w:vAlign w:val="center"/>
          </w:tcPr>
          <w:p w:rsidR="00000000" w:rsidRDefault="00000000">
            <w:pPr>
              <w:spacing w:before="60" w:after="60"/>
              <w:jc w:val="both"/>
              <w:rPr>
                <w:b/>
                <w:sz w:val="17"/>
              </w:rPr>
            </w:pPr>
            <w:r>
              <w:rPr>
                <w:b/>
                <w:sz w:val="17"/>
              </w:rPr>
              <w:t>0–25</w:t>
            </w:r>
          </w:p>
        </w:tc>
        <w:tc>
          <w:tcPr>
            <w:tcW w:w="160" w:type="dxa"/>
            <w:tcBorders>
              <w:top w:val="nil"/>
              <w:left w:val="nil"/>
              <w:bottom w:val="nil"/>
            </w:tcBorders>
            <w:vAlign w:val="center"/>
          </w:tcPr>
          <w:p w:rsidR="00000000" w:rsidRDefault="00000000">
            <w:pPr>
              <w:spacing w:before="60" w:after="60"/>
              <w:jc w:val="both"/>
              <w:rPr>
                <w:b/>
                <w:sz w:val="17"/>
              </w:rPr>
            </w:pPr>
          </w:p>
        </w:tc>
        <w:tc>
          <w:tcPr>
            <w:tcW w:w="808" w:type="dxa"/>
            <w:shd w:val="clear" w:color="auto" w:fill="C0C0C0"/>
            <w:vAlign w:val="center"/>
          </w:tcPr>
          <w:p w:rsidR="00000000" w:rsidRDefault="00000000">
            <w:pPr>
              <w:spacing w:before="60" w:after="60"/>
              <w:jc w:val="right"/>
              <w:rPr>
                <w:b/>
                <w:sz w:val="17"/>
              </w:rPr>
            </w:pPr>
            <w:r>
              <w:rPr>
                <w:b/>
                <w:sz w:val="17"/>
              </w:rPr>
              <w:t>22%</w:t>
            </w:r>
          </w:p>
        </w:tc>
        <w:tc>
          <w:tcPr>
            <w:tcW w:w="1714" w:type="dxa"/>
            <w:gridSpan w:val="7"/>
            <w:shd w:val="clear" w:color="auto" w:fill="FFFFFF"/>
            <w:vAlign w:val="center"/>
          </w:tcPr>
          <w:p w:rsidR="00000000" w:rsidRDefault="00000000">
            <w:pPr>
              <w:spacing w:before="60" w:after="60"/>
              <w:jc w:val="center"/>
              <w:rPr>
                <w:b/>
                <w:sz w:val="17"/>
              </w:rPr>
            </w:pPr>
            <w:r>
              <w:rPr>
                <w:b/>
                <w:sz w:val="17"/>
              </w:rPr>
              <w:t>78%</w:t>
            </w:r>
          </w:p>
        </w:tc>
        <w:tc>
          <w:tcPr>
            <w:tcW w:w="734" w:type="dxa"/>
            <w:tcBorders>
              <w:top w:val="nil"/>
              <w:bottom w:val="nil"/>
              <w:right w:val="nil"/>
            </w:tcBorders>
            <w:vAlign w:val="center"/>
          </w:tcPr>
          <w:p w:rsidR="00000000" w:rsidRDefault="00000000">
            <w:pPr>
              <w:spacing w:before="60" w:after="60"/>
              <w:jc w:val="both"/>
              <w:rPr>
                <w:b/>
                <w:sz w:val="17"/>
              </w:rPr>
            </w:pPr>
          </w:p>
        </w:tc>
        <w:tc>
          <w:tcPr>
            <w:tcW w:w="160" w:type="dxa"/>
            <w:tcBorders>
              <w:top w:val="nil"/>
              <w:left w:val="nil"/>
              <w:bottom w:val="nil"/>
              <w:right w:val="nil"/>
            </w:tcBorders>
            <w:vAlign w:val="center"/>
          </w:tcPr>
          <w:p w:rsidR="00000000" w:rsidRDefault="00000000">
            <w:pPr>
              <w:spacing w:before="60" w:after="60"/>
              <w:jc w:val="both"/>
              <w:rPr>
                <w:b/>
                <w:sz w:val="17"/>
              </w:rPr>
            </w:pPr>
          </w:p>
        </w:tc>
        <w:tc>
          <w:tcPr>
            <w:tcW w:w="2336" w:type="dxa"/>
            <w:tcBorders>
              <w:top w:val="nil"/>
              <w:left w:val="nil"/>
              <w:bottom w:val="nil"/>
              <w:right w:val="nil"/>
            </w:tcBorders>
            <w:vAlign w:val="center"/>
          </w:tcPr>
          <w:p w:rsidR="00000000" w:rsidRDefault="00000000">
            <w:pPr>
              <w:spacing w:before="60" w:after="60"/>
              <w:jc w:val="both"/>
              <w:rPr>
                <w:b/>
                <w:sz w:val="17"/>
              </w:rPr>
            </w:pPr>
            <w:r>
              <w:rPr>
                <w:b/>
                <w:sz w:val="17"/>
              </w:rPr>
              <w:t>до 4 га</w:t>
            </w:r>
          </w:p>
        </w:tc>
        <w:tc>
          <w:tcPr>
            <w:tcW w:w="160" w:type="dxa"/>
            <w:tcBorders>
              <w:top w:val="nil"/>
              <w:left w:val="nil"/>
              <w:bottom w:val="nil"/>
            </w:tcBorders>
            <w:vAlign w:val="center"/>
          </w:tcPr>
          <w:p w:rsidR="00000000" w:rsidRDefault="00000000">
            <w:pPr>
              <w:spacing w:before="60" w:after="60"/>
              <w:jc w:val="both"/>
              <w:rPr>
                <w:b/>
                <w:sz w:val="17"/>
              </w:rPr>
            </w:pPr>
          </w:p>
        </w:tc>
        <w:tc>
          <w:tcPr>
            <w:tcW w:w="1276" w:type="dxa"/>
            <w:gridSpan w:val="5"/>
            <w:shd w:val="clear" w:color="auto" w:fill="C0C0C0"/>
            <w:vAlign w:val="center"/>
          </w:tcPr>
          <w:p w:rsidR="00000000" w:rsidRDefault="00000000">
            <w:pPr>
              <w:spacing w:before="60" w:after="60"/>
              <w:jc w:val="right"/>
              <w:rPr>
                <w:b/>
                <w:sz w:val="17"/>
              </w:rPr>
            </w:pPr>
            <w:r>
              <w:rPr>
                <w:b/>
                <w:sz w:val="17"/>
              </w:rPr>
              <w:t>42%</w:t>
            </w:r>
          </w:p>
        </w:tc>
        <w:tc>
          <w:tcPr>
            <w:tcW w:w="1451" w:type="dxa"/>
            <w:gridSpan w:val="3"/>
            <w:shd w:val="clear" w:color="auto" w:fill="FFFFFF"/>
            <w:vAlign w:val="center"/>
          </w:tcPr>
          <w:p w:rsidR="00000000" w:rsidRDefault="00000000">
            <w:pPr>
              <w:spacing w:before="60" w:after="60"/>
              <w:jc w:val="center"/>
              <w:rPr>
                <w:b/>
                <w:sz w:val="17"/>
              </w:rPr>
            </w:pPr>
            <w:r>
              <w:rPr>
                <w:b/>
                <w:sz w:val="17"/>
              </w:rPr>
              <w:t>58%</w:t>
            </w:r>
          </w:p>
        </w:tc>
        <w:tc>
          <w:tcPr>
            <w:tcW w:w="1206" w:type="dxa"/>
            <w:tcBorders>
              <w:top w:val="nil"/>
              <w:bottom w:val="nil"/>
              <w:right w:val="nil"/>
            </w:tcBorders>
            <w:vAlign w:val="center"/>
          </w:tcPr>
          <w:p w:rsidR="00000000" w:rsidRDefault="00000000">
            <w:pPr>
              <w:spacing w:before="60" w:after="60"/>
              <w:jc w:val="both"/>
              <w:rPr>
                <w:b/>
                <w:sz w:val="17"/>
              </w:rPr>
            </w:pPr>
          </w:p>
        </w:tc>
      </w:tr>
      <w:tr w:rsidR="00000000">
        <w:tblPrEx>
          <w:tblCellMar>
            <w:top w:w="0" w:type="dxa"/>
            <w:bottom w:w="0" w:type="dxa"/>
          </w:tblCellMar>
        </w:tblPrEx>
        <w:tc>
          <w:tcPr>
            <w:tcW w:w="2335" w:type="dxa"/>
            <w:tcBorders>
              <w:top w:val="nil"/>
              <w:left w:val="nil"/>
              <w:bottom w:val="nil"/>
              <w:right w:val="nil"/>
            </w:tcBorders>
            <w:vAlign w:val="center"/>
          </w:tcPr>
          <w:p w:rsidR="00000000" w:rsidRDefault="00000000">
            <w:pPr>
              <w:spacing w:before="60" w:after="60"/>
              <w:jc w:val="both"/>
              <w:rPr>
                <w:b/>
                <w:sz w:val="17"/>
              </w:rPr>
            </w:pPr>
            <w:r>
              <w:rPr>
                <w:b/>
                <w:sz w:val="17"/>
              </w:rPr>
              <w:t>25–35</w:t>
            </w:r>
          </w:p>
        </w:tc>
        <w:tc>
          <w:tcPr>
            <w:tcW w:w="160" w:type="dxa"/>
            <w:tcBorders>
              <w:top w:val="nil"/>
              <w:left w:val="nil"/>
              <w:bottom w:val="nil"/>
            </w:tcBorders>
            <w:vAlign w:val="center"/>
          </w:tcPr>
          <w:p w:rsidR="00000000" w:rsidRDefault="00000000">
            <w:pPr>
              <w:spacing w:before="60" w:after="60"/>
              <w:jc w:val="both"/>
              <w:rPr>
                <w:b/>
                <w:sz w:val="17"/>
              </w:rPr>
            </w:pPr>
          </w:p>
        </w:tc>
        <w:tc>
          <w:tcPr>
            <w:tcW w:w="947" w:type="dxa"/>
            <w:gridSpan w:val="2"/>
            <w:shd w:val="clear" w:color="auto" w:fill="C0C0C0"/>
            <w:vAlign w:val="center"/>
          </w:tcPr>
          <w:p w:rsidR="00000000" w:rsidRDefault="00000000">
            <w:pPr>
              <w:spacing w:before="60" w:after="60"/>
              <w:jc w:val="right"/>
              <w:rPr>
                <w:b/>
                <w:sz w:val="17"/>
              </w:rPr>
            </w:pPr>
            <w:r>
              <w:rPr>
                <w:b/>
                <w:sz w:val="17"/>
              </w:rPr>
              <w:t>29%</w:t>
            </w:r>
          </w:p>
        </w:tc>
        <w:tc>
          <w:tcPr>
            <w:tcW w:w="1575" w:type="dxa"/>
            <w:gridSpan w:val="6"/>
            <w:shd w:val="clear" w:color="auto" w:fill="FFFFFF"/>
            <w:vAlign w:val="center"/>
          </w:tcPr>
          <w:p w:rsidR="00000000" w:rsidRDefault="00000000">
            <w:pPr>
              <w:spacing w:before="60" w:after="60"/>
              <w:jc w:val="center"/>
              <w:rPr>
                <w:b/>
                <w:sz w:val="17"/>
              </w:rPr>
            </w:pPr>
            <w:r>
              <w:rPr>
                <w:b/>
                <w:sz w:val="17"/>
              </w:rPr>
              <w:t>71%</w:t>
            </w:r>
          </w:p>
        </w:tc>
        <w:tc>
          <w:tcPr>
            <w:tcW w:w="734" w:type="dxa"/>
            <w:tcBorders>
              <w:top w:val="nil"/>
              <w:bottom w:val="nil"/>
              <w:right w:val="nil"/>
            </w:tcBorders>
            <w:vAlign w:val="center"/>
          </w:tcPr>
          <w:p w:rsidR="00000000" w:rsidRDefault="00000000">
            <w:pPr>
              <w:spacing w:before="60" w:after="60"/>
              <w:jc w:val="both"/>
              <w:rPr>
                <w:b/>
                <w:sz w:val="17"/>
              </w:rPr>
            </w:pPr>
          </w:p>
        </w:tc>
        <w:tc>
          <w:tcPr>
            <w:tcW w:w="160" w:type="dxa"/>
            <w:tcBorders>
              <w:top w:val="nil"/>
              <w:left w:val="nil"/>
              <w:bottom w:val="nil"/>
              <w:right w:val="nil"/>
            </w:tcBorders>
            <w:vAlign w:val="center"/>
          </w:tcPr>
          <w:p w:rsidR="00000000" w:rsidRDefault="00000000">
            <w:pPr>
              <w:spacing w:before="60" w:after="60"/>
              <w:jc w:val="both"/>
              <w:rPr>
                <w:b/>
                <w:sz w:val="17"/>
              </w:rPr>
            </w:pPr>
          </w:p>
        </w:tc>
        <w:tc>
          <w:tcPr>
            <w:tcW w:w="2336" w:type="dxa"/>
            <w:tcBorders>
              <w:top w:val="nil"/>
              <w:left w:val="nil"/>
              <w:bottom w:val="nil"/>
              <w:right w:val="nil"/>
            </w:tcBorders>
            <w:vAlign w:val="center"/>
          </w:tcPr>
          <w:p w:rsidR="00000000" w:rsidRDefault="00000000">
            <w:pPr>
              <w:spacing w:before="60" w:after="60"/>
              <w:jc w:val="both"/>
              <w:rPr>
                <w:b/>
                <w:sz w:val="17"/>
              </w:rPr>
            </w:pPr>
            <w:r>
              <w:rPr>
                <w:b/>
                <w:sz w:val="17"/>
              </w:rPr>
              <w:t>от 5 до1 0 га</w:t>
            </w:r>
          </w:p>
        </w:tc>
        <w:tc>
          <w:tcPr>
            <w:tcW w:w="160" w:type="dxa"/>
            <w:tcBorders>
              <w:top w:val="nil"/>
              <w:left w:val="nil"/>
              <w:bottom w:val="nil"/>
            </w:tcBorders>
            <w:vAlign w:val="center"/>
          </w:tcPr>
          <w:p w:rsidR="00000000" w:rsidRDefault="00000000">
            <w:pPr>
              <w:spacing w:before="60" w:after="60"/>
              <w:jc w:val="both"/>
              <w:rPr>
                <w:b/>
                <w:sz w:val="17"/>
              </w:rPr>
            </w:pPr>
          </w:p>
        </w:tc>
        <w:tc>
          <w:tcPr>
            <w:tcW w:w="1384" w:type="dxa"/>
            <w:gridSpan w:val="6"/>
            <w:shd w:val="clear" w:color="auto" w:fill="C0C0C0"/>
            <w:vAlign w:val="center"/>
          </w:tcPr>
          <w:p w:rsidR="00000000" w:rsidRDefault="00000000">
            <w:pPr>
              <w:spacing w:before="60" w:after="60"/>
              <w:jc w:val="right"/>
              <w:rPr>
                <w:b/>
                <w:sz w:val="17"/>
              </w:rPr>
            </w:pPr>
            <w:r>
              <w:rPr>
                <w:b/>
                <w:sz w:val="17"/>
              </w:rPr>
              <w:t>46%</w:t>
            </w:r>
          </w:p>
        </w:tc>
        <w:tc>
          <w:tcPr>
            <w:tcW w:w="1343" w:type="dxa"/>
            <w:gridSpan w:val="2"/>
            <w:shd w:val="clear" w:color="auto" w:fill="FFFFFF"/>
            <w:vAlign w:val="center"/>
          </w:tcPr>
          <w:p w:rsidR="00000000" w:rsidRDefault="00000000">
            <w:pPr>
              <w:spacing w:before="60" w:after="60"/>
              <w:jc w:val="center"/>
              <w:rPr>
                <w:b/>
                <w:sz w:val="17"/>
              </w:rPr>
            </w:pPr>
            <w:r>
              <w:rPr>
                <w:b/>
                <w:sz w:val="17"/>
              </w:rPr>
              <w:t>54%</w:t>
            </w:r>
          </w:p>
        </w:tc>
        <w:tc>
          <w:tcPr>
            <w:tcW w:w="1206" w:type="dxa"/>
            <w:tcBorders>
              <w:top w:val="nil"/>
              <w:bottom w:val="nil"/>
              <w:right w:val="nil"/>
            </w:tcBorders>
            <w:vAlign w:val="center"/>
          </w:tcPr>
          <w:p w:rsidR="00000000" w:rsidRDefault="00000000">
            <w:pPr>
              <w:spacing w:before="60" w:after="60"/>
              <w:jc w:val="both"/>
              <w:rPr>
                <w:b/>
                <w:sz w:val="17"/>
              </w:rPr>
            </w:pPr>
          </w:p>
        </w:tc>
      </w:tr>
      <w:tr w:rsidR="00000000">
        <w:tblPrEx>
          <w:tblCellMar>
            <w:top w:w="0" w:type="dxa"/>
            <w:bottom w:w="0" w:type="dxa"/>
          </w:tblCellMar>
        </w:tblPrEx>
        <w:tc>
          <w:tcPr>
            <w:tcW w:w="2335" w:type="dxa"/>
            <w:tcBorders>
              <w:top w:val="nil"/>
              <w:left w:val="nil"/>
              <w:bottom w:val="nil"/>
              <w:right w:val="nil"/>
            </w:tcBorders>
            <w:vAlign w:val="center"/>
          </w:tcPr>
          <w:p w:rsidR="00000000" w:rsidRDefault="00000000">
            <w:pPr>
              <w:spacing w:before="60" w:after="60"/>
              <w:jc w:val="both"/>
              <w:rPr>
                <w:b/>
                <w:sz w:val="17"/>
              </w:rPr>
            </w:pPr>
            <w:r>
              <w:rPr>
                <w:b/>
                <w:sz w:val="17"/>
              </w:rPr>
              <w:t>35–45</w:t>
            </w:r>
          </w:p>
        </w:tc>
        <w:tc>
          <w:tcPr>
            <w:tcW w:w="160" w:type="dxa"/>
            <w:tcBorders>
              <w:top w:val="nil"/>
              <w:left w:val="nil"/>
              <w:bottom w:val="nil"/>
            </w:tcBorders>
            <w:vAlign w:val="center"/>
          </w:tcPr>
          <w:p w:rsidR="00000000" w:rsidRDefault="00000000">
            <w:pPr>
              <w:spacing w:before="60" w:after="60"/>
              <w:jc w:val="both"/>
              <w:rPr>
                <w:b/>
                <w:sz w:val="17"/>
              </w:rPr>
            </w:pPr>
          </w:p>
        </w:tc>
        <w:tc>
          <w:tcPr>
            <w:tcW w:w="1120" w:type="dxa"/>
            <w:gridSpan w:val="4"/>
            <w:shd w:val="clear" w:color="auto" w:fill="C0C0C0"/>
            <w:vAlign w:val="center"/>
          </w:tcPr>
          <w:p w:rsidR="00000000" w:rsidRDefault="00000000">
            <w:pPr>
              <w:spacing w:before="60" w:after="60"/>
              <w:jc w:val="right"/>
              <w:rPr>
                <w:b/>
                <w:sz w:val="17"/>
              </w:rPr>
            </w:pPr>
            <w:r>
              <w:rPr>
                <w:b/>
                <w:sz w:val="17"/>
              </w:rPr>
              <w:t>39%</w:t>
            </w:r>
          </w:p>
        </w:tc>
        <w:tc>
          <w:tcPr>
            <w:tcW w:w="1402" w:type="dxa"/>
            <w:gridSpan w:val="4"/>
            <w:shd w:val="clear" w:color="auto" w:fill="FFFFFF"/>
            <w:vAlign w:val="center"/>
          </w:tcPr>
          <w:p w:rsidR="00000000" w:rsidRDefault="00000000">
            <w:pPr>
              <w:spacing w:before="60" w:after="60"/>
              <w:jc w:val="center"/>
              <w:rPr>
                <w:b/>
                <w:sz w:val="17"/>
              </w:rPr>
            </w:pPr>
            <w:r>
              <w:rPr>
                <w:b/>
                <w:sz w:val="17"/>
              </w:rPr>
              <w:t>61%</w:t>
            </w:r>
          </w:p>
        </w:tc>
        <w:tc>
          <w:tcPr>
            <w:tcW w:w="734" w:type="dxa"/>
            <w:tcBorders>
              <w:top w:val="nil"/>
              <w:bottom w:val="nil"/>
              <w:right w:val="nil"/>
            </w:tcBorders>
            <w:vAlign w:val="center"/>
          </w:tcPr>
          <w:p w:rsidR="00000000" w:rsidRDefault="00000000">
            <w:pPr>
              <w:spacing w:before="60" w:after="60"/>
              <w:jc w:val="both"/>
              <w:rPr>
                <w:b/>
                <w:sz w:val="17"/>
              </w:rPr>
            </w:pPr>
          </w:p>
        </w:tc>
        <w:tc>
          <w:tcPr>
            <w:tcW w:w="160" w:type="dxa"/>
            <w:tcBorders>
              <w:top w:val="nil"/>
              <w:left w:val="nil"/>
              <w:bottom w:val="nil"/>
              <w:right w:val="nil"/>
            </w:tcBorders>
            <w:vAlign w:val="center"/>
          </w:tcPr>
          <w:p w:rsidR="00000000" w:rsidRDefault="00000000">
            <w:pPr>
              <w:spacing w:before="60" w:after="60"/>
              <w:jc w:val="both"/>
              <w:rPr>
                <w:b/>
                <w:sz w:val="17"/>
              </w:rPr>
            </w:pPr>
          </w:p>
        </w:tc>
        <w:tc>
          <w:tcPr>
            <w:tcW w:w="2336" w:type="dxa"/>
            <w:tcBorders>
              <w:top w:val="nil"/>
              <w:left w:val="nil"/>
              <w:bottom w:val="nil"/>
              <w:right w:val="nil"/>
            </w:tcBorders>
            <w:vAlign w:val="center"/>
          </w:tcPr>
          <w:p w:rsidR="00000000" w:rsidRDefault="00000000">
            <w:pPr>
              <w:spacing w:before="60" w:after="60"/>
              <w:jc w:val="both"/>
              <w:rPr>
                <w:b/>
                <w:sz w:val="17"/>
              </w:rPr>
            </w:pPr>
            <w:r>
              <w:rPr>
                <w:b/>
                <w:sz w:val="17"/>
              </w:rPr>
              <w:t>от 10 до 20 га</w:t>
            </w:r>
          </w:p>
        </w:tc>
        <w:tc>
          <w:tcPr>
            <w:tcW w:w="160" w:type="dxa"/>
            <w:tcBorders>
              <w:top w:val="nil"/>
              <w:left w:val="nil"/>
              <w:bottom w:val="nil"/>
            </w:tcBorders>
            <w:vAlign w:val="center"/>
          </w:tcPr>
          <w:p w:rsidR="00000000" w:rsidRDefault="00000000">
            <w:pPr>
              <w:spacing w:before="60" w:after="60"/>
              <w:jc w:val="both"/>
              <w:rPr>
                <w:b/>
                <w:sz w:val="17"/>
              </w:rPr>
            </w:pPr>
          </w:p>
        </w:tc>
        <w:tc>
          <w:tcPr>
            <w:tcW w:w="1276" w:type="dxa"/>
            <w:gridSpan w:val="5"/>
            <w:shd w:val="clear" w:color="auto" w:fill="C0C0C0"/>
            <w:vAlign w:val="center"/>
          </w:tcPr>
          <w:p w:rsidR="00000000" w:rsidRDefault="00000000">
            <w:pPr>
              <w:spacing w:before="60" w:after="60"/>
              <w:jc w:val="right"/>
              <w:rPr>
                <w:b/>
                <w:sz w:val="17"/>
              </w:rPr>
            </w:pPr>
            <w:r>
              <w:rPr>
                <w:b/>
                <w:sz w:val="17"/>
              </w:rPr>
              <w:t>42%</w:t>
            </w:r>
          </w:p>
        </w:tc>
        <w:tc>
          <w:tcPr>
            <w:tcW w:w="1451" w:type="dxa"/>
            <w:gridSpan w:val="3"/>
            <w:shd w:val="clear" w:color="auto" w:fill="FFFFFF"/>
            <w:vAlign w:val="center"/>
          </w:tcPr>
          <w:p w:rsidR="00000000" w:rsidRDefault="00000000">
            <w:pPr>
              <w:spacing w:before="60" w:after="60"/>
              <w:jc w:val="center"/>
              <w:rPr>
                <w:b/>
                <w:sz w:val="17"/>
              </w:rPr>
            </w:pPr>
            <w:r>
              <w:rPr>
                <w:b/>
                <w:sz w:val="17"/>
              </w:rPr>
              <w:t>58%</w:t>
            </w:r>
          </w:p>
        </w:tc>
        <w:tc>
          <w:tcPr>
            <w:tcW w:w="1206" w:type="dxa"/>
            <w:tcBorders>
              <w:top w:val="nil"/>
              <w:bottom w:val="nil"/>
              <w:right w:val="nil"/>
            </w:tcBorders>
            <w:vAlign w:val="center"/>
          </w:tcPr>
          <w:p w:rsidR="00000000" w:rsidRDefault="00000000">
            <w:pPr>
              <w:spacing w:before="60" w:after="60"/>
              <w:jc w:val="both"/>
              <w:rPr>
                <w:b/>
                <w:sz w:val="17"/>
              </w:rPr>
            </w:pPr>
          </w:p>
        </w:tc>
      </w:tr>
      <w:tr w:rsidR="00000000">
        <w:tblPrEx>
          <w:tblCellMar>
            <w:top w:w="0" w:type="dxa"/>
            <w:bottom w:w="0" w:type="dxa"/>
          </w:tblCellMar>
        </w:tblPrEx>
        <w:tc>
          <w:tcPr>
            <w:tcW w:w="2335" w:type="dxa"/>
            <w:tcBorders>
              <w:top w:val="nil"/>
              <w:left w:val="nil"/>
              <w:bottom w:val="nil"/>
              <w:right w:val="nil"/>
            </w:tcBorders>
            <w:vAlign w:val="center"/>
          </w:tcPr>
          <w:p w:rsidR="00000000" w:rsidRDefault="00000000">
            <w:pPr>
              <w:spacing w:before="60" w:after="60"/>
              <w:jc w:val="both"/>
              <w:rPr>
                <w:b/>
                <w:sz w:val="17"/>
              </w:rPr>
            </w:pPr>
            <w:r>
              <w:rPr>
                <w:b/>
                <w:sz w:val="17"/>
              </w:rPr>
              <w:t>45–55</w:t>
            </w:r>
          </w:p>
        </w:tc>
        <w:tc>
          <w:tcPr>
            <w:tcW w:w="160" w:type="dxa"/>
            <w:tcBorders>
              <w:top w:val="nil"/>
              <w:left w:val="nil"/>
              <w:bottom w:val="nil"/>
            </w:tcBorders>
            <w:vAlign w:val="center"/>
          </w:tcPr>
          <w:p w:rsidR="00000000" w:rsidRDefault="00000000">
            <w:pPr>
              <w:spacing w:before="60" w:after="60"/>
              <w:jc w:val="both"/>
              <w:rPr>
                <w:b/>
                <w:sz w:val="17"/>
              </w:rPr>
            </w:pPr>
          </w:p>
        </w:tc>
        <w:tc>
          <w:tcPr>
            <w:tcW w:w="1279" w:type="dxa"/>
            <w:gridSpan w:val="7"/>
            <w:shd w:val="clear" w:color="auto" w:fill="C0C0C0"/>
            <w:vAlign w:val="center"/>
          </w:tcPr>
          <w:p w:rsidR="00000000" w:rsidRDefault="00000000">
            <w:pPr>
              <w:spacing w:before="60" w:after="60"/>
              <w:jc w:val="right"/>
              <w:rPr>
                <w:b/>
                <w:sz w:val="17"/>
              </w:rPr>
            </w:pPr>
            <w:r>
              <w:rPr>
                <w:b/>
                <w:sz w:val="17"/>
              </w:rPr>
              <w:t>50%</w:t>
            </w:r>
          </w:p>
        </w:tc>
        <w:tc>
          <w:tcPr>
            <w:tcW w:w="1243" w:type="dxa"/>
            <w:shd w:val="clear" w:color="auto" w:fill="FFFFFF"/>
            <w:vAlign w:val="center"/>
          </w:tcPr>
          <w:p w:rsidR="00000000" w:rsidRDefault="00000000">
            <w:pPr>
              <w:spacing w:before="60" w:after="60"/>
              <w:jc w:val="center"/>
              <w:rPr>
                <w:b/>
                <w:sz w:val="17"/>
              </w:rPr>
            </w:pPr>
            <w:r>
              <w:rPr>
                <w:b/>
                <w:sz w:val="17"/>
              </w:rPr>
              <w:t>50%</w:t>
            </w:r>
          </w:p>
        </w:tc>
        <w:tc>
          <w:tcPr>
            <w:tcW w:w="734" w:type="dxa"/>
            <w:tcBorders>
              <w:top w:val="nil"/>
              <w:bottom w:val="nil"/>
              <w:right w:val="nil"/>
            </w:tcBorders>
            <w:vAlign w:val="center"/>
          </w:tcPr>
          <w:p w:rsidR="00000000" w:rsidRDefault="00000000">
            <w:pPr>
              <w:spacing w:before="60" w:after="60"/>
              <w:jc w:val="both"/>
              <w:rPr>
                <w:b/>
                <w:sz w:val="17"/>
              </w:rPr>
            </w:pPr>
          </w:p>
        </w:tc>
        <w:tc>
          <w:tcPr>
            <w:tcW w:w="160" w:type="dxa"/>
            <w:tcBorders>
              <w:top w:val="nil"/>
              <w:left w:val="nil"/>
              <w:bottom w:val="nil"/>
              <w:right w:val="nil"/>
            </w:tcBorders>
            <w:vAlign w:val="center"/>
          </w:tcPr>
          <w:p w:rsidR="00000000" w:rsidRDefault="00000000">
            <w:pPr>
              <w:spacing w:before="60" w:after="60"/>
              <w:jc w:val="both"/>
              <w:rPr>
                <w:b/>
                <w:sz w:val="17"/>
              </w:rPr>
            </w:pPr>
          </w:p>
        </w:tc>
        <w:tc>
          <w:tcPr>
            <w:tcW w:w="2336" w:type="dxa"/>
            <w:tcBorders>
              <w:top w:val="nil"/>
              <w:left w:val="nil"/>
              <w:bottom w:val="nil"/>
              <w:right w:val="nil"/>
            </w:tcBorders>
            <w:vAlign w:val="center"/>
          </w:tcPr>
          <w:p w:rsidR="00000000" w:rsidRDefault="00000000">
            <w:pPr>
              <w:spacing w:before="60" w:after="60"/>
              <w:jc w:val="both"/>
              <w:rPr>
                <w:b/>
                <w:sz w:val="17"/>
              </w:rPr>
            </w:pPr>
            <w:r>
              <w:rPr>
                <w:b/>
                <w:sz w:val="17"/>
              </w:rPr>
              <w:t>от 20 до 50 га</w:t>
            </w:r>
          </w:p>
        </w:tc>
        <w:tc>
          <w:tcPr>
            <w:tcW w:w="160" w:type="dxa"/>
            <w:tcBorders>
              <w:top w:val="nil"/>
              <w:left w:val="nil"/>
              <w:bottom w:val="nil"/>
            </w:tcBorders>
            <w:vAlign w:val="center"/>
          </w:tcPr>
          <w:p w:rsidR="00000000" w:rsidRDefault="00000000">
            <w:pPr>
              <w:spacing w:before="60" w:after="60"/>
              <w:jc w:val="both"/>
              <w:rPr>
                <w:b/>
                <w:sz w:val="17"/>
              </w:rPr>
            </w:pPr>
          </w:p>
        </w:tc>
        <w:tc>
          <w:tcPr>
            <w:tcW w:w="1015" w:type="dxa"/>
            <w:gridSpan w:val="4"/>
            <w:shd w:val="clear" w:color="auto" w:fill="C0C0C0"/>
            <w:vAlign w:val="center"/>
          </w:tcPr>
          <w:p w:rsidR="00000000" w:rsidRDefault="00000000">
            <w:pPr>
              <w:spacing w:before="60" w:after="60"/>
              <w:jc w:val="right"/>
              <w:rPr>
                <w:b/>
                <w:sz w:val="17"/>
              </w:rPr>
            </w:pPr>
            <w:r>
              <w:rPr>
                <w:b/>
                <w:sz w:val="17"/>
              </w:rPr>
              <w:t>32%</w:t>
            </w:r>
          </w:p>
        </w:tc>
        <w:tc>
          <w:tcPr>
            <w:tcW w:w="1712" w:type="dxa"/>
            <w:gridSpan w:val="4"/>
            <w:shd w:val="clear" w:color="auto" w:fill="FFFFFF"/>
            <w:vAlign w:val="center"/>
          </w:tcPr>
          <w:p w:rsidR="00000000" w:rsidRDefault="00000000">
            <w:pPr>
              <w:spacing w:before="60" w:after="60"/>
              <w:jc w:val="center"/>
              <w:rPr>
                <w:b/>
                <w:sz w:val="17"/>
              </w:rPr>
            </w:pPr>
            <w:r>
              <w:rPr>
                <w:b/>
                <w:sz w:val="17"/>
              </w:rPr>
              <w:t>68%</w:t>
            </w:r>
          </w:p>
        </w:tc>
        <w:tc>
          <w:tcPr>
            <w:tcW w:w="1206" w:type="dxa"/>
            <w:tcBorders>
              <w:top w:val="nil"/>
              <w:bottom w:val="nil"/>
              <w:right w:val="nil"/>
            </w:tcBorders>
            <w:vAlign w:val="center"/>
          </w:tcPr>
          <w:p w:rsidR="00000000" w:rsidRDefault="00000000">
            <w:pPr>
              <w:spacing w:before="60" w:after="60"/>
              <w:jc w:val="both"/>
              <w:rPr>
                <w:b/>
                <w:sz w:val="17"/>
              </w:rPr>
            </w:pPr>
          </w:p>
        </w:tc>
      </w:tr>
      <w:tr w:rsidR="00000000">
        <w:tblPrEx>
          <w:tblCellMar>
            <w:top w:w="0" w:type="dxa"/>
            <w:bottom w:w="0" w:type="dxa"/>
          </w:tblCellMar>
        </w:tblPrEx>
        <w:tc>
          <w:tcPr>
            <w:tcW w:w="2335" w:type="dxa"/>
            <w:tcBorders>
              <w:top w:val="nil"/>
              <w:left w:val="nil"/>
              <w:bottom w:val="nil"/>
              <w:right w:val="nil"/>
            </w:tcBorders>
            <w:vAlign w:val="center"/>
          </w:tcPr>
          <w:p w:rsidR="00000000" w:rsidRDefault="00000000">
            <w:pPr>
              <w:spacing w:before="60" w:after="60"/>
              <w:jc w:val="both"/>
              <w:rPr>
                <w:b/>
                <w:sz w:val="17"/>
              </w:rPr>
            </w:pPr>
            <w:r>
              <w:rPr>
                <w:b/>
                <w:sz w:val="17"/>
              </w:rPr>
              <w:t>55–60</w:t>
            </w:r>
          </w:p>
        </w:tc>
        <w:tc>
          <w:tcPr>
            <w:tcW w:w="160" w:type="dxa"/>
            <w:tcBorders>
              <w:top w:val="nil"/>
              <w:left w:val="nil"/>
              <w:bottom w:val="nil"/>
            </w:tcBorders>
            <w:vAlign w:val="center"/>
          </w:tcPr>
          <w:p w:rsidR="00000000" w:rsidRDefault="00000000">
            <w:pPr>
              <w:spacing w:before="60" w:after="60"/>
              <w:jc w:val="both"/>
              <w:rPr>
                <w:b/>
                <w:sz w:val="17"/>
              </w:rPr>
            </w:pPr>
          </w:p>
        </w:tc>
        <w:tc>
          <w:tcPr>
            <w:tcW w:w="1217" w:type="dxa"/>
            <w:gridSpan w:val="6"/>
            <w:shd w:val="clear" w:color="auto" w:fill="C0C0C0"/>
            <w:vAlign w:val="center"/>
          </w:tcPr>
          <w:p w:rsidR="00000000" w:rsidRDefault="00000000">
            <w:pPr>
              <w:spacing w:before="60" w:after="60"/>
              <w:jc w:val="right"/>
              <w:rPr>
                <w:b/>
                <w:sz w:val="17"/>
              </w:rPr>
            </w:pPr>
            <w:r>
              <w:rPr>
                <w:b/>
                <w:sz w:val="17"/>
              </w:rPr>
              <w:t>46%</w:t>
            </w:r>
          </w:p>
        </w:tc>
        <w:tc>
          <w:tcPr>
            <w:tcW w:w="1305" w:type="dxa"/>
            <w:gridSpan w:val="2"/>
            <w:shd w:val="clear" w:color="auto" w:fill="FFFFFF"/>
            <w:vAlign w:val="center"/>
          </w:tcPr>
          <w:p w:rsidR="00000000" w:rsidRDefault="00000000">
            <w:pPr>
              <w:spacing w:before="60" w:after="60"/>
              <w:jc w:val="center"/>
              <w:rPr>
                <w:b/>
                <w:sz w:val="17"/>
              </w:rPr>
            </w:pPr>
            <w:r>
              <w:rPr>
                <w:b/>
                <w:sz w:val="17"/>
              </w:rPr>
              <w:t>54%</w:t>
            </w:r>
          </w:p>
        </w:tc>
        <w:tc>
          <w:tcPr>
            <w:tcW w:w="734" w:type="dxa"/>
            <w:tcBorders>
              <w:top w:val="nil"/>
              <w:bottom w:val="nil"/>
              <w:right w:val="nil"/>
            </w:tcBorders>
            <w:vAlign w:val="center"/>
          </w:tcPr>
          <w:p w:rsidR="00000000" w:rsidRDefault="00000000">
            <w:pPr>
              <w:spacing w:before="60" w:after="60"/>
              <w:jc w:val="both"/>
              <w:rPr>
                <w:b/>
                <w:sz w:val="17"/>
              </w:rPr>
            </w:pPr>
          </w:p>
        </w:tc>
        <w:tc>
          <w:tcPr>
            <w:tcW w:w="160" w:type="dxa"/>
            <w:tcBorders>
              <w:top w:val="nil"/>
              <w:left w:val="nil"/>
              <w:bottom w:val="nil"/>
              <w:right w:val="nil"/>
            </w:tcBorders>
            <w:vAlign w:val="center"/>
          </w:tcPr>
          <w:p w:rsidR="00000000" w:rsidRDefault="00000000">
            <w:pPr>
              <w:spacing w:before="60" w:after="60"/>
              <w:jc w:val="both"/>
              <w:rPr>
                <w:b/>
                <w:sz w:val="17"/>
              </w:rPr>
            </w:pPr>
          </w:p>
        </w:tc>
        <w:tc>
          <w:tcPr>
            <w:tcW w:w="2336" w:type="dxa"/>
            <w:tcBorders>
              <w:top w:val="nil"/>
              <w:left w:val="nil"/>
              <w:bottom w:val="nil"/>
              <w:right w:val="nil"/>
            </w:tcBorders>
            <w:vAlign w:val="center"/>
          </w:tcPr>
          <w:p w:rsidR="00000000" w:rsidRDefault="00000000">
            <w:pPr>
              <w:spacing w:before="60" w:after="60"/>
              <w:jc w:val="both"/>
              <w:rPr>
                <w:b/>
                <w:sz w:val="17"/>
              </w:rPr>
            </w:pPr>
            <w:r>
              <w:rPr>
                <w:b/>
                <w:sz w:val="17"/>
              </w:rPr>
              <w:t>от 50 до 100 га</w:t>
            </w:r>
          </w:p>
        </w:tc>
        <w:tc>
          <w:tcPr>
            <w:tcW w:w="160" w:type="dxa"/>
            <w:tcBorders>
              <w:top w:val="nil"/>
              <w:left w:val="nil"/>
              <w:bottom w:val="nil"/>
            </w:tcBorders>
            <w:vAlign w:val="center"/>
          </w:tcPr>
          <w:p w:rsidR="00000000" w:rsidRDefault="00000000">
            <w:pPr>
              <w:spacing w:before="60" w:after="60"/>
              <w:jc w:val="both"/>
              <w:rPr>
                <w:b/>
                <w:sz w:val="17"/>
              </w:rPr>
            </w:pPr>
          </w:p>
        </w:tc>
        <w:tc>
          <w:tcPr>
            <w:tcW w:w="806" w:type="dxa"/>
            <w:gridSpan w:val="3"/>
            <w:shd w:val="clear" w:color="auto" w:fill="C0C0C0"/>
            <w:vAlign w:val="center"/>
          </w:tcPr>
          <w:p w:rsidR="00000000" w:rsidRDefault="00000000">
            <w:pPr>
              <w:spacing w:before="60" w:after="60"/>
              <w:jc w:val="right"/>
              <w:rPr>
                <w:b/>
                <w:sz w:val="17"/>
              </w:rPr>
            </w:pPr>
            <w:r>
              <w:rPr>
                <w:b/>
                <w:sz w:val="17"/>
              </w:rPr>
              <w:t>24%</w:t>
            </w:r>
          </w:p>
        </w:tc>
        <w:tc>
          <w:tcPr>
            <w:tcW w:w="1921" w:type="dxa"/>
            <w:gridSpan w:val="5"/>
            <w:shd w:val="clear" w:color="auto" w:fill="FFFFFF"/>
            <w:vAlign w:val="center"/>
          </w:tcPr>
          <w:p w:rsidR="00000000" w:rsidRDefault="00000000">
            <w:pPr>
              <w:spacing w:before="60" w:after="60"/>
              <w:jc w:val="center"/>
              <w:rPr>
                <w:b/>
                <w:sz w:val="17"/>
              </w:rPr>
            </w:pPr>
            <w:r>
              <w:rPr>
                <w:b/>
                <w:sz w:val="17"/>
              </w:rPr>
              <w:t>76%</w:t>
            </w:r>
          </w:p>
        </w:tc>
        <w:tc>
          <w:tcPr>
            <w:tcW w:w="1206" w:type="dxa"/>
            <w:tcBorders>
              <w:top w:val="nil"/>
              <w:bottom w:val="nil"/>
              <w:right w:val="nil"/>
            </w:tcBorders>
            <w:vAlign w:val="center"/>
          </w:tcPr>
          <w:p w:rsidR="00000000" w:rsidRDefault="00000000">
            <w:pPr>
              <w:spacing w:before="60" w:after="60"/>
              <w:jc w:val="both"/>
              <w:rPr>
                <w:b/>
                <w:sz w:val="17"/>
              </w:rPr>
            </w:pPr>
          </w:p>
        </w:tc>
      </w:tr>
      <w:tr w:rsidR="00000000">
        <w:tblPrEx>
          <w:tblCellMar>
            <w:top w:w="0" w:type="dxa"/>
            <w:bottom w:w="0" w:type="dxa"/>
          </w:tblCellMar>
        </w:tblPrEx>
        <w:tc>
          <w:tcPr>
            <w:tcW w:w="2335" w:type="dxa"/>
            <w:tcBorders>
              <w:top w:val="nil"/>
              <w:left w:val="nil"/>
              <w:bottom w:val="nil"/>
              <w:right w:val="nil"/>
            </w:tcBorders>
            <w:vAlign w:val="center"/>
          </w:tcPr>
          <w:p w:rsidR="00000000" w:rsidRDefault="00000000">
            <w:pPr>
              <w:spacing w:before="60" w:after="60"/>
              <w:jc w:val="both"/>
              <w:rPr>
                <w:b/>
                <w:sz w:val="17"/>
              </w:rPr>
            </w:pPr>
            <w:r>
              <w:rPr>
                <w:b/>
                <w:sz w:val="17"/>
              </w:rPr>
              <w:t>60–65</w:t>
            </w:r>
          </w:p>
        </w:tc>
        <w:tc>
          <w:tcPr>
            <w:tcW w:w="160" w:type="dxa"/>
            <w:tcBorders>
              <w:top w:val="nil"/>
              <w:left w:val="nil"/>
              <w:bottom w:val="nil"/>
            </w:tcBorders>
            <w:vAlign w:val="center"/>
          </w:tcPr>
          <w:p w:rsidR="00000000" w:rsidRDefault="00000000">
            <w:pPr>
              <w:spacing w:before="60" w:after="60"/>
              <w:jc w:val="both"/>
              <w:rPr>
                <w:b/>
                <w:sz w:val="17"/>
              </w:rPr>
            </w:pPr>
          </w:p>
        </w:tc>
        <w:tc>
          <w:tcPr>
            <w:tcW w:w="1207" w:type="dxa"/>
            <w:gridSpan w:val="5"/>
            <w:shd w:val="clear" w:color="auto" w:fill="C0C0C0"/>
            <w:vAlign w:val="center"/>
          </w:tcPr>
          <w:p w:rsidR="00000000" w:rsidRDefault="00000000">
            <w:pPr>
              <w:spacing w:before="60" w:after="60"/>
              <w:jc w:val="right"/>
              <w:rPr>
                <w:b/>
                <w:sz w:val="17"/>
              </w:rPr>
            </w:pPr>
            <w:r>
              <w:rPr>
                <w:b/>
                <w:sz w:val="17"/>
              </w:rPr>
              <w:t>44%</w:t>
            </w:r>
          </w:p>
        </w:tc>
        <w:tc>
          <w:tcPr>
            <w:tcW w:w="1315" w:type="dxa"/>
            <w:gridSpan w:val="3"/>
            <w:shd w:val="clear" w:color="auto" w:fill="FFFFFF"/>
            <w:vAlign w:val="center"/>
          </w:tcPr>
          <w:p w:rsidR="00000000" w:rsidRDefault="00000000">
            <w:pPr>
              <w:spacing w:before="60" w:after="60"/>
              <w:jc w:val="center"/>
              <w:rPr>
                <w:b/>
                <w:sz w:val="17"/>
              </w:rPr>
            </w:pPr>
            <w:r>
              <w:rPr>
                <w:b/>
                <w:sz w:val="17"/>
              </w:rPr>
              <w:t>56%</w:t>
            </w:r>
          </w:p>
        </w:tc>
        <w:tc>
          <w:tcPr>
            <w:tcW w:w="734" w:type="dxa"/>
            <w:tcBorders>
              <w:top w:val="nil"/>
              <w:bottom w:val="nil"/>
              <w:right w:val="nil"/>
            </w:tcBorders>
            <w:vAlign w:val="center"/>
          </w:tcPr>
          <w:p w:rsidR="00000000" w:rsidRDefault="00000000">
            <w:pPr>
              <w:spacing w:before="60" w:after="60"/>
              <w:jc w:val="both"/>
              <w:rPr>
                <w:b/>
                <w:sz w:val="17"/>
              </w:rPr>
            </w:pPr>
          </w:p>
        </w:tc>
        <w:tc>
          <w:tcPr>
            <w:tcW w:w="160" w:type="dxa"/>
            <w:tcBorders>
              <w:top w:val="nil"/>
              <w:left w:val="nil"/>
              <w:bottom w:val="nil"/>
              <w:right w:val="nil"/>
            </w:tcBorders>
            <w:vAlign w:val="center"/>
          </w:tcPr>
          <w:p w:rsidR="00000000" w:rsidRDefault="00000000">
            <w:pPr>
              <w:spacing w:before="60" w:after="60"/>
              <w:jc w:val="both"/>
              <w:rPr>
                <w:b/>
                <w:sz w:val="17"/>
              </w:rPr>
            </w:pPr>
          </w:p>
        </w:tc>
        <w:tc>
          <w:tcPr>
            <w:tcW w:w="2336" w:type="dxa"/>
            <w:tcBorders>
              <w:top w:val="nil"/>
              <w:left w:val="nil"/>
              <w:bottom w:val="nil"/>
              <w:right w:val="nil"/>
            </w:tcBorders>
            <w:vAlign w:val="center"/>
          </w:tcPr>
          <w:p w:rsidR="00000000" w:rsidRDefault="00000000">
            <w:pPr>
              <w:spacing w:before="60" w:after="60"/>
              <w:jc w:val="both"/>
              <w:rPr>
                <w:b/>
                <w:sz w:val="17"/>
              </w:rPr>
            </w:pPr>
            <w:r>
              <w:rPr>
                <w:b/>
                <w:sz w:val="17"/>
              </w:rPr>
              <w:t>от 100 до 200 га</w:t>
            </w:r>
          </w:p>
        </w:tc>
        <w:tc>
          <w:tcPr>
            <w:tcW w:w="160" w:type="dxa"/>
            <w:tcBorders>
              <w:top w:val="nil"/>
              <w:left w:val="nil"/>
              <w:bottom w:val="nil"/>
            </w:tcBorders>
            <w:vAlign w:val="center"/>
          </w:tcPr>
          <w:p w:rsidR="00000000" w:rsidRDefault="00000000">
            <w:pPr>
              <w:spacing w:before="60" w:after="60"/>
              <w:jc w:val="both"/>
              <w:rPr>
                <w:b/>
                <w:sz w:val="17"/>
              </w:rPr>
            </w:pPr>
          </w:p>
        </w:tc>
        <w:tc>
          <w:tcPr>
            <w:tcW w:w="539" w:type="dxa"/>
            <w:shd w:val="clear" w:color="auto" w:fill="C0C0C0"/>
            <w:vAlign w:val="center"/>
          </w:tcPr>
          <w:p w:rsidR="00000000" w:rsidRDefault="00000000">
            <w:pPr>
              <w:spacing w:before="60" w:after="60"/>
              <w:jc w:val="both"/>
              <w:rPr>
                <w:b/>
                <w:sz w:val="17"/>
              </w:rPr>
            </w:pPr>
            <w:r>
              <w:rPr>
                <w:b/>
                <w:sz w:val="17"/>
              </w:rPr>
              <w:t>16%</w:t>
            </w:r>
          </w:p>
        </w:tc>
        <w:tc>
          <w:tcPr>
            <w:tcW w:w="2167" w:type="dxa"/>
            <w:gridSpan w:val="6"/>
            <w:shd w:val="clear" w:color="auto" w:fill="FFFFFF"/>
            <w:vAlign w:val="center"/>
          </w:tcPr>
          <w:p w:rsidR="00000000" w:rsidRDefault="00000000">
            <w:pPr>
              <w:spacing w:before="60" w:after="60"/>
              <w:jc w:val="center"/>
              <w:rPr>
                <w:b/>
                <w:sz w:val="17"/>
              </w:rPr>
            </w:pPr>
            <w:r>
              <w:rPr>
                <w:b/>
                <w:sz w:val="17"/>
              </w:rPr>
              <w:t>84%</w:t>
            </w:r>
          </w:p>
        </w:tc>
        <w:tc>
          <w:tcPr>
            <w:tcW w:w="1227" w:type="dxa"/>
            <w:gridSpan w:val="2"/>
            <w:tcBorders>
              <w:top w:val="nil"/>
              <w:bottom w:val="nil"/>
              <w:right w:val="nil"/>
            </w:tcBorders>
            <w:vAlign w:val="center"/>
          </w:tcPr>
          <w:p w:rsidR="00000000" w:rsidRDefault="00000000">
            <w:pPr>
              <w:spacing w:before="60" w:after="60"/>
              <w:jc w:val="both"/>
              <w:rPr>
                <w:b/>
                <w:sz w:val="17"/>
              </w:rPr>
            </w:pPr>
          </w:p>
        </w:tc>
      </w:tr>
      <w:tr w:rsidR="00000000">
        <w:tblPrEx>
          <w:tblCellMar>
            <w:top w:w="0" w:type="dxa"/>
            <w:bottom w:w="0" w:type="dxa"/>
          </w:tblCellMar>
        </w:tblPrEx>
        <w:tc>
          <w:tcPr>
            <w:tcW w:w="2335" w:type="dxa"/>
            <w:tcBorders>
              <w:top w:val="nil"/>
              <w:left w:val="nil"/>
              <w:bottom w:val="nil"/>
              <w:right w:val="nil"/>
            </w:tcBorders>
            <w:vAlign w:val="center"/>
          </w:tcPr>
          <w:p w:rsidR="00000000" w:rsidRDefault="00000000">
            <w:pPr>
              <w:spacing w:before="60" w:after="60"/>
              <w:jc w:val="both"/>
              <w:rPr>
                <w:b/>
                <w:sz w:val="17"/>
              </w:rPr>
            </w:pPr>
            <w:r>
              <w:rPr>
                <w:b/>
                <w:sz w:val="17"/>
              </w:rPr>
              <w:t>65 и старше</w:t>
            </w:r>
          </w:p>
        </w:tc>
        <w:tc>
          <w:tcPr>
            <w:tcW w:w="160" w:type="dxa"/>
            <w:tcBorders>
              <w:top w:val="nil"/>
              <w:left w:val="nil"/>
              <w:bottom w:val="nil"/>
            </w:tcBorders>
            <w:vAlign w:val="center"/>
          </w:tcPr>
          <w:p w:rsidR="00000000" w:rsidRDefault="00000000">
            <w:pPr>
              <w:spacing w:before="60" w:after="60"/>
              <w:jc w:val="both"/>
              <w:rPr>
                <w:b/>
                <w:sz w:val="17"/>
              </w:rPr>
            </w:pPr>
          </w:p>
        </w:tc>
        <w:tc>
          <w:tcPr>
            <w:tcW w:w="1110" w:type="dxa"/>
            <w:gridSpan w:val="3"/>
            <w:shd w:val="clear" w:color="auto" w:fill="C0C0C0"/>
            <w:vAlign w:val="center"/>
          </w:tcPr>
          <w:p w:rsidR="00000000" w:rsidRDefault="00000000">
            <w:pPr>
              <w:spacing w:before="60" w:after="60"/>
              <w:jc w:val="right"/>
              <w:rPr>
                <w:b/>
                <w:sz w:val="17"/>
              </w:rPr>
            </w:pPr>
            <w:r>
              <w:rPr>
                <w:b/>
                <w:sz w:val="17"/>
              </w:rPr>
              <w:t>37%</w:t>
            </w:r>
          </w:p>
        </w:tc>
        <w:tc>
          <w:tcPr>
            <w:tcW w:w="1412" w:type="dxa"/>
            <w:gridSpan w:val="5"/>
            <w:tcBorders>
              <w:bottom w:val="single" w:sz="8" w:space="0" w:color="auto"/>
            </w:tcBorders>
            <w:shd w:val="clear" w:color="auto" w:fill="FFFFFF"/>
            <w:vAlign w:val="center"/>
          </w:tcPr>
          <w:p w:rsidR="00000000" w:rsidRDefault="00000000">
            <w:pPr>
              <w:spacing w:before="60" w:after="60"/>
              <w:jc w:val="center"/>
              <w:rPr>
                <w:b/>
                <w:sz w:val="17"/>
              </w:rPr>
            </w:pPr>
            <w:r>
              <w:rPr>
                <w:b/>
                <w:sz w:val="17"/>
              </w:rPr>
              <w:t>63%</w:t>
            </w:r>
          </w:p>
        </w:tc>
        <w:tc>
          <w:tcPr>
            <w:tcW w:w="734" w:type="dxa"/>
            <w:tcBorders>
              <w:top w:val="nil"/>
              <w:bottom w:val="nil"/>
              <w:right w:val="nil"/>
            </w:tcBorders>
            <w:vAlign w:val="center"/>
          </w:tcPr>
          <w:p w:rsidR="00000000" w:rsidRDefault="00000000">
            <w:pPr>
              <w:spacing w:before="60" w:after="60"/>
              <w:jc w:val="both"/>
              <w:rPr>
                <w:b/>
                <w:sz w:val="17"/>
              </w:rPr>
            </w:pPr>
          </w:p>
        </w:tc>
        <w:tc>
          <w:tcPr>
            <w:tcW w:w="160" w:type="dxa"/>
            <w:tcBorders>
              <w:top w:val="nil"/>
              <w:left w:val="nil"/>
              <w:bottom w:val="nil"/>
              <w:right w:val="nil"/>
            </w:tcBorders>
            <w:vAlign w:val="center"/>
          </w:tcPr>
          <w:p w:rsidR="00000000" w:rsidRDefault="00000000">
            <w:pPr>
              <w:spacing w:before="60" w:after="60"/>
              <w:jc w:val="both"/>
              <w:rPr>
                <w:b/>
                <w:sz w:val="17"/>
              </w:rPr>
            </w:pPr>
          </w:p>
        </w:tc>
        <w:tc>
          <w:tcPr>
            <w:tcW w:w="2336" w:type="dxa"/>
            <w:tcBorders>
              <w:top w:val="nil"/>
              <w:left w:val="nil"/>
              <w:bottom w:val="nil"/>
              <w:right w:val="nil"/>
            </w:tcBorders>
            <w:vAlign w:val="center"/>
          </w:tcPr>
          <w:p w:rsidR="00000000" w:rsidRDefault="00000000">
            <w:pPr>
              <w:spacing w:before="60" w:after="60"/>
              <w:jc w:val="both"/>
              <w:rPr>
                <w:b/>
                <w:sz w:val="17"/>
              </w:rPr>
            </w:pPr>
            <w:r>
              <w:rPr>
                <w:b/>
                <w:sz w:val="17"/>
              </w:rPr>
              <w:t>от 200 га более</w:t>
            </w:r>
          </w:p>
        </w:tc>
        <w:tc>
          <w:tcPr>
            <w:tcW w:w="160" w:type="dxa"/>
            <w:tcBorders>
              <w:top w:val="nil"/>
              <w:left w:val="nil"/>
              <w:bottom w:val="nil"/>
            </w:tcBorders>
            <w:vAlign w:val="center"/>
          </w:tcPr>
          <w:p w:rsidR="00000000" w:rsidRDefault="00000000">
            <w:pPr>
              <w:spacing w:before="60" w:after="60"/>
              <w:jc w:val="both"/>
              <w:rPr>
                <w:b/>
                <w:sz w:val="17"/>
              </w:rPr>
            </w:pPr>
          </w:p>
        </w:tc>
        <w:tc>
          <w:tcPr>
            <w:tcW w:w="570" w:type="dxa"/>
            <w:gridSpan w:val="2"/>
            <w:shd w:val="clear" w:color="auto" w:fill="C0C0C0"/>
            <w:vAlign w:val="bottom"/>
          </w:tcPr>
          <w:p w:rsidR="00000000" w:rsidRDefault="00000000">
            <w:pPr>
              <w:spacing w:before="60" w:after="60"/>
              <w:jc w:val="right"/>
              <w:rPr>
                <w:b/>
                <w:sz w:val="17"/>
              </w:rPr>
            </w:pPr>
            <w:r>
              <w:rPr>
                <w:b/>
                <w:sz w:val="17"/>
              </w:rPr>
              <w:t>17%</w:t>
            </w:r>
          </w:p>
        </w:tc>
        <w:tc>
          <w:tcPr>
            <w:tcW w:w="2157" w:type="dxa"/>
            <w:gridSpan w:val="6"/>
            <w:shd w:val="clear" w:color="auto" w:fill="FFFFFF"/>
            <w:vAlign w:val="center"/>
          </w:tcPr>
          <w:p w:rsidR="00000000" w:rsidRDefault="00000000">
            <w:pPr>
              <w:spacing w:before="60" w:after="60"/>
              <w:jc w:val="center"/>
              <w:rPr>
                <w:b/>
                <w:sz w:val="17"/>
              </w:rPr>
            </w:pPr>
            <w:r>
              <w:rPr>
                <w:b/>
                <w:sz w:val="17"/>
              </w:rPr>
              <w:t>83%</w:t>
            </w:r>
          </w:p>
        </w:tc>
        <w:tc>
          <w:tcPr>
            <w:tcW w:w="1206" w:type="dxa"/>
            <w:tcBorders>
              <w:top w:val="nil"/>
              <w:bottom w:val="nil"/>
              <w:right w:val="nil"/>
            </w:tcBorders>
            <w:vAlign w:val="center"/>
          </w:tcPr>
          <w:p w:rsidR="00000000" w:rsidRDefault="00000000">
            <w:pPr>
              <w:spacing w:before="60" w:after="60"/>
              <w:jc w:val="both"/>
              <w:rPr>
                <w:b/>
                <w:sz w:val="17"/>
              </w:rPr>
            </w:pPr>
          </w:p>
        </w:tc>
      </w:tr>
    </w:tbl>
    <w:p w:rsidR="00000000" w:rsidRDefault="00000000">
      <w:pPr>
        <w:jc w:val="both"/>
        <w:rPr>
          <w:b/>
        </w:rPr>
      </w:pPr>
    </w:p>
    <w:p w:rsidR="00000000" w:rsidRDefault="00000000">
      <w:pPr>
        <w:jc w:val="both"/>
        <w:rPr>
          <w:sz w:val="17"/>
        </w:rPr>
      </w:pPr>
    </w:p>
    <w:tbl>
      <w:tblPr>
        <w:tblW w:w="0" w:type="auto"/>
        <w:tblInd w:w="191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340"/>
        <w:gridCol w:w="1560"/>
        <w:gridCol w:w="340"/>
        <w:gridCol w:w="1228"/>
      </w:tblGrid>
      <w:tr w:rsidR="00000000">
        <w:tblPrEx>
          <w:tblCellMar>
            <w:top w:w="0" w:type="dxa"/>
            <w:bottom w:w="0" w:type="dxa"/>
          </w:tblCellMar>
        </w:tblPrEx>
        <w:trPr>
          <w:trHeight w:hRule="exact" w:val="340"/>
        </w:trPr>
        <w:tc>
          <w:tcPr>
            <w:tcW w:w="340" w:type="dxa"/>
            <w:shd w:val="clear" w:color="auto" w:fill="C0C0C0"/>
            <w:vAlign w:val="bottom"/>
          </w:tcPr>
          <w:p w:rsidR="00000000" w:rsidRDefault="00000000">
            <w:pPr>
              <w:jc w:val="both"/>
              <w:rPr>
                <w:sz w:val="17"/>
              </w:rPr>
            </w:pPr>
          </w:p>
        </w:tc>
        <w:tc>
          <w:tcPr>
            <w:tcW w:w="1560" w:type="dxa"/>
            <w:tcBorders>
              <w:top w:val="nil"/>
              <w:bottom w:val="nil"/>
            </w:tcBorders>
            <w:vAlign w:val="bottom"/>
          </w:tcPr>
          <w:p w:rsidR="00000000" w:rsidRDefault="00000000">
            <w:pPr>
              <w:jc w:val="both"/>
              <w:rPr>
                <w:sz w:val="17"/>
              </w:rPr>
            </w:pPr>
            <w:r>
              <w:rPr>
                <w:sz w:val="17"/>
              </w:rPr>
              <w:t>женщины</w:t>
            </w:r>
          </w:p>
        </w:tc>
        <w:tc>
          <w:tcPr>
            <w:tcW w:w="340" w:type="dxa"/>
            <w:shd w:val="clear" w:color="auto" w:fill="FFFFFF"/>
            <w:vAlign w:val="bottom"/>
          </w:tcPr>
          <w:p w:rsidR="00000000" w:rsidRDefault="00000000">
            <w:pPr>
              <w:jc w:val="both"/>
              <w:rPr>
                <w:sz w:val="17"/>
              </w:rPr>
            </w:pPr>
          </w:p>
        </w:tc>
        <w:tc>
          <w:tcPr>
            <w:tcW w:w="1228" w:type="dxa"/>
            <w:tcBorders>
              <w:top w:val="nil"/>
              <w:bottom w:val="nil"/>
              <w:right w:val="nil"/>
            </w:tcBorders>
            <w:vAlign w:val="bottom"/>
          </w:tcPr>
          <w:p w:rsidR="00000000" w:rsidRDefault="00000000">
            <w:pPr>
              <w:jc w:val="both"/>
              <w:rPr>
                <w:sz w:val="17"/>
              </w:rPr>
            </w:pPr>
            <w:r>
              <w:rPr>
                <w:sz w:val="17"/>
              </w:rPr>
              <w:t>мужчины</w:t>
            </w:r>
          </w:p>
        </w:tc>
      </w:tr>
    </w:tbl>
    <w:p w:rsidR="00000000" w:rsidRDefault="00000000">
      <w:pPr>
        <w:jc w:val="both"/>
        <w:rPr>
          <w:sz w:val="17"/>
        </w:rPr>
      </w:pPr>
    </w:p>
    <w:p w:rsidR="00000000" w:rsidRDefault="00000000">
      <w:pPr>
        <w:jc w:val="both"/>
        <w:rPr>
          <w:sz w:val="17"/>
        </w:rPr>
      </w:pPr>
    </w:p>
    <w:p w:rsidR="00000000" w:rsidRDefault="00000000">
      <w:pPr>
        <w:jc w:val="both"/>
        <w:rPr>
          <w:sz w:val="17"/>
        </w:rPr>
      </w:pPr>
      <w:r>
        <w:rPr>
          <w:i/>
          <w:sz w:val="17"/>
        </w:rPr>
        <w:t>Источник</w:t>
      </w:r>
      <w:r>
        <w:rPr>
          <w:sz w:val="17"/>
        </w:rPr>
        <w:t xml:space="preserve">: </w:t>
      </w:r>
      <w:r>
        <w:rPr>
          <w:sz w:val="17"/>
          <w:lang w:val="en-GB"/>
        </w:rPr>
        <w:t>BMLFUW</w:t>
      </w:r>
    </w:p>
    <w:p w:rsidR="00000000" w:rsidRDefault="00000000">
      <w:pPr>
        <w:jc w:val="both"/>
      </w:pPr>
    </w:p>
    <w:p w:rsidR="00000000" w:rsidRDefault="00000000">
      <w:pPr>
        <w:jc w:val="both"/>
        <w:sectPr w:rsidR="00000000">
          <w:headerReference w:type="even" r:id="rId30"/>
          <w:headerReference w:type="default" r:id="rId31"/>
          <w:footerReference w:type="even" r:id="rId32"/>
          <w:footerReference w:type="default" r:id="rId33"/>
          <w:endnotePr>
            <w:numFmt w:val="decimal"/>
          </w:endnotePr>
          <w:pgSz w:w="15840" w:h="12240" w:orient="landscape" w:code="1"/>
          <w:pgMar w:top="1196" w:right="1741" w:bottom="1196" w:left="1899" w:header="578" w:footer="1032" w:gutter="0"/>
          <w:cols w:space="720"/>
          <w:noEndnote/>
        </w:sectPr>
      </w:pPr>
    </w:p>
    <w:p w:rsidR="00000000" w:rsidRDefault="00000000">
      <w:pPr>
        <w:pStyle w:val="SingleTxt"/>
        <w:rPr>
          <w:b/>
          <w:lang w:eastAsia="de-DE"/>
        </w:rPr>
      </w:pPr>
      <w:r>
        <w:rPr>
          <w:b/>
          <w:lang w:eastAsia="de-DE"/>
        </w:rPr>
        <w:t>Структура трудовых ресурсов и занятость</w:t>
      </w:r>
    </w:p>
    <w:tbl>
      <w:tblPr>
        <w:tblW w:w="0" w:type="auto"/>
        <w:tblInd w:w="1278" w:type="dxa"/>
        <w:tblLayout w:type="fixed"/>
        <w:tblCellMar>
          <w:left w:w="70" w:type="dxa"/>
          <w:right w:w="70" w:type="dxa"/>
        </w:tblCellMar>
        <w:tblLook w:val="01E0" w:firstRow="1" w:lastRow="1" w:firstColumn="1" w:lastColumn="1" w:noHBand="0" w:noVBand="0"/>
      </w:tblPr>
      <w:tblGrid>
        <w:gridCol w:w="4820"/>
        <w:gridCol w:w="1275"/>
        <w:gridCol w:w="1276"/>
      </w:tblGrid>
      <w:tr w:rsidR="00000000">
        <w:tblPrEx>
          <w:tblCellMar>
            <w:top w:w="0" w:type="dxa"/>
            <w:bottom w:w="0" w:type="dxa"/>
          </w:tblCellMar>
        </w:tblPrEx>
        <w:tc>
          <w:tcPr>
            <w:tcW w:w="4820" w:type="dxa"/>
            <w:tcBorders>
              <w:top w:val="single" w:sz="6" w:space="0" w:color="auto"/>
              <w:bottom w:val="single" w:sz="12" w:space="0" w:color="auto"/>
            </w:tcBorders>
            <w:shd w:val="clear" w:color="auto" w:fill="C0C0C0"/>
            <w:vAlign w:val="bottom"/>
          </w:tcPr>
          <w:p w:rsidR="00000000" w:rsidRDefault="00000000">
            <w:pPr>
              <w:autoSpaceDE w:val="0"/>
              <w:autoSpaceDN w:val="0"/>
              <w:jc w:val="center"/>
              <w:rPr>
                <w:i/>
                <w:sz w:val="17"/>
                <w:lang w:eastAsia="de-DE"/>
              </w:rPr>
            </w:pPr>
          </w:p>
        </w:tc>
        <w:tc>
          <w:tcPr>
            <w:tcW w:w="1275" w:type="dxa"/>
            <w:tcBorders>
              <w:top w:val="single" w:sz="6" w:space="0" w:color="auto"/>
              <w:bottom w:val="single" w:sz="12" w:space="0" w:color="auto"/>
            </w:tcBorders>
            <w:shd w:val="clear" w:color="auto" w:fill="C0C0C0"/>
            <w:vAlign w:val="bottom"/>
          </w:tcPr>
          <w:p w:rsidR="00000000" w:rsidRDefault="00000000">
            <w:pPr>
              <w:autoSpaceDE w:val="0"/>
              <w:autoSpaceDN w:val="0"/>
              <w:jc w:val="center"/>
              <w:rPr>
                <w:i/>
                <w:sz w:val="17"/>
                <w:lang w:eastAsia="de-DE"/>
              </w:rPr>
            </w:pPr>
            <w:r>
              <w:rPr>
                <w:i/>
                <w:sz w:val="17"/>
                <w:lang w:eastAsia="de-DE"/>
              </w:rPr>
              <w:t>Женщины</w:t>
            </w:r>
          </w:p>
        </w:tc>
        <w:tc>
          <w:tcPr>
            <w:tcW w:w="1276" w:type="dxa"/>
            <w:tcBorders>
              <w:top w:val="single" w:sz="6" w:space="0" w:color="auto"/>
              <w:bottom w:val="single" w:sz="12" w:space="0" w:color="auto"/>
            </w:tcBorders>
            <w:shd w:val="clear" w:color="auto" w:fill="C0C0C0"/>
            <w:vAlign w:val="bottom"/>
          </w:tcPr>
          <w:p w:rsidR="00000000" w:rsidRDefault="00000000">
            <w:pPr>
              <w:autoSpaceDE w:val="0"/>
              <w:autoSpaceDN w:val="0"/>
              <w:jc w:val="center"/>
              <w:rPr>
                <w:i/>
                <w:sz w:val="17"/>
                <w:lang w:eastAsia="de-DE"/>
              </w:rPr>
            </w:pPr>
            <w:r>
              <w:rPr>
                <w:i/>
                <w:sz w:val="17"/>
                <w:lang w:eastAsia="de-DE"/>
              </w:rPr>
              <w:t>Мужч</w:t>
            </w:r>
            <w:r>
              <w:rPr>
                <w:i/>
                <w:sz w:val="17"/>
                <w:lang w:eastAsia="de-DE"/>
              </w:rPr>
              <w:t>и</w:t>
            </w:r>
            <w:r>
              <w:rPr>
                <w:i/>
                <w:sz w:val="17"/>
                <w:lang w:eastAsia="de-DE"/>
              </w:rPr>
              <w:t>ны</w:t>
            </w:r>
          </w:p>
        </w:tc>
      </w:tr>
      <w:tr w:rsidR="00000000">
        <w:tblPrEx>
          <w:tblCellMar>
            <w:top w:w="0" w:type="dxa"/>
            <w:bottom w:w="0" w:type="dxa"/>
          </w:tblCellMar>
        </w:tblPrEx>
        <w:tc>
          <w:tcPr>
            <w:tcW w:w="4820" w:type="dxa"/>
            <w:tcBorders>
              <w:top w:val="single" w:sz="12" w:space="0" w:color="auto"/>
            </w:tcBorders>
            <w:vAlign w:val="center"/>
          </w:tcPr>
          <w:p w:rsidR="00000000" w:rsidRDefault="00000000">
            <w:pPr>
              <w:autoSpaceDE w:val="0"/>
              <w:autoSpaceDN w:val="0"/>
              <w:rPr>
                <w:sz w:val="17"/>
                <w:lang w:eastAsia="de-DE"/>
              </w:rPr>
            </w:pPr>
            <w:r>
              <w:rPr>
                <w:sz w:val="17"/>
                <w:lang w:eastAsia="de-DE"/>
              </w:rPr>
              <w:t>Доля относящихся к трудовым ресурсам в 2001 году</w:t>
            </w:r>
            <w:r>
              <w:rPr>
                <w:sz w:val="17"/>
                <w:vertAlign w:val="superscript"/>
                <w:lang w:eastAsia="de-DE"/>
              </w:rPr>
              <w:t>1 </w:t>
            </w:r>
            <w:r>
              <w:rPr>
                <w:sz w:val="17"/>
                <w:lang w:eastAsia="de-DE"/>
              </w:rPr>
              <w:t>за и</w:t>
            </w:r>
            <w:r>
              <w:rPr>
                <w:sz w:val="17"/>
                <w:lang w:eastAsia="de-DE"/>
              </w:rPr>
              <w:t>с</w:t>
            </w:r>
            <w:r>
              <w:rPr>
                <w:sz w:val="17"/>
                <w:lang w:eastAsia="de-DE"/>
              </w:rPr>
              <w:t>ключением време</w:t>
            </w:r>
            <w:r>
              <w:rPr>
                <w:sz w:val="17"/>
                <w:lang w:eastAsia="de-DE"/>
              </w:rPr>
              <w:t>н</w:t>
            </w:r>
            <w:r>
              <w:rPr>
                <w:sz w:val="17"/>
                <w:lang w:eastAsia="de-DE"/>
              </w:rPr>
              <w:t>ных мест работы</w:t>
            </w:r>
          </w:p>
        </w:tc>
        <w:tc>
          <w:tcPr>
            <w:tcW w:w="1275" w:type="dxa"/>
            <w:tcBorders>
              <w:top w:val="single" w:sz="12" w:space="0" w:color="auto"/>
            </w:tcBorders>
            <w:vAlign w:val="bottom"/>
          </w:tcPr>
          <w:p w:rsidR="00000000" w:rsidRDefault="00000000">
            <w:pPr>
              <w:tabs>
                <w:tab w:val="decimal" w:pos="567"/>
              </w:tabs>
              <w:autoSpaceDE w:val="0"/>
              <w:autoSpaceDN w:val="0"/>
              <w:ind w:right="274"/>
              <w:rPr>
                <w:sz w:val="17"/>
                <w:lang w:eastAsia="de-DE"/>
              </w:rPr>
            </w:pPr>
            <w:r>
              <w:rPr>
                <w:sz w:val="17"/>
                <w:lang w:eastAsia="de-DE"/>
              </w:rPr>
              <w:t>61,8%</w:t>
            </w:r>
          </w:p>
        </w:tc>
        <w:tc>
          <w:tcPr>
            <w:tcW w:w="1276" w:type="dxa"/>
            <w:tcBorders>
              <w:top w:val="single" w:sz="12" w:space="0" w:color="auto"/>
            </w:tcBorders>
            <w:vAlign w:val="bottom"/>
          </w:tcPr>
          <w:p w:rsidR="00000000" w:rsidRDefault="00000000">
            <w:pPr>
              <w:tabs>
                <w:tab w:val="decimal" w:pos="567"/>
              </w:tabs>
              <w:autoSpaceDE w:val="0"/>
              <w:autoSpaceDN w:val="0"/>
              <w:ind w:right="274"/>
              <w:rPr>
                <w:sz w:val="17"/>
                <w:lang w:eastAsia="de-DE"/>
              </w:rPr>
            </w:pPr>
            <w:r>
              <w:rPr>
                <w:sz w:val="17"/>
                <w:lang w:eastAsia="de-DE"/>
              </w:rPr>
              <w:t>80,0%</w:t>
            </w:r>
          </w:p>
        </w:tc>
      </w:tr>
      <w:tr w:rsidR="00000000">
        <w:tblPrEx>
          <w:tblCellMar>
            <w:top w:w="0" w:type="dxa"/>
            <w:bottom w:w="0" w:type="dxa"/>
          </w:tblCellMar>
        </w:tblPrEx>
        <w:tc>
          <w:tcPr>
            <w:tcW w:w="4820" w:type="dxa"/>
            <w:vAlign w:val="center"/>
          </w:tcPr>
          <w:p w:rsidR="00000000" w:rsidRDefault="00000000">
            <w:pPr>
              <w:autoSpaceDE w:val="0"/>
              <w:autoSpaceDN w:val="0"/>
              <w:rPr>
                <w:sz w:val="17"/>
                <w:lang w:eastAsia="de-DE"/>
              </w:rPr>
            </w:pPr>
            <w:r>
              <w:rPr>
                <w:sz w:val="17"/>
                <w:lang w:eastAsia="de-DE"/>
              </w:rPr>
              <w:t>Доля относящихся к трудовым ресурсам, включая време</w:t>
            </w:r>
            <w:r>
              <w:rPr>
                <w:sz w:val="17"/>
                <w:lang w:eastAsia="de-DE"/>
              </w:rPr>
              <w:t>н</w:t>
            </w:r>
            <w:r>
              <w:rPr>
                <w:sz w:val="17"/>
                <w:lang w:eastAsia="de-DE"/>
              </w:rPr>
              <w:t>но зан</w:t>
            </w:r>
            <w:r>
              <w:rPr>
                <w:sz w:val="17"/>
                <w:lang w:eastAsia="de-DE"/>
              </w:rPr>
              <w:t>я</w:t>
            </w:r>
            <w:r>
              <w:rPr>
                <w:sz w:val="17"/>
                <w:lang w:eastAsia="de-DE"/>
              </w:rPr>
              <w:t>тых</w:t>
            </w:r>
            <w:r>
              <w:rPr>
                <w:sz w:val="17"/>
                <w:vertAlign w:val="superscript"/>
                <w:lang w:eastAsia="de-DE"/>
              </w:rPr>
              <w:t>1 </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65,0%</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80,9%</w:t>
            </w:r>
          </w:p>
        </w:tc>
      </w:tr>
      <w:tr w:rsidR="00000000">
        <w:tblPrEx>
          <w:tblCellMar>
            <w:top w:w="0" w:type="dxa"/>
            <w:bottom w:w="0" w:type="dxa"/>
          </w:tblCellMar>
        </w:tblPrEx>
        <w:tc>
          <w:tcPr>
            <w:tcW w:w="4820" w:type="dxa"/>
            <w:vAlign w:val="center"/>
          </w:tcPr>
          <w:p w:rsidR="00000000" w:rsidRDefault="00000000">
            <w:pPr>
              <w:autoSpaceDE w:val="0"/>
              <w:autoSpaceDN w:val="0"/>
              <w:rPr>
                <w:sz w:val="17"/>
                <w:lang w:eastAsia="de-DE"/>
              </w:rPr>
            </w:pPr>
            <w:r>
              <w:rPr>
                <w:sz w:val="17"/>
                <w:lang w:eastAsia="de-DE"/>
              </w:rPr>
              <w:t>Доля относящихся к трудовым ресурсам в 2002 году</w:t>
            </w:r>
            <w:r>
              <w:rPr>
                <w:sz w:val="17"/>
                <w:vertAlign w:val="superscript"/>
                <w:lang w:eastAsia="de-DE"/>
              </w:rPr>
              <w:t>2 </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65,3%</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80,0%</w:t>
            </w:r>
          </w:p>
        </w:tc>
      </w:tr>
      <w:tr w:rsidR="00000000">
        <w:tblPrEx>
          <w:tblCellMar>
            <w:top w:w="0" w:type="dxa"/>
            <w:bottom w:w="0" w:type="dxa"/>
          </w:tblCellMar>
        </w:tblPrEx>
        <w:tc>
          <w:tcPr>
            <w:tcW w:w="4820" w:type="dxa"/>
            <w:vAlign w:val="center"/>
          </w:tcPr>
          <w:p w:rsidR="00000000" w:rsidRDefault="00000000">
            <w:pPr>
              <w:autoSpaceDE w:val="0"/>
              <w:autoSpaceDN w:val="0"/>
              <w:rPr>
                <w:sz w:val="17"/>
                <w:lang w:eastAsia="de-DE"/>
              </w:rPr>
            </w:pPr>
            <w:r>
              <w:rPr>
                <w:sz w:val="17"/>
                <w:lang w:eastAsia="de-DE"/>
              </w:rPr>
              <w:t>Доля относящихся к трудовым ресурсам в 2003 году</w:t>
            </w:r>
            <w:r>
              <w:rPr>
                <w:sz w:val="17"/>
                <w:vertAlign w:val="superscript"/>
                <w:lang w:eastAsia="de-DE"/>
              </w:rPr>
              <w:t>2 </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65,6%</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80,0%</w:t>
            </w:r>
          </w:p>
        </w:tc>
      </w:tr>
      <w:tr w:rsidR="00000000">
        <w:tblPrEx>
          <w:tblCellMar>
            <w:top w:w="0" w:type="dxa"/>
            <w:bottom w:w="0" w:type="dxa"/>
          </w:tblCellMar>
        </w:tblPrEx>
        <w:tc>
          <w:tcPr>
            <w:tcW w:w="4820" w:type="dxa"/>
            <w:vAlign w:val="center"/>
          </w:tcPr>
          <w:p w:rsidR="00000000" w:rsidRDefault="00000000">
            <w:pPr>
              <w:autoSpaceDE w:val="0"/>
              <w:autoSpaceDN w:val="0"/>
              <w:rPr>
                <w:sz w:val="17"/>
                <w:vertAlign w:val="superscript"/>
                <w:lang w:eastAsia="de-DE"/>
              </w:rPr>
            </w:pPr>
            <w:r>
              <w:rPr>
                <w:sz w:val="17"/>
                <w:lang w:eastAsia="de-DE"/>
              </w:rPr>
              <w:t>Доля занятых в 2002 году</w:t>
            </w:r>
            <w:r>
              <w:rPr>
                <w:sz w:val="17"/>
                <w:vertAlign w:val="superscript"/>
                <w:lang w:eastAsia="de-DE"/>
              </w:rPr>
              <w:t>2</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62,5%</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75,9%</w:t>
            </w:r>
          </w:p>
        </w:tc>
      </w:tr>
      <w:tr w:rsidR="00000000">
        <w:tblPrEx>
          <w:tblCellMar>
            <w:top w:w="0" w:type="dxa"/>
            <w:bottom w:w="0" w:type="dxa"/>
          </w:tblCellMar>
        </w:tblPrEx>
        <w:tc>
          <w:tcPr>
            <w:tcW w:w="4820" w:type="dxa"/>
            <w:vAlign w:val="center"/>
          </w:tcPr>
          <w:p w:rsidR="00000000" w:rsidRDefault="00000000">
            <w:pPr>
              <w:autoSpaceDE w:val="0"/>
              <w:autoSpaceDN w:val="0"/>
              <w:rPr>
                <w:sz w:val="17"/>
                <w:vertAlign w:val="superscript"/>
                <w:lang w:eastAsia="de-DE"/>
              </w:rPr>
            </w:pPr>
            <w:r>
              <w:rPr>
                <w:sz w:val="17"/>
                <w:lang w:eastAsia="de-DE"/>
              </w:rPr>
              <w:t>Доля занятых полный рабочий день в 2002 году</w:t>
            </w:r>
            <w:r>
              <w:rPr>
                <w:sz w:val="17"/>
                <w:vertAlign w:val="superscript"/>
                <w:lang w:eastAsia="de-DE"/>
              </w:rPr>
              <w:t>2</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51,4%</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74,8%</w:t>
            </w:r>
          </w:p>
        </w:tc>
      </w:tr>
      <w:tr w:rsidR="00000000">
        <w:tblPrEx>
          <w:tblCellMar>
            <w:top w:w="0" w:type="dxa"/>
            <w:bottom w:w="0" w:type="dxa"/>
          </w:tblCellMar>
        </w:tblPrEx>
        <w:tc>
          <w:tcPr>
            <w:tcW w:w="4820" w:type="dxa"/>
            <w:vAlign w:val="center"/>
          </w:tcPr>
          <w:p w:rsidR="00000000" w:rsidRDefault="00000000">
            <w:pPr>
              <w:autoSpaceDE w:val="0"/>
              <w:autoSpaceDN w:val="0"/>
              <w:rPr>
                <w:sz w:val="17"/>
                <w:vertAlign w:val="superscript"/>
                <w:lang w:eastAsia="de-DE"/>
              </w:rPr>
            </w:pPr>
            <w:r>
              <w:rPr>
                <w:sz w:val="17"/>
                <w:lang w:eastAsia="de-DE"/>
              </w:rPr>
              <w:t>Доля занятых в 2003 году</w:t>
            </w:r>
            <w:r>
              <w:rPr>
                <w:sz w:val="17"/>
                <w:vertAlign w:val="superscript"/>
                <w:lang w:eastAsia="de-DE"/>
              </w:rPr>
              <w:t>2</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62,8%</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75,8%</w:t>
            </w:r>
          </w:p>
        </w:tc>
      </w:tr>
      <w:tr w:rsidR="00000000">
        <w:tblPrEx>
          <w:tblCellMar>
            <w:top w:w="0" w:type="dxa"/>
            <w:bottom w:w="0" w:type="dxa"/>
          </w:tblCellMar>
        </w:tblPrEx>
        <w:tc>
          <w:tcPr>
            <w:tcW w:w="4820" w:type="dxa"/>
            <w:vAlign w:val="center"/>
          </w:tcPr>
          <w:p w:rsidR="00000000" w:rsidRDefault="00000000">
            <w:pPr>
              <w:autoSpaceDE w:val="0"/>
              <w:autoSpaceDN w:val="0"/>
              <w:rPr>
                <w:sz w:val="17"/>
                <w:vertAlign w:val="superscript"/>
                <w:lang w:eastAsia="de-DE"/>
              </w:rPr>
            </w:pPr>
            <w:r>
              <w:rPr>
                <w:sz w:val="17"/>
                <w:lang w:eastAsia="de-DE"/>
              </w:rPr>
              <w:t>Зависимая стандартная занятость в 2002 году</w:t>
            </w:r>
            <w:r>
              <w:rPr>
                <w:sz w:val="17"/>
                <w:vertAlign w:val="superscript"/>
                <w:lang w:eastAsia="de-DE"/>
              </w:rPr>
              <w:t>3</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1 345,066</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1 718,446</w:t>
            </w:r>
          </w:p>
        </w:tc>
      </w:tr>
      <w:tr w:rsidR="00000000">
        <w:tblPrEx>
          <w:tblCellMar>
            <w:top w:w="0" w:type="dxa"/>
            <w:bottom w:w="0" w:type="dxa"/>
          </w:tblCellMar>
        </w:tblPrEx>
        <w:tc>
          <w:tcPr>
            <w:tcW w:w="4820" w:type="dxa"/>
            <w:vAlign w:val="center"/>
          </w:tcPr>
          <w:p w:rsidR="00000000" w:rsidRDefault="00000000">
            <w:pPr>
              <w:autoSpaceDE w:val="0"/>
              <w:autoSpaceDN w:val="0"/>
              <w:rPr>
                <w:sz w:val="17"/>
                <w:vertAlign w:val="superscript"/>
                <w:lang w:eastAsia="de-DE"/>
              </w:rPr>
            </w:pPr>
            <w:r>
              <w:rPr>
                <w:sz w:val="17"/>
                <w:lang w:eastAsia="de-DE"/>
              </w:rPr>
              <w:t>Зависимая стандартная занятость 2003 года</w:t>
            </w:r>
            <w:r>
              <w:rPr>
                <w:sz w:val="17"/>
                <w:vertAlign w:val="superscript"/>
                <w:lang w:eastAsia="de-DE"/>
              </w:rPr>
              <w:t>3</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1 353,268</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1 717,406</w:t>
            </w:r>
          </w:p>
        </w:tc>
      </w:tr>
      <w:tr w:rsidR="00000000">
        <w:tblPrEx>
          <w:tblCellMar>
            <w:top w:w="0" w:type="dxa"/>
            <w:bottom w:w="0" w:type="dxa"/>
          </w:tblCellMar>
        </w:tblPrEx>
        <w:tc>
          <w:tcPr>
            <w:tcW w:w="4820" w:type="dxa"/>
            <w:vAlign w:val="center"/>
          </w:tcPr>
          <w:p w:rsidR="00000000" w:rsidRDefault="00000000">
            <w:pPr>
              <w:autoSpaceDE w:val="0"/>
              <w:autoSpaceDN w:val="0"/>
              <w:rPr>
                <w:sz w:val="17"/>
                <w:lang w:eastAsia="de-DE"/>
              </w:rPr>
            </w:pPr>
            <w:r>
              <w:rPr>
                <w:sz w:val="17"/>
                <w:lang w:eastAsia="de-DE"/>
              </w:rPr>
              <w:t xml:space="preserve">Доля в % </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44%</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56%</w:t>
            </w:r>
          </w:p>
        </w:tc>
      </w:tr>
      <w:tr w:rsidR="00000000">
        <w:tblPrEx>
          <w:tblCellMar>
            <w:top w:w="0" w:type="dxa"/>
            <w:bottom w:w="0" w:type="dxa"/>
          </w:tblCellMar>
        </w:tblPrEx>
        <w:tc>
          <w:tcPr>
            <w:tcW w:w="4820" w:type="dxa"/>
            <w:vAlign w:val="center"/>
          </w:tcPr>
          <w:p w:rsidR="00000000" w:rsidRDefault="00000000">
            <w:pPr>
              <w:autoSpaceDE w:val="0"/>
              <w:autoSpaceDN w:val="0"/>
              <w:rPr>
                <w:sz w:val="17"/>
                <w:vertAlign w:val="superscript"/>
                <w:lang w:eastAsia="de-DE"/>
              </w:rPr>
            </w:pPr>
            <w:r>
              <w:rPr>
                <w:sz w:val="17"/>
                <w:lang w:eastAsia="de-DE"/>
              </w:rPr>
              <w:t>Доля занятых полный рабочий день в 2002 году, зависимые наемные работн</w:t>
            </w:r>
            <w:r>
              <w:rPr>
                <w:sz w:val="17"/>
                <w:lang w:eastAsia="de-DE"/>
              </w:rPr>
              <w:t>и</w:t>
            </w:r>
            <w:r>
              <w:rPr>
                <w:sz w:val="17"/>
                <w:lang w:eastAsia="de-DE"/>
              </w:rPr>
              <w:t>ки</w:t>
            </w:r>
            <w:r>
              <w:rPr>
                <w:sz w:val="17"/>
                <w:vertAlign w:val="superscript"/>
                <w:lang w:eastAsia="de-DE"/>
              </w:rPr>
              <w:t>4</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64,2%</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96,1%</w:t>
            </w:r>
          </w:p>
        </w:tc>
      </w:tr>
      <w:tr w:rsidR="00000000">
        <w:tblPrEx>
          <w:tblCellMar>
            <w:top w:w="0" w:type="dxa"/>
            <w:bottom w:w="0" w:type="dxa"/>
          </w:tblCellMar>
        </w:tblPrEx>
        <w:tc>
          <w:tcPr>
            <w:tcW w:w="4820" w:type="dxa"/>
            <w:vAlign w:val="center"/>
          </w:tcPr>
          <w:p w:rsidR="00000000" w:rsidRDefault="00000000">
            <w:pPr>
              <w:autoSpaceDE w:val="0"/>
              <w:autoSpaceDN w:val="0"/>
              <w:rPr>
                <w:sz w:val="17"/>
                <w:lang w:eastAsia="de-DE"/>
              </w:rPr>
            </w:pPr>
            <w:r>
              <w:rPr>
                <w:sz w:val="17"/>
                <w:lang w:eastAsia="de-DE"/>
              </w:rPr>
              <w:t>Доля занятых полный рабочий день в 2003 году, зависимые наемные р</w:t>
            </w:r>
            <w:r>
              <w:rPr>
                <w:sz w:val="17"/>
                <w:lang w:eastAsia="de-DE"/>
              </w:rPr>
              <w:t>а</w:t>
            </w:r>
            <w:r>
              <w:rPr>
                <w:sz w:val="17"/>
                <w:lang w:eastAsia="de-DE"/>
              </w:rPr>
              <w:t>ботники</w:t>
            </w:r>
            <w:r>
              <w:rPr>
                <w:sz w:val="17"/>
                <w:vertAlign w:val="superscript"/>
                <w:lang w:eastAsia="de-DE"/>
              </w:rPr>
              <w:t>4</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63,0%</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96,2%</w:t>
            </w:r>
          </w:p>
        </w:tc>
      </w:tr>
      <w:tr w:rsidR="00000000">
        <w:tblPrEx>
          <w:tblCellMar>
            <w:top w:w="0" w:type="dxa"/>
            <w:bottom w:w="0" w:type="dxa"/>
          </w:tblCellMar>
        </w:tblPrEx>
        <w:tc>
          <w:tcPr>
            <w:tcW w:w="4820" w:type="dxa"/>
            <w:vAlign w:val="center"/>
          </w:tcPr>
          <w:p w:rsidR="00000000" w:rsidRDefault="00000000">
            <w:pPr>
              <w:autoSpaceDE w:val="0"/>
              <w:autoSpaceDN w:val="0"/>
              <w:rPr>
                <w:sz w:val="17"/>
                <w:lang w:eastAsia="de-DE"/>
              </w:rPr>
            </w:pPr>
            <w:r>
              <w:rPr>
                <w:sz w:val="17"/>
                <w:lang w:eastAsia="de-DE"/>
              </w:rPr>
              <w:t>Доля занятых не полный рабочий день в 2002 году</w:t>
            </w:r>
            <w:r>
              <w:rPr>
                <w:sz w:val="17"/>
                <w:vertAlign w:val="superscript"/>
                <w:lang w:eastAsia="de-DE"/>
              </w:rPr>
              <w:t>5</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35,8%</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3,9%</w:t>
            </w:r>
          </w:p>
        </w:tc>
      </w:tr>
      <w:tr w:rsidR="00000000">
        <w:tblPrEx>
          <w:tblCellMar>
            <w:top w:w="0" w:type="dxa"/>
            <w:bottom w:w="0" w:type="dxa"/>
          </w:tblCellMar>
        </w:tblPrEx>
        <w:tc>
          <w:tcPr>
            <w:tcW w:w="4820" w:type="dxa"/>
            <w:vAlign w:val="center"/>
          </w:tcPr>
          <w:p w:rsidR="00000000" w:rsidRDefault="00000000">
            <w:pPr>
              <w:autoSpaceDE w:val="0"/>
              <w:autoSpaceDN w:val="0"/>
              <w:rPr>
                <w:sz w:val="17"/>
                <w:lang w:eastAsia="de-DE"/>
              </w:rPr>
            </w:pPr>
            <w:r>
              <w:rPr>
                <w:sz w:val="17"/>
                <w:lang w:eastAsia="de-DE"/>
              </w:rPr>
              <w:t>Доля занятый не полный рабочий день в 2003 году</w:t>
            </w:r>
            <w:r>
              <w:rPr>
                <w:sz w:val="17"/>
                <w:vertAlign w:val="superscript"/>
                <w:lang w:eastAsia="de-DE"/>
              </w:rPr>
              <w:t>5</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37,0%</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3,8%</w:t>
            </w:r>
          </w:p>
        </w:tc>
      </w:tr>
      <w:tr w:rsidR="00000000">
        <w:tblPrEx>
          <w:tblCellMar>
            <w:top w:w="0" w:type="dxa"/>
            <w:bottom w:w="0" w:type="dxa"/>
          </w:tblCellMar>
        </w:tblPrEx>
        <w:tc>
          <w:tcPr>
            <w:tcW w:w="4820" w:type="dxa"/>
            <w:vAlign w:val="center"/>
          </w:tcPr>
          <w:p w:rsidR="00000000" w:rsidRDefault="00000000">
            <w:pPr>
              <w:autoSpaceDE w:val="0"/>
              <w:autoSpaceDN w:val="0"/>
              <w:rPr>
                <w:sz w:val="17"/>
                <w:vertAlign w:val="superscript"/>
                <w:lang w:eastAsia="de-DE"/>
              </w:rPr>
            </w:pPr>
            <w:r>
              <w:rPr>
                <w:sz w:val="17"/>
                <w:lang w:eastAsia="de-DE"/>
              </w:rPr>
              <w:t>Безработица в 2002 году</w:t>
            </w:r>
            <w:r>
              <w:rPr>
                <w:sz w:val="17"/>
                <w:vertAlign w:val="superscript"/>
                <w:lang w:eastAsia="de-DE"/>
              </w:rPr>
              <w:t>6 </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98,041</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134,377</w:t>
            </w:r>
          </w:p>
        </w:tc>
      </w:tr>
      <w:tr w:rsidR="00000000">
        <w:tblPrEx>
          <w:tblCellMar>
            <w:top w:w="0" w:type="dxa"/>
            <w:bottom w:w="0" w:type="dxa"/>
          </w:tblCellMar>
        </w:tblPrEx>
        <w:tc>
          <w:tcPr>
            <w:tcW w:w="4820" w:type="dxa"/>
            <w:vAlign w:val="center"/>
          </w:tcPr>
          <w:p w:rsidR="00000000" w:rsidRDefault="00000000">
            <w:pPr>
              <w:autoSpaceDE w:val="0"/>
              <w:autoSpaceDN w:val="0"/>
              <w:rPr>
                <w:sz w:val="17"/>
                <w:vertAlign w:val="superscript"/>
                <w:lang w:eastAsia="de-DE"/>
              </w:rPr>
            </w:pPr>
            <w:r>
              <w:rPr>
                <w:sz w:val="17"/>
                <w:lang w:eastAsia="de-DE"/>
              </w:rPr>
              <w:t>Безработица в 2003 году</w:t>
            </w:r>
            <w:r>
              <w:rPr>
                <w:sz w:val="17"/>
                <w:vertAlign w:val="superscript"/>
                <w:lang w:eastAsia="de-DE"/>
              </w:rPr>
              <w:t>6</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100,362</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139,717</w:t>
            </w:r>
          </w:p>
        </w:tc>
      </w:tr>
      <w:tr w:rsidR="00000000">
        <w:tblPrEx>
          <w:tblCellMar>
            <w:top w:w="0" w:type="dxa"/>
            <w:bottom w:w="0" w:type="dxa"/>
          </w:tblCellMar>
        </w:tblPrEx>
        <w:tc>
          <w:tcPr>
            <w:tcW w:w="4820" w:type="dxa"/>
            <w:vAlign w:val="center"/>
          </w:tcPr>
          <w:p w:rsidR="00000000" w:rsidRDefault="00000000">
            <w:pPr>
              <w:autoSpaceDE w:val="0"/>
              <w:autoSpaceDN w:val="0"/>
              <w:rPr>
                <w:sz w:val="17"/>
                <w:vertAlign w:val="superscript"/>
                <w:lang w:eastAsia="de-DE"/>
              </w:rPr>
            </w:pPr>
            <w:r>
              <w:rPr>
                <w:sz w:val="17"/>
                <w:lang w:eastAsia="de-DE"/>
              </w:rPr>
              <w:t>Доля безработных в 2003 году (зарегистрированные да</w:t>
            </w:r>
            <w:r>
              <w:rPr>
                <w:sz w:val="17"/>
                <w:lang w:eastAsia="de-DE"/>
              </w:rPr>
              <w:t>н</w:t>
            </w:r>
            <w:r>
              <w:rPr>
                <w:sz w:val="17"/>
                <w:lang w:eastAsia="de-DE"/>
              </w:rPr>
              <w:t>ные)</w:t>
            </w:r>
            <w:r>
              <w:rPr>
                <w:sz w:val="17"/>
                <w:vertAlign w:val="superscript"/>
                <w:lang w:eastAsia="de-DE"/>
              </w:rPr>
              <w:t>7</w:t>
            </w:r>
          </w:p>
        </w:tc>
        <w:tc>
          <w:tcPr>
            <w:tcW w:w="1275" w:type="dxa"/>
            <w:vAlign w:val="bottom"/>
          </w:tcPr>
          <w:p w:rsidR="00000000" w:rsidRDefault="00000000">
            <w:pPr>
              <w:tabs>
                <w:tab w:val="decimal" w:pos="567"/>
              </w:tabs>
              <w:autoSpaceDE w:val="0"/>
              <w:autoSpaceDN w:val="0"/>
              <w:ind w:right="274"/>
              <w:rPr>
                <w:sz w:val="17"/>
                <w:lang w:eastAsia="de-DE"/>
              </w:rPr>
            </w:pPr>
            <w:r>
              <w:rPr>
                <w:sz w:val="17"/>
                <w:lang w:eastAsia="de-DE"/>
              </w:rPr>
              <w:t>6,5%</w:t>
            </w:r>
          </w:p>
        </w:tc>
        <w:tc>
          <w:tcPr>
            <w:tcW w:w="1276" w:type="dxa"/>
            <w:vAlign w:val="bottom"/>
          </w:tcPr>
          <w:p w:rsidR="00000000" w:rsidRDefault="00000000">
            <w:pPr>
              <w:tabs>
                <w:tab w:val="decimal" w:pos="567"/>
              </w:tabs>
              <w:autoSpaceDE w:val="0"/>
              <w:autoSpaceDN w:val="0"/>
              <w:ind w:right="274"/>
              <w:rPr>
                <w:sz w:val="17"/>
                <w:lang w:eastAsia="de-DE"/>
              </w:rPr>
            </w:pPr>
            <w:r>
              <w:rPr>
                <w:sz w:val="17"/>
                <w:lang w:eastAsia="de-DE"/>
              </w:rPr>
              <w:t>7,5%</w:t>
            </w:r>
          </w:p>
        </w:tc>
      </w:tr>
      <w:tr w:rsidR="00000000">
        <w:tblPrEx>
          <w:tblCellMar>
            <w:top w:w="0" w:type="dxa"/>
            <w:bottom w:w="0" w:type="dxa"/>
          </w:tblCellMar>
        </w:tblPrEx>
        <w:tc>
          <w:tcPr>
            <w:tcW w:w="4820" w:type="dxa"/>
            <w:tcBorders>
              <w:bottom w:val="single" w:sz="12" w:space="0" w:color="auto"/>
            </w:tcBorders>
            <w:vAlign w:val="center"/>
          </w:tcPr>
          <w:p w:rsidR="00000000" w:rsidRDefault="00000000">
            <w:pPr>
              <w:autoSpaceDE w:val="0"/>
              <w:autoSpaceDN w:val="0"/>
              <w:rPr>
                <w:sz w:val="17"/>
                <w:vertAlign w:val="superscript"/>
                <w:lang w:eastAsia="de-DE"/>
              </w:rPr>
            </w:pPr>
            <w:r>
              <w:rPr>
                <w:sz w:val="17"/>
                <w:lang w:eastAsia="de-DE"/>
              </w:rPr>
              <w:t>Доля безработных в 2003 году</w:t>
            </w:r>
            <w:r>
              <w:rPr>
                <w:sz w:val="17"/>
                <w:vertAlign w:val="superscript"/>
                <w:lang w:eastAsia="de-DE"/>
              </w:rPr>
              <w:t>8</w:t>
            </w:r>
          </w:p>
        </w:tc>
        <w:tc>
          <w:tcPr>
            <w:tcW w:w="1275" w:type="dxa"/>
            <w:tcBorders>
              <w:bottom w:val="single" w:sz="12" w:space="0" w:color="auto"/>
            </w:tcBorders>
            <w:vAlign w:val="bottom"/>
          </w:tcPr>
          <w:p w:rsidR="00000000" w:rsidRDefault="00000000">
            <w:pPr>
              <w:tabs>
                <w:tab w:val="decimal" w:pos="567"/>
              </w:tabs>
              <w:autoSpaceDE w:val="0"/>
              <w:autoSpaceDN w:val="0"/>
              <w:ind w:right="274"/>
              <w:rPr>
                <w:sz w:val="17"/>
                <w:lang w:eastAsia="de-DE"/>
              </w:rPr>
            </w:pPr>
            <w:r>
              <w:rPr>
                <w:sz w:val="17"/>
                <w:lang w:eastAsia="de-DE"/>
              </w:rPr>
              <w:t>4,6%</w:t>
            </w:r>
          </w:p>
        </w:tc>
        <w:tc>
          <w:tcPr>
            <w:tcW w:w="1276" w:type="dxa"/>
            <w:tcBorders>
              <w:bottom w:val="single" w:sz="12" w:space="0" w:color="auto"/>
            </w:tcBorders>
            <w:vAlign w:val="bottom"/>
          </w:tcPr>
          <w:p w:rsidR="00000000" w:rsidRDefault="00000000">
            <w:pPr>
              <w:tabs>
                <w:tab w:val="decimal" w:pos="567"/>
              </w:tabs>
              <w:autoSpaceDE w:val="0"/>
              <w:autoSpaceDN w:val="0"/>
              <w:ind w:right="274"/>
              <w:rPr>
                <w:sz w:val="17"/>
                <w:lang w:eastAsia="de-DE"/>
              </w:rPr>
            </w:pPr>
            <w:r>
              <w:rPr>
                <w:sz w:val="17"/>
                <w:lang w:eastAsia="de-DE"/>
              </w:rPr>
              <w:t>4,2%</w:t>
            </w:r>
          </w:p>
        </w:tc>
      </w:tr>
    </w:tbl>
    <w:p w:rsidR="00000000" w:rsidRDefault="00000000">
      <w:pPr>
        <w:pStyle w:val="50"/>
        <w:rPr>
          <w:lang w:eastAsia="de-DE"/>
        </w:rPr>
      </w:pPr>
    </w:p>
    <w:p w:rsidR="00000000" w:rsidRDefault="00000000">
      <w:pPr>
        <w:pStyle w:val="SingleTxt"/>
        <w:tabs>
          <w:tab w:val="clear" w:pos="1267"/>
        </w:tabs>
        <w:ind w:left="1560" w:hanging="296"/>
        <w:rPr>
          <w:sz w:val="17"/>
          <w:lang w:eastAsia="de-DE"/>
        </w:rPr>
      </w:pPr>
      <w:r>
        <w:rPr>
          <w:sz w:val="17"/>
          <w:vertAlign w:val="superscript"/>
          <w:lang w:eastAsia="de-DE"/>
        </w:rPr>
        <w:t>1</w:t>
      </w:r>
      <w:r>
        <w:rPr>
          <w:sz w:val="17"/>
          <w:lang w:eastAsia="de-DE"/>
        </w:rPr>
        <w:tab/>
        <w:t>Результаты переписи. Женщины и мужчины в возрасте от 15 до 64 лет. Статистическое управление Австрии.</w:t>
      </w:r>
    </w:p>
    <w:p w:rsidR="00000000" w:rsidRDefault="00000000">
      <w:pPr>
        <w:pStyle w:val="SingleTxt"/>
        <w:tabs>
          <w:tab w:val="clear" w:pos="1267"/>
        </w:tabs>
        <w:ind w:left="1560" w:hanging="296"/>
        <w:rPr>
          <w:sz w:val="17"/>
          <w:lang w:eastAsia="de-DE"/>
        </w:rPr>
      </w:pPr>
      <w:r>
        <w:rPr>
          <w:sz w:val="17"/>
          <w:vertAlign w:val="superscript"/>
          <w:lang w:eastAsia="de-DE"/>
        </w:rPr>
        <w:t xml:space="preserve">2 </w:t>
      </w:r>
      <w:r>
        <w:rPr>
          <w:sz w:val="17"/>
          <w:vertAlign w:val="superscript"/>
          <w:lang w:eastAsia="de-DE"/>
        </w:rPr>
        <w:tab/>
      </w:r>
      <w:r>
        <w:rPr>
          <w:sz w:val="17"/>
          <w:lang w:val="en-GB" w:eastAsia="de-DE"/>
        </w:rPr>
        <w:t>Eurostat</w:t>
      </w:r>
    </w:p>
    <w:p w:rsidR="00000000" w:rsidRDefault="00000000">
      <w:pPr>
        <w:pStyle w:val="SingleTxt"/>
        <w:tabs>
          <w:tab w:val="clear" w:pos="1267"/>
        </w:tabs>
        <w:ind w:left="1560" w:hanging="296"/>
        <w:rPr>
          <w:sz w:val="17"/>
          <w:lang w:eastAsia="de-DE"/>
        </w:rPr>
      </w:pPr>
      <w:r>
        <w:rPr>
          <w:sz w:val="17"/>
          <w:vertAlign w:val="superscript"/>
          <w:lang w:eastAsia="de-DE"/>
        </w:rPr>
        <w:t>3 </w:t>
      </w:r>
      <w:r>
        <w:rPr>
          <w:sz w:val="17"/>
          <w:vertAlign w:val="superscript"/>
          <w:lang w:eastAsia="de-DE"/>
        </w:rPr>
        <w:tab/>
      </w:r>
      <w:r>
        <w:rPr>
          <w:sz w:val="17"/>
          <w:lang w:eastAsia="de-DE"/>
        </w:rPr>
        <w:t>Среднегодовая величина, с учетом обязательного полного страхового покрытия, за и</w:t>
      </w:r>
      <w:r>
        <w:rPr>
          <w:sz w:val="17"/>
          <w:lang w:eastAsia="de-DE"/>
        </w:rPr>
        <w:t>с</w:t>
      </w:r>
      <w:r>
        <w:rPr>
          <w:sz w:val="17"/>
          <w:lang w:eastAsia="de-DE"/>
        </w:rPr>
        <w:t>ключением лиц, получивших отпуск по уходу за ребенком и военнослужащих. Ассоци</w:t>
      </w:r>
      <w:r>
        <w:rPr>
          <w:sz w:val="17"/>
          <w:lang w:eastAsia="de-DE"/>
        </w:rPr>
        <w:t>а</w:t>
      </w:r>
      <w:r>
        <w:rPr>
          <w:sz w:val="17"/>
          <w:lang w:eastAsia="de-DE"/>
        </w:rPr>
        <w:t xml:space="preserve">ция учреждений социального страхования, </w:t>
      </w:r>
      <w:r>
        <w:rPr>
          <w:sz w:val="17"/>
          <w:lang w:val="en-GB" w:eastAsia="de-DE"/>
        </w:rPr>
        <w:t>AMS</w:t>
      </w:r>
      <w:r>
        <w:rPr>
          <w:sz w:val="17"/>
          <w:lang w:eastAsia="de-DE"/>
        </w:rPr>
        <w:t xml:space="preserve"> (Служба занятости государственных о</w:t>
      </w:r>
      <w:r>
        <w:rPr>
          <w:sz w:val="17"/>
          <w:lang w:eastAsia="de-DE"/>
        </w:rPr>
        <w:t>р</w:t>
      </w:r>
      <w:r>
        <w:rPr>
          <w:sz w:val="17"/>
          <w:lang w:eastAsia="de-DE"/>
        </w:rPr>
        <w:t xml:space="preserve">ганов). </w:t>
      </w:r>
    </w:p>
    <w:p w:rsidR="00000000" w:rsidRDefault="00000000">
      <w:pPr>
        <w:pStyle w:val="SingleTxt"/>
        <w:tabs>
          <w:tab w:val="clear" w:pos="1267"/>
        </w:tabs>
        <w:ind w:left="1560" w:hanging="296"/>
        <w:rPr>
          <w:sz w:val="17"/>
          <w:lang w:val="fr-FR" w:eastAsia="de-DE"/>
        </w:rPr>
      </w:pPr>
      <w:r>
        <w:rPr>
          <w:sz w:val="17"/>
          <w:vertAlign w:val="superscript"/>
          <w:lang w:eastAsia="de-DE"/>
        </w:rPr>
        <w:t>4 </w:t>
      </w:r>
      <w:r>
        <w:rPr>
          <w:sz w:val="17"/>
          <w:lang w:eastAsia="de-DE"/>
        </w:rPr>
        <w:tab/>
        <w:t>36 часов и более в неделю. Микроперепись, Статистическое управление Австрии</w:t>
      </w:r>
      <w:r>
        <w:rPr>
          <w:sz w:val="17"/>
          <w:lang w:val="fr-FR" w:eastAsia="de-DE"/>
        </w:rPr>
        <w:t>.</w:t>
      </w:r>
    </w:p>
    <w:p w:rsidR="00000000" w:rsidRDefault="00000000">
      <w:pPr>
        <w:pStyle w:val="SingleTxt"/>
        <w:tabs>
          <w:tab w:val="clear" w:pos="1267"/>
        </w:tabs>
        <w:ind w:left="1560" w:hanging="296"/>
        <w:rPr>
          <w:sz w:val="17"/>
          <w:lang w:val="fr-FR" w:eastAsia="de-DE"/>
        </w:rPr>
      </w:pPr>
      <w:r>
        <w:rPr>
          <w:sz w:val="17"/>
          <w:vertAlign w:val="superscript"/>
          <w:lang w:eastAsia="de-DE"/>
        </w:rPr>
        <w:t>5</w:t>
      </w:r>
      <w:r>
        <w:rPr>
          <w:sz w:val="17"/>
          <w:lang w:eastAsia="de-DE"/>
        </w:rPr>
        <w:tab/>
        <w:t>1-35 часов в неделю. Микроперепись</w:t>
      </w:r>
      <w:r>
        <w:rPr>
          <w:sz w:val="17"/>
          <w:lang w:val="fr-FR" w:eastAsia="de-DE"/>
        </w:rPr>
        <w:t>, Статистическое управление Австрии.</w:t>
      </w:r>
    </w:p>
    <w:p w:rsidR="00000000" w:rsidRDefault="00000000">
      <w:pPr>
        <w:pStyle w:val="SingleTxt"/>
        <w:tabs>
          <w:tab w:val="clear" w:pos="1267"/>
        </w:tabs>
        <w:ind w:left="1560" w:hanging="296"/>
        <w:rPr>
          <w:sz w:val="17"/>
          <w:lang w:eastAsia="de-DE"/>
        </w:rPr>
      </w:pPr>
      <w:r>
        <w:rPr>
          <w:sz w:val="17"/>
          <w:vertAlign w:val="superscript"/>
          <w:lang w:eastAsia="de-DE"/>
        </w:rPr>
        <w:t>6</w:t>
      </w:r>
      <w:r>
        <w:rPr>
          <w:sz w:val="17"/>
          <w:lang w:eastAsia="de-DE"/>
        </w:rPr>
        <w:tab/>
        <w:t xml:space="preserve">Среднегодовая величина. </w:t>
      </w:r>
      <w:r>
        <w:rPr>
          <w:sz w:val="17"/>
          <w:lang w:val="en-GB" w:eastAsia="de-DE"/>
        </w:rPr>
        <w:t>AMS</w:t>
      </w:r>
      <w:r>
        <w:rPr>
          <w:sz w:val="17"/>
          <w:lang w:eastAsia="de-DE"/>
        </w:rPr>
        <w:t>.</w:t>
      </w:r>
    </w:p>
    <w:p w:rsidR="00000000" w:rsidRDefault="00000000">
      <w:pPr>
        <w:pStyle w:val="SingleTxt"/>
        <w:tabs>
          <w:tab w:val="clear" w:pos="1267"/>
        </w:tabs>
        <w:ind w:left="1560" w:hanging="296"/>
        <w:rPr>
          <w:sz w:val="17"/>
          <w:lang w:eastAsia="de-DE"/>
        </w:rPr>
      </w:pPr>
      <w:r>
        <w:rPr>
          <w:sz w:val="17"/>
          <w:vertAlign w:val="superscript"/>
          <w:lang w:eastAsia="de-DE"/>
        </w:rPr>
        <w:t>7</w:t>
      </w:r>
      <w:r>
        <w:rPr>
          <w:sz w:val="17"/>
          <w:lang w:eastAsia="de-DE"/>
        </w:rPr>
        <w:tab/>
        <w:t xml:space="preserve">Среднегодовая величина. </w:t>
      </w:r>
      <w:r>
        <w:rPr>
          <w:sz w:val="17"/>
          <w:lang w:val="en-GB" w:eastAsia="de-DE"/>
        </w:rPr>
        <w:t>AMS</w:t>
      </w:r>
      <w:r>
        <w:rPr>
          <w:sz w:val="17"/>
          <w:lang w:eastAsia="de-DE"/>
        </w:rPr>
        <w:t>.</w:t>
      </w:r>
    </w:p>
    <w:p w:rsidR="00000000" w:rsidRDefault="00000000">
      <w:pPr>
        <w:pStyle w:val="SingleTxt"/>
        <w:tabs>
          <w:tab w:val="clear" w:pos="1267"/>
        </w:tabs>
        <w:ind w:left="1560" w:hanging="296"/>
        <w:rPr>
          <w:sz w:val="17"/>
          <w:lang w:eastAsia="de-DE"/>
        </w:rPr>
      </w:pPr>
      <w:r>
        <w:rPr>
          <w:sz w:val="17"/>
          <w:vertAlign w:val="superscript"/>
          <w:lang w:eastAsia="de-DE"/>
        </w:rPr>
        <w:t>8</w:t>
      </w:r>
      <w:r>
        <w:rPr>
          <w:sz w:val="17"/>
          <w:lang w:eastAsia="de-DE"/>
        </w:rPr>
        <w:tab/>
        <w:t xml:space="preserve">Среднегодовая величина. </w:t>
      </w:r>
      <w:r>
        <w:rPr>
          <w:sz w:val="17"/>
          <w:lang w:val="en-GB" w:eastAsia="de-DE"/>
        </w:rPr>
        <w:t>Eurostat</w:t>
      </w:r>
      <w:r>
        <w:rPr>
          <w:sz w:val="17"/>
          <w:lang w:eastAsia="de-DE"/>
        </w:rP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jc w:val="center"/>
      </w:pPr>
    </w:p>
    <w:p w:rsidR="00000000" w:rsidRDefault="00000000">
      <w:pPr>
        <w:tabs>
          <w:tab w:val="left" w:pos="3969"/>
          <w:tab w:val="left" w:pos="5954"/>
        </w:tabs>
        <w:ind w:left="1276"/>
        <w:rPr>
          <w:u w:val="single"/>
        </w:rPr>
      </w:pPr>
      <w:r>
        <w:tab/>
      </w:r>
      <w:r>
        <w:rPr>
          <w:u w:val="single"/>
        </w:rPr>
        <w:tab/>
      </w:r>
    </w:p>
    <w:p w:rsidR="00000000" w:rsidRDefault="00000000">
      <w:pPr>
        <w:jc w:val="cente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sectPr w:rsidR="00000000">
      <w:headerReference w:type="even" r:id="rId34"/>
      <w:headerReference w:type="default" r:id="rId35"/>
      <w:footerReference w:type="even" r:id="rId36"/>
      <w:footerReference w:type="default" r:id="rId37"/>
      <w:endnotePr>
        <w:numFmt w:val="decimal"/>
      </w:endnotePr>
      <w:pgSz w:w="12240" w:h="15840" w:code="1"/>
      <w:pgMar w:top="1741" w:right="1196" w:bottom="1899" w:left="1196" w:header="578" w:footer="1032"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Russian_text_proc" w:initials="RTP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w:t>
      </w:r>
      <w:r>
        <w:rPr>
          <w:lang w:val="en-US"/>
        </w:rPr>
        <w:t>59641</w:t>
      </w:r>
      <w:r>
        <w:t>R&lt;&lt;ODS JOB NO&gt;&gt;</w:t>
      </w:r>
    </w:p>
    <w:p w:rsidR="00000000" w:rsidRDefault="00000000">
      <w:pPr>
        <w:pStyle w:val="CommentText"/>
      </w:pPr>
      <w:r>
        <w:t>&lt;&lt;ODS DOC SYMBOL1&gt;&gt;</w:t>
      </w:r>
      <w:r>
        <w:rPr>
          <w:lang w:val="en-US"/>
        </w:rPr>
        <w:t>CEDAW/C/AUT/6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83</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04-59641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*0459641*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81</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pict>
        <v:shapetype id="_x0000_t202" coordsize="21600,21600" o:spt="202" path="m,l,21600r21600,l21600,xe">
          <v:stroke joinstyle="miter"/>
          <v:path gradientshapeok="t" o:connecttype="rect"/>
        </v:shapetype>
        <v:shape id="_x0000_s1073" type="#_x0000_t202" style="position:absolute;margin-left:-38.7pt;margin-top:-39.95pt;width:29.1pt;height:38.4pt;z-index:7;mso-position-horizontal:absolute;mso-position-horizontal-relative:text;mso-position-vertical:absolute;mso-position-vertical-relative:text" o:allowincell="f" filled="f" stroked="f">
          <v:textbox style="layout-flow:vertical;mso-next-textbox:#_x0000_s1073" inset="0,0,0,0">
            <w:txbxContent>
              <w:p w:rsidR="00000000" w:rsidRDefault="00000000">
                <w:pPr>
                  <w:jc w:val="right"/>
                </w:pPr>
                <w:r>
                  <w:rPr>
                    <w:rStyle w:val="PageNumber"/>
                    <w:b/>
                    <w:noProof/>
                    <w:spacing w:val="0"/>
                    <w:w w:val="100"/>
                    <w:kern w:val="0"/>
                    <w:sz w:val="17"/>
                  </w:rPr>
                  <w:fldChar w:fldCharType="begin"/>
                </w:r>
                <w:r>
                  <w:rPr>
                    <w:rStyle w:val="PageNumber"/>
                    <w:b/>
                    <w:noProof/>
                    <w:spacing w:val="0"/>
                    <w:w w:val="100"/>
                    <w:kern w:val="0"/>
                    <w:sz w:val="17"/>
                  </w:rPr>
                  <w:instrText xml:space="preserve"> PAGE </w:instrText>
                </w:r>
                <w:r>
                  <w:rPr>
                    <w:rStyle w:val="PageNumber"/>
                    <w:b/>
                    <w:noProof/>
                    <w:spacing w:val="0"/>
                    <w:w w:val="100"/>
                    <w:kern w:val="0"/>
                    <w:sz w:val="17"/>
                  </w:rPr>
                  <w:fldChar w:fldCharType="separate"/>
                </w:r>
                <w:r>
                  <w:rPr>
                    <w:rStyle w:val="PageNumber"/>
                    <w:b/>
                    <w:noProof/>
                    <w:spacing w:val="0"/>
                    <w:w w:val="100"/>
                    <w:kern w:val="0"/>
                    <w:sz w:val="17"/>
                  </w:rPr>
                  <w:t>93</w:t>
                </w:r>
                <w:r>
                  <w:rPr>
                    <w:rStyle w:val="PageNumber"/>
                    <w:b/>
                    <w:noProof/>
                    <w:spacing w:val="0"/>
                    <w:w w:val="100"/>
                    <w:kern w:val="0"/>
                    <w:sz w:val="17"/>
                  </w:rP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83</w:t>
    </w:r>
    <w:r>
      <w:rPr>
        <w:rStyle w:val="PageNumber"/>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99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jc w:val="both"/>
      </w:pPr>
      <w:r>
        <w:rPr>
          <w:rStyle w:val="FootnoteReference"/>
        </w:rPr>
        <w:sym w:font="Symbol" w:char="F02A"/>
      </w:r>
      <w:r>
        <w:tab/>
      </w:r>
      <w:r>
        <w:rPr>
          <w:spacing w:val="-3"/>
        </w:rPr>
        <w:t>Настоящий документ издается без официального редактирования.</w:t>
      </w:r>
    </w:p>
    <w:p w:rsidR="00000000" w:rsidRDefault="00000000">
      <w:pPr>
        <w:pStyle w:val="FootnoteText"/>
        <w:jc w:val="both"/>
      </w:pPr>
      <w:r>
        <w:tab/>
      </w:r>
      <w:r>
        <w:rPr>
          <w:spacing w:val="-3"/>
        </w:rPr>
        <w:t>Первоначальный доклад, представленный правительством Австрии, см. CEDAW/C/5/Add.17, рассмотренный Комитетом на его четвертой сессии. Второй периодический доклад, представленный правительством Австрии, см. CEDAW/C/13/Add.27, рассмотренный Комитетом на его десятой сессии. Сводный третий и четвертый периодический доклад, представленный правительством Австрии, см. CEDAW/C/</w:t>
      </w:r>
      <w:r>
        <w:rPr>
          <w:spacing w:val="-3"/>
          <w:lang w:val="en-US"/>
        </w:rPr>
        <w:t>AUT</w:t>
      </w:r>
      <w:r>
        <w:rPr>
          <w:spacing w:val="-3"/>
        </w:rPr>
        <w:t>/3-4, рассмотренный Комитетом на его двадцать третьей сессии. Пятый периодический доклад, представленный правительством Австрии, см. CEDAW/C/</w:t>
      </w:r>
      <w:r>
        <w:rPr>
          <w:spacing w:val="-3"/>
          <w:lang w:val="en-US"/>
        </w:rPr>
        <w:t>AUT</w:t>
      </w:r>
      <w:r>
        <w:rPr>
          <w:spacing w:val="-3"/>
        </w:rPr>
        <w:t>/5, рассмотренный Комитетом на его двадцать третьей сессии.</w:t>
      </w:r>
    </w:p>
  </w:footnote>
  <w:footnote w:id="2">
    <w:p w:rsidR="00000000" w:rsidRDefault="00000000">
      <w:pPr>
        <w:pStyle w:val="FootnoteText"/>
      </w:pPr>
      <w:r>
        <w:rPr>
          <w:rStyle w:val="FootnoteReference"/>
        </w:rPr>
        <w:footnoteRef/>
      </w:r>
      <w:r>
        <w:t xml:space="preserve"> </w:t>
      </w:r>
      <w:r>
        <w:tab/>
      </w:r>
      <w:r>
        <w:rPr>
          <w:lang w:val="en-US"/>
        </w:rPr>
        <w:t>www</w:t>
      </w:r>
      <w:r>
        <w:t>.</w:t>
      </w:r>
      <w:r>
        <w:rPr>
          <w:lang w:val="en-US"/>
        </w:rPr>
        <w:t>bso</w:t>
      </w:r>
      <w:r>
        <w:t>.</w:t>
      </w:r>
      <w:r>
        <w:rPr>
          <w:lang w:val="en-US"/>
        </w:rPr>
        <w:t>or</w:t>
      </w:r>
      <w:r>
        <w:t>.</w:t>
      </w:r>
      <w:r>
        <w:rPr>
          <w:lang w:val="en-US"/>
        </w:rPr>
        <w:t>at</w:t>
      </w:r>
    </w:p>
  </w:footnote>
  <w:footnote w:id="3">
    <w:p w:rsidR="00000000" w:rsidRDefault="00000000">
      <w:pPr>
        <w:pStyle w:val="FootnoteText"/>
      </w:pPr>
      <w:r>
        <w:rPr>
          <w:rStyle w:val="FootnoteReference"/>
        </w:rPr>
        <w:footnoteRef/>
      </w:r>
      <w:r>
        <w:t xml:space="preserve"> </w:t>
      </w:r>
      <w:r>
        <w:tab/>
      </w:r>
      <w:hyperlink r:id="rId1" w:history="1">
        <w:r>
          <w:rPr>
            <w:rStyle w:val="Hyperlink"/>
            <w:color w:val="auto"/>
            <w:lang w:val="en-GB" w:eastAsia="de-DE"/>
          </w:rPr>
          <w:t>http</w:t>
        </w:r>
        <w:r>
          <w:rPr>
            <w:rStyle w:val="Hyperlink"/>
            <w:color w:val="auto"/>
            <w:lang w:eastAsia="de-DE"/>
          </w:rPr>
          <w:t>://</w:t>
        </w:r>
        <w:r>
          <w:rPr>
            <w:rStyle w:val="Hyperlink"/>
            <w:color w:val="auto"/>
            <w:lang w:val="en-GB" w:eastAsia="de-DE"/>
          </w:rPr>
          <w:t>www</w:t>
        </w:r>
        <w:r>
          <w:rPr>
            <w:rStyle w:val="Hyperlink"/>
            <w:color w:val="auto"/>
            <w:lang w:eastAsia="de-DE"/>
          </w:rPr>
          <w:t>.</w:t>
        </w:r>
        <w:r>
          <w:rPr>
            <w:rStyle w:val="Hyperlink"/>
            <w:color w:val="auto"/>
            <w:lang w:val="en-GB" w:eastAsia="de-DE"/>
          </w:rPr>
          <w:t>statistik</w:t>
        </w:r>
        <w:r>
          <w:rPr>
            <w:rStyle w:val="Hyperlink"/>
            <w:color w:val="auto"/>
            <w:lang w:eastAsia="de-DE"/>
          </w:rPr>
          <w:t>.</w:t>
        </w:r>
        <w:r>
          <w:rPr>
            <w:rStyle w:val="Hyperlink"/>
            <w:color w:val="auto"/>
            <w:lang w:val="en-GB" w:eastAsia="de-DE"/>
          </w:rPr>
          <w:t>at</w:t>
        </w:r>
        <w:r>
          <w:rPr>
            <w:rStyle w:val="Hyperlink"/>
            <w:color w:val="auto"/>
            <w:lang w:eastAsia="de-DE"/>
          </w:rPr>
          <w:t>/</w:t>
        </w:r>
        <w:r>
          <w:rPr>
            <w:rStyle w:val="Hyperlink"/>
            <w:color w:val="auto"/>
            <w:lang w:val="en-GB" w:eastAsia="de-DE"/>
          </w:rPr>
          <w:t>mikrozensus</w:t>
        </w:r>
        <w:r>
          <w:rPr>
            <w:rStyle w:val="Hyperlink"/>
            <w:color w:val="auto"/>
            <w:lang w:eastAsia="de-DE"/>
          </w:rPr>
          <w:t>/</w:t>
        </w:r>
        <w:r>
          <w:rPr>
            <w:rStyle w:val="Hyperlink"/>
            <w:color w:val="auto"/>
            <w:lang w:val="en-GB" w:eastAsia="de-DE"/>
          </w:rPr>
          <w:t>gratis</w:t>
        </w:r>
        <w:r>
          <w:rPr>
            <w:rStyle w:val="Hyperlink"/>
            <w:color w:val="auto"/>
            <w:lang w:eastAsia="de-DE"/>
          </w:rPr>
          <w:t>.</w:t>
        </w:r>
        <w:r>
          <w:rPr>
            <w:rStyle w:val="Hyperlink"/>
            <w:color w:val="auto"/>
            <w:lang w:val="en-GB" w:eastAsia="de-DE"/>
          </w:rPr>
          <w:t>shtml</w:t>
        </w:r>
      </w:hyperlink>
    </w:p>
  </w:footnote>
  <w:footnote w:id="4">
    <w:p w:rsidR="00000000" w:rsidRDefault="00000000">
      <w:pPr>
        <w:pStyle w:val="FootnoteText"/>
      </w:pPr>
      <w:r>
        <w:rPr>
          <w:rStyle w:val="FootnoteReference"/>
        </w:rPr>
        <w:footnoteRef/>
      </w:r>
      <w:r>
        <w:t xml:space="preserve"> </w:t>
      </w:r>
      <w:r>
        <w:rPr>
          <w:lang w:val="en-US"/>
        </w:rPr>
        <w:tab/>
      </w:r>
      <w:hyperlink r:id="rId2" w:history="1">
        <w:r>
          <w:rPr>
            <w:rStyle w:val="Hyperlink"/>
            <w:color w:val="auto"/>
            <w:lang w:val="en-GB" w:eastAsia="de-DE"/>
          </w:rPr>
          <w:t>http</w:t>
        </w:r>
        <w:r>
          <w:rPr>
            <w:rStyle w:val="Hyperlink"/>
            <w:color w:val="auto"/>
            <w:lang w:eastAsia="de-DE"/>
          </w:rPr>
          <w:t>://</w:t>
        </w:r>
        <w:r>
          <w:rPr>
            <w:rStyle w:val="Hyperlink"/>
            <w:color w:val="auto"/>
            <w:lang w:val="en-GB" w:eastAsia="de-DE"/>
          </w:rPr>
          <w:t>www</w:t>
        </w:r>
        <w:r>
          <w:rPr>
            <w:rStyle w:val="Hyperlink"/>
            <w:color w:val="auto"/>
            <w:lang w:eastAsia="de-DE"/>
          </w:rPr>
          <w:t>.</w:t>
        </w:r>
        <w:r>
          <w:rPr>
            <w:rStyle w:val="Hyperlink"/>
            <w:color w:val="auto"/>
            <w:lang w:val="en-GB" w:eastAsia="de-DE"/>
          </w:rPr>
          <w:t>statistik</w:t>
        </w:r>
        <w:r>
          <w:rPr>
            <w:rStyle w:val="Hyperlink"/>
            <w:color w:val="auto"/>
            <w:lang w:eastAsia="de-DE"/>
          </w:rPr>
          <w:t>.</w:t>
        </w:r>
        <w:r>
          <w:rPr>
            <w:rStyle w:val="Hyperlink"/>
            <w:color w:val="auto"/>
            <w:lang w:val="en-GB" w:eastAsia="de-DE"/>
          </w:rPr>
          <w:t>at</w:t>
        </w:r>
        <w:r>
          <w:rPr>
            <w:rStyle w:val="Hyperlink"/>
            <w:color w:val="auto"/>
            <w:lang w:eastAsia="de-DE"/>
          </w:rPr>
          <w:t>/</w:t>
        </w:r>
        <w:r>
          <w:rPr>
            <w:rStyle w:val="Hyperlink"/>
            <w:color w:val="auto"/>
            <w:lang w:val="en-GB" w:eastAsia="de-DE"/>
          </w:rPr>
          <w:t>neuererscheinungen</w:t>
        </w:r>
        <w:r>
          <w:rPr>
            <w:rStyle w:val="Hyperlink"/>
            <w:color w:val="auto"/>
            <w:lang w:eastAsia="de-DE"/>
          </w:rPr>
          <w:t>/</w:t>
        </w:r>
        <w:r>
          <w:rPr>
            <w:rStyle w:val="Hyperlink"/>
            <w:color w:val="auto"/>
            <w:lang w:val="en-GB" w:eastAsia="de-DE"/>
          </w:rPr>
          <w:t>geschlechtdisparit</w:t>
        </w:r>
        <w:r>
          <w:rPr>
            <w:rStyle w:val="Hyperlink"/>
            <w:color w:val="auto"/>
            <w:lang w:eastAsia="de-DE"/>
          </w:rPr>
          <w:t>.</w:t>
        </w:r>
        <w:r>
          <w:rPr>
            <w:rStyle w:val="Hyperlink"/>
            <w:color w:val="auto"/>
            <w:lang w:val="en-GB" w:eastAsia="de-DE"/>
          </w:rPr>
          <w:t>shtml</w:t>
        </w:r>
      </w:hyperlink>
    </w:p>
  </w:footnote>
  <w:footnote w:id="5">
    <w:p w:rsidR="00000000" w:rsidRDefault="00000000">
      <w:pPr>
        <w:pStyle w:val="FootnoteText"/>
      </w:pPr>
      <w:r>
        <w:rPr>
          <w:rStyle w:val="FootnoteReference"/>
        </w:rPr>
        <w:footnoteRef/>
      </w:r>
      <w:r>
        <w:t xml:space="preserve"> </w:t>
      </w:r>
      <w:r>
        <w:tab/>
      </w:r>
      <w:hyperlink r:id="rId3" w:history="1">
        <w:r>
          <w:rPr>
            <w:rStyle w:val="Hyperlink"/>
            <w:color w:val="auto"/>
            <w:lang w:val="en-GB"/>
          </w:rPr>
          <w:t>http</w:t>
        </w:r>
        <w:r>
          <w:rPr>
            <w:rStyle w:val="Hyperlink"/>
            <w:color w:val="auto"/>
          </w:rPr>
          <w:t>://</w:t>
        </w:r>
        <w:r>
          <w:rPr>
            <w:rStyle w:val="Hyperlink"/>
            <w:color w:val="auto"/>
            <w:lang w:val="en-GB"/>
          </w:rPr>
          <w:t>www</w:t>
        </w:r>
        <w:r>
          <w:rPr>
            <w:rStyle w:val="Hyperlink"/>
            <w:color w:val="auto"/>
          </w:rPr>
          <w:t>.</w:t>
        </w:r>
        <w:r>
          <w:rPr>
            <w:rStyle w:val="Hyperlink"/>
            <w:color w:val="auto"/>
            <w:lang w:val="en-GB"/>
          </w:rPr>
          <w:t>bka</w:t>
        </w:r>
        <w:r>
          <w:rPr>
            <w:rStyle w:val="Hyperlink"/>
            <w:color w:val="auto"/>
          </w:rPr>
          <w:t>.</w:t>
        </w:r>
        <w:r>
          <w:rPr>
            <w:rStyle w:val="Hyperlink"/>
            <w:color w:val="auto"/>
            <w:lang w:val="en-GB"/>
          </w:rPr>
          <w:t>gv</w:t>
        </w:r>
        <w:r>
          <w:rPr>
            <w:rStyle w:val="Hyperlink"/>
            <w:color w:val="auto"/>
          </w:rPr>
          <w:t>.</w:t>
        </w:r>
        <w:r>
          <w:rPr>
            <w:rStyle w:val="Hyperlink"/>
            <w:color w:val="auto"/>
            <w:lang w:val="en-GB"/>
          </w:rPr>
          <w:t>at</w:t>
        </w:r>
        <w:r>
          <w:rPr>
            <w:rStyle w:val="Hyperlink"/>
            <w:color w:val="auto"/>
          </w:rPr>
          <w:t>/</w:t>
        </w:r>
        <w:r>
          <w:rPr>
            <w:rStyle w:val="Hyperlink"/>
            <w:color w:val="auto"/>
            <w:lang w:val="en-GB"/>
          </w:rPr>
          <w:t>bka</w:t>
        </w:r>
        <w:r>
          <w:rPr>
            <w:rStyle w:val="Hyperlink"/>
            <w:color w:val="auto"/>
          </w:rPr>
          <w:t>/</w:t>
        </w:r>
        <w:r>
          <w:rPr>
            <w:rStyle w:val="Hyperlink"/>
            <w:color w:val="auto"/>
            <w:lang w:val="en-GB"/>
          </w:rPr>
          <w:t>regionalpolitik</w:t>
        </w:r>
        <w:r>
          <w:rPr>
            <w:rStyle w:val="Hyperlink"/>
            <w:color w:val="auto"/>
          </w:rPr>
          <w:t>/</w:t>
        </w:r>
        <w:r>
          <w:rPr>
            <w:rStyle w:val="Hyperlink"/>
            <w:color w:val="auto"/>
            <w:lang w:val="en-GB"/>
          </w:rPr>
          <w:t>aufhauser</w:t>
        </w:r>
        <w:r>
          <w:rPr>
            <w:rStyle w:val="Hyperlink"/>
            <w:color w:val="auto"/>
          </w:rPr>
          <w:t>_</w:t>
        </w:r>
        <w:r>
          <w:rPr>
            <w:rStyle w:val="Hyperlink"/>
            <w:color w:val="auto"/>
            <w:lang w:val="en-GB"/>
          </w:rPr>
          <w:t>kurzfassung</w:t>
        </w:r>
        <w:r>
          <w:rPr>
            <w:rStyle w:val="Hyperlink"/>
            <w:color w:val="auto"/>
          </w:rPr>
          <w:t>.</w:t>
        </w:r>
        <w:r>
          <w:rPr>
            <w:rStyle w:val="Hyperlink"/>
            <w:color w:val="auto"/>
            <w:lang w:val="en-GB"/>
          </w:rPr>
          <w:t>pdf</w:t>
        </w:r>
      </w:hyperlink>
      <w:r>
        <w:rPr>
          <w:rFonts w:ascii="Verdana" w:hAnsi="Verdana"/>
        </w:rPr>
        <w:br/>
      </w:r>
      <w:hyperlink r:id="rId4" w:history="1">
        <w:r>
          <w:rPr>
            <w:rStyle w:val="Hyperlink"/>
            <w:color w:val="auto"/>
            <w:lang w:val="en-GB"/>
          </w:rPr>
          <w:t>http</w:t>
        </w:r>
        <w:r>
          <w:rPr>
            <w:rStyle w:val="Hyperlink"/>
            <w:color w:val="auto"/>
          </w:rPr>
          <w:t>://</w:t>
        </w:r>
        <w:r>
          <w:rPr>
            <w:rStyle w:val="Hyperlink"/>
            <w:color w:val="auto"/>
            <w:lang w:val="en-GB"/>
          </w:rPr>
          <w:t>www</w:t>
        </w:r>
        <w:r>
          <w:rPr>
            <w:rStyle w:val="Hyperlink"/>
            <w:color w:val="auto"/>
          </w:rPr>
          <w:t>.</w:t>
        </w:r>
        <w:r>
          <w:rPr>
            <w:rStyle w:val="Hyperlink"/>
            <w:color w:val="auto"/>
            <w:lang w:val="en-GB"/>
          </w:rPr>
          <w:t>bka</w:t>
        </w:r>
        <w:r>
          <w:rPr>
            <w:rStyle w:val="Hyperlink"/>
            <w:color w:val="auto"/>
          </w:rPr>
          <w:t>.</w:t>
        </w:r>
        <w:r>
          <w:rPr>
            <w:rStyle w:val="Hyperlink"/>
            <w:color w:val="auto"/>
            <w:lang w:val="en-GB"/>
          </w:rPr>
          <w:t>gv</w:t>
        </w:r>
        <w:r>
          <w:rPr>
            <w:rStyle w:val="Hyperlink"/>
            <w:color w:val="auto"/>
          </w:rPr>
          <w:t>.</w:t>
        </w:r>
        <w:r>
          <w:rPr>
            <w:rStyle w:val="Hyperlink"/>
            <w:color w:val="auto"/>
            <w:lang w:val="en-GB"/>
          </w:rPr>
          <w:t>at</w:t>
        </w:r>
        <w:r>
          <w:rPr>
            <w:rStyle w:val="Hyperlink"/>
            <w:color w:val="auto"/>
          </w:rPr>
          <w:t>/</w:t>
        </w:r>
        <w:r>
          <w:rPr>
            <w:rStyle w:val="Hyperlink"/>
            <w:color w:val="auto"/>
            <w:lang w:val="en-GB"/>
          </w:rPr>
          <w:t>bka</w:t>
        </w:r>
        <w:r>
          <w:rPr>
            <w:rStyle w:val="Hyperlink"/>
            <w:color w:val="auto"/>
          </w:rPr>
          <w:t>/</w:t>
        </w:r>
        <w:r>
          <w:rPr>
            <w:rStyle w:val="Hyperlink"/>
            <w:color w:val="auto"/>
            <w:lang w:val="en-GB"/>
          </w:rPr>
          <w:t>regionalpolitik</w:t>
        </w:r>
        <w:r>
          <w:rPr>
            <w:rStyle w:val="Hyperlink"/>
            <w:color w:val="auto"/>
          </w:rPr>
          <w:t>/</w:t>
        </w:r>
        <w:r>
          <w:rPr>
            <w:rStyle w:val="Hyperlink"/>
            <w:color w:val="auto"/>
            <w:lang w:val="en-GB"/>
          </w:rPr>
          <w:t>aufhauser</w:t>
        </w:r>
        <w:r>
          <w:rPr>
            <w:rStyle w:val="Hyperlink"/>
            <w:color w:val="auto"/>
          </w:rPr>
          <w:t>_</w:t>
        </w:r>
        <w:r>
          <w:rPr>
            <w:rStyle w:val="Hyperlink"/>
            <w:color w:val="auto"/>
            <w:lang w:val="en-GB"/>
          </w:rPr>
          <w:t>summary</w:t>
        </w:r>
        <w:r>
          <w:rPr>
            <w:rStyle w:val="Hyperlink"/>
            <w:color w:val="auto"/>
          </w:rPr>
          <w:t>.</w:t>
        </w:r>
        <w:r>
          <w:rPr>
            <w:rStyle w:val="Hyperlink"/>
            <w:color w:val="auto"/>
            <w:lang w:val="en-GB"/>
          </w:rPr>
          <w:t>pdf</w:t>
        </w:r>
      </w:hyperlink>
    </w:p>
  </w:footnote>
  <w:footnote w:id="6">
    <w:p w:rsidR="00000000" w:rsidRDefault="00000000">
      <w:pPr>
        <w:pStyle w:val="FootnoteText"/>
      </w:pPr>
      <w:r>
        <w:rPr>
          <w:rStyle w:val="FootnoteReference"/>
        </w:rPr>
        <w:footnoteRef/>
      </w:r>
      <w:r>
        <w:t xml:space="preserve"> </w:t>
      </w:r>
      <w:r>
        <w:tab/>
      </w:r>
      <w:hyperlink r:id="rId5" w:history="1">
        <w:r>
          <w:rPr>
            <w:rStyle w:val="Hyperlink"/>
            <w:color w:val="auto"/>
            <w:lang w:val="en-GB"/>
          </w:rPr>
          <w:t>http</w:t>
        </w:r>
        <w:r>
          <w:rPr>
            <w:rStyle w:val="Hyperlink"/>
            <w:color w:val="auto"/>
          </w:rPr>
          <w:t>://</w:t>
        </w:r>
        <w:r>
          <w:rPr>
            <w:rStyle w:val="Hyperlink"/>
            <w:color w:val="auto"/>
            <w:lang w:val="en-GB"/>
          </w:rPr>
          <w:t>www</w:t>
        </w:r>
        <w:r>
          <w:rPr>
            <w:rStyle w:val="Hyperlink"/>
            <w:color w:val="auto"/>
          </w:rPr>
          <w:t>.</w:t>
        </w:r>
        <w:r>
          <w:rPr>
            <w:rStyle w:val="Hyperlink"/>
            <w:color w:val="auto"/>
            <w:lang w:val="en-GB"/>
          </w:rPr>
          <w:t>statistik</w:t>
        </w:r>
        <w:r>
          <w:rPr>
            <w:rStyle w:val="Hyperlink"/>
            <w:color w:val="auto"/>
          </w:rPr>
          <w:t>.</w:t>
        </w:r>
        <w:r>
          <w:rPr>
            <w:rStyle w:val="Hyperlink"/>
            <w:color w:val="auto"/>
            <w:lang w:val="en-GB"/>
          </w:rPr>
          <w:t>at</w:t>
        </w:r>
        <w:r>
          <w:rPr>
            <w:rStyle w:val="Hyperlink"/>
            <w:color w:val="auto"/>
          </w:rPr>
          <w:t>/</w:t>
        </w:r>
        <w:r>
          <w:rPr>
            <w:rStyle w:val="Hyperlink"/>
            <w:color w:val="auto"/>
            <w:lang w:val="en-GB"/>
          </w:rPr>
          <w:t>mikrozensus</w:t>
        </w:r>
        <w:r>
          <w:rPr>
            <w:rStyle w:val="Hyperlink"/>
            <w:color w:val="auto"/>
          </w:rPr>
          <w:t>/</w:t>
        </w:r>
        <w:r>
          <w:rPr>
            <w:rStyle w:val="Hyperlink"/>
            <w:color w:val="auto"/>
            <w:lang w:val="en-GB"/>
          </w:rPr>
          <w:t>gratis</w:t>
        </w:r>
        <w:r>
          <w:rPr>
            <w:rStyle w:val="Hyperlink"/>
            <w:color w:val="auto"/>
          </w:rPr>
          <w:t>.</w:t>
        </w:r>
        <w:r>
          <w:rPr>
            <w:rStyle w:val="Hyperlink"/>
            <w:color w:val="auto"/>
            <w:lang w:val="en-GB"/>
          </w:rPr>
          <w:t>shtml</w:t>
        </w:r>
      </w:hyperlink>
    </w:p>
  </w:footnote>
  <w:footnote w:id="7">
    <w:p w:rsidR="00000000" w:rsidRDefault="00000000">
      <w:pPr>
        <w:pStyle w:val="FootnoteText"/>
      </w:pPr>
      <w:r>
        <w:rPr>
          <w:rStyle w:val="FootnoteReference"/>
        </w:rPr>
        <w:footnoteRef/>
      </w:r>
      <w:r>
        <w:t xml:space="preserve"> </w:t>
      </w:r>
      <w:r>
        <w:tab/>
      </w:r>
      <w:hyperlink r:id="rId6" w:history="1">
        <w:r>
          <w:rPr>
            <w:rStyle w:val="Hyperlink"/>
            <w:color w:val="auto"/>
            <w:lang w:val="en-GB"/>
          </w:rPr>
          <w:t>http</w:t>
        </w:r>
        <w:r>
          <w:rPr>
            <w:rStyle w:val="Hyperlink"/>
            <w:color w:val="auto"/>
          </w:rPr>
          <w:t>://</w:t>
        </w:r>
        <w:r>
          <w:rPr>
            <w:rStyle w:val="Hyperlink"/>
            <w:color w:val="auto"/>
            <w:lang w:val="en-GB"/>
          </w:rPr>
          <w:t>www</w:t>
        </w:r>
        <w:r>
          <w:rPr>
            <w:rStyle w:val="Hyperlink"/>
            <w:color w:val="auto"/>
          </w:rPr>
          <w:t>.</w:t>
        </w:r>
        <w:r>
          <w:rPr>
            <w:rStyle w:val="Hyperlink"/>
            <w:color w:val="auto"/>
            <w:lang w:val="en-GB"/>
          </w:rPr>
          <w:t>ews</w:t>
        </w:r>
        <w:r>
          <w:rPr>
            <w:rStyle w:val="Hyperlink"/>
            <w:color w:val="auto"/>
          </w:rPr>
          <w:t>-</w:t>
        </w:r>
        <w:r>
          <w:rPr>
            <w:rStyle w:val="Hyperlink"/>
            <w:color w:val="auto"/>
            <w:lang w:val="en-GB"/>
          </w:rPr>
          <w:t>online</w:t>
        </w:r>
        <w:r>
          <w:rPr>
            <w:rStyle w:val="Hyperlink"/>
            <w:color w:val="auto"/>
          </w:rPr>
          <w:t>.</w:t>
        </w:r>
        <w:r>
          <w:rPr>
            <w:rStyle w:val="Hyperlink"/>
            <w:color w:val="auto"/>
            <w:lang w:val="en-GB"/>
          </w:rPr>
          <w:t>com</w:t>
        </w:r>
        <w:r>
          <w:rPr>
            <w:rStyle w:val="Hyperlink"/>
            <w:color w:val="auto"/>
          </w:rPr>
          <w:t>/</w:t>
        </w:r>
        <w:r>
          <w:rPr>
            <w:rStyle w:val="Hyperlink"/>
            <w:color w:val="auto"/>
            <w:lang w:val="en-GB"/>
          </w:rPr>
          <w:t>en</w:t>
        </w:r>
        <w:r>
          <w:rPr>
            <w:rStyle w:val="Hyperlink"/>
            <w:color w:val="auto"/>
          </w:rPr>
          <w:t>/</w:t>
        </w:r>
      </w:hyperlink>
    </w:p>
  </w:footnote>
  <w:footnote w:id="8">
    <w:p w:rsidR="00000000" w:rsidRDefault="00000000">
      <w:pPr>
        <w:pStyle w:val="FootnoteText"/>
      </w:pPr>
      <w:r>
        <w:rPr>
          <w:rStyle w:val="FootnoteReference"/>
        </w:rPr>
        <w:footnoteRef/>
      </w:r>
      <w:r>
        <w:t xml:space="preserve"> </w:t>
      </w:r>
      <w:r>
        <w:tab/>
      </w:r>
      <w:hyperlink r:id="rId7" w:history="1">
        <w:r>
          <w:rPr>
            <w:rStyle w:val="Hyperlink"/>
            <w:color w:val="auto"/>
            <w:lang w:val="en-GB"/>
          </w:rPr>
          <w:t>http</w:t>
        </w:r>
        <w:r>
          <w:rPr>
            <w:rStyle w:val="Hyperlink"/>
            <w:color w:val="auto"/>
          </w:rPr>
          <w:t>://</w:t>
        </w:r>
        <w:r>
          <w:rPr>
            <w:rStyle w:val="Hyperlink"/>
            <w:color w:val="auto"/>
            <w:lang w:val="en-GB"/>
          </w:rPr>
          <w:t>www</w:t>
        </w:r>
        <w:r>
          <w:rPr>
            <w:rStyle w:val="Hyperlink"/>
            <w:color w:val="auto"/>
          </w:rPr>
          <w:t>.</w:t>
        </w:r>
        <w:r>
          <w:rPr>
            <w:rStyle w:val="Hyperlink"/>
            <w:color w:val="auto"/>
            <w:lang w:val="en-GB"/>
          </w:rPr>
          <w:t>prosvjeta</w:t>
        </w:r>
        <w:r>
          <w:rPr>
            <w:rStyle w:val="Hyperlink"/>
            <w:color w:val="auto"/>
          </w:rPr>
          <w:t>.</w:t>
        </w:r>
        <w:r>
          <w:rPr>
            <w:rStyle w:val="Hyperlink"/>
            <w:color w:val="auto"/>
            <w:lang w:val="en-GB"/>
          </w:rPr>
          <w:t>hinet</w:t>
        </w:r>
        <w:r>
          <w:rPr>
            <w:rStyle w:val="Hyperlink"/>
            <w:color w:val="auto"/>
          </w:rPr>
          <w:t>.</w:t>
        </w:r>
        <w:r>
          <w:rPr>
            <w:rStyle w:val="Hyperlink"/>
            <w:color w:val="auto"/>
            <w:lang w:val="en-GB"/>
          </w:rPr>
          <w:t>hr</w:t>
        </w:r>
        <w:r>
          <w:rPr>
            <w:rStyle w:val="Hyperlink"/>
            <w:color w:val="auto"/>
          </w:rPr>
          <w:t>/</w:t>
        </w:r>
        <w:r>
          <w:rPr>
            <w:rStyle w:val="Hyperlink"/>
            <w:color w:val="auto"/>
            <w:lang w:val="en-GB"/>
          </w:rPr>
          <w:t>mips</w:t>
        </w:r>
        <w:r>
          <w:rPr>
            <w:rStyle w:val="Hyperlink"/>
            <w:color w:val="auto"/>
          </w:rPr>
          <w:t>/</w:t>
        </w:r>
        <w:r>
          <w:rPr>
            <w:rStyle w:val="Hyperlink"/>
            <w:color w:val="auto"/>
            <w:lang w:val="en-GB"/>
          </w:rPr>
          <w:t>najavljujemo</w:t>
        </w:r>
        <w:r>
          <w:rPr>
            <w:rStyle w:val="Hyperlink"/>
            <w:color w:val="auto"/>
          </w:rPr>
          <w:t>/</w:t>
        </w:r>
        <w:r>
          <w:rPr>
            <w:rStyle w:val="Hyperlink"/>
            <w:color w:val="auto"/>
            <w:lang w:val="en-GB"/>
          </w:rPr>
          <w:t>dubrovnik</w:t>
        </w:r>
        <w:r>
          <w:rPr>
            <w:rStyle w:val="Hyperlink"/>
            <w:color w:val="auto"/>
          </w:rPr>
          <w:t>/</w:t>
        </w:r>
        <w:r>
          <w:rPr>
            <w:rStyle w:val="Hyperlink"/>
            <w:color w:val="auto"/>
            <w:lang w:val="en-GB"/>
          </w:rPr>
          <w:t>index</w:t>
        </w:r>
        <w:r>
          <w:rPr>
            <w:rStyle w:val="Hyperlink"/>
            <w:color w:val="auto"/>
          </w:rPr>
          <w:t>.</w:t>
        </w:r>
        <w:r>
          <w:rPr>
            <w:rStyle w:val="Hyperlink"/>
            <w:color w:val="auto"/>
            <w:lang w:val="en-GB"/>
          </w:rPr>
          <w:t>asp</w:t>
        </w:r>
      </w:hyperlink>
    </w:p>
  </w:footnote>
  <w:footnote w:id="9">
    <w:p w:rsidR="00000000" w:rsidRDefault="00000000">
      <w:pPr>
        <w:pStyle w:val="FootnoteText"/>
        <w:jc w:val="both"/>
      </w:pPr>
      <w:r>
        <w:rPr>
          <w:rStyle w:val="FootnoteReference"/>
        </w:rPr>
        <w:footnoteRef/>
      </w:r>
      <w:r>
        <w:t xml:space="preserve"> </w:t>
      </w:r>
      <w:r>
        <w:tab/>
        <w:t>Межсекторальное исследование: показателем успешности считается отношение количества выпускников, взятого в качестве числителя, и количества первокурсников университетов, взятого в качестве знаменателя.</w:t>
      </w:r>
    </w:p>
  </w:footnote>
  <w:footnote w:id="10">
    <w:p w:rsidR="00000000" w:rsidRDefault="00000000">
      <w:pPr>
        <w:pStyle w:val="FootnoteText"/>
      </w:pPr>
      <w:r>
        <w:rPr>
          <w:rStyle w:val="FootnoteReference"/>
        </w:rPr>
        <w:footnoteRef/>
      </w:r>
      <w:r>
        <w:t xml:space="preserve"> </w:t>
      </w:r>
      <w:r>
        <w:tab/>
      </w:r>
      <w:hyperlink r:id="rId8" w:history="1">
        <w:r>
          <w:rPr>
            <w:rStyle w:val="Hyperlink"/>
            <w:color w:val="auto"/>
            <w:lang w:val="en-GB"/>
          </w:rPr>
          <w:t>http</w:t>
        </w:r>
        <w:r>
          <w:rPr>
            <w:rStyle w:val="Hyperlink"/>
            <w:color w:val="auto"/>
          </w:rPr>
          <w:t>://</w:t>
        </w:r>
        <w:r>
          <w:rPr>
            <w:rStyle w:val="Hyperlink"/>
            <w:color w:val="auto"/>
            <w:lang w:val="en-GB"/>
          </w:rPr>
          <w:t>wswin</w:t>
        </w:r>
        <w:r>
          <w:rPr>
            <w:rStyle w:val="Hyperlink"/>
            <w:color w:val="auto"/>
          </w:rPr>
          <w:t>.</w:t>
        </w:r>
        <w:r>
          <w:rPr>
            <w:rStyle w:val="Hyperlink"/>
            <w:color w:val="auto"/>
            <w:lang w:val="en-GB"/>
          </w:rPr>
          <w:t>nextra</w:t>
        </w:r>
        <w:r>
          <w:rPr>
            <w:rStyle w:val="Hyperlink"/>
            <w:color w:val="auto"/>
          </w:rPr>
          <w:t>.</w:t>
        </w:r>
        <w:r>
          <w:rPr>
            <w:rStyle w:val="Hyperlink"/>
            <w:color w:val="auto"/>
            <w:lang w:val="en-GB"/>
          </w:rPr>
          <w:t>at</w:t>
        </w:r>
        <w:r>
          <w:rPr>
            <w:rStyle w:val="Hyperlink"/>
            <w:color w:val="auto"/>
          </w:rPr>
          <w:t>/</w:t>
        </w:r>
        <w:r>
          <w:rPr>
            <w:rStyle w:val="Hyperlink"/>
            <w:color w:val="auto"/>
            <w:lang w:val="en-GB"/>
          </w:rPr>
          <w:t>chrha</w:t>
        </w:r>
        <w:r>
          <w:rPr>
            <w:rStyle w:val="Hyperlink"/>
            <w:color w:val="auto"/>
          </w:rPr>
          <w:t>2892/</w:t>
        </w:r>
        <w:r>
          <w:rPr>
            <w:rStyle w:val="Hyperlink"/>
            <w:color w:val="auto"/>
            <w:lang w:val="en-GB"/>
          </w:rPr>
          <w:t>main</w:t>
        </w:r>
        <w:r>
          <w:rPr>
            <w:rStyle w:val="Hyperlink"/>
            <w:color w:val="auto"/>
          </w:rPr>
          <w:t>.</w:t>
        </w:r>
        <w:r>
          <w:rPr>
            <w:rStyle w:val="Hyperlink"/>
            <w:color w:val="auto"/>
            <w:lang w:val="en-GB"/>
          </w:rPr>
          <w:t>asp</w:t>
        </w:r>
        <w:r>
          <w:rPr>
            <w:rStyle w:val="Hyperlink"/>
            <w:color w:val="auto"/>
          </w:rPr>
          <w:t>?</w:t>
        </w:r>
        <w:r>
          <w:rPr>
            <w:rStyle w:val="Hyperlink"/>
            <w:color w:val="auto"/>
            <w:lang w:val="en-GB"/>
          </w:rPr>
          <w:t>kat</w:t>
        </w:r>
        <w:r>
          <w:rPr>
            <w:rStyle w:val="Hyperlink"/>
            <w:color w:val="auto"/>
          </w:rPr>
          <w:t>1=40&amp;</w:t>
        </w:r>
        <w:r>
          <w:rPr>
            <w:rStyle w:val="Hyperlink"/>
            <w:color w:val="auto"/>
            <w:lang w:val="en-GB"/>
          </w:rPr>
          <w:t>kat</w:t>
        </w:r>
        <w:r>
          <w:rPr>
            <w:rStyle w:val="Hyperlink"/>
            <w:color w:val="auto"/>
          </w:rPr>
          <w:t>2=145&amp;</w:t>
        </w:r>
        <w:r>
          <w:rPr>
            <w:rStyle w:val="Hyperlink"/>
            <w:color w:val="auto"/>
            <w:lang w:val="en-GB"/>
          </w:rPr>
          <w:t>kat</w:t>
        </w:r>
        <w:r>
          <w:rPr>
            <w:rStyle w:val="Hyperlink"/>
            <w:color w:val="auto"/>
          </w:rPr>
          <w:t>3=129&amp;</w:t>
        </w:r>
        <w:r>
          <w:rPr>
            <w:rStyle w:val="Hyperlink"/>
            <w:color w:val="auto"/>
            <w:lang w:val="en-GB"/>
          </w:rPr>
          <w:t>vid</w:t>
        </w:r>
        <w:r>
          <w:rPr>
            <w:rStyle w:val="Hyperlink"/>
            <w:color w:val="auto"/>
          </w:rPr>
          <w:t>=1</w:t>
        </w:r>
      </w:hyperlink>
    </w:p>
  </w:footnote>
  <w:footnote w:id="11">
    <w:p w:rsidR="00000000" w:rsidRDefault="00000000">
      <w:pPr>
        <w:pStyle w:val="FootnoteText"/>
      </w:pPr>
      <w:r>
        <w:rPr>
          <w:rStyle w:val="FootnoteReference"/>
        </w:rPr>
        <w:footnoteRef/>
      </w:r>
      <w:r>
        <w:t xml:space="preserve"> </w:t>
      </w:r>
      <w:r>
        <w:tab/>
        <w:t xml:space="preserve">Социалистическая партия, </w:t>
      </w:r>
      <w:r>
        <w:rPr>
          <w:vertAlign w:val="superscript"/>
        </w:rPr>
        <w:t>2 </w:t>
      </w:r>
      <w:r>
        <w:t xml:space="preserve">Народная партия , </w:t>
      </w:r>
      <w:r>
        <w:rPr>
          <w:vertAlign w:val="superscript"/>
        </w:rPr>
        <w:t>3 </w:t>
      </w:r>
      <w:r>
        <w:t>Партия свободы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ind w:left="0" w:right="168" w:firstLine="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/C/AUT/6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1 November 2004</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next-textbox:#_x0000_s1068;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CEDAW/C/AUT/6</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6.25pt;margin-top:-1.65pt;width:7in;height:50.4pt;z-index:3;mso-position-horizontal:absolute;mso-position-horizontal-relative:text;mso-position-vertical:absolute;mso-position-vertical-relative:text" o:allowincell="f" stroked="f">
          <v:textbox style="mso-next-textbox:#_x0000_s1067;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CEDAW/C/AUT/6</w:t>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74" type="#_x0000_t202" style="position:absolute;margin-left:-35.4pt;margin-top:30.45pt;width:22.2pt;height:26.4pt;z-index:8;mso-position-horizontal:absolute;mso-position-horizontal-relative:text;mso-position-vertical:absolute;mso-position-vertical-relative:text" o:allowincell="f" filled="f" stroked="f">
          <v:textbox style="layout-flow:vertical;mso-next-textbox:#_x0000_s1074" inset="0,0,0,0">
            <w:txbxContent>
              <w:p w:rsidR="00000000" w:rsidRDefault="00000000">
                <w:r>
                  <w:rPr>
                    <w:rStyle w:val="PageNumber"/>
                    <w:b/>
                    <w:noProof/>
                    <w:spacing w:val="0"/>
                    <w:w w:val="100"/>
                    <w:kern w:val="0"/>
                    <w:sz w:val="17"/>
                  </w:rPr>
                  <w:fldChar w:fldCharType="begin"/>
                </w:r>
                <w:r>
                  <w:rPr>
                    <w:rStyle w:val="PageNumber"/>
                    <w:b/>
                    <w:noProof/>
                    <w:spacing w:val="0"/>
                    <w:w w:val="100"/>
                    <w:kern w:val="0"/>
                    <w:sz w:val="17"/>
                  </w:rPr>
                  <w:instrText xml:space="preserve"> PAGE </w:instrText>
                </w:r>
                <w:r>
                  <w:rPr>
                    <w:rStyle w:val="PageNumber"/>
                    <w:b/>
                    <w:noProof/>
                    <w:spacing w:val="0"/>
                    <w:w w:val="100"/>
                    <w:kern w:val="0"/>
                    <w:sz w:val="17"/>
                  </w:rPr>
                  <w:fldChar w:fldCharType="separate"/>
                </w:r>
                <w:r>
                  <w:rPr>
                    <w:rStyle w:val="PageNumber"/>
                    <w:b/>
                    <w:noProof/>
                    <w:spacing w:val="0"/>
                    <w:w w:val="100"/>
                    <w:kern w:val="0"/>
                    <w:sz w:val="17"/>
                  </w:rPr>
                  <w:t>94</w:t>
                </w:r>
                <w:r>
                  <w:rPr>
                    <w:rStyle w:val="PageNumber"/>
                    <w:b/>
                    <w:noProof/>
                    <w:spacing w:val="0"/>
                    <w:w w:val="100"/>
                    <w:kern w:val="0"/>
                    <w:sz w:val="17"/>
                  </w:rPr>
                  <w:fldChar w:fldCharType="end"/>
                </w:r>
              </w:p>
            </w:txbxContent>
          </v:textbox>
        </v:shape>
      </w:pict>
    </w:r>
    <w:r>
      <w:rPr>
        <w:sz w:val="20"/>
      </w:rPr>
      <w:pict>
        <v:shape id="_x0000_s1075" type="#_x0000_t202" style="position:absolute;margin-left:621.9pt;margin-top:30.45pt;width:17.4pt;height:489pt;z-index:9;mso-position-horizontal:absolute;mso-position-horizontal-relative:text;mso-position-vertical:absolute;mso-position-vertical-relative:text" o:allowincell="f" filled="f" stroked="f">
          <v:textbox style="layout-flow:vertical;mso-next-textbox:#_x0000_s1075" inset="0,0,0,0">
            <w:txbxContent>
              <w:p w:rsidR="00000000" w:rsidRDefault="00000000">
                <w:pPr>
                  <w:pBdr>
                    <w:bottom w:val="single" w:sz="12" w:space="1" w:color="auto"/>
                  </w:pBdr>
                  <w:rPr>
                    <w:lang w:val="en-US"/>
                  </w:rPr>
                </w:pPr>
                <w:r>
                  <w:rPr>
                    <w:b/>
                    <w:lang w:val="en-US"/>
                  </w:rPr>
                  <w:t>CEDAW/C/AUT/6</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76" type="#_x0000_t202" style="position:absolute;margin-left:618.3pt;margin-top:30.45pt;width:17.4pt;height:489pt;z-index:10;mso-position-horizontal:absolute;mso-position-horizontal-relative:text;mso-position-vertical:absolute;mso-position-vertical-relative:text" o:allowincell="f" filled="f" stroked="f">
          <v:textbox style="layout-flow:vertical;mso-next-textbox:#_x0000_s1076" inset="0,0,0,0">
            <w:txbxContent>
              <w:p w:rsidR="00000000" w:rsidRDefault="00000000">
                <w:pPr>
                  <w:pBdr>
                    <w:bottom w:val="single" w:sz="12" w:space="1" w:color="auto"/>
                  </w:pBdr>
                  <w:jc w:val="right"/>
                  <w:rPr>
                    <w:lang w:val="en-US"/>
                  </w:rPr>
                </w:pPr>
                <w:r>
                  <w:rPr>
                    <w:b/>
                    <w:lang w:val="en-US"/>
                  </w:rPr>
                  <w:t>CEDAW/C/AUT/6</w:t>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72" type="#_x0000_t202" style="position:absolute;margin-left:-6.55pt;margin-top:-2.25pt;width:7in;height:50.4pt;z-index:6;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CEDAW/C/AUT/6</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71" type="#_x0000_t202" style="position:absolute;margin-left:-6.25pt;margin-top:-2.25pt;width:7in;height:50.4pt;z-index:5;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CEDAW/C/AUT/6</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7843DD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F54F0F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8F000BC"/>
    <w:lvl w:ilvl="0">
      <w:start w:val="1"/>
      <w:numFmt w:val="decimal"/>
      <w:pStyle w:val="ListNumber3"/>
      <w:lvlText w:val="%1."/>
      <w:lvlJc w:val="left"/>
      <w:pPr>
        <w:tabs>
          <w:tab w:val="num" w:pos="926"/>
        </w:tabs>
        <w:ind w:left="926" w:hanging="360"/>
      </w:pPr>
    </w:lvl>
  </w:abstractNum>
  <w:abstractNum w:abstractNumId="3">
    <w:nsid w:val="FFFFFF7F"/>
    <w:multiLevelType w:val="singleLevel"/>
    <w:tmpl w:val="ED102860"/>
    <w:lvl w:ilvl="0">
      <w:start w:val="1"/>
      <w:numFmt w:val="decimal"/>
      <w:pStyle w:val="ListNumber2"/>
      <w:lvlText w:val="%1."/>
      <w:lvlJc w:val="left"/>
      <w:pPr>
        <w:tabs>
          <w:tab w:val="num" w:pos="643"/>
        </w:tabs>
        <w:ind w:left="643" w:hanging="360"/>
      </w:pPr>
    </w:lvl>
  </w:abstractNum>
  <w:abstractNum w:abstractNumId="4">
    <w:nsid w:val="FFFFFF88"/>
    <w:multiLevelType w:val="singleLevel"/>
    <w:tmpl w:val="5E1A971E"/>
    <w:lvl w:ilvl="0">
      <w:start w:val="1"/>
      <w:numFmt w:val="decimal"/>
      <w:pStyle w:val="ListNumber"/>
      <w:lvlText w:val="%1."/>
      <w:lvlJc w:val="left"/>
      <w:pPr>
        <w:tabs>
          <w:tab w:val="num" w:pos="360"/>
        </w:tabs>
        <w:ind w:left="360" w:hanging="360"/>
      </w:pPr>
    </w:lvl>
  </w:abstractNum>
  <w:abstractNum w:abstractNumId="5">
    <w:nsid w:val="FFFFFF89"/>
    <w:multiLevelType w:val="singleLevel"/>
    <w:tmpl w:val="00E217B2"/>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106D698C"/>
    <w:multiLevelType w:val="singleLevel"/>
    <w:tmpl w:val="8E2A432A"/>
    <w:lvl w:ilvl="0">
      <w:start w:val="1"/>
      <w:numFmt w:val="upperLetter"/>
      <w:pStyle w:val="Heading9"/>
      <w:lvlText w:val="%1."/>
      <w:lvlJc w:val="left"/>
      <w:pPr>
        <w:tabs>
          <w:tab w:val="num" w:pos="648"/>
        </w:tabs>
        <w:ind w:left="648" w:hanging="360"/>
      </w:pPr>
      <w:rPr>
        <w:rFonts w:hint="default"/>
      </w:rPr>
    </w:lvl>
  </w:abstractNum>
  <w:abstractNum w:abstractNumId="7">
    <w:nsid w:val="34DC129E"/>
    <w:multiLevelType w:val="singleLevel"/>
    <w:tmpl w:val="910AD470"/>
    <w:lvl w:ilvl="0">
      <w:start w:val="1"/>
      <w:numFmt w:val="decimal"/>
      <w:pStyle w:val="ListContinue2"/>
      <w:lvlText w:val="%1."/>
      <w:lvlJc w:val="right"/>
      <w:pPr>
        <w:tabs>
          <w:tab w:val="num" w:pos="792"/>
        </w:tabs>
        <w:ind w:left="792" w:hanging="317"/>
      </w:pPr>
      <w:rPr>
        <w:rFonts w:hint="default"/>
      </w:rPr>
    </w:lvl>
  </w:abstractNum>
  <w:abstractNum w:abstractNumId="8">
    <w:nsid w:val="3F264356"/>
    <w:multiLevelType w:val="hybridMultilevel"/>
    <w:tmpl w:val="234EB5A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bullet"/>
      <w:pStyle w:val="TOC1"/>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0">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8"/>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en-US" w:vendorID="8" w:dllVersion="513" w:checkStyle="1"/>
  <w:activeWritingStyle w:appName="MSWord" w:lang="en-GB" w:vendorID="8" w:dllVersion="513" w:checkStyle="1"/>
  <w:doNotTrackMoves/>
  <w:defaultTabStop w:val="720"/>
  <w:autoHyphenation/>
  <w:hyphenationZone w:val="220"/>
  <w:doNotHyphenateCaps/>
  <w:evenAndOddHeaders/>
  <w:drawingGridHorizontalSpacing w:val="6"/>
  <w:drawingGridVerticalSpacing w:val="6"/>
  <w:displayHorizontalDrawingGridEvery w:val="0"/>
  <w:displayVerticalDrawingGridEvery w:val="0"/>
  <w:doNotUseMarginsForDrawingGridOrigin/>
  <w:drawingGridVerticalOrigin w:val="1985"/>
  <w:noPunctuationKerning/>
  <w:characterSpacingControl w:val="doNotCompress"/>
  <w:hdrShapeDefaults>
    <o:shapedefaults v:ext="edit" spidmax="3074" fill="f" fillcolor="white" stroke="f">
      <v:fill color="white" on="f"/>
      <v:stroke on="f"/>
      <v:textbox style="layout-flow:vertical" inset="0,0,0,0"/>
    </o:shapedefaults>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v:textbox style="layout-flow:vertical" inset="0,0,0,0"/>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0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tabs>
        <w:tab w:val="left" w:pos="-252"/>
        <w:tab w:val="left" w:pos="288"/>
        <w:tab w:val="left" w:pos="2358"/>
        <w:tab w:val="left" w:pos="4878"/>
        <w:tab w:val="left" w:pos="7218"/>
        <w:tab w:val="left" w:pos="9288"/>
        <w:tab w:val="left" w:pos="11784"/>
        <w:tab w:val="left" w:pos="13748"/>
      </w:tabs>
      <w:spacing w:line="240" w:lineRule="auto"/>
      <w:jc w:val="both"/>
      <w:outlineLvl w:val="3"/>
    </w:pPr>
    <w:rPr>
      <w:rFonts w:ascii="Tahoma" w:hAnsi="Tahoma"/>
      <w:b/>
      <w:spacing w:val="0"/>
      <w:w w:val="100"/>
      <w:kern w:val="0"/>
      <w:sz w:val="18"/>
      <w:lang w:val="en-GB" w:eastAsia="en-US"/>
    </w:rPr>
  </w:style>
  <w:style w:type="paragraph" w:styleId="Heading5">
    <w:name w:val="heading 5"/>
    <w:basedOn w:val="Normal"/>
    <w:next w:val="Normal"/>
    <w:qFormat/>
    <w:pPr>
      <w:keepNext/>
      <w:outlineLvl w:val="4"/>
    </w:pPr>
    <w:rPr>
      <w:rFonts w:eastAsia="Arial Unicode MS"/>
      <w:b/>
      <w:bCs/>
      <w:snapToGrid w:val="0"/>
      <w:sz w:val="17"/>
    </w:rPr>
  </w:style>
  <w:style w:type="paragraph" w:styleId="Heading6">
    <w:name w:val="heading 6"/>
    <w:basedOn w:val="Normal"/>
    <w:next w:val="Normal"/>
    <w:qFormat/>
    <w:pPr>
      <w:keepNext/>
      <w:jc w:val="center"/>
      <w:outlineLvl w:val="5"/>
    </w:pPr>
    <w:rPr>
      <w:bCs/>
      <w:i/>
      <w:iCs/>
      <w:sz w:val="17"/>
    </w:rPr>
  </w:style>
  <w:style w:type="paragraph" w:styleId="Heading7">
    <w:name w:val="heading 7"/>
    <w:basedOn w:val="Normal"/>
    <w:next w:val="Normal"/>
    <w:qFormat/>
    <w:pPr>
      <w:keepNext/>
      <w:spacing w:line="240" w:lineRule="auto"/>
      <w:outlineLvl w:val="6"/>
    </w:pPr>
    <w:rPr>
      <w:bCs/>
      <w:i/>
      <w:iCs/>
      <w:sz w:val="17"/>
    </w:rPr>
  </w:style>
  <w:style w:type="paragraph" w:styleId="Heading8">
    <w:name w:val="heading 8"/>
    <w:basedOn w:val="Normal"/>
    <w:next w:val="Normal"/>
    <w:qFormat/>
    <w:pPr>
      <w:keepNext/>
      <w:tabs>
        <w:tab w:val="left" w:pos="13467"/>
      </w:tabs>
      <w:autoSpaceDE w:val="0"/>
      <w:autoSpaceDN w:val="0"/>
      <w:outlineLvl w:val="7"/>
    </w:pPr>
    <w:rPr>
      <w:b/>
      <w:sz w:val="16"/>
      <w:lang w:eastAsia="de-DE"/>
    </w:rPr>
  </w:style>
  <w:style w:type="paragraph" w:styleId="Heading9">
    <w:name w:val="heading 9"/>
    <w:basedOn w:val="Normal"/>
    <w:next w:val="Normal"/>
    <w:qFormat/>
    <w:pPr>
      <w:keepNext/>
      <w:numPr>
        <w:numId w:val="2"/>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keepNext/>
      <w:tabs>
        <w:tab w:val="left" w:pos="1264"/>
      </w:tabs>
      <w:suppressAutoHyphens/>
      <w:spacing w:after="120" w:line="270" w:lineRule="exact"/>
      <w:ind w:left="2058" w:right="1208" w:hanging="1264"/>
      <w:outlineLvl w:val="0"/>
    </w:pPr>
    <w:rPr>
      <w:b/>
      <w:sz w:val="24"/>
    </w:rPr>
  </w:style>
  <w:style w:type="paragraph" w:customStyle="1" w:styleId="HCh">
    <w:name w:val="_ H _Ch"/>
    <w:basedOn w:val="H1"/>
    <w:next w:val="Normal"/>
    <w:pPr>
      <w:keepLines/>
      <w:spacing w:line="300" w:lineRule="exact"/>
    </w:pPr>
    <w:rPr>
      <w:spacing w:val="-2"/>
      <w:sz w:val="28"/>
    </w:rPr>
  </w:style>
  <w:style w:type="paragraph" w:customStyle="1" w:styleId="H23">
    <w:name w:val="_ H_2/3"/>
    <w:basedOn w:val="H1"/>
    <w:next w:val="DualTxt"/>
    <w:pPr>
      <w:keepLines/>
      <w:spacing w:line="240" w:lineRule="exact"/>
      <w:ind w:left="1270" w:hanging="476"/>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suppressAutoHyphens/>
      <w:spacing w:after="120"/>
      <w:ind w:left="1735" w:right="1264" w:hanging="471"/>
      <w:outlineLvl w:val="3"/>
    </w:pPr>
    <w:rPr>
      <w:i/>
      <w:spacing w:val="3"/>
    </w:rPr>
  </w:style>
  <w:style w:type="paragraph" w:customStyle="1" w:styleId="H56">
    <w:name w:val="_ H_5/6"/>
    <w:basedOn w:val="Normal"/>
    <w:next w:val="DualTxt"/>
    <w:pPr>
      <w:keepNext/>
      <w:keepLines/>
      <w:tabs>
        <w:tab w:val="left" w:pos="1741"/>
      </w:tabs>
      <w:suppressAutoHyphens/>
      <w:ind w:left="1264" w:right="1264"/>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4" w:right="1264"/>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5"/>
      <w:w w:val="130"/>
      <w:position w:val="0"/>
      <w:sz w:val="17"/>
      <w:vertAlign w:val="superscript"/>
    </w:rPr>
  </w:style>
  <w:style w:type="character" w:styleId="EndnoteReference">
    <w:name w:val="endnote reference"/>
    <w:basedOn w:val="FootnoteReference"/>
    <w:semiHidden/>
    <w:rPr>
      <w:rFonts w:ascii="Times New Roman" w:hAnsi="Times New Roman"/>
      <w:spacing w:val="-5"/>
      <w:w w:val="130"/>
      <w:position w:val="0"/>
      <w:sz w:val="17"/>
      <w:vertAlign w:val="superscript"/>
    </w:rPr>
  </w:style>
  <w:style w:type="paragraph" w:styleId="FootnoteText">
    <w:name w:val="footnote text"/>
    <w:basedOn w:val="Normal"/>
    <w:semiHidden/>
    <w:pPr>
      <w:widowControl w:val="0"/>
      <w:tabs>
        <w:tab w:val="right" w:pos="418"/>
      </w:tabs>
      <w:suppressAutoHyphens/>
      <w:spacing w:line="210" w:lineRule="exact"/>
      <w:ind w:left="1117" w:right="1264" w:hanging="284"/>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9"/>
      </w:numPr>
      <w:spacing w:after="120"/>
    </w:pPr>
  </w:style>
  <w:style w:type="paragraph" w:styleId="ListNumber">
    <w:name w:val="List Number"/>
    <w:basedOn w:val="H1"/>
    <w:next w:val="Normal"/>
    <w:semiHidden/>
    <w:pPr>
      <w:numPr>
        <w:numId w:val="4"/>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6"/>
      </w:numPr>
      <w:tabs>
        <w:tab w:val="clear" w:pos="926"/>
        <w:tab w:val="num" w:pos="792"/>
      </w:tabs>
      <w:ind w:left="792" w:hanging="317"/>
    </w:pPr>
  </w:style>
  <w:style w:type="paragraph" w:styleId="ListNumber4">
    <w:name w:val="List Number 4"/>
    <w:basedOn w:val="H4"/>
    <w:next w:val="Normal"/>
    <w:semiHidden/>
    <w:pPr>
      <w:numPr>
        <w:numId w:val="7"/>
      </w:numPr>
      <w:tabs>
        <w:tab w:val="clear" w:pos="1209"/>
        <w:tab w:val="num" w:pos="792"/>
      </w:tabs>
      <w:ind w:left="792" w:hanging="317"/>
    </w:pPr>
  </w:style>
  <w:style w:type="paragraph" w:styleId="ListNumber5">
    <w:name w:val="List Number 5"/>
    <w:basedOn w:val="Normal"/>
    <w:next w:val="Normal"/>
    <w:semiHidden/>
    <w:pPr>
      <w:numPr>
        <w:numId w:val="8"/>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3"/>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BodyText2">
    <w:name w:val="Body Text 2"/>
    <w:basedOn w:val="Normal"/>
    <w:semiHidden/>
    <w:pPr>
      <w:spacing w:line="480" w:lineRule="auto"/>
      <w:jc w:val="both"/>
    </w:pPr>
    <w:rPr>
      <w:spacing w:val="0"/>
      <w:w w:val="100"/>
      <w:kern w:val="0"/>
      <w:sz w:val="28"/>
    </w:rPr>
  </w:style>
  <w:style w:type="paragraph" w:customStyle="1" w:styleId="BulletPoint">
    <w:name w:val="Bullet Point"/>
    <w:basedOn w:val="Normal"/>
    <w:pPr>
      <w:numPr>
        <w:ilvl w:val="2"/>
        <w:numId w:val="1"/>
      </w:numPr>
      <w:spacing w:before="60" w:line="259" w:lineRule="auto"/>
      <w:jc w:val="both"/>
    </w:pPr>
    <w:rPr>
      <w:rFonts w:ascii="Tahoma" w:hAnsi="Tahoma"/>
      <w:spacing w:val="0"/>
      <w:w w:val="100"/>
      <w:kern w:val="0"/>
      <w:sz w:val="22"/>
      <w:lang w:val="en-GB" w:eastAsia="en-US"/>
    </w:rPr>
  </w:style>
  <w:style w:type="paragraph" w:customStyle="1" w:styleId="BankNormal">
    <w:name w:val="BankNormal"/>
    <w:basedOn w:val="Normal"/>
    <w:pPr>
      <w:spacing w:after="240" w:line="240" w:lineRule="auto"/>
    </w:pPr>
    <w:rPr>
      <w:spacing w:val="0"/>
      <w:w w:val="100"/>
      <w:kern w:val="0"/>
      <w:sz w:val="24"/>
      <w:lang w:val="en-GB" w:eastAsia="en-US"/>
    </w:rPr>
  </w:style>
  <w:style w:type="paragraph" w:styleId="TOC1">
    <w:name w:val="toc 1"/>
    <w:basedOn w:val="Normal"/>
    <w:next w:val="Normal"/>
    <w:autoRedefine/>
    <w:semiHidden/>
    <w:pPr>
      <w:tabs>
        <w:tab w:val="right" w:leader="dot" w:pos="8505"/>
      </w:tabs>
      <w:spacing w:before="120" w:after="120" w:line="240" w:lineRule="auto"/>
      <w:ind w:left="1264" w:right="1701"/>
    </w:pPr>
    <w:rPr>
      <w:bCs/>
      <w:caps/>
      <w:noProof/>
      <w:spacing w:val="0"/>
      <w:w w:val="100"/>
      <w:kern w:val="0"/>
      <w:szCs w:val="28"/>
      <w:lang w:val="en-GB" w:eastAsia="en-US"/>
    </w:rPr>
  </w:style>
  <w:style w:type="paragraph" w:styleId="TOC2">
    <w:name w:val="toc 2"/>
    <w:basedOn w:val="Normal"/>
    <w:next w:val="Normal"/>
    <w:autoRedefine/>
    <w:semiHidden/>
    <w:pPr>
      <w:tabs>
        <w:tab w:val="right" w:leader="dot" w:pos="8505"/>
      </w:tabs>
      <w:spacing w:before="120" w:line="240" w:lineRule="auto"/>
      <w:ind w:left="1701" w:right="1344"/>
      <w:jc w:val="right"/>
    </w:pPr>
    <w:rPr>
      <w:noProof/>
      <w:spacing w:val="0"/>
      <w:w w:val="100"/>
      <w:kern w:val="0"/>
      <w:lang w:eastAsia="en-US"/>
    </w:rPr>
  </w:style>
  <w:style w:type="paragraph" w:styleId="BodyTextIndent">
    <w:name w:val="Body Text Indent"/>
    <w:basedOn w:val="Normal"/>
    <w:semiHidden/>
    <w:pPr>
      <w:tabs>
        <w:tab w:val="left" w:pos="4410"/>
      </w:tabs>
      <w:spacing w:line="240" w:lineRule="auto"/>
      <w:ind w:left="-360"/>
      <w:jc w:val="both"/>
    </w:pPr>
    <w:rPr>
      <w:rFonts w:ascii="Tahoma" w:hAnsi="Tahoma"/>
      <w:spacing w:val="0"/>
      <w:w w:val="100"/>
      <w:kern w:val="0"/>
      <w:lang w:val="en-GB" w:eastAsia="en-US"/>
    </w:rPr>
  </w:style>
  <w:style w:type="paragraph" w:styleId="BodyTextIndent2">
    <w:name w:val="Body Text Indent 2"/>
    <w:basedOn w:val="Normal"/>
    <w:semiHidden/>
    <w:pPr>
      <w:spacing w:line="480" w:lineRule="auto"/>
      <w:ind w:left="570" w:hanging="570"/>
      <w:jc w:val="both"/>
    </w:pPr>
    <w:rPr>
      <w:b/>
      <w:spacing w:val="0"/>
      <w:w w:val="100"/>
      <w:kern w:val="0"/>
      <w:sz w:val="24"/>
      <w:lang w:eastAsia="en-US"/>
    </w:rPr>
  </w:style>
  <w:style w:type="paragraph" w:styleId="BodyText3">
    <w:name w:val="Body Text 3"/>
    <w:basedOn w:val="Normal"/>
    <w:semiHidden/>
    <w:pPr>
      <w:spacing w:line="240" w:lineRule="auto"/>
    </w:pPr>
    <w:rPr>
      <w:spacing w:val="0"/>
      <w:w w:val="100"/>
      <w:kern w:val="0"/>
      <w:sz w:val="24"/>
      <w:lang w:val="en-GB" w:eastAsia="en-US"/>
    </w:rPr>
  </w:style>
  <w:style w:type="paragraph" w:styleId="BlockText">
    <w:name w:val="Block Text"/>
    <w:basedOn w:val="Normal"/>
    <w:semiHidden/>
    <w:pPr>
      <w:spacing w:line="240" w:lineRule="auto"/>
      <w:ind w:left="1264" w:right="1264"/>
      <w:jc w:val="center"/>
    </w:pPr>
    <w:rPr>
      <w:b/>
      <w:sz w:val="28"/>
    </w:rPr>
  </w:style>
  <w:style w:type="paragraph" w:styleId="TOC3">
    <w:name w:val="toc 3"/>
    <w:basedOn w:val="Normal"/>
    <w:next w:val="Normal"/>
    <w:autoRedefine/>
    <w:semiHidden/>
    <w:pPr>
      <w:tabs>
        <w:tab w:val="right" w:leader="dot" w:pos="8505"/>
      </w:tabs>
      <w:spacing w:line="240" w:lineRule="auto"/>
      <w:ind w:left="2268" w:right="1701"/>
    </w:pPr>
    <w:rPr>
      <w:noProof/>
    </w:rPr>
  </w:style>
  <w:style w:type="paragraph" w:styleId="TOC4">
    <w:name w:val="toc 4"/>
    <w:basedOn w:val="Normal"/>
    <w:next w:val="Normal"/>
    <w:autoRedefine/>
    <w:semiHidden/>
    <w:pPr>
      <w:tabs>
        <w:tab w:val="right" w:leader="dot" w:pos="8505"/>
      </w:tabs>
      <w:spacing w:line="240" w:lineRule="auto"/>
      <w:ind w:left="2835" w:right="1701"/>
    </w:pPr>
    <w:rPr>
      <w:noProof/>
    </w:r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Hyperlink">
    <w:name w:val="Hyperlink"/>
    <w:semiHidden/>
    <w:rPr>
      <w:color w:val="0000FF"/>
      <w:u w:val="none"/>
    </w:rPr>
  </w:style>
  <w:style w:type="paragraph" w:customStyle="1" w:styleId="1">
    <w:name w:val="оглавление 1"/>
    <w:basedOn w:val="Normal"/>
    <w:pPr>
      <w:tabs>
        <w:tab w:val="left" w:leader="dot" w:pos="9000"/>
        <w:tab w:val="right" w:pos="9360"/>
      </w:tabs>
      <w:suppressAutoHyphens/>
      <w:spacing w:before="480" w:line="240" w:lineRule="auto"/>
      <w:ind w:left="720" w:right="720" w:hanging="720"/>
    </w:pPr>
    <w:rPr>
      <w:rFonts w:ascii="TMS Roman 12pt" w:hAnsi="TMS Roman 12pt"/>
      <w:spacing w:val="0"/>
      <w:w w:val="100"/>
      <w:kern w:val="0"/>
      <w:sz w:val="24"/>
      <w:lang w:val="en-US"/>
    </w:rPr>
  </w:style>
  <w:style w:type="paragraph" w:customStyle="1" w:styleId="num">
    <w:name w:val="num"/>
    <w:basedOn w:val="SingleTxt"/>
    <w:pPr>
      <w:ind w:left="2217" w:hanging="953"/>
    </w:pPr>
  </w:style>
  <w:style w:type="paragraph" w:customStyle="1" w:styleId="2">
    <w:name w:val="оглавление 2"/>
    <w:basedOn w:val="Normal"/>
    <w:pPr>
      <w:tabs>
        <w:tab w:val="left" w:leader="dot" w:pos="9000"/>
        <w:tab w:val="right" w:pos="9360"/>
      </w:tabs>
      <w:suppressAutoHyphens/>
      <w:spacing w:line="240" w:lineRule="auto"/>
      <w:ind w:left="1440" w:right="720" w:hanging="720"/>
    </w:pPr>
    <w:rPr>
      <w:rFonts w:ascii="TMS Roman 12pt" w:hAnsi="TMS Roman 12pt"/>
      <w:spacing w:val="0"/>
      <w:w w:val="100"/>
      <w:kern w:val="0"/>
      <w:sz w:val="24"/>
      <w:lang w:val="en-US"/>
    </w:rPr>
  </w:style>
  <w:style w:type="paragraph" w:customStyle="1" w:styleId="3">
    <w:name w:val="оглавление 3"/>
    <w:basedOn w:val="Normal"/>
    <w:pPr>
      <w:tabs>
        <w:tab w:val="left" w:leader="dot" w:pos="9000"/>
        <w:tab w:val="right" w:pos="9360"/>
      </w:tabs>
      <w:suppressAutoHyphens/>
      <w:spacing w:line="240" w:lineRule="auto"/>
      <w:ind w:left="2160" w:right="720" w:hanging="720"/>
    </w:pPr>
    <w:rPr>
      <w:rFonts w:ascii="TMS Roman 12pt" w:hAnsi="TMS Roman 12pt"/>
      <w:spacing w:val="0"/>
      <w:w w:val="100"/>
      <w:kern w:val="0"/>
      <w:sz w:val="24"/>
      <w:lang w:val="en-US"/>
    </w:rPr>
  </w:style>
  <w:style w:type="paragraph" w:customStyle="1" w:styleId="4">
    <w:name w:val="оглавление 4"/>
    <w:basedOn w:val="Normal"/>
    <w:pPr>
      <w:tabs>
        <w:tab w:val="left" w:leader="dot" w:pos="9000"/>
        <w:tab w:val="right" w:pos="9360"/>
      </w:tabs>
      <w:suppressAutoHyphens/>
      <w:spacing w:line="240" w:lineRule="auto"/>
      <w:ind w:left="2880" w:right="720" w:hanging="720"/>
    </w:pPr>
    <w:rPr>
      <w:rFonts w:ascii="TMS Roman 12pt" w:hAnsi="TMS Roman 12pt"/>
      <w:spacing w:val="0"/>
      <w:w w:val="100"/>
      <w:kern w:val="0"/>
      <w:sz w:val="24"/>
      <w:lang w:val="en-US"/>
    </w:rPr>
  </w:style>
  <w:style w:type="paragraph" w:customStyle="1" w:styleId="5">
    <w:name w:val="оглавление 5"/>
    <w:basedOn w:val="Normal"/>
    <w:pPr>
      <w:tabs>
        <w:tab w:val="left" w:leader="dot" w:pos="9000"/>
        <w:tab w:val="right" w:pos="9360"/>
      </w:tabs>
      <w:suppressAutoHyphens/>
      <w:spacing w:line="240" w:lineRule="auto"/>
      <w:ind w:left="3600" w:right="720" w:hanging="720"/>
    </w:pPr>
    <w:rPr>
      <w:rFonts w:ascii="TMS Roman 12pt" w:hAnsi="TMS Roman 12pt"/>
      <w:spacing w:val="0"/>
      <w:w w:val="100"/>
      <w:kern w:val="0"/>
      <w:sz w:val="24"/>
      <w:lang w:val="en-US"/>
    </w:rPr>
  </w:style>
  <w:style w:type="paragraph" w:customStyle="1" w:styleId="6">
    <w:name w:val="оглавление 6"/>
    <w:basedOn w:val="Normal"/>
    <w:pPr>
      <w:tabs>
        <w:tab w:val="left" w:pos="9000"/>
        <w:tab w:val="right" w:pos="9360"/>
      </w:tabs>
      <w:suppressAutoHyphens/>
      <w:spacing w:line="240" w:lineRule="auto"/>
      <w:ind w:left="720" w:hanging="720"/>
    </w:pPr>
    <w:rPr>
      <w:rFonts w:ascii="TMS Roman 12pt" w:hAnsi="TMS Roman 12pt"/>
      <w:spacing w:val="0"/>
      <w:w w:val="100"/>
      <w:kern w:val="0"/>
      <w:sz w:val="24"/>
      <w:lang w:val="en-US"/>
    </w:rPr>
  </w:style>
  <w:style w:type="paragraph" w:customStyle="1" w:styleId="7">
    <w:name w:val="оглавление 7"/>
    <w:basedOn w:val="Normal"/>
    <w:pPr>
      <w:suppressAutoHyphens/>
      <w:spacing w:line="240" w:lineRule="auto"/>
      <w:ind w:left="720" w:hanging="720"/>
    </w:pPr>
    <w:rPr>
      <w:rFonts w:ascii="TMS Roman 12pt" w:hAnsi="TMS Roman 12pt"/>
      <w:spacing w:val="0"/>
      <w:w w:val="100"/>
      <w:kern w:val="0"/>
      <w:sz w:val="24"/>
      <w:lang w:val="en-US"/>
    </w:rPr>
  </w:style>
  <w:style w:type="paragraph" w:customStyle="1" w:styleId="8">
    <w:name w:val="оглавление 8"/>
    <w:basedOn w:val="Normal"/>
    <w:pPr>
      <w:tabs>
        <w:tab w:val="left" w:pos="9000"/>
        <w:tab w:val="right" w:pos="9360"/>
      </w:tabs>
      <w:suppressAutoHyphens/>
      <w:spacing w:line="240" w:lineRule="auto"/>
      <w:ind w:left="720" w:hanging="720"/>
    </w:pPr>
    <w:rPr>
      <w:rFonts w:ascii="TMS Roman 12pt" w:hAnsi="TMS Roman 12pt"/>
      <w:spacing w:val="0"/>
      <w:w w:val="100"/>
      <w:kern w:val="0"/>
      <w:sz w:val="24"/>
      <w:lang w:val="en-US"/>
    </w:rPr>
  </w:style>
  <w:style w:type="paragraph" w:customStyle="1" w:styleId="9">
    <w:name w:val="оглавление 9"/>
    <w:basedOn w:val="Normal"/>
    <w:pPr>
      <w:tabs>
        <w:tab w:val="left" w:leader="dot" w:pos="9000"/>
        <w:tab w:val="right" w:pos="9360"/>
      </w:tabs>
      <w:suppressAutoHyphens/>
      <w:spacing w:line="240" w:lineRule="auto"/>
      <w:ind w:left="720" w:hanging="720"/>
    </w:pPr>
    <w:rPr>
      <w:rFonts w:ascii="TMS Roman 12pt" w:hAnsi="TMS Roman 12pt"/>
      <w:spacing w:val="0"/>
      <w:w w:val="100"/>
      <w:kern w:val="0"/>
      <w:sz w:val="24"/>
      <w:lang w:val="en-US"/>
    </w:rPr>
  </w:style>
  <w:style w:type="paragraph" w:customStyle="1" w:styleId="10">
    <w:name w:val="указатель 1"/>
    <w:basedOn w:val="Normal"/>
    <w:pPr>
      <w:tabs>
        <w:tab w:val="left" w:leader="dot" w:pos="9000"/>
        <w:tab w:val="right" w:pos="9360"/>
      </w:tabs>
      <w:suppressAutoHyphens/>
      <w:spacing w:line="240" w:lineRule="auto"/>
      <w:ind w:left="1440" w:right="720" w:hanging="1440"/>
    </w:pPr>
    <w:rPr>
      <w:rFonts w:ascii="TMS Roman 12pt" w:hAnsi="TMS Roman 12pt"/>
      <w:spacing w:val="0"/>
      <w:w w:val="100"/>
      <w:kern w:val="0"/>
      <w:sz w:val="24"/>
      <w:lang w:val="en-US"/>
    </w:rPr>
  </w:style>
  <w:style w:type="paragraph" w:customStyle="1" w:styleId="20">
    <w:name w:val="указатель 2"/>
    <w:basedOn w:val="Normal"/>
    <w:pPr>
      <w:tabs>
        <w:tab w:val="left" w:leader="dot" w:pos="9000"/>
        <w:tab w:val="right" w:pos="9360"/>
      </w:tabs>
      <w:suppressAutoHyphens/>
      <w:spacing w:line="240" w:lineRule="auto"/>
      <w:ind w:left="1440" w:right="720" w:hanging="720"/>
    </w:pPr>
    <w:rPr>
      <w:rFonts w:ascii="TMS Roman 12pt" w:hAnsi="TMS Roman 12pt"/>
      <w:spacing w:val="0"/>
      <w:w w:val="100"/>
      <w:kern w:val="0"/>
      <w:sz w:val="24"/>
      <w:lang w:val="en-US"/>
    </w:rPr>
  </w:style>
  <w:style w:type="paragraph" w:customStyle="1" w:styleId="a">
    <w:name w:val="заг. указ. литературы"/>
    <w:basedOn w:val="Normal"/>
    <w:pPr>
      <w:tabs>
        <w:tab w:val="left" w:pos="9000"/>
        <w:tab w:val="right" w:pos="9360"/>
      </w:tabs>
      <w:suppressAutoHyphens/>
      <w:spacing w:line="240" w:lineRule="auto"/>
    </w:pPr>
    <w:rPr>
      <w:rFonts w:ascii="TMS Roman 12pt" w:hAnsi="TMS Roman 12pt"/>
      <w:spacing w:val="0"/>
      <w:w w:val="100"/>
      <w:kern w:val="0"/>
      <w:sz w:val="24"/>
      <w:lang w:val="en-US"/>
    </w:rPr>
  </w:style>
  <w:style w:type="paragraph" w:customStyle="1" w:styleId="a0">
    <w:name w:val="название"/>
    <w:basedOn w:val="Normal"/>
    <w:pPr>
      <w:spacing w:line="240" w:lineRule="auto"/>
    </w:pPr>
    <w:rPr>
      <w:rFonts w:ascii="TMS Roman 12pt" w:hAnsi="TMS Roman 12pt"/>
      <w:spacing w:val="0"/>
      <w:w w:val="100"/>
      <w:kern w:val="0"/>
      <w:sz w:val="24"/>
    </w:rPr>
  </w:style>
  <w:style w:type="character" w:customStyle="1" w:styleId="EquationCaption">
    <w:name w:val="_Equation Caption"/>
  </w:style>
  <w:style w:type="paragraph" w:customStyle="1" w:styleId="50">
    <w:name w:val="5"/>
    <w:basedOn w:val="SingleTxt"/>
    <w:p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Pr>
      <w:sz w:val="10"/>
    </w:rPr>
  </w:style>
  <w:style w:type="paragraph" w:styleId="BodyTextIndent3">
    <w:name w:val="Body Text Indent 3"/>
    <w:basedOn w:val="Normal"/>
    <w:semiHidden/>
    <w:pPr>
      <w:ind w:left="426" w:hanging="437"/>
    </w:pPr>
  </w:style>
  <w:style w:type="paragraph" w:customStyle="1" w:styleId="a1">
    <w:name w:val="источник"/>
    <w:basedOn w:val="SingleTxt"/>
    <w:rPr>
      <w:sz w:val="17"/>
    </w:rPr>
  </w:style>
  <w:style w:type="paragraph" w:customStyle="1" w:styleId="dot">
    <w:name w:val="dot"/>
    <w:basedOn w:val="SingleTxt"/>
    <w:pPr>
      <w:ind w:left="2206" w:hanging="471"/>
    </w:pPr>
  </w:style>
  <w:style w:type="character" w:styleId="PageNumber">
    <w:name w:val="page number"/>
    <w:basedOn w:val="DefaultParagraphFont"/>
    <w:semiHidden/>
  </w:style>
  <w:style w:type="character" w:styleId="FollowedHyperlink">
    <w:name w:val="FollowedHyperlink"/>
    <w:semiHidden/>
    <w:rPr>
      <w:color w:val="800080"/>
      <w:u w:val="none"/>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teilzeit.cc" TargetMode="External"/><Relationship Id="rId26" Type="http://schemas.openxmlformats.org/officeDocument/2006/relationships/hyperlink" Target="http://bmwa.gv.at/BMWA/default.htm"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imag-gendermainstreaming.at" TargetMode="External"/><Relationship Id="rId34"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yperlink" Target="http://www.bmbwk.gv.at/womenscience" TargetMode="External"/><Relationship Id="rId33" Type="http://schemas.openxmlformats.org/officeDocument/2006/relationships/footer" Target="footer7.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ris.bka.intra.gv.at" TargetMode="External"/><Relationship Id="rId29" Type="http://schemas.openxmlformats.org/officeDocument/2006/relationships/hyperlink" Target="http://www.austria.gv.a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unikid.at" TargetMode="External"/><Relationship Id="rId32" Type="http://schemas.openxmlformats.org/officeDocument/2006/relationships/footer" Target="footer6.xml"/><Relationship Id="rId37"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www.jobs4girls" TargetMode="External"/><Relationship Id="rId28" Type="http://schemas.openxmlformats.org/officeDocument/2006/relationships/hyperlink" Target="http://www.landfrauen.at" TargetMode="External"/><Relationship Id="rId36" Type="http://schemas.openxmlformats.org/officeDocument/2006/relationships/footer" Target="footer8.xml"/><Relationship Id="rId10" Type="http://schemas.openxmlformats.org/officeDocument/2006/relationships/footer" Target="footer2.xml"/><Relationship Id="rId19" Type="http://schemas.openxmlformats.org/officeDocument/2006/relationships/hyperlink" Target="http://www.alleinerziehen.at" TargetMode="External"/><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yperlink" Target="http://www.bmbwk.gv.at" TargetMode="External"/><Relationship Id="rId27" Type="http://schemas.openxmlformats.org/officeDocument/2006/relationships/hyperlink" Target="http://www.gleichstellung.info" TargetMode="External"/><Relationship Id="rId30" Type="http://schemas.openxmlformats.org/officeDocument/2006/relationships/header" Target="header6.xml"/><Relationship Id="rId35" Type="http://schemas.openxmlformats.org/officeDocument/2006/relationships/header" Target="header9.xml"/></Relationships>
</file>

<file path=word/_rels/footnotes.xml.rels><?xml version="1.0" encoding="UTF-8" standalone="yes"?>
<Relationships xmlns="http://schemas.openxmlformats.org/package/2006/relationships"><Relationship Id="rId8" Type="http://schemas.openxmlformats.org/officeDocument/2006/relationships/hyperlink" Target="http://wswin.nextra.at/chrha2892/main.asp?kat1=40&amp;kat2=145&amp;kat3=129&amp;vid=1" TargetMode="External"/><Relationship Id="rId3" Type="http://schemas.openxmlformats.org/officeDocument/2006/relationships/hyperlink" Target="http://www.bka.gv.at/bka/regionalpolitik/aufhauser_kurzfassung.pdf" TargetMode="External"/><Relationship Id="rId7" Type="http://schemas.openxmlformats.org/officeDocument/2006/relationships/hyperlink" Target="http://www.prosvjeta.hinet.hr/mips/najavljujemo/dubrovnik/index.asp" TargetMode="External"/><Relationship Id="rId2" Type="http://schemas.openxmlformats.org/officeDocument/2006/relationships/hyperlink" Target="http://www.statistik.at/neuererscheinungen/geschlechtsdisparit.shtml" TargetMode="External"/><Relationship Id="rId1" Type="http://schemas.openxmlformats.org/officeDocument/2006/relationships/hyperlink" Target="http://www.statistik.at/mikrozensus/gratis.shtml" TargetMode="External"/><Relationship Id="rId6" Type="http://schemas.openxmlformats.org/officeDocument/2006/relationships/hyperlink" Target="http://www.ews-online.com/en/" TargetMode="External"/><Relationship Id="rId5" Type="http://schemas.openxmlformats.org/officeDocument/2006/relationships/hyperlink" Target="http://www.statistik.at/mikrozensus/gratis.shtml" TargetMode="External"/><Relationship Id="rId4" Type="http://schemas.openxmlformats.org/officeDocument/2006/relationships/hyperlink" Target="http://www.bka.gv.at/bka/regionalpolitik/aufhauser_summary.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95</Pages>
  <Words>41991</Words>
  <Characters>239350</Characters>
  <Application>Microsoft Office Word</Application>
  <DocSecurity>4</DocSecurity>
  <Lines>1994</Lines>
  <Paragraphs>478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293938</CharactersWithSpaces>
  <SharedDoc>false</SharedDoc>
  <HLinks>
    <vt:vector size="858" baseType="variant">
      <vt:variant>
        <vt:i4>1507329</vt:i4>
      </vt:variant>
      <vt:variant>
        <vt:i4>768</vt:i4>
      </vt:variant>
      <vt:variant>
        <vt:i4>0</vt:i4>
      </vt:variant>
      <vt:variant>
        <vt:i4>5</vt:i4>
      </vt:variant>
      <vt:variant>
        <vt:lpwstr>http://www.austria.gv.at/</vt:lpwstr>
      </vt:variant>
      <vt:variant>
        <vt:lpwstr/>
      </vt:variant>
      <vt:variant>
        <vt:i4>1114205</vt:i4>
      </vt:variant>
      <vt:variant>
        <vt:i4>765</vt:i4>
      </vt:variant>
      <vt:variant>
        <vt:i4>0</vt:i4>
      </vt:variant>
      <vt:variant>
        <vt:i4>5</vt:i4>
      </vt:variant>
      <vt:variant>
        <vt:lpwstr>http://www.landfrauen.at/</vt:lpwstr>
      </vt:variant>
      <vt:variant>
        <vt:lpwstr/>
      </vt:variant>
      <vt:variant>
        <vt:i4>7405624</vt:i4>
      </vt:variant>
      <vt:variant>
        <vt:i4>762</vt:i4>
      </vt:variant>
      <vt:variant>
        <vt:i4>0</vt:i4>
      </vt:variant>
      <vt:variant>
        <vt:i4>5</vt:i4>
      </vt:variant>
      <vt:variant>
        <vt:lpwstr>http://www.gleichstellung.info/</vt:lpwstr>
      </vt:variant>
      <vt:variant>
        <vt:lpwstr/>
      </vt:variant>
      <vt:variant>
        <vt:i4>2228272</vt:i4>
      </vt:variant>
      <vt:variant>
        <vt:i4>759</vt:i4>
      </vt:variant>
      <vt:variant>
        <vt:i4>0</vt:i4>
      </vt:variant>
      <vt:variant>
        <vt:i4>5</vt:i4>
      </vt:variant>
      <vt:variant>
        <vt:lpwstr>http://bmwa.gv.at/BMWA/default.htm</vt:lpwstr>
      </vt:variant>
      <vt:variant>
        <vt:lpwstr/>
      </vt:variant>
      <vt:variant>
        <vt:i4>7077922</vt:i4>
      </vt:variant>
      <vt:variant>
        <vt:i4>756</vt:i4>
      </vt:variant>
      <vt:variant>
        <vt:i4>0</vt:i4>
      </vt:variant>
      <vt:variant>
        <vt:i4>5</vt:i4>
      </vt:variant>
      <vt:variant>
        <vt:lpwstr>http://www.bmbwk.gv.at/womenscience</vt:lpwstr>
      </vt:variant>
      <vt:variant>
        <vt:lpwstr/>
      </vt:variant>
      <vt:variant>
        <vt:i4>262224</vt:i4>
      </vt:variant>
      <vt:variant>
        <vt:i4>753</vt:i4>
      </vt:variant>
      <vt:variant>
        <vt:i4>0</vt:i4>
      </vt:variant>
      <vt:variant>
        <vt:i4>5</vt:i4>
      </vt:variant>
      <vt:variant>
        <vt:lpwstr>http://www.unikid.at/</vt:lpwstr>
      </vt:variant>
      <vt:variant>
        <vt:lpwstr/>
      </vt:variant>
      <vt:variant>
        <vt:i4>3997738</vt:i4>
      </vt:variant>
      <vt:variant>
        <vt:i4>750</vt:i4>
      </vt:variant>
      <vt:variant>
        <vt:i4>0</vt:i4>
      </vt:variant>
      <vt:variant>
        <vt:i4>5</vt:i4>
      </vt:variant>
      <vt:variant>
        <vt:lpwstr>http://www.jobs4girls/</vt:lpwstr>
      </vt:variant>
      <vt:variant>
        <vt:lpwstr/>
      </vt:variant>
      <vt:variant>
        <vt:i4>8192115</vt:i4>
      </vt:variant>
      <vt:variant>
        <vt:i4>747</vt:i4>
      </vt:variant>
      <vt:variant>
        <vt:i4>0</vt:i4>
      </vt:variant>
      <vt:variant>
        <vt:i4>5</vt:i4>
      </vt:variant>
      <vt:variant>
        <vt:lpwstr>http://www.bmbwk.gv.at/</vt:lpwstr>
      </vt:variant>
      <vt:variant>
        <vt:lpwstr/>
      </vt:variant>
      <vt:variant>
        <vt:i4>3801149</vt:i4>
      </vt:variant>
      <vt:variant>
        <vt:i4>744</vt:i4>
      </vt:variant>
      <vt:variant>
        <vt:i4>0</vt:i4>
      </vt:variant>
      <vt:variant>
        <vt:i4>5</vt:i4>
      </vt:variant>
      <vt:variant>
        <vt:lpwstr>http://www.imag-gendermainstreaming.at/</vt:lpwstr>
      </vt:variant>
      <vt:variant>
        <vt:lpwstr/>
      </vt:variant>
      <vt:variant>
        <vt:i4>6815790</vt:i4>
      </vt:variant>
      <vt:variant>
        <vt:i4>741</vt:i4>
      </vt:variant>
      <vt:variant>
        <vt:i4>0</vt:i4>
      </vt:variant>
      <vt:variant>
        <vt:i4>5</vt:i4>
      </vt:variant>
      <vt:variant>
        <vt:lpwstr>http://ris.bka.intra.gv.at/</vt:lpwstr>
      </vt:variant>
      <vt:variant>
        <vt:lpwstr/>
      </vt:variant>
      <vt:variant>
        <vt:i4>655435</vt:i4>
      </vt:variant>
      <vt:variant>
        <vt:i4>738</vt:i4>
      </vt:variant>
      <vt:variant>
        <vt:i4>0</vt:i4>
      </vt:variant>
      <vt:variant>
        <vt:i4>5</vt:i4>
      </vt:variant>
      <vt:variant>
        <vt:lpwstr>http://www.alleinerziehen.at/</vt:lpwstr>
      </vt:variant>
      <vt:variant>
        <vt:lpwstr/>
      </vt:variant>
      <vt:variant>
        <vt:i4>6815787</vt:i4>
      </vt:variant>
      <vt:variant>
        <vt:i4>735</vt:i4>
      </vt:variant>
      <vt:variant>
        <vt:i4>0</vt:i4>
      </vt:variant>
      <vt:variant>
        <vt:i4>5</vt:i4>
      </vt:variant>
      <vt:variant>
        <vt:lpwstr>http://www.teilzeit.cc/</vt:lpwstr>
      </vt:variant>
      <vt:variant>
        <vt:lpwstr/>
      </vt:variant>
      <vt:variant>
        <vt:i4>1966143</vt:i4>
      </vt:variant>
      <vt:variant>
        <vt:i4>728</vt:i4>
      </vt:variant>
      <vt:variant>
        <vt:i4>0</vt:i4>
      </vt:variant>
      <vt:variant>
        <vt:i4>5</vt:i4>
      </vt:variant>
      <vt:variant>
        <vt:lpwstr/>
      </vt:variant>
      <vt:variant>
        <vt:lpwstr>_Toc97786771</vt:lpwstr>
      </vt:variant>
      <vt:variant>
        <vt:i4>2031679</vt:i4>
      </vt:variant>
      <vt:variant>
        <vt:i4>722</vt:i4>
      </vt:variant>
      <vt:variant>
        <vt:i4>0</vt:i4>
      </vt:variant>
      <vt:variant>
        <vt:i4>5</vt:i4>
      </vt:variant>
      <vt:variant>
        <vt:lpwstr/>
      </vt:variant>
      <vt:variant>
        <vt:lpwstr>_Toc97786770</vt:lpwstr>
      </vt:variant>
      <vt:variant>
        <vt:i4>1441854</vt:i4>
      </vt:variant>
      <vt:variant>
        <vt:i4>716</vt:i4>
      </vt:variant>
      <vt:variant>
        <vt:i4>0</vt:i4>
      </vt:variant>
      <vt:variant>
        <vt:i4>5</vt:i4>
      </vt:variant>
      <vt:variant>
        <vt:lpwstr/>
      </vt:variant>
      <vt:variant>
        <vt:lpwstr>_Toc97786769</vt:lpwstr>
      </vt:variant>
      <vt:variant>
        <vt:i4>1507390</vt:i4>
      </vt:variant>
      <vt:variant>
        <vt:i4>710</vt:i4>
      </vt:variant>
      <vt:variant>
        <vt:i4>0</vt:i4>
      </vt:variant>
      <vt:variant>
        <vt:i4>5</vt:i4>
      </vt:variant>
      <vt:variant>
        <vt:lpwstr/>
      </vt:variant>
      <vt:variant>
        <vt:lpwstr>_Toc97786768</vt:lpwstr>
      </vt:variant>
      <vt:variant>
        <vt:i4>1572926</vt:i4>
      </vt:variant>
      <vt:variant>
        <vt:i4>704</vt:i4>
      </vt:variant>
      <vt:variant>
        <vt:i4>0</vt:i4>
      </vt:variant>
      <vt:variant>
        <vt:i4>5</vt:i4>
      </vt:variant>
      <vt:variant>
        <vt:lpwstr/>
      </vt:variant>
      <vt:variant>
        <vt:lpwstr>_Toc97786767</vt:lpwstr>
      </vt:variant>
      <vt:variant>
        <vt:i4>1638462</vt:i4>
      </vt:variant>
      <vt:variant>
        <vt:i4>698</vt:i4>
      </vt:variant>
      <vt:variant>
        <vt:i4>0</vt:i4>
      </vt:variant>
      <vt:variant>
        <vt:i4>5</vt:i4>
      </vt:variant>
      <vt:variant>
        <vt:lpwstr/>
      </vt:variant>
      <vt:variant>
        <vt:lpwstr>_Toc97786766</vt:lpwstr>
      </vt:variant>
      <vt:variant>
        <vt:i4>1703998</vt:i4>
      </vt:variant>
      <vt:variant>
        <vt:i4>692</vt:i4>
      </vt:variant>
      <vt:variant>
        <vt:i4>0</vt:i4>
      </vt:variant>
      <vt:variant>
        <vt:i4>5</vt:i4>
      </vt:variant>
      <vt:variant>
        <vt:lpwstr/>
      </vt:variant>
      <vt:variant>
        <vt:lpwstr>_Toc97786765</vt:lpwstr>
      </vt:variant>
      <vt:variant>
        <vt:i4>1769534</vt:i4>
      </vt:variant>
      <vt:variant>
        <vt:i4>686</vt:i4>
      </vt:variant>
      <vt:variant>
        <vt:i4>0</vt:i4>
      </vt:variant>
      <vt:variant>
        <vt:i4>5</vt:i4>
      </vt:variant>
      <vt:variant>
        <vt:lpwstr/>
      </vt:variant>
      <vt:variant>
        <vt:lpwstr>_Toc97786764</vt:lpwstr>
      </vt:variant>
      <vt:variant>
        <vt:i4>1835070</vt:i4>
      </vt:variant>
      <vt:variant>
        <vt:i4>680</vt:i4>
      </vt:variant>
      <vt:variant>
        <vt:i4>0</vt:i4>
      </vt:variant>
      <vt:variant>
        <vt:i4>5</vt:i4>
      </vt:variant>
      <vt:variant>
        <vt:lpwstr/>
      </vt:variant>
      <vt:variant>
        <vt:lpwstr>_Toc97786763</vt:lpwstr>
      </vt:variant>
      <vt:variant>
        <vt:i4>1966142</vt:i4>
      </vt:variant>
      <vt:variant>
        <vt:i4>674</vt:i4>
      </vt:variant>
      <vt:variant>
        <vt:i4>0</vt:i4>
      </vt:variant>
      <vt:variant>
        <vt:i4>5</vt:i4>
      </vt:variant>
      <vt:variant>
        <vt:lpwstr/>
      </vt:variant>
      <vt:variant>
        <vt:lpwstr>_Toc97786761</vt:lpwstr>
      </vt:variant>
      <vt:variant>
        <vt:i4>2031678</vt:i4>
      </vt:variant>
      <vt:variant>
        <vt:i4>668</vt:i4>
      </vt:variant>
      <vt:variant>
        <vt:i4>0</vt:i4>
      </vt:variant>
      <vt:variant>
        <vt:i4>5</vt:i4>
      </vt:variant>
      <vt:variant>
        <vt:lpwstr/>
      </vt:variant>
      <vt:variant>
        <vt:lpwstr>_Toc97786760</vt:lpwstr>
      </vt:variant>
      <vt:variant>
        <vt:i4>1441853</vt:i4>
      </vt:variant>
      <vt:variant>
        <vt:i4>662</vt:i4>
      </vt:variant>
      <vt:variant>
        <vt:i4>0</vt:i4>
      </vt:variant>
      <vt:variant>
        <vt:i4>5</vt:i4>
      </vt:variant>
      <vt:variant>
        <vt:lpwstr/>
      </vt:variant>
      <vt:variant>
        <vt:lpwstr>_Toc97786759</vt:lpwstr>
      </vt:variant>
      <vt:variant>
        <vt:i4>1507389</vt:i4>
      </vt:variant>
      <vt:variant>
        <vt:i4>656</vt:i4>
      </vt:variant>
      <vt:variant>
        <vt:i4>0</vt:i4>
      </vt:variant>
      <vt:variant>
        <vt:i4>5</vt:i4>
      </vt:variant>
      <vt:variant>
        <vt:lpwstr/>
      </vt:variant>
      <vt:variant>
        <vt:lpwstr>_Toc97786758</vt:lpwstr>
      </vt:variant>
      <vt:variant>
        <vt:i4>1572925</vt:i4>
      </vt:variant>
      <vt:variant>
        <vt:i4>650</vt:i4>
      </vt:variant>
      <vt:variant>
        <vt:i4>0</vt:i4>
      </vt:variant>
      <vt:variant>
        <vt:i4>5</vt:i4>
      </vt:variant>
      <vt:variant>
        <vt:lpwstr/>
      </vt:variant>
      <vt:variant>
        <vt:lpwstr>_Toc97786757</vt:lpwstr>
      </vt:variant>
      <vt:variant>
        <vt:i4>1638461</vt:i4>
      </vt:variant>
      <vt:variant>
        <vt:i4>644</vt:i4>
      </vt:variant>
      <vt:variant>
        <vt:i4>0</vt:i4>
      </vt:variant>
      <vt:variant>
        <vt:i4>5</vt:i4>
      </vt:variant>
      <vt:variant>
        <vt:lpwstr/>
      </vt:variant>
      <vt:variant>
        <vt:lpwstr>_Toc97786756</vt:lpwstr>
      </vt:variant>
      <vt:variant>
        <vt:i4>1703997</vt:i4>
      </vt:variant>
      <vt:variant>
        <vt:i4>638</vt:i4>
      </vt:variant>
      <vt:variant>
        <vt:i4>0</vt:i4>
      </vt:variant>
      <vt:variant>
        <vt:i4>5</vt:i4>
      </vt:variant>
      <vt:variant>
        <vt:lpwstr/>
      </vt:variant>
      <vt:variant>
        <vt:lpwstr>_Toc97786755</vt:lpwstr>
      </vt:variant>
      <vt:variant>
        <vt:i4>1769533</vt:i4>
      </vt:variant>
      <vt:variant>
        <vt:i4>632</vt:i4>
      </vt:variant>
      <vt:variant>
        <vt:i4>0</vt:i4>
      </vt:variant>
      <vt:variant>
        <vt:i4>5</vt:i4>
      </vt:variant>
      <vt:variant>
        <vt:lpwstr/>
      </vt:variant>
      <vt:variant>
        <vt:lpwstr>_Toc97786754</vt:lpwstr>
      </vt:variant>
      <vt:variant>
        <vt:i4>1835069</vt:i4>
      </vt:variant>
      <vt:variant>
        <vt:i4>626</vt:i4>
      </vt:variant>
      <vt:variant>
        <vt:i4>0</vt:i4>
      </vt:variant>
      <vt:variant>
        <vt:i4>5</vt:i4>
      </vt:variant>
      <vt:variant>
        <vt:lpwstr/>
      </vt:variant>
      <vt:variant>
        <vt:lpwstr>_Toc97786753</vt:lpwstr>
      </vt:variant>
      <vt:variant>
        <vt:i4>1900605</vt:i4>
      </vt:variant>
      <vt:variant>
        <vt:i4>620</vt:i4>
      </vt:variant>
      <vt:variant>
        <vt:i4>0</vt:i4>
      </vt:variant>
      <vt:variant>
        <vt:i4>5</vt:i4>
      </vt:variant>
      <vt:variant>
        <vt:lpwstr/>
      </vt:variant>
      <vt:variant>
        <vt:lpwstr>_Toc97786752</vt:lpwstr>
      </vt:variant>
      <vt:variant>
        <vt:i4>1966141</vt:i4>
      </vt:variant>
      <vt:variant>
        <vt:i4>614</vt:i4>
      </vt:variant>
      <vt:variant>
        <vt:i4>0</vt:i4>
      </vt:variant>
      <vt:variant>
        <vt:i4>5</vt:i4>
      </vt:variant>
      <vt:variant>
        <vt:lpwstr/>
      </vt:variant>
      <vt:variant>
        <vt:lpwstr>_Toc97786751</vt:lpwstr>
      </vt:variant>
      <vt:variant>
        <vt:i4>2031677</vt:i4>
      </vt:variant>
      <vt:variant>
        <vt:i4>608</vt:i4>
      </vt:variant>
      <vt:variant>
        <vt:i4>0</vt:i4>
      </vt:variant>
      <vt:variant>
        <vt:i4>5</vt:i4>
      </vt:variant>
      <vt:variant>
        <vt:lpwstr/>
      </vt:variant>
      <vt:variant>
        <vt:lpwstr>_Toc97786750</vt:lpwstr>
      </vt:variant>
      <vt:variant>
        <vt:i4>1441852</vt:i4>
      </vt:variant>
      <vt:variant>
        <vt:i4>602</vt:i4>
      </vt:variant>
      <vt:variant>
        <vt:i4>0</vt:i4>
      </vt:variant>
      <vt:variant>
        <vt:i4>5</vt:i4>
      </vt:variant>
      <vt:variant>
        <vt:lpwstr/>
      </vt:variant>
      <vt:variant>
        <vt:lpwstr>_Toc97786749</vt:lpwstr>
      </vt:variant>
      <vt:variant>
        <vt:i4>1572924</vt:i4>
      </vt:variant>
      <vt:variant>
        <vt:i4>596</vt:i4>
      </vt:variant>
      <vt:variant>
        <vt:i4>0</vt:i4>
      </vt:variant>
      <vt:variant>
        <vt:i4>5</vt:i4>
      </vt:variant>
      <vt:variant>
        <vt:lpwstr/>
      </vt:variant>
      <vt:variant>
        <vt:lpwstr>_Toc97786747</vt:lpwstr>
      </vt:variant>
      <vt:variant>
        <vt:i4>1638460</vt:i4>
      </vt:variant>
      <vt:variant>
        <vt:i4>590</vt:i4>
      </vt:variant>
      <vt:variant>
        <vt:i4>0</vt:i4>
      </vt:variant>
      <vt:variant>
        <vt:i4>5</vt:i4>
      </vt:variant>
      <vt:variant>
        <vt:lpwstr/>
      </vt:variant>
      <vt:variant>
        <vt:lpwstr>_Toc97786746</vt:lpwstr>
      </vt:variant>
      <vt:variant>
        <vt:i4>1703996</vt:i4>
      </vt:variant>
      <vt:variant>
        <vt:i4>584</vt:i4>
      </vt:variant>
      <vt:variant>
        <vt:i4>0</vt:i4>
      </vt:variant>
      <vt:variant>
        <vt:i4>5</vt:i4>
      </vt:variant>
      <vt:variant>
        <vt:lpwstr/>
      </vt:variant>
      <vt:variant>
        <vt:lpwstr>_Toc97786745</vt:lpwstr>
      </vt:variant>
      <vt:variant>
        <vt:i4>1769532</vt:i4>
      </vt:variant>
      <vt:variant>
        <vt:i4>578</vt:i4>
      </vt:variant>
      <vt:variant>
        <vt:i4>0</vt:i4>
      </vt:variant>
      <vt:variant>
        <vt:i4>5</vt:i4>
      </vt:variant>
      <vt:variant>
        <vt:lpwstr/>
      </vt:variant>
      <vt:variant>
        <vt:lpwstr>_Toc97786744</vt:lpwstr>
      </vt:variant>
      <vt:variant>
        <vt:i4>1835068</vt:i4>
      </vt:variant>
      <vt:variant>
        <vt:i4>572</vt:i4>
      </vt:variant>
      <vt:variant>
        <vt:i4>0</vt:i4>
      </vt:variant>
      <vt:variant>
        <vt:i4>5</vt:i4>
      </vt:variant>
      <vt:variant>
        <vt:lpwstr/>
      </vt:variant>
      <vt:variant>
        <vt:lpwstr>_Toc97786743</vt:lpwstr>
      </vt:variant>
      <vt:variant>
        <vt:i4>1900604</vt:i4>
      </vt:variant>
      <vt:variant>
        <vt:i4>566</vt:i4>
      </vt:variant>
      <vt:variant>
        <vt:i4>0</vt:i4>
      </vt:variant>
      <vt:variant>
        <vt:i4>5</vt:i4>
      </vt:variant>
      <vt:variant>
        <vt:lpwstr/>
      </vt:variant>
      <vt:variant>
        <vt:lpwstr>_Toc97786742</vt:lpwstr>
      </vt:variant>
      <vt:variant>
        <vt:i4>1966140</vt:i4>
      </vt:variant>
      <vt:variant>
        <vt:i4>560</vt:i4>
      </vt:variant>
      <vt:variant>
        <vt:i4>0</vt:i4>
      </vt:variant>
      <vt:variant>
        <vt:i4>5</vt:i4>
      </vt:variant>
      <vt:variant>
        <vt:lpwstr/>
      </vt:variant>
      <vt:variant>
        <vt:lpwstr>_Toc97786741</vt:lpwstr>
      </vt:variant>
      <vt:variant>
        <vt:i4>1441851</vt:i4>
      </vt:variant>
      <vt:variant>
        <vt:i4>554</vt:i4>
      </vt:variant>
      <vt:variant>
        <vt:i4>0</vt:i4>
      </vt:variant>
      <vt:variant>
        <vt:i4>5</vt:i4>
      </vt:variant>
      <vt:variant>
        <vt:lpwstr/>
      </vt:variant>
      <vt:variant>
        <vt:lpwstr>_Toc97786739</vt:lpwstr>
      </vt:variant>
      <vt:variant>
        <vt:i4>1507387</vt:i4>
      </vt:variant>
      <vt:variant>
        <vt:i4>548</vt:i4>
      </vt:variant>
      <vt:variant>
        <vt:i4>0</vt:i4>
      </vt:variant>
      <vt:variant>
        <vt:i4>5</vt:i4>
      </vt:variant>
      <vt:variant>
        <vt:lpwstr/>
      </vt:variant>
      <vt:variant>
        <vt:lpwstr>_Toc97786738</vt:lpwstr>
      </vt:variant>
      <vt:variant>
        <vt:i4>1638459</vt:i4>
      </vt:variant>
      <vt:variant>
        <vt:i4>542</vt:i4>
      </vt:variant>
      <vt:variant>
        <vt:i4>0</vt:i4>
      </vt:variant>
      <vt:variant>
        <vt:i4>5</vt:i4>
      </vt:variant>
      <vt:variant>
        <vt:lpwstr/>
      </vt:variant>
      <vt:variant>
        <vt:lpwstr>_Toc97786736</vt:lpwstr>
      </vt:variant>
      <vt:variant>
        <vt:i4>1703995</vt:i4>
      </vt:variant>
      <vt:variant>
        <vt:i4>536</vt:i4>
      </vt:variant>
      <vt:variant>
        <vt:i4>0</vt:i4>
      </vt:variant>
      <vt:variant>
        <vt:i4>5</vt:i4>
      </vt:variant>
      <vt:variant>
        <vt:lpwstr/>
      </vt:variant>
      <vt:variant>
        <vt:lpwstr>_Toc97786735</vt:lpwstr>
      </vt:variant>
      <vt:variant>
        <vt:i4>1769531</vt:i4>
      </vt:variant>
      <vt:variant>
        <vt:i4>530</vt:i4>
      </vt:variant>
      <vt:variant>
        <vt:i4>0</vt:i4>
      </vt:variant>
      <vt:variant>
        <vt:i4>5</vt:i4>
      </vt:variant>
      <vt:variant>
        <vt:lpwstr/>
      </vt:variant>
      <vt:variant>
        <vt:lpwstr>_Toc97786734</vt:lpwstr>
      </vt:variant>
      <vt:variant>
        <vt:i4>1835067</vt:i4>
      </vt:variant>
      <vt:variant>
        <vt:i4>524</vt:i4>
      </vt:variant>
      <vt:variant>
        <vt:i4>0</vt:i4>
      </vt:variant>
      <vt:variant>
        <vt:i4>5</vt:i4>
      </vt:variant>
      <vt:variant>
        <vt:lpwstr/>
      </vt:variant>
      <vt:variant>
        <vt:lpwstr>_Toc97786733</vt:lpwstr>
      </vt:variant>
      <vt:variant>
        <vt:i4>1900603</vt:i4>
      </vt:variant>
      <vt:variant>
        <vt:i4>518</vt:i4>
      </vt:variant>
      <vt:variant>
        <vt:i4>0</vt:i4>
      </vt:variant>
      <vt:variant>
        <vt:i4>5</vt:i4>
      </vt:variant>
      <vt:variant>
        <vt:lpwstr/>
      </vt:variant>
      <vt:variant>
        <vt:lpwstr>_Toc97786732</vt:lpwstr>
      </vt:variant>
      <vt:variant>
        <vt:i4>1966139</vt:i4>
      </vt:variant>
      <vt:variant>
        <vt:i4>512</vt:i4>
      </vt:variant>
      <vt:variant>
        <vt:i4>0</vt:i4>
      </vt:variant>
      <vt:variant>
        <vt:i4>5</vt:i4>
      </vt:variant>
      <vt:variant>
        <vt:lpwstr/>
      </vt:variant>
      <vt:variant>
        <vt:lpwstr>_Toc97786731</vt:lpwstr>
      </vt:variant>
      <vt:variant>
        <vt:i4>2031675</vt:i4>
      </vt:variant>
      <vt:variant>
        <vt:i4>506</vt:i4>
      </vt:variant>
      <vt:variant>
        <vt:i4>0</vt:i4>
      </vt:variant>
      <vt:variant>
        <vt:i4>5</vt:i4>
      </vt:variant>
      <vt:variant>
        <vt:lpwstr/>
      </vt:variant>
      <vt:variant>
        <vt:lpwstr>_Toc97786730</vt:lpwstr>
      </vt:variant>
      <vt:variant>
        <vt:i4>1441850</vt:i4>
      </vt:variant>
      <vt:variant>
        <vt:i4>500</vt:i4>
      </vt:variant>
      <vt:variant>
        <vt:i4>0</vt:i4>
      </vt:variant>
      <vt:variant>
        <vt:i4>5</vt:i4>
      </vt:variant>
      <vt:variant>
        <vt:lpwstr/>
      </vt:variant>
      <vt:variant>
        <vt:lpwstr>_Toc97786729</vt:lpwstr>
      </vt:variant>
      <vt:variant>
        <vt:i4>1507386</vt:i4>
      </vt:variant>
      <vt:variant>
        <vt:i4>494</vt:i4>
      </vt:variant>
      <vt:variant>
        <vt:i4>0</vt:i4>
      </vt:variant>
      <vt:variant>
        <vt:i4>5</vt:i4>
      </vt:variant>
      <vt:variant>
        <vt:lpwstr/>
      </vt:variant>
      <vt:variant>
        <vt:lpwstr>_Toc97786728</vt:lpwstr>
      </vt:variant>
      <vt:variant>
        <vt:i4>1572922</vt:i4>
      </vt:variant>
      <vt:variant>
        <vt:i4>488</vt:i4>
      </vt:variant>
      <vt:variant>
        <vt:i4>0</vt:i4>
      </vt:variant>
      <vt:variant>
        <vt:i4>5</vt:i4>
      </vt:variant>
      <vt:variant>
        <vt:lpwstr/>
      </vt:variant>
      <vt:variant>
        <vt:lpwstr>_Toc97786727</vt:lpwstr>
      </vt:variant>
      <vt:variant>
        <vt:i4>1638458</vt:i4>
      </vt:variant>
      <vt:variant>
        <vt:i4>482</vt:i4>
      </vt:variant>
      <vt:variant>
        <vt:i4>0</vt:i4>
      </vt:variant>
      <vt:variant>
        <vt:i4>5</vt:i4>
      </vt:variant>
      <vt:variant>
        <vt:lpwstr/>
      </vt:variant>
      <vt:variant>
        <vt:lpwstr>_Toc97786726</vt:lpwstr>
      </vt:variant>
      <vt:variant>
        <vt:i4>1835066</vt:i4>
      </vt:variant>
      <vt:variant>
        <vt:i4>476</vt:i4>
      </vt:variant>
      <vt:variant>
        <vt:i4>0</vt:i4>
      </vt:variant>
      <vt:variant>
        <vt:i4>5</vt:i4>
      </vt:variant>
      <vt:variant>
        <vt:lpwstr/>
      </vt:variant>
      <vt:variant>
        <vt:lpwstr>_Toc97786723</vt:lpwstr>
      </vt:variant>
      <vt:variant>
        <vt:i4>1900602</vt:i4>
      </vt:variant>
      <vt:variant>
        <vt:i4>470</vt:i4>
      </vt:variant>
      <vt:variant>
        <vt:i4>0</vt:i4>
      </vt:variant>
      <vt:variant>
        <vt:i4>5</vt:i4>
      </vt:variant>
      <vt:variant>
        <vt:lpwstr/>
      </vt:variant>
      <vt:variant>
        <vt:lpwstr>_Toc97786722</vt:lpwstr>
      </vt:variant>
      <vt:variant>
        <vt:i4>1966138</vt:i4>
      </vt:variant>
      <vt:variant>
        <vt:i4>464</vt:i4>
      </vt:variant>
      <vt:variant>
        <vt:i4>0</vt:i4>
      </vt:variant>
      <vt:variant>
        <vt:i4>5</vt:i4>
      </vt:variant>
      <vt:variant>
        <vt:lpwstr/>
      </vt:variant>
      <vt:variant>
        <vt:lpwstr>_Toc97786721</vt:lpwstr>
      </vt:variant>
      <vt:variant>
        <vt:i4>1441849</vt:i4>
      </vt:variant>
      <vt:variant>
        <vt:i4>458</vt:i4>
      </vt:variant>
      <vt:variant>
        <vt:i4>0</vt:i4>
      </vt:variant>
      <vt:variant>
        <vt:i4>5</vt:i4>
      </vt:variant>
      <vt:variant>
        <vt:lpwstr/>
      </vt:variant>
      <vt:variant>
        <vt:lpwstr>_Toc97786719</vt:lpwstr>
      </vt:variant>
      <vt:variant>
        <vt:i4>1572921</vt:i4>
      </vt:variant>
      <vt:variant>
        <vt:i4>452</vt:i4>
      </vt:variant>
      <vt:variant>
        <vt:i4>0</vt:i4>
      </vt:variant>
      <vt:variant>
        <vt:i4>5</vt:i4>
      </vt:variant>
      <vt:variant>
        <vt:lpwstr/>
      </vt:variant>
      <vt:variant>
        <vt:lpwstr>_Toc97786717</vt:lpwstr>
      </vt:variant>
      <vt:variant>
        <vt:i4>1703993</vt:i4>
      </vt:variant>
      <vt:variant>
        <vt:i4>446</vt:i4>
      </vt:variant>
      <vt:variant>
        <vt:i4>0</vt:i4>
      </vt:variant>
      <vt:variant>
        <vt:i4>5</vt:i4>
      </vt:variant>
      <vt:variant>
        <vt:lpwstr/>
      </vt:variant>
      <vt:variant>
        <vt:lpwstr>_Toc97786715</vt:lpwstr>
      </vt:variant>
      <vt:variant>
        <vt:i4>1769529</vt:i4>
      </vt:variant>
      <vt:variant>
        <vt:i4>440</vt:i4>
      </vt:variant>
      <vt:variant>
        <vt:i4>0</vt:i4>
      </vt:variant>
      <vt:variant>
        <vt:i4>5</vt:i4>
      </vt:variant>
      <vt:variant>
        <vt:lpwstr/>
      </vt:variant>
      <vt:variant>
        <vt:lpwstr>_Toc97786714</vt:lpwstr>
      </vt:variant>
      <vt:variant>
        <vt:i4>1835065</vt:i4>
      </vt:variant>
      <vt:variant>
        <vt:i4>434</vt:i4>
      </vt:variant>
      <vt:variant>
        <vt:i4>0</vt:i4>
      </vt:variant>
      <vt:variant>
        <vt:i4>5</vt:i4>
      </vt:variant>
      <vt:variant>
        <vt:lpwstr/>
      </vt:variant>
      <vt:variant>
        <vt:lpwstr>_Toc97786713</vt:lpwstr>
      </vt:variant>
      <vt:variant>
        <vt:i4>1900601</vt:i4>
      </vt:variant>
      <vt:variant>
        <vt:i4>428</vt:i4>
      </vt:variant>
      <vt:variant>
        <vt:i4>0</vt:i4>
      </vt:variant>
      <vt:variant>
        <vt:i4>5</vt:i4>
      </vt:variant>
      <vt:variant>
        <vt:lpwstr/>
      </vt:variant>
      <vt:variant>
        <vt:lpwstr>_Toc97786712</vt:lpwstr>
      </vt:variant>
      <vt:variant>
        <vt:i4>1966137</vt:i4>
      </vt:variant>
      <vt:variant>
        <vt:i4>422</vt:i4>
      </vt:variant>
      <vt:variant>
        <vt:i4>0</vt:i4>
      </vt:variant>
      <vt:variant>
        <vt:i4>5</vt:i4>
      </vt:variant>
      <vt:variant>
        <vt:lpwstr/>
      </vt:variant>
      <vt:variant>
        <vt:lpwstr>_Toc97786711</vt:lpwstr>
      </vt:variant>
      <vt:variant>
        <vt:i4>2031673</vt:i4>
      </vt:variant>
      <vt:variant>
        <vt:i4>416</vt:i4>
      </vt:variant>
      <vt:variant>
        <vt:i4>0</vt:i4>
      </vt:variant>
      <vt:variant>
        <vt:i4>5</vt:i4>
      </vt:variant>
      <vt:variant>
        <vt:lpwstr/>
      </vt:variant>
      <vt:variant>
        <vt:lpwstr>_Toc97786710</vt:lpwstr>
      </vt:variant>
      <vt:variant>
        <vt:i4>1441848</vt:i4>
      </vt:variant>
      <vt:variant>
        <vt:i4>410</vt:i4>
      </vt:variant>
      <vt:variant>
        <vt:i4>0</vt:i4>
      </vt:variant>
      <vt:variant>
        <vt:i4>5</vt:i4>
      </vt:variant>
      <vt:variant>
        <vt:lpwstr/>
      </vt:variant>
      <vt:variant>
        <vt:lpwstr>_Toc97786709</vt:lpwstr>
      </vt:variant>
      <vt:variant>
        <vt:i4>1507384</vt:i4>
      </vt:variant>
      <vt:variant>
        <vt:i4>404</vt:i4>
      </vt:variant>
      <vt:variant>
        <vt:i4>0</vt:i4>
      </vt:variant>
      <vt:variant>
        <vt:i4>5</vt:i4>
      </vt:variant>
      <vt:variant>
        <vt:lpwstr/>
      </vt:variant>
      <vt:variant>
        <vt:lpwstr>_Toc97786708</vt:lpwstr>
      </vt:variant>
      <vt:variant>
        <vt:i4>1572920</vt:i4>
      </vt:variant>
      <vt:variant>
        <vt:i4>398</vt:i4>
      </vt:variant>
      <vt:variant>
        <vt:i4>0</vt:i4>
      </vt:variant>
      <vt:variant>
        <vt:i4>5</vt:i4>
      </vt:variant>
      <vt:variant>
        <vt:lpwstr/>
      </vt:variant>
      <vt:variant>
        <vt:lpwstr>_Toc97786707</vt:lpwstr>
      </vt:variant>
      <vt:variant>
        <vt:i4>1769528</vt:i4>
      </vt:variant>
      <vt:variant>
        <vt:i4>392</vt:i4>
      </vt:variant>
      <vt:variant>
        <vt:i4>0</vt:i4>
      </vt:variant>
      <vt:variant>
        <vt:i4>5</vt:i4>
      </vt:variant>
      <vt:variant>
        <vt:lpwstr/>
      </vt:variant>
      <vt:variant>
        <vt:lpwstr>_Toc97786704</vt:lpwstr>
      </vt:variant>
      <vt:variant>
        <vt:i4>1900600</vt:i4>
      </vt:variant>
      <vt:variant>
        <vt:i4>386</vt:i4>
      </vt:variant>
      <vt:variant>
        <vt:i4>0</vt:i4>
      </vt:variant>
      <vt:variant>
        <vt:i4>5</vt:i4>
      </vt:variant>
      <vt:variant>
        <vt:lpwstr/>
      </vt:variant>
      <vt:variant>
        <vt:lpwstr>_Toc97786702</vt:lpwstr>
      </vt:variant>
      <vt:variant>
        <vt:i4>1966136</vt:i4>
      </vt:variant>
      <vt:variant>
        <vt:i4>380</vt:i4>
      </vt:variant>
      <vt:variant>
        <vt:i4>0</vt:i4>
      </vt:variant>
      <vt:variant>
        <vt:i4>5</vt:i4>
      </vt:variant>
      <vt:variant>
        <vt:lpwstr/>
      </vt:variant>
      <vt:variant>
        <vt:lpwstr>_Toc97786701</vt:lpwstr>
      </vt:variant>
      <vt:variant>
        <vt:i4>2031672</vt:i4>
      </vt:variant>
      <vt:variant>
        <vt:i4>374</vt:i4>
      </vt:variant>
      <vt:variant>
        <vt:i4>0</vt:i4>
      </vt:variant>
      <vt:variant>
        <vt:i4>5</vt:i4>
      </vt:variant>
      <vt:variant>
        <vt:lpwstr/>
      </vt:variant>
      <vt:variant>
        <vt:lpwstr>_Toc97786700</vt:lpwstr>
      </vt:variant>
      <vt:variant>
        <vt:i4>1507377</vt:i4>
      </vt:variant>
      <vt:variant>
        <vt:i4>368</vt:i4>
      </vt:variant>
      <vt:variant>
        <vt:i4>0</vt:i4>
      </vt:variant>
      <vt:variant>
        <vt:i4>5</vt:i4>
      </vt:variant>
      <vt:variant>
        <vt:lpwstr/>
      </vt:variant>
      <vt:variant>
        <vt:lpwstr>_Toc97786699</vt:lpwstr>
      </vt:variant>
      <vt:variant>
        <vt:i4>1441841</vt:i4>
      </vt:variant>
      <vt:variant>
        <vt:i4>362</vt:i4>
      </vt:variant>
      <vt:variant>
        <vt:i4>0</vt:i4>
      </vt:variant>
      <vt:variant>
        <vt:i4>5</vt:i4>
      </vt:variant>
      <vt:variant>
        <vt:lpwstr/>
      </vt:variant>
      <vt:variant>
        <vt:lpwstr>_Toc97786698</vt:lpwstr>
      </vt:variant>
      <vt:variant>
        <vt:i4>1638449</vt:i4>
      </vt:variant>
      <vt:variant>
        <vt:i4>356</vt:i4>
      </vt:variant>
      <vt:variant>
        <vt:i4>0</vt:i4>
      </vt:variant>
      <vt:variant>
        <vt:i4>5</vt:i4>
      </vt:variant>
      <vt:variant>
        <vt:lpwstr/>
      </vt:variant>
      <vt:variant>
        <vt:lpwstr>_Toc97786697</vt:lpwstr>
      </vt:variant>
      <vt:variant>
        <vt:i4>1572913</vt:i4>
      </vt:variant>
      <vt:variant>
        <vt:i4>350</vt:i4>
      </vt:variant>
      <vt:variant>
        <vt:i4>0</vt:i4>
      </vt:variant>
      <vt:variant>
        <vt:i4>5</vt:i4>
      </vt:variant>
      <vt:variant>
        <vt:lpwstr/>
      </vt:variant>
      <vt:variant>
        <vt:lpwstr>_Toc97786696</vt:lpwstr>
      </vt:variant>
      <vt:variant>
        <vt:i4>1769521</vt:i4>
      </vt:variant>
      <vt:variant>
        <vt:i4>344</vt:i4>
      </vt:variant>
      <vt:variant>
        <vt:i4>0</vt:i4>
      </vt:variant>
      <vt:variant>
        <vt:i4>5</vt:i4>
      </vt:variant>
      <vt:variant>
        <vt:lpwstr/>
      </vt:variant>
      <vt:variant>
        <vt:lpwstr>_Toc97786695</vt:lpwstr>
      </vt:variant>
      <vt:variant>
        <vt:i4>1703985</vt:i4>
      </vt:variant>
      <vt:variant>
        <vt:i4>338</vt:i4>
      </vt:variant>
      <vt:variant>
        <vt:i4>0</vt:i4>
      </vt:variant>
      <vt:variant>
        <vt:i4>5</vt:i4>
      </vt:variant>
      <vt:variant>
        <vt:lpwstr/>
      </vt:variant>
      <vt:variant>
        <vt:lpwstr>_Toc97786694</vt:lpwstr>
      </vt:variant>
      <vt:variant>
        <vt:i4>1900593</vt:i4>
      </vt:variant>
      <vt:variant>
        <vt:i4>332</vt:i4>
      </vt:variant>
      <vt:variant>
        <vt:i4>0</vt:i4>
      </vt:variant>
      <vt:variant>
        <vt:i4>5</vt:i4>
      </vt:variant>
      <vt:variant>
        <vt:lpwstr/>
      </vt:variant>
      <vt:variant>
        <vt:lpwstr>_Toc97786693</vt:lpwstr>
      </vt:variant>
      <vt:variant>
        <vt:i4>1835057</vt:i4>
      </vt:variant>
      <vt:variant>
        <vt:i4>326</vt:i4>
      </vt:variant>
      <vt:variant>
        <vt:i4>0</vt:i4>
      </vt:variant>
      <vt:variant>
        <vt:i4>5</vt:i4>
      </vt:variant>
      <vt:variant>
        <vt:lpwstr/>
      </vt:variant>
      <vt:variant>
        <vt:lpwstr>_Toc97786692</vt:lpwstr>
      </vt:variant>
      <vt:variant>
        <vt:i4>2031665</vt:i4>
      </vt:variant>
      <vt:variant>
        <vt:i4>320</vt:i4>
      </vt:variant>
      <vt:variant>
        <vt:i4>0</vt:i4>
      </vt:variant>
      <vt:variant>
        <vt:i4>5</vt:i4>
      </vt:variant>
      <vt:variant>
        <vt:lpwstr/>
      </vt:variant>
      <vt:variant>
        <vt:lpwstr>_Toc97786691</vt:lpwstr>
      </vt:variant>
      <vt:variant>
        <vt:i4>1966129</vt:i4>
      </vt:variant>
      <vt:variant>
        <vt:i4>314</vt:i4>
      </vt:variant>
      <vt:variant>
        <vt:i4>0</vt:i4>
      </vt:variant>
      <vt:variant>
        <vt:i4>5</vt:i4>
      </vt:variant>
      <vt:variant>
        <vt:lpwstr/>
      </vt:variant>
      <vt:variant>
        <vt:lpwstr>_Toc97786690</vt:lpwstr>
      </vt:variant>
      <vt:variant>
        <vt:i4>1507376</vt:i4>
      </vt:variant>
      <vt:variant>
        <vt:i4>308</vt:i4>
      </vt:variant>
      <vt:variant>
        <vt:i4>0</vt:i4>
      </vt:variant>
      <vt:variant>
        <vt:i4>5</vt:i4>
      </vt:variant>
      <vt:variant>
        <vt:lpwstr/>
      </vt:variant>
      <vt:variant>
        <vt:lpwstr>_Toc97786689</vt:lpwstr>
      </vt:variant>
      <vt:variant>
        <vt:i4>1441840</vt:i4>
      </vt:variant>
      <vt:variant>
        <vt:i4>302</vt:i4>
      </vt:variant>
      <vt:variant>
        <vt:i4>0</vt:i4>
      </vt:variant>
      <vt:variant>
        <vt:i4>5</vt:i4>
      </vt:variant>
      <vt:variant>
        <vt:lpwstr/>
      </vt:variant>
      <vt:variant>
        <vt:lpwstr>_Toc97786688</vt:lpwstr>
      </vt:variant>
      <vt:variant>
        <vt:i4>1638448</vt:i4>
      </vt:variant>
      <vt:variant>
        <vt:i4>296</vt:i4>
      </vt:variant>
      <vt:variant>
        <vt:i4>0</vt:i4>
      </vt:variant>
      <vt:variant>
        <vt:i4>5</vt:i4>
      </vt:variant>
      <vt:variant>
        <vt:lpwstr/>
      </vt:variant>
      <vt:variant>
        <vt:lpwstr>_Toc97786687</vt:lpwstr>
      </vt:variant>
      <vt:variant>
        <vt:i4>1572912</vt:i4>
      </vt:variant>
      <vt:variant>
        <vt:i4>290</vt:i4>
      </vt:variant>
      <vt:variant>
        <vt:i4>0</vt:i4>
      </vt:variant>
      <vt:variant>
        <vt:i4>5</vt:i4>
      </vt:variant>
      <vt:variant>
        <vt:lpwstr/>
      </vt:variant>
      <vt:variant>
        <vt:lpwstr>_Toc97786686</vt:lpwstr>
      </vt:variant>
      <vt:variant>
        <vt:i4>1769520</vt:i4>
      </vt:variant>
      <vt:variant>
        <vt:i4>284</vt:i4>
      </vt:variant>
      <vt:variant>
        <vt:i4>0</vt:i4>
      </vt:variant>
      <vt:variant>
        <vt:i4>5</vt:i4>
      </vt:variant>
      <vt:variant>
        <vt:lpwstr/>
      </vt:variant>
      <vt:variant>
        <vt:lpwstr>_Toc97786685</vt:lpwstr>
      </vt:variant>
      <vt:variant>
        <vt:i4>1703984</vt:i4>
      </vt:variant>
      <vt:variant>
        <vt:i4>278</vt:i4>
      </vt:variant>
      <vt:variant>
        <vt:i4>0</vt:i4>
      </vt:variant>
      <vt:variant>
        <vt:i4>5</vt:i4>
      </vt:variant>
      <vt:variant>
        <vt:lpwstr/>
      </vt:variant>
      <vt:variant>
        <vt:lpwstr>_Toc97786684</vt:lpwstr>
      </vt:variant>
      <vt:variant>
        <vt:i4>1900592</vt:i4>
      </vt:variant>
      <vt:variant>
        <vt:i4>272</vt:i4>
      </vt:variant>
      <vt:variant>
        <vt:i4>0</vt:i4>
      </vt:variant>
      <vt:variant>
        <vt:i4>5</vt:i4>
      </vt:variant>
      <vt:variant>
        <vt:lpwstr/>
      </vt:variant>
      <vt:variant>
        <vt:lpwstr>_Toc97786683</vt:lpwstr>
      </vt:variant>
      <vt:variant>
        <vt:i4>1835056</vt:i4>
      </vt:variant>
      <vt:variant>
        <vt:i4>266</vt:i4>
      </vt:variant>
      <vt:variant>
        <vt:i4>0</vt:i4>
      </vt:variant>
      <vt:variant>
        <vt:i4>5</vt:i4>
      </vt:variant>
      <vt:variant>
        <vt:lpwstr/>
      </vt:variant>
      <vt:variant>
        <vt:lpwstr>_Toc97786682</vt:lpwstr>
      </vt:variant>
      <vt:variant>
        <vt:i4>2031664</vt:i4>
      </vt:variant>
      <vt:variant>
        <vt:i4>260</vt:i4>
      </vt:variant>
      <vt:variant>
        <vt:i4>0</vt:i4>
      </vt:variant>
      <vt:variant>
        <vt:i4>5</vt:i4>
      </vt:variant>
      <vt:variant>
        <vt:lpwstr/>
      </vt:variant>
      <vt:variant>
        <vt:lpwstr>_Toc97786681</vt:lpwstr>
      </vt:variant>
      <vt:variant>
        <vt:i4>1966128</vt:i4>
      </vt:variant>
      <vt:variant>
        <vt:i4>254</vt:i4>
      </vt:variant>
      <vt:variant>
        <vt:i4>0</vt:i4>
      </vt:variant>
      <vt:variant>
        <vt:i4>5</vt:i4>
      </vt:variant>
      <vt:variant>
        <vt:lpwstr/>
      </vt:variant>
      <vt:variant>
        <vt:lpwstr>_Toc97786680</vt:lpwstr>
      </vt:variant>
      <vt:variant>
        <vt:i4>1507391</vt:i4>
      </vt:variant>
      <vt:variant>
        <vt:i4>248</vt:i4>
      </vt:variant>
      <vt:variant>
        <vt:i4>0</vt:i4>
      </vt:variant>
      <vt:variant>
        <vt:i4>5</vt:i4>
      </vt:variant>
      <vt:variant>
        <vt:lpwstr/>
      </vt:variant>
      <vt:variant>
        <vt:lpwstr>_Toc97786679</vt:lpwstr>
      </vt:variant>
      <vt:variant>
        <vt:i4>1441855</vt:i4>
      </vt:variant>
      <vt:variant>
        <vt:i4>242</vt:i4>
      </vt:variant>
      <vt:variant>
        <vt:i4>0</vt:i4>
      </vt:variant>
      <vt:variant>
        <vt:i4>5</vt:i4>
      </vt:variant>
      <vt:variant>
        <vt:lpwstr/>
      </vt:variant>
      <vt:variant>
        <vt:lpwstr>_Toc97786678</vt:lpwstr>
      </vt:variant>
      <vt:variant>
        <vt:i4>1638463</vt:i4>
      </vt:variant>
      <vt:variant>
        <vt:i4>236</vt:i4>
      </vt:variant>
      <vt:variant>
        <vt:i4>0</vt:i4>
      </vt:variant>
      <vt:variant>
        <vt:i4>5</vt:i4>
      </vt:variant>
      <vt:variant>
        <vt:lpwstr/>
      </vt:variant>
      <vt:variant>
        <vt:lpwstr>_Toc97786677</vt:lpwstr>
      </vt:variant>
      <vt:variant>
        <vt:i4>1572927</vt:i4>
      </vt:variant>
      <vt:variant>
        <vt:i4>230</vt:i4>
      </vt:variant>
      <vt:variant>
        <vt:i4>0</vt:i4>
      </vt:variant>
      <vt:variant>
        <vt:i4>5</vt:i4>
      </vt:variant>
      <vt:variant>
        <vt:lpwstr/>
      </vt:variant>
      <vt:variant>
        <vt:lpwstr>_Toc97786676</vt:lpwstr>
      </vt:variant>
      <vt:variant>
        <vt:i4>1769535</vt:i4>
      </vt:variant>
      <vt:variant>
        <vt:i4>224</vt:i4>
      </vt:variant>
      <vt:variant>
        <vt:i4>0</vt:i4>
      </vt:variant>
      <vt:variant>
        <vt:i4>5</vt:i4>
      </vt:variant>
      <vt:variant>
        <vt:lpwstr/>
      </vt:variant>
      <vt:variant>
        <vt:lpwstr>_Toc97786675</vt:lpwstr>
      </vt:variant>
      <vt:variant>
        <vt:i4>1703999</vt:i4>
      </vt:variant>
      <vt:variant>
        <vt:i4>218</vt:i4>
      </vt:variant>
      <vt:variant>
        <vt:i4>0</vt:i4>
      </vt:variant>
      <vt:variant>
        <vt:i4>5</vt:i4>
      </vt:variant>
      <vt:variant>
        <vt:lpwstr/>
      </vt:variant>
      <vt:variant>
        <vt:lpwstr>_Toc97786674</vt:lpwstr>
      </vt:variant>
      <vt:variant>
        <vt:i4>1900607</vt:i4>
      </vt:variant>
      <vt:variant>
        <vt:i4>212</vt:i4>
      </vt:variant>
      <vt:variant>
        <vt:i4>0</vt:i4>
      </vt:variant>
      <vt:variant>
        <vt:i4>5</vt:i4>
      </vt:variant>
      <vt:variant>
        <vt:lpwstr/>
      </vt:variant>
      <vt:variant>
        <vt:lpwstr>_Toc97786673</vt:lpwstr>
      </vt:variant>
      <vt:variant>
        <vt:i4>1835071</vt:i4>
      </vt:variant>
      <vt:variant>
        <vt:i4>206</vt:i4>
      </vt:variant>
      <vt:variant>
        <vt:i4>0</vt:i4>
      </vt:variant>
      <vt:variant>
        <vt:i4>5</vt:i4>
      </vt:variant>
      <vt:variant>
        <vt:lpwstr/>
      </vt:variant>
      <vt:variant>
        <vt:lpwstr>_Toc97786672</vt:lpwstr>
      </vt:variant>
      <vt:variant>
        <vt:i4>2031679</vt:i4>
      </vt:variant>
      <vt:variant>
        <vt:i4>200</vt:i4>
      </vt:variant>
      <vt:variant>
        <vt:i4>0</vt:i4>
      </vt:variant>
      <vt:variant>
        <vt:i4>5</vt:i4>
      </vt:variant>
      <vt:variant>
        <vt:lpwstr/>
      </vt:variant>
      <vt:variant>
        <vt:lpwstr>_Toc97786671</vt:lpwstr>
      </vt:variant>
      <vt:variant>
        <vt:i4>1966143</vt:i4>
      </vt:variant>
      <vt:variant>
        <vt:i4>194</vt:i4>
      </vt:variant>
      <vt:variant>
        <vt:i4>0</vt:i4>
      </vt:variant>
      <vt:variant>
        <vt:i4>5</vt:i4>
      </vt:variant>
      <vt:variant>
        <vt:lpwstr/>
      </vt:variant>
      <vt:variant>
        <vt:lpwstr>_Toc97786670</vt:lpwstr>
      </vt:variant>
      <vt:variant>
        <vt:i4>1507390</vt:i4>
      </vt:variant>
      <vt:variant>
        <vt:i4>188</vt:i4>
      </vt:variant>
      <vt:variant>
        <vt:i4>0</vt:i4>
      </vt:variant>
      <vt:variant>
        <vt:i4>5</vt:i4>
      </vt:variant>
      <vt:variant>
        <vt:lpwstr/>
      </vt:variant>
      <vt:variant>
        <vt:lpwstr>_Toc97786669</vt:lpwstr>
      </vt:variant>
      <vt:variant>
        <vt:i4>1441854</vt:i4>
      </vt:variant>
      <vt:variant>
        <vt:i4>182</vt:i4>
      </vt:variant>
      <vt:variant>
        <vt:i4>0</vt:i4>
      </vt:variant>
      <vt:variant>
        <vt:i4>5</vt:i4>
      </vt:variant>
      <vt:variant>
        <vt:lpwstr/>
      </vt:variant>
      <vt:variant>
        <vt:lpwstr>_Toc97786668</vt:lpwstr>
      </vt:variant>
      <vt:variant>
        <vt:i4>1638462</vt:i4>
      </vt:variant>
      <vt:variant>
        <vt:i4>176</vt:i4>
      </vt:variant>
      <vt:variant>
        <vt:i4>0</vt:i4>
      </vt:variant>
      <vt:variant>
        <vt:i4>5</vt:i4>
      </vt:variant>
      <vt:variant>
        <vt:lpwstr/>
      </vt:variant>
      <vt:variant>
        <vt:lpwstr>_Toc97786667</vt:lpwstr>
      </vt:variant>
      <vt:variant>
        <vt:i4>1572926</vt:i4>
      </vt:variant>
      <vt:variant>
        <vt:i4>170</vt:i4>
      </vt:variant>
      <vt:variant>
        <vt:i4>0</vt:i4>
      </vt:variant>
      <vt:variant>
        <vt:i4>5</vt:i4>
      </vt:variant>
      <vt:variant>
        <vt:lpwstr/>
      </vt:variant>
      <vt:variant>
        <vt:lpwstr>_Toc97786666</vt:lpwstr>
      </vt:variant>
      <vt:variant>
        <vt:i4>1769534</vt:i4>
      </vt:variant>
      <vt:variant>
        <vt:i4>164</vt:i4>
      </vt:variant>
      <vt:variant>
        <vt:i4>0</vt:i4>
      </vt:variant>
      <vt:variant>
        <vt:i4>5</vt:i4>
      </vt:variant>
      <vt:variant>
        <vt:lpwstr/>
      </vt:variant>
      <vt:variant>
        <vt:lpwstr>_Toc97786665</vt:lpwstr>
      </vt:variant>
      <vt:variant>
        <vt:i4>1703998</vt:i4>
      </vt:variant>
      <vt:variant>
        <vt:i4>158</vt:i4>
      </vt:variant>
      <vt:variant>
        <vt:i4>0</vt:i4>
      </vt:variant>
      <vt:variant>
        <vt:i4>5</vt:i4>
      </vt:variant>
      <vt:variant>
        <vt:lpwstr/>
      </vt:variant>
      <vt:variant>
        <vt:lpwstr>_Toc97786664</vt:lpwstr>
      </vt:variant>
      <vt:variant>
        <vt:i4>1900606</vt:i4>
      </vt:variant>
      <vt:variant>
        <vt:i4>152</vt:i4>
      </vt:variant>
      <vt:variant>
        <vt:i4>0</vt:i4>
      </vt:variant>
      <vt:variant>
        <vt:i4>5</vt:i4>
      </vt:variant>
      <vt:variant>
        <vt:lpwstr/>
      </vt:variant>
      <vt:variant>
        <vt:lpwstr>_Toc97786663</vt:lpwstr>
      </vt:variant>
      <vt:variant>
        <vt:i4>1835070</vt:i4>
      </vt:variant>
      <vt:variant>
        <vt:i4>146</vt:i4>
      </vt:variant>
      <vt:variant>
        <vt:i4>0</vt:i4>
      </vt:variant>
      <vt:variant>
        <vt:i4>5</vt:i4>
      </vt:variant>
      <vt:variant>
        <vt:lpwstr/>
      </vt:variant>
      <vt:variant>
        <vt:lpwstr>_Toc97786662</vt:lpwstr>
      </vt:variant>
      <vt:variant>
        <vt:i4>2031678</vt:i4>
      </vt:variant>
      <vt:variant>
        <vt:i4>140</vt:i4>
      </vt:variant>
      <vt:variant>
        <vt:i4>0</vt:i4>
      </vt:variant>
      <vt:variant>
        <vt:i4>5</vt:i4>
      </vt:variant>
      <vt:variant>
        <vt:lpwstr/>
      </vt:variant>
      <vt:variant>
        <vt:lpwstr>_Toc97786661</vt:lpwstr>
      </vt:variant>
      <vt:variant>
        <vt:i4>1966142</vt:i4>
      </vt:variant>
      <vt:variant>
        <vt:i4>134</vt:i4>
      </vt:variant>
      <vt:variant>
        <vt:i4>0</vt:i4>
      </vt:variant>
      <vt:variant>
        <vt:i4>5</vt:i4>
      </vt:variant>
      <vt:variant>
        <vt:lpwstr/>
      </vt:variant>
      <vt:variant>
        <vt:lpwstr>_Toc97786660</vt:lpwstr>
      </vt:variant>
      <vt:variant>
        <vt:i4>1507389</vt:i4>
      </vt:variant>
      <vt:variant>
        <vt:i4>128</vt:i4>
      </vt:variant>
      <vt:variant>
        <vt:i4>0</vt:i4>
      </vt:variant>
      <vt:variant>
        <vt:i4>5</vt:i4>
      </vt:variant>
      <vt:variant>
        <vt:lpwstr/>
      </vt:variant>
      <vt:variant>
        <vt:lpwstr>_Toc97786659</vt:lpwstr>
      </vt:variant>
      <vt:variant>
        <vt:i4>1441853</vt:i4>
      </vt:variant>
      <vt:variant>
        <vt:i4>122</vt:i4>
      </vt:variant>
      <vt:variant>
        <vt:i4>0</vt:i4>
      </vt:variant>
      <vt:variant>
        <vt:i4>5</vt:i4>
      </vt:variant>
      <vt:variant>
        <vt:lpwstr/>
      </vt:variant>
      <vt:variant>
        <vt:lpwstr>_Toc97786658</vt:lpwstr>
      </vt:variant>
      <vt:variant>
        <vt:i4>1638461</vt:i4>
      </vt:variant>
      <vt:variant>
        <vt:i4>116</vt:i4>
      </vt:variant>
      <vt:variant>
        <vt:i4>0</vt:i4>
      </vt:variant>
      <vt:variant>
        <vt:i4>5</vt:i4>
      </vt:variant>
      <vt:variant>
        <vt:lpwstr/>
      </vt:variant>
      <vt:variant>
        <vt:lpwstr>_Toc97786657</vt:lpwstr>
      </vt:variant>
      <vt:variant>
        <vt:i4>1572925</vt:i4>
      </vt:variant>
      <vt:variant>
        <vt:i4>110</vt:i4>
      </vt:variant>
      <vt:variant>
        <vt:i4>0</vt:i4>
      </vt:variant>
      <vt:variant>
        <vt:i4>5</vt:i4>
      </vt:variant>
      <vt:variant>
        <vt:lpwstr/>
      </vt:variant>
      <vt:variant>
        <vt:lpwstr>_Toc97786656</vt:lpwstr>
      </vt:variant>
      <vt:variant>
        <vt:i4>1769533</vt:i4>
      </vt:variant>
      <vt:variant>
        <vt:i4>104</vt:i4>
      </vt:variant>
      <vt:variant>
        <vt:i4>0</vt:i4>
      </vt:variant>
      <vt:variant>
        <vt:i4>5</vt:i4>
      </vt:variant>
      <vt:variant>
        <vt:lpwstr/>
      </vt:variant>
      <vt:variant>
        <vt:lpwstr>_Toc97786655</vt:lpwstr>
      </vt:variant>
      <vt:variant>
        <vt:i4>1703997</vt:i4>
      </vt:variant>
      <vt:variant>
        <vt:i4>98</vt:i4>
      </vt:variant>
      <vt:variant>
        <vt:i4>0</vt:i4>
      </vt:variant>
      <vt:variant>
        <vt:i4>5</vt:i4>
      </vt:variant>
      <vt:variant>
        <vt:lpwstr/>
      </vt:variant>
      <vt:variant>
        <vt:lpwstr>_Toc97786654</vt:lpwstr>
      </vt:variant>
      <vt:variant>
        <vt:i4>1900605</vt:i4>
      </vt:variant>
      <vt:variant>
        <vt:i4>92</vt:i4>
      </vt:variant>
      <vt:variant>
        <vt:i4>0</vt:i4>
      </vt:variant>
      <vt:variant>
        <vt:i4>5</vt:i4>
      </vt:variant>
      <vt:variant>
        <vt:lpwstr/>
      </vt:variant>
      <vt:variant>
        <vt:lpwstr>_Toc97786653</vt:lpwstr>
      </vt:variant>
      <vt:variant>
        <vt:i4>1835069</vt:i4>
      </vt:variant>
      <vt:variant>
        <vt:i4>86</vt:i4>
      </vt:variant>
      <vt:variant>
        <vt:i4>0</vt:i4>
      </vt:variant>
      <vt:variant>
        <vt:i4>5</vt:i4>
      </vt:variant>
      <vt:variant>
        <vt:lpwstr/>
      </vt:variant>
      <vt:variant>
        <vt:lpwstr>_Toc97786652</vt:lpwstr>
      </vt:variant>
      <vt:variant>
        <vt:i4>1507388</vt:i4>
      </vt:variant>
      <vt:variant>
        <vt:i4>80</vt:i4>
      </vt:variant>
      <vt:variant>
        <vt:i4>0</vt:i4>
      </vt:variant>
      <vt:variant>
        <vt:i4>5</vt:i4>
      </vt:variant>
      <vt:variant>
        <vt:lpwstr/>
      </vt:variant>
      <vt:variant>
        <vt:lpwstr>_Toc97786649</vt:lpwstr>
      </vt:variant>
      <vt:variant>
        <vt:i4>1835068</vt:i4>
      </vt:variant>
      <vt:variant>
        <vt:i4>74</vt:i4>
      </vt:variant>
      <vt:variant>
        <vt:i4>0</vt:i4>
      </vt:variant>
      <vt:variant>
        <vt:i4>5</vt:i4>
      </vt:variant>
      <vt:variant>
        <vt:lpwstr/>
      </vt:variant>
      <vt:variant>
        <vt:lpwstr>_Toc97786642</vt:lpwstr>
      </vt:variant>
      <vt:variant>
        <vt:i4>1966140</vt:i4>
      </vt:variant>
      <vt:variant>
        <vt:i4>68</vt:i4>
      </vt:variant>
      <vt:variant>
        <vt:i4>0</vt:i4>
      </vt:variant>
      <vt:variant>
        <vt:i4>5</vt:i4>
      </vt:variant>
      <vt:variant>
        <vt:lpwstr/>
      </vt:variant>
      <vt:variant>
        <vt:lpwstr>_Toc97786640</vt:lpwstr>
      </vt:variant>
      <vt:variant>
        <vt:i4>1507387</vt:i4>
      </vt:variant>
      <vt:variant>
        <vt:i4>62</vt:i4>
      </vt:variant>
      <vt:variant>
        <vt:i4>0</vt:i4>
      </vt:variant>
      <vt:variant>
        <vt:i4>5</vt:i4>
      </vt:variant>
      <vt:variant>
        <vt:lpwstr/>
      </vt:variant>
      <vt:variant>
        <vt:lpwstr>_Toc97786639</vt:lpwstr>
      </vt:variant>
      <vt:variant>
        <vt:i4>1572923</vt:i4>
      </vt:variant>
      <vt:variant>
        <vt:i4>56</vt:i4>
      </vt:variant>
      <vt:variant>
        <vt:i4>0</vt:i4>
      </vt:variant>
      <vt:variant>
        <vt:i4>5</vt:i4>
      </vt:variant>
      <vt:variant>
        <vt:lpwstr/>
      </vt:variant>
      <vt:variant>
        <vt:lpwstr>_Toc97786636</vt:lpwstr>
      </vt:variant>
      <vt:variant>
        <vt:i4>1769531</vt:i4>
      </vt:variant>
      <vt:variant>
        <vt:i4>50</vt:i4>
      </vt:variant>
      <vt:variant>
        <vt:i4>0</vt:i4>
      </vt:variant>
      <vt:variant>
        <vt:i4>5</vt:i4>
      </vt:variant>
      <vt:variant>
        <vt:lpwstr/>
      </vt:variant>
      <vt:variant>
        <vt:lpwstr>_Toc97786635</vt:lpwstr>
      </vt:variant>
      <vt:variant>
        <vt:i4>1703995</vt:i4>
      </vt:variant>
      <vt:variant>
        <vt:i4>44</vt:i4>
      </vt:variant>
      <vt:variant>
        <vt:i4>0</vt:i4>
      </vt:variant>
      <vt:variant>
        <vt:i4>5</vt:i4>
      </vt:variant>
      <vt:variant>
        <vt:lpwstr/>
      </vt:variant>
      <vt:variant>
        <vt:lpwstr>_Toc97786634</vt:lpwstr>
      </vt:variant>
      <vt:variant>
        <vt:i4>1900603</vt:i4>
      </vt:variant>
      <vt:variant>
        <vt:i4>38</vt:i4>
      </vt:variant>
      <vt:variant>
        <vt:i4>0</vt:i4>
      </vt:variant>
      <vt:variant>
        <vt:i4>5</vt:i4>
      </vt:variant>
      <vt:variant>
        <vt:lpwstr/>
      </vt:variant>
      <vt:variant>
        <vt:lpwstr>_Toc97786633</vt:lpwstr>
      </vt:variant>
      <vt:variant>
        <vt:i4>1966139</vt:i4>
      </vt:variant>
      <vt:variant>
        <vt:i4>32</vt:i4>
      </vt:variant>
      <vt:variant>
        <vt:i4>0</vt:i4>
      </vt:variant>
      <vt:variant>
        <vt:i4>5</vt:i4>
      </vt:variant>
      <vt:variant>
        <vt:lpwstr/>
      </vt:variant>
      <vt:variant>
        <vt:lpwstr>_Toc97786630</vt:lpwstr>
      </vt:variant>
      <vt:variant>
        <vt:i4>1507386</vt:i4>
      </vt:variant>
      <vt:variant>
        <vt:i4>26</vt:i4>
      </vt:variant>
      <vt:variant>
        <vt:i4>0</vt:i4>
      </vt:variant>
      <vt:variant>
        <vt:i4>5</vt:i4>
      </vt:variant>
      <vt:variant>
        <vt:lpwstr/>
      </vt:variant>
      <vt:variant>
        <vt:lpwstr>_Toc97786629</vt:lpwstr>
      </vt:variant>
      <vt:variant>
        <vt:i4>1441850</vt:i4>
      </vt:variant>
      <vt:variant>
        <vt:i4>20</vt:i4>
      </vt:variant>
      <vt:variant>
        <vt:i4>0</vt:i4>
      </vt:variant>
      <vt:variant>
        <vt:i4>5</vt:i4>
      </vt:variant>
      <vt:variant>
        <vt:lpwstr/>
      </vt:variant>
      <vt:variant>
        <vt:lpwstr>_Toc97786628</vt:lpwstr>
      </vt:variant>
      <vt:variant>
        <vt:i4>1638458</vt:i4>
      </vt:variant>
      <vt:variant>
        <vt:i4>14</vt:i4>
      </vt:variant>
      <vt:variant>
        <vt:i4>0</vt:i4>
      </vt:variant>
      <vt:variant>
        <vt:i4>5</vt:i4>
      </vt:variant>
      <vt:variant>
        <vt:lpwstr/>
      </vt:variant>
      <vt:variant>
        <vt:lpwstr>_Toc97786627</vt:lpwstr>
      </vt:variant>
      <vt:variant>
        <vt:i4>1572922</vt:i4>
      </vt:variant>
      <vt:variant>
        <vt:i4>8</vt:i4>
      </vt:variant>
      <vt:variant>
        <vt:i4>0</vt:i4>
      </vt:variant>
      <vt:variant>
        <vt:i4>5</vt:i4>
      </vt:variant>
      <vt:variant>
        <vt:lpwstr/>
      </vt:variant>
      <vt:variant>
        <vt:lpwstr>_Toc97786626</vt:lpwstr>
      </vt:variant>
      <vt:variant>
        <vt:i4>1769530</vt:i4>
      </vt:variant>
      <vt:variant>
        <vt:i4>2</vt:i4>
      </vt:variant>
      <vt:variant>
        <vt:i4>0</vt:i4>
      </vt:variant>
      <vt:variant>
        <vt:i4>5</vt:i4>
      </vt:variant>
      <vt:variant>
        <vt:lpwstr/>
      </vt:variant>
      <vt:variant>
        <vt:lpwstr>_Toc97786625</vt:lpwstr>
      </vt:variant>
      <vt:variant>
        <vt:i4>1048659</vt:i4>
      </vt:variant>
      <vt:variant>
        <vt:i4>21</vt:i4>
      </vt:variant>
      <vt:variant>
        <vt:i4>0</vt:i4>
      </vt:variant>
      <vt:variant>
        <vt:i4>5</vt:i4>
      </vt:variant>
      <vt:variant>
        <vt:lpwstr>http://wswin.nextra.at/chrha2892/main.asp?kat1=40&amp;kat2=145&amp;kat3=129&amp;vid=1</vt:lpwstr>
      </vt:variant>
      <vt:variant>
        <vt:lpwstr/>
      </vt:variant>
      <vt:variant>
        <vt:i4>3670120</vt:i4>
      </vt:variant>
      <vt:variant>
        <vt:i4>18</vt:i4>
      </vt:variant>
      <vt:variant>
        <vt:i4>0</vt:i4>
      </vt:variant>
      <vt:variant>
        <vt:i4>5</vt:i4>
      </vt:variant>
      <vt:variant>
        <vt:lpwstr>http://www.prosvjeta.hinet.hr/mips/najavljujemo/dubrovnik/index.asp</vt:lpwstr>
      </vt:variant>
      <vt:variant>
        <vt:lpwstr/>
      </vt:variant>
      <vt:variant>
        <vt:i4>5242883</vt:i4>
      </vt:variant>
      <vt:variant>
        <vt:i4>15</vt:i4>
      </vt:variant>
      <vt:variant>
        <vt:i4>0</vt:i4>
      </vt:variant>
      <vt:variant>
        <vt:i4>5</vt:i4>
      </vt:variant>
      <vt:variant>
        <vt:lpwstr>http://www.ews-online.com/en/</vt:lpwstr>
      </vt:variant>
      <vt:variant>
        <vt:lpwstr/>
      </vt:variant>
      <vt:variant>
        <vt:i4>4849752</vt:i4>
      </vt:variant>
      <vt:variant>
        <vt:i4>12</vt:i4>
      </vt:variant>
      <vt:variant>
        <vt:i4>0</vt:i4>
      </vt:variant>
      <vt:variant>
        <vt:i4>5</vt:i4>
      </vt:variant>
      <vt:variant>
        <vt:lpwstr>http://www.statistik.at/mikrozensus/gratis.shtml</vt:lpwstr>
      </vt:variant>
      <vt:variant>
        <vt:lpwstr/>
      </vt:variant>
      <vt:variant>
        <vt:i4>7929941</vt:i4>
      </vt:variant>
      <vt:variant>
        <vt:i4>9</vt:i4>
      </vt:variant>
      <vt:variant>
        <vt:i4>0</vt:i4>
      </vt:variant>
      <vt:variant>
        <vt:i4>5</vt:i4>
      </vt:variant>
      <vt:variant>
        <vt:lpwstr>http://www.bka.gv.at/bka/regionalpolitik/aufhauser_summary.pdf</vt:lpwstr>
      </vt:variant>
      <vt:variant>
        <vt:lpwstr/>
      </vt:variant>
      <vt:variant>
        <vt:i4>6357068</vt:i4>
      </vt:variant>
      <vt:variant>
        <vt:i4>6</vt:i4>
      </vt:variant>
      <vt:variant>
        <vt:i4>0</vt:i4>
      </vt:variant>
      <vt:variant>
        <vt:i4>5</vt:i4>
      </vt:variant>
      <vt:variant>
        <vt:lpwstr>http://www.bka.gv.at/bka/regionalpolitik/aufhauser_kurzfassung.pdf</vt:lpwstr>
      </vt:variant>
      <vt:variant>
        <vt:lpwstr/>
      </vt:variant>
      <vt:variant>
        <vt:i4>1835022</vt:i4>
      </vt:variant>
      <vt:variant>
        <vt:i4>3</vt:i4>
      </vt:variant>
      <vt:variant>
        <vt:i4>0</vt:i4>
      </vt:variant>
      <vt:variant>
        <vt:i4>5</vt:i4>
      </vt:variant>
      <vt:variant>
        <vt:lpwstr>http://www.statistik.at/neuererscheinungen/geschlechtsdisparit.shtml</vt:lpwstr>
      </vt:variant>
      <vt:variant>
        <vt:lpwstr/>
      </vt:variant>
      <vt:variant>
        <vt:i4>4849752</vt:i4>
      </vt:variant>
      <vt:variant>
        <vt:i4>0</vt:i4>
      </vt:variant>
      <vt:variant>
        <vt:i4>0</vt:i4>
      </vt:variant>
      <vt:variant>
        <vt:i4>5</vt:i4>
      </vt:variant>
      <vt:variant>
        <vt:lpwstr>http://www.statistik.at/mikrozensus/gratis.shtml</vt:lpwstr>
      </vt:variant>
      <vt:variant>
        <vt:lpwstr/>
      </vt:variant>
      <vt:variant>
        <vt:i4>8257630</vt:i4>
      </vt:variant>
      <vt:variant>
        <vt:i4>585384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Russian_text_proc</cp:lastModifiedBy>
  <cp:revision>6</cp:revision>
  <cp:lastPrinted>2005-03-09T07:02:00Z</cp:lastPrinted>
  <dcterms:created xsi:type="dcterms:W3CDTF">2005-03-14T12:45:00Z</dcterms:created>
  <dcterms:modified xsi:type="dcterms:W3CDTF">2005-03-14T12:51:00Z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99</vt:lpwstr>
  </property>
  <property fmtid="{D5CDD505-2E9C-101B-9397-08002B2CF9AE}" pid="8" name="Operator">
    <vt:lpwstr/>
  </property>
</Properties>
</file>