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4E8FE79" w14:textId="77777777" w:rsidTr="008F3CA0">
        <w:trPr>
          <w:trHeight w:hRule="exact" w:val="851"/>
        </w:trPr>
        <w:tc>
          <w:tcPr>
            <w:tcW w:w="1276" w:type="dxa"/>
            <w:tcBorders>
              <w:bottom w:val="single" w:sz="4" w:space="0" w:color="auto"/>
            </w:tcBorders>
          </w:tcPr>
          <w:p w14:paraId="51A13A2B" w14:textId="77777777" w:rsidR="000354E9" w:rsidRPr="00DB58B5" w:rsidRDefault="000354E9" w:rsidP="0046740A"/>
        </w:tc>
        <w:tc>
          <w:tcPr>
            <w:tcW w:w="2268" w:type="dxa"/>
            <w:tcBorders>
              <w:bottom w:val="single" w:sz="4" w:space="0" w:color="auto"/>
            </w:tcBorders>
            <w:vAlign w:val="bottom"/>
          </w:tcPr>
          <w:p w14:paraId="31417789"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7939C89" w14:textId="7C91BEE0" w:rsidR="000354E9" w:rsidRPr="00DB58B5" w:rsidRDefault="0046740A" w:rsidP="0046740A">
            <w:pPr>
              <w:jc w:val="right"/>
            </w:pPr>
            <w:r w:rsidRPr="0046740A">
              <w:rPr>
                <w:sz w:val="40"/>
              </w:rPr>
              <w:t>CRC</w:t>
            </w:r>
            <w:r>
              <w:t>/C/89/D/78/2019</w:t>
            </w:r>
          </w:p>
        </w:tc>
      </w:tr>
      <w:tr w:rsidR="000354E9" w:rsidRPr="00DB58B5" w14:paraId="7DA83E84" w14:textId="77777777" w:rsidTr="008F3CA0">
        <w:trPr>
          <w:trHeight w:hRule="exact" w:val="2835"/>
        </w:trPr>
        <w:tc>
          <w:tcPr>
            <w:tcW w:w="1276" w:type="dxa"/>
            <w:tcBorders>
              <w:top w:val="single" w:sz="4" w:space="0" w:color="auto"/>
              <w:bottom w:val="single" w:sz="12" w:space="0" w:color="auto"/>
            </w:tcBorders>
          </w:tcPr>
          <w:p w14:paraId="69774577" w14:textId="77777777" w:rsidR="000354E9" w:rsidRPr="00DB58B5" w:rsidRDefault="000354E9" w:rsidP="008F3CA0">
            <w:pPr>
              <w:spacing w:before="120"/>
              <w:jc w:val="center"/>
            </w:pPr>
            <w:r>
              <w:rPr>
                <w:noProof/>
                <w:lang w:eastAsia="fr-CH"/>
              </w:rPr>
              <w:drawing>
                <wp:inline distT="0" distB="0" distL="0" distR="0" wp14:anchorId="2BE2FCBD" wp14:editId="3E06A08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B0DA72"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40266F43" w14:textId="77777777" w:rsidR="000354E9" w:rsidRDefault="0046740A" w:rsidP="008F3CA0">
            <w:pPr>
              <w:spacing w:before="240"/>
            </w:pPr>
            <w:r>
              <w:t>Distr. générale</w:t>
            </w:r>
          </w:p>
          <w:p w14:paraId="6FC2822E" w14:textId="7DE72DF5" w:rsidR="0046740A" w:rsidRDefault="0046740A" w:rsidP="0046740A">
            <w:pPr>
              <w:spacing w:line="240" w:lineRule="exact"/>
            </w:pPr>
            <w:r>
              <w:t>10</w:t>
            </w:r>
            <w:r w:rsidR="00334D93">
              <w:t> </w:t>
            </w:r>
            <w:r>
              <w:t>mars 2022</w:t>
            </w:r>
          </w:p>
          <w:p w14:paraId="3A780C7D" w14:textId="77777777" w:rsidR="0046740A" w:rsidRDefault="0046740A" w:rsidP="0046740A">
            <w:pPr>
              <w:spacing w:line="240" w:lineRule="exact"/>
            </w:pPr>
            <w:r>
              <w:t>Français</w:t>
            </w:r>
          </w:p>
          <w:p w14:paraId="5EB916B0" w14:textId="7848A4B8" w:rsidR="0046740A" w:rsidRPr="00DB58B5" w:rsidRDefault="0046740A" w:rsidP="0046740A">
            <w:pPr>
              <w:spacing w:line="240" w:lineRule="exact"/>
            </w:pPr>
            <w:r>
              <w:t>Original</w:t>
            </w:r>
            <w:r w:rsidR="00334D93">
              <w:t> </w:t>
            </w:r>
            <w:r>
              <w:t>: espagnol</w:t>
            </w:r>
          </w:p>
        </w:tc>
      </w:tr>
    </w:tbl>
    <w:p w14:paraId="3A735353" w14:textId="77777777" w:rsidR="002D14A3" w:rsidRDefault="002D14A3" w:rsidP="002D14A3">
      <w:pPr>
        <w:spacing w:before="120"/>
        <w:rPr>
          <w:b/>
          <w:sz w:val="24"/>
          <w:szCs w:val="24"/>
        </w:rPr>
      </w:pPr>
      <w:r w:rsidRPr="00DA3BE9">
        <w:rPr>
          <w:b/>
          <w:sz w:val="24"/>
          <w:szCs w:val="24"/>
        </w:rPr>
        <w:t>Comité des droits de l’enfant</w:t>
      </w:r>
    </w:p>
    <w:p w14:paraId="74695CC2" w14:textId="32BB6ECB" w:rsidR="0046740A" w:rsidRDefault="0046740A" w:rsidP="00334D93">
      <w:pPr>
        <w:pStyle w:val="HChG"/>
        <w:rPr>
          <w:lang w:val="fr-FR"/>
        </w:rPr>
      </w:pPr>
      <w:bookmarkStart w:id="0" w:name="_GoBack"/>
      <w:bookmarkEnd w:id="0"/>
      <w:r>
        <w:rPr>
          <w:lang w:val="fr-FR"/>
        </w:rPr>
        <w:tab/>
      </w:r>
      <w:r>
        <w:rPr>
          <w:lang w:val="fr-FR"/>
        </w:rPr>
        <w:tab/>
        <w:t xml:space="preserve">Décision adoptée par le Comité au titre du Protocole facultatif à la Convention relative aux droits de l’enfant établissant une procédure de présentation </w:t>
      </w:r>
      <w:r w:rsidR="00334D93">
        <w:rPr>
          <w:lang w:val="fr-FR"/>
        </w:rPr>
        <w:br/>
      </w:r>
      <w:r>
        <w:rPr>
          <w:lang w:val="fr-FR"/>
        </w:rPr>
        <w:t xml:space="preserve">de communications, concernant </w:t>
      </w:r>
      <w:r w:rsidR="00334D93">
        <w:rPr>
          <w:lang w:val="fr-FR"/>
        </w:rPr>
        <w:br/>
      </w:r>
      <w:r>
        <w:rPr>
          <w:lang w:val="fr-FR"/>
        </w:rPr>
        <w:t>la communication n</w:t>
      </w:r>
      <w:r w:rsidRPr="00334D93">
        <w:rPr>
          <w:vertAlign w:val="superscript"/>
          <w:lang w:val="fr-FR"/>
        </w:rPr>
        <w:t>o</w:t>
      </w:r>
      <w:r>
        <w:rPr>
          <w:lang w:val="fr-FR"/>
        </w:rPr>
        <w:t> 78/2019</w:t>
      </w:r>
      <w:r w:rsidRPr="00334D93">
        <w:rPr>
          <w:rStyle w:val="Appelnotedebasdep"/>
          <w:b w:val="0"/>
          <w:sz w:val="20"/>
          <w:vertAlign w:val="baseline"/>
          <w:lang w:val="fr-FR"/>
        </w:rPr>
        <w:footnoteReference w:customMarkFollows="1" w:id="2"/>
        <w:t>*</w:t>
      </w:r>
      <w:r w:rsidRPr="00334D93">
        <w:rPr>
          <w:sz w:val="20"/>
          <w:vertAlign w:val="superscript"/>
          <w:lang w:val="fr-FR"/>
        </w:rPr>
        <w:t>,</w:t>
      </w:r>
      <w:r w:rsidR="00334D93">
        <w:rPr>
          <w:sz w:val="20"/>
          <w:lang w:val="fr-FR"/>
        </w:rPr>
        <w:t xml:space="preserve"> </w:t>
      </w:r>
      <w:r w:rsidRPr="00334D93">
        <w:rPr>
          <w:rStyle w:val="Appelnotedebasdep"/>
          <w:b w:val="0"/>
          <w:sz w:val="20"/>
          <w:vertAlign w:val="baseline"/>
          <w:lang w:val="fr-FR"/>
        </w:rPr>
        <w:footnoteReference w:customMarkFollows="1" w:id="3"/>
        <w:t>**</w:t>
      </w:r>
      <w:r w:rsidRPr="00334D93">
        <w:rPr>
          <w:sz w:val="20"/>
          <w:lang w:val="fr-FR"/>
        </w:rPr>
        <w:t xml:space="preserve"> </w:t>
      </w:r>
    </w:p>
    <w:tbl>
      <w:tblPr>
        <w:tblW w:w="0" w:type="auto"/>
        <w:tblInd w:w="1701" w:type="dxa"/>
        <w:tblLayout w:type="fixed"/>
        <w:tblCellMar>
          <w:left w:w="0" w:type="dxa"/>
          <w:right w:w="0" w:type="dxa"/>
        </w:tblCellMar>
        <w:tblLook w:val="01E0" w:firstRow="1" w:lastRow="1" w:firstColumn="1" w:lastColumn="1" w:noHBand="0" w:noVBand="0"/>
      </w:tblPr>
      <w:tblGrid>
        <w:gridCol w:w="2737"/>
        <w:gridCol w:w="4068"/>
      </w:tblGrid>
      <w:tr w:rsidR="0046740A" w:rsidRPr="00985C3C" w14:paraId="26C13118" w14:textId="77777777" w:rsidTr="002E2BF4">
        <w:tc>
          <w:tcPr>
            <w:tcW w:w="2737" w:type="dxa"/>
          </w:tcPr>
          <w:p w14:paraId="09187D69" w14:textId="77777777" w:rsidR="0046740A" w:rsidRDefault="0046740A" w:rsidP="002E2BF4">
            <w:pPr>
              <w:pStyle w:val="SingleTxtG"/>
              <w:ind w:left="0" w:right="0"/>
              <w:jc w:val="left"/>
              <w:rPr>
                <w:i/>
              </w:rPr>
            </w:pPr>
            <w:r>
              <w:rPr>
                <w:i/>
              </w:rPr>
              <w:t>Communication présentée par</w:t>
            </w:r>
            <w:r>
              <w:t> :</w:t>
            </w:r>
          </w:p>
        </w:tc>
        <w:tc>
          <w:tcPr>
            <w:tcW w:w="4068" w:type="dxa"/>
          </w:tcPr>
          <w:p w14:paraId="0B8FCD3C" w14:textId="77777777" w:rsidR="0046740A" w:rsidRPr="00985C3C" w:rsidRDefault="0046740A" w:rsidP="002E2BF4">
            <w:pPr>
              <w:pStyle w:val="SingleTxtG"/>
              <w:ind w:left="0" w:right="0"/>
              <w:jc w:val="left"/>
            </w:pPr>
            <w:r>
              <w:rPr>
                <w:lang w:val="fr-FR"/>
              </w:rPr>
              <w:t>M. E. (représenté par un conseil, Marta Sánchez Briñas Otte)</w:t>
            </w:r>
          </w:p>
        </w:tc>
      </w:tr>
      <w:tr w:rsidR="0046740A" w14:paraId="4CCC416B" w14:textId="77777777" w:rsidTr="002E2BF4">
        <w:tc>
          <w:tcPr>
            <w:tcW w:w="2737" w:type="dxa"/>
          </w:tcPr>
          <w:p w14:paraId="5C852555" w14:textId="77777777" w:rsidR="0046740A" w:rsidRDefault="0046740A" w:rsidP="002E2BF4">
            <w:pPr>
              <w:pStyle w:val="SingleTxtG"/>
              <w:ind w:left="0" w:right="0"/>
              <w:jc w:val="left"/>
              <w:rPr>
                <w:i/>
              </w:rPr>
            </w:pPr>
            <w:r>
              <w:rPr>
                <w:i/>
                <w:iCs/>
                <w:lang w:val="fr-FR"/>
              </w:rPr>
              <w:t>Victime(s) présumée(s) </w:t>
            </w:r>
            <w:r>
              <w:t>:</w:t>
            </w:r>
          </w:p>
        </w:tc>
        <w:tc>
          <w:tcPr>
            <w:tcW w:w="4068" w:type="dxa"/>
          </w:tcPr>
          <w:p w14:paraId="7AF60FE2" w14:textId="77777777" w:rsidR="0046740A" w:rsidRDefault="0046740A" w:rsidP="002E2BF4">
            <w:pPr>
              <w:pStyle w:val="SingleTxtG"/>
              <w:ind w:left="0" w:right="0"/>
              <w:jc w:val="left"/>
            </w:pPr>
            <w:r>
              <w:rPr>
                <w:lang w:val="fr-FR"/>
              </w:rPr>
              <w:t>L’auteur</w:t>
            </w:r>
          </w:p>
        </w:tc>
      </w:tr>
      <w:tr w:rsidR="0046740A" w14:paraId="540DC107" w14:textId="77777777" w:rsidTr="002E2BF4">
        <w:tc>
          <w:tcPr>
            <w:tcW w:w="2737" w:type="dxa"/>
          </w:tcPr>
          <w:p w14:paraId="52F68A80" w14:textId="77777777" w:rsidR="0046740A" w:rsidRDefault="0046740A" w:rsidP="002E2BF4">
            <w:pPr>
              <w:pStyle w:val="SingleTxtG"/>
              <w:ind w:left="0" w:right="0"/>
              <w:jc w:val="left"/>
              <w:rPr>
                <w:i/>
              </w:rPr>
            </w:pPr>
            <w:r>
              <w:rPr>
                <w:i/>
              </w:rPr>
              <w:t>État partie</w:t>
            </w:r>
            <w:r>
              <w:t> :</w:t>
            </w:r>
          </w:p>
        </w:tc>
        <w:tc>
          <w:tcPr>
            <w:tcW w:w="4068" w:type="dxa"/>
          </w:tcPr>
          <w:p w14:paraId="572C282A" w14:textId="77777777" w:rsidR="0046740A" w:rsidRDefault="0046740A" w:rsidP="002E2BF4">
            <w:pPr>
              <w:pStyle w:val="SingleTxtG"/>
              <w:ind w:left="0" w:right="0"/>
              <w:jc w:val="left"/>
            </w:pPr>
            <w:r>
              <w:rPr>
                <w:lang w:val="fr-FR"/>
              </w:rPr>
              <w:t>Espagne</w:t>
            </w:r>
          </w:p>
        </w:tc>
      </w:tr>
      <w:tr w:rsidR="0046740A" w:rsidRPr="00985C3C" w14:paraId="6E937B06" w14:textId="77777777" w:rsidTr="002E2BF4">
        <w:tc>
          <w:tcPr>
            <w:tcW w:w="2737" w:type="dxa"/>
          </w:tcPr>
          <w:p w14:paraId="2EB3075B" w14:textId="77777777" w:rsidR="0046740A" w:rsidRDefault="0046740A" w:rsidP="002E2BF4">
            <w:pPr>
              <w:pStyle w:val="SingleTxtG"/>
              <w:ind w:left="0" w:right="0"/>
              <w:jc w:val="left"/>
              <w:rPr>
                <w:i/>
              </w:rPr>
            </w:pPr>
            <w:r>
              <w:rPr>
                <w:i/>
              </w:rPr>
              <w:t>Date de la communication</w:t>
            </w:r>
            <w:r>
              <w:t> :</w:t>
            </w:r>
          </w:p>
        </w:tc>
        <w:tc>
          <w:tcPr>
            <w:tcW w:w="4068" w:type="dxa"/>
          </w:tcPr>
          <w:p w14:paraId="252DF16C" w14:textId="69708F12" w:rsidR="0046740A" w:rsidRPr="00985C3C" w:rsidRDefault="0046740A" w:rsidP="002E2BF4">
            <w:pPr>
              <w:pStyle w:val="SingleTxtG"/>
              <w:ind w:left="0" w:right="0"/>
              <w:jc w:val="left"/>
            </w:pPr>
            <w:r>
              <w:rPr>
                <w:lang w:val="fr-FR"/>
              </w:rPr>
              <w:t>12</w:t>
            </w:r>
            <w:r w:rsidR="00334D93">
              <w:rPr>
                <w:lang w:val="fr-FR"/>
              </w:rPr>
              <w:t> </w:t>
            </w:r>
            <w:r>
              <w:rPr>
                <w:lang w:val="fr-FR"/>
              </w:rPr>
              <w:t>mars 2019 (date de la lettre initiale)</w:t>
            </w:r>
          </w:p>
        </w:tc>
      </w:tr>
      <w:tr w:rsidR="0046740A" w:rsidRPr="00985C3C" w14:paraId="3B5CC8A5" w14:textId="77777777" w:rsidTr="002E2BF4">
        <w:tc>
          <w:tcPr>
            <w:tcW w:w="2737" w:type="dxa"/>
          </w:tcPr>
          <w:p w14:paraId="2AE37743" w14:textId="77777777" w:rsidR="0046740A" w:rsidRDefault="0046740A" w:rsidP="002E2BF4">
            <w:pPr>
              <w:pStyle w:val="SingleTxtG"/>
              <w:ind w:left="0" w:right="0"/>
              <w:jc w:val="left"/>
            </w:pPr>
            <w:r>
              <w:rPr>
                <w:i/>
              </w:rPr>
              <w:t>Objet</w:t>
            </w:r>
            <w:r>
              <w:t> :</w:t>
            </w:r>
          </w:p>
        </w:tc>
        <w:tc>
          <w:tcPr>
            <w:tcW w:w="4068" w:type="dxa"/>
            <w:vAlign w:val="bottom"/>
          </w:tcPr>
          <w:p w14:paraId="73631656" w14:textId="77777777" w:rsidR="0046740A" w:rsidRPr="00985C3C" w:rsidRDefault="0046740A" w:rsidP="002E2BF4">
            <w:pPr>
              <w:pStyle w:val="SingleTxtG"/>
              <w:ind w:left="0" w:right="0"/>
              <w:jc w:val="left"/>
            </w:pPr>
            <w:r>
              <w:rPr>
                <w:lang w:val="fr-FR"/>
              </w:rPr>
              <w:t>Procédure de détermination de l’âge d’un enfant non accompagné</w:t>
            </w:r>
          </w:p>
        </w:tc>
      </w:tr>
      <w:tr w:rsidR="0046740A" w:rsidRPr="00985C3C" w14:paraId="7468FFDC" w14:textId="77777777" w:rsidTr="002E2BF4">
        <w:tc>
          <w:tcPr>
            <w:tcW w:w="2737" w:type="dxa"/>
          </w:tcPr>
          <w:p w14:paraId="718A2EE4" w14:textId="77777777" w:rsidR="0046740A" w:rsidRDefault="0046740A" w:rsidP="002E2BF4">
            <w:pPr>
              <w:pStyle w:val="SingleTxtG"/>
              <w:ind w:left="0" w:right="0"/>
              <w:jc w:val="left"/>
            </w:pPr>
            <w:r>
              <w:rPr>
                <w:i/>
              </w:rPr>
              <w:t>Question(s) de fond</w:t>
            </w:r>
            <w:r>
              <w:t> :</w:t>
            </w:r>
          </w:p>
        </w:tc>
        <w:tc>
          <w:tcPr>
            <w:tcW w:w="4068" w:type="dxa"/>
            <w:vAlign w:val="bottom"/>
          </w:tcPr>
          <w:p w14:paraId="5D35CF92" w14:textId="435024C9" w:rsidR="0046740A" w:rsidRPr="00985C3C" w:rsidRDefault="0046740A" w:rsidP="002E2BF4">
            <w:pPr>
              <w:pStyle w:val="SingleTxtG"/>
              <w:ind w:left="0" w:right="0"/>
              <w:jc w:val="left"/>
            </w:pPr>
            <w:r>
              <w:rPr>
                <w:lang w:val="fr-FR"/>
              </w:rPr>
              <w:t>Intérêt supérieur de l’enfant</w:t>
            </w:r>
            <w:r w:rsidR="00334D93">
              <w:rPr>
                <w:lang w:val="fr-FR"/>
              </w:rPr>
              <w:t> </w:t>
            </w:r>
            <w:r>
              <w:rPr>
                <w:lang w:val="fr-FR"/>
              </w:rPr>
              <w:t>; droit à l’identité ; droit d’être entendu</w:t>
            </w:r>
            <w:r w:rsidR="00334D93">
              <w:rPr>
                <w:lang w:val="fr-FR"/>
              </w:rPr>
              <w:t> </w:t>
            </w:r>
            <w:r>
              <w:rPr>
                <w:lang w:val="fr-FR"/>
              </w:rPr>
              <w:t>; droit à un tuteur ; droit au développement</w:t>
            </w:r>
            <w:r w:rsidR="00334D93">
              <w:rPr>
                <w:lang w:val="fr-FR"/>
              </w:rPr>
              <w:t> </w:t>
            </w:r>
            <w:r>
              <w:rPr>
                <w:lang w:val="fr-FR"/>
              </w:rPr>
              <w:t>; droit à une protection et à une aide spéciales de l’État</w:t>
            </w:r>
          </w:p>
        </w:tc>
      </w:tr>
      <w:tr w:rsidR="0046740A" w:rsidRPr="002512B1" w14:paraId="4A159979" w14:textId="77777777" w:rsidTr="002E2BF4">
        <w:tc>
          <w:tcPr>
            <w:tcW w:w="2737" w:type="dxa"/>
          </w:tcPr>
          <w:p w14:paraId="7B2C835E" w14:textId="77777777" w:rsidR="0046740A" w:rsidRPr="00985C3C" w:rsidRDefault="0046740A" w:rsidP="002E2BF4">
            <w:pPr>
              <w:pStyle w:val="SingleTxtG"/>
              <w:ind w:left="0" w:right="0"/>
              <w:jc w:val="left"/>
            </w:pPr>
            <w:r w:rsidRPr="00985C3C">
              <w:rPr>
                <w:i/>
              </w:rPr>
              <w:t>Article(s) de la Convention</w:t>
            </w:r>
            <w:r w:rsidRPr="00985C3C">
              <w:t> :</w:t>
            </w:r>
          </w:p>
        </w:tc>
        <w:tc>
          <w:tcPr>
            <w:tcW w:w="4068" w:type="dxa"/>
            <w:vAlign w:val="bottom"/>
          </w:tcPr>
          <w:p w14:paraId="75B8B571" w14:textId="77777777" w:rsidR="0046740A" w:rsidRPr="002512B1" w:rsidRDefault="0046740A" w:rsidP="002E2BF4">
            <w:pPr>
              <w:pStyle w:val="SingleTxtG"/>
              <w:ind w:left="0" w:right="0"/>
              <w:jc w:val="left"/>
            </w:pPr>
            <w:r>
              <w:rPr>
                <w:lang w:val="fr-FR"/>
              </w:rPr>
              <w:t>3, 8, 12, 18 (par. 2), 20, 27 et 29</w:t>
            </w:r>
          </w:p>
        </w:tc>
      </w:tr>
    </w:tbl>
    <w:p w14:paraId="39ADA6AD" w14:textId="668BB91C" w:rsidR="0046740A" w:rsidRPr="00441E35" w:rsidRDefault="0046740A" w:rsidP="0046740A">
      <w:pPr>
        <w:pStyle w:val="SingleTxtG"/>
        <w:rPr>
          <w:lang w:val="fr-FR"/>
        </w:rPr>
      </w:pPr>
      <w:r>
        <w:rPr>
          <w:lang w:val="fr-FR"/>
        </w:rPr>
        <w:t>1.</w:t>
      </w:r>
      <w:r>
        <w:rPr>
          <w:lang w:val="fr-FR"/>
        </w:rPr>
        <w:tab/>
        <w:t>L’auteur de la communication est M. E., de nationalité marocaine, âgé de 17 ans au moment de la présentation de la communication. Il affirme que l’État partie a violé les droits qu’il tient de l’article 3, lu conjointement avec les articles 18 (par. 2) et 20 (par. 1), et les articles</w:t>
      </w:r>
      <w:r w:rsidR="00334D93">
        <w:rPr>
          <w:lang w:val="fr-FR"/>
        </w:rPr>
        <w:t> </w:t>
      </w:r>
      <w:r>
        <w:rPr>
          <w:lang w:val="fr-FR"/>
        </w:rPr>
        <w:t>8, 12, 20, 27 et 29 de la Convention. Le Protocole facultatif est entré en vigueur pour l’État partie le 14</w:t>
      </w:r>
      <w:r w:rsidR="00334D93">
        <w:rPr>
          <w:lang w:val="fr-FR"/>
        </w:rPr>
        <w:t> </w:t>
      </w:r>
      <w:r>
        <w:rPr>
          <w:lang w:val="fr-FR"/>
        </w:rPr>
        <w:t>avril 2014.</w:t>
      </w:r>
    </w:p>
    <w:p w14:paraId="55E00E04" w14:textId="3E6FB246" w:rsidR="0046740A" w:rsidRPr="00441E35" w:rsidRDefault="0046740A" w:rsidP="0046740A">
      <w:pPr>
        <w:pStyle w:val="SingleTxtG"/>
        <w:rPr>
          <w:lang w:val="fr-FR"/>
        </w:rPr>
      </w:pPr>
      <w:r w:rsidRPr="00023F0E">
        <w:rPr>
          <w:lang w:val="fr-FR"/>
        </w:rPr>
        <w:t>2.</w:t>
      </w:r>
      <w:r w:rsidRPr="00023F0E">
        <w:rPr>
          <w:lang w:val="fr-FR"/>
        </w:rPr>
        <w:tab/>
        <w:t>Le 17</w:t>
      </w:r>
      <w:r w:rsidR="00334D93" w:rsidRPr="00023F0E">
        <w:rPr>
          <w:lang w:val="fr-FR"/>
        </w:rPr>
        <w:t> </w:t>
      </w:r>
      <w:r w:rsidRPr="00023F0E">
        <w:rPr>
          <w:lang w:val="fr-FR"/>
        </w:rPr>
        <w:t>janvier 2019, l’auteur a</w:t>
      </w:r>
      <w:r>
        <w:rPr>
          <w:lang w:val="fr-FR"/>
        </w:rPr>
        <w:t xml:space="preserve"> été intercepté près d’Algésiras alors qu’il tentait d’entrer en Espagne à bord d’une embarcation transportant des migrants. Sans papiers, il a été emmené à l’hôpital d’Algésiras, où il a été soumis à une radiographie de la main gauche qui a montré qu’il avait plus de 18 ans. L’auteur indique que, lorsque cette radiographie a été pratiquée, son conseil n’était pas présent. Le 18</w:t>
      </w:r>
      <w:r w:rsidR="00334D93">
        <w:rPr>
          <w:lang w:val="fr-FR"/>
        </w:rPr>
        <w:t> </w:t>
      </w:r>
      <w:r>
        <w:rPr>
          <w:lang w:val="fr-FR"/>
        </w:rPr>
        <w:t>janvier 2019, la Sous-Délégation du Gouvernement à Cadix a pris un arrêté d’expulsion à son encontre sur la base des résultats de la radiographie. Le lendemain, le 19</w:t>
      </w:r>
      <w:r w:rsidR="00334D93">
        <w:rPr>
          <w:lang w:val="fr-FR"/>
        </w:rPr>
        <w:t> </w:t>
      </w:r>
      <w:r>
        <w:rPr>
          <w:lang w:val="fr-FR"/>
        </w:rPr>
        <w:t xml:space="preserve">janvier 2019, le juge </w:t>
      </w:r>
      <w:r w:rsidR="00023F0E" w:rsidRPr="00023F0E">
        <w:rPr>
          <w:rFonts w:eastAsia="MS Mincho"/>
          <w:lang w:val="fr-FR"/>
        </w:rPr>
        <w:t>n</w:t>
      </w:r>
      <w:r w:rsidR="00023F0E" w:rsidRPr="00023F0E">
        <w:rPr>
          <w:rFonts w:eastAsia="MS Mincho"/>
          <w:vertAlign w:val="superscript"/>
          <w:lang w:val="fr-FR"/>
        </w:rPr>
        <w:t>o</w:t>
      </w:r>
      <w:r w:rsidR="00023F0E">
        <w:rPr>
          <w:lang w:val="fr-FR"/>
        </w:rPr>
        <w:t xml:space="preserve"> </w:t>
      </w:r>
      <w:r>
        <w:rPr>
          <w:lang w:val="fr-FR"/>
        </w:rPr>
        <w:t>4 d’Algésiras a ordonné son placement au Centre de détention des étrangers de Madrid, afin de garantir son expulsion. Le 30</w:t>
      </w:r>
      <w:r w:rsidR="00334D93">
        <w:rPr>
          <w:lang w:val="fr-FR"/>
        </w:rPr>
        <w:t> </w:t>
      </w:r>
      <w:r>
        <w:rPr>
          <w:lang w:val="fr-FR"/>
        </w:rPr>
        <w:t xml:space="preserve">janvier 2019, l’auteur a demandé la suspension de son expulsion, indiquant qu’il était mineur, mais n’avait pas reçu de réponse au moment où il </w:t>
      </w:r>
      <w:r w:rsidR="00023F0E">
        <w:rPr>
          <w:lang w:val="fr-FR"/>
        </w:rPr>
        <w:t xml:space="preserve">a </w:t>
      </w:r>
      <w:r>
        <w:rPr>
          <w:lang w:val="fr-FR"/>
        </w:rPr>
        <w:t xml:space="preserve">soumis sa communication au Comité. </w:t>
      </w:r>
      <w:r w:rsidR="00023F0E">
        <w:rPr>
          <w:lang w:val="fr-FR"/>
        </w:rPr>
        <w:t>À</w:t>
      </w:r>
      <w:r>
        <w:rPr>
          <w:lang w:val="fr-FR"/>
        </w:rPr>
        <w:t xml:space="preserve"> une date non précisée, il a présenté au directeur du Centre de détention des </w:t>
      </w:r>
      <w:r>
        <w:rPr>
          <w:lang w:val="fr-FR"/>
        </w:rPr>
        <w:lastRenderedPageBreak/>
        <w:t>étrangers un document indiquant qu’il était mineur. Le 12</w:t>
      </w:r>
      <w:r w:rsidR="00334D93">
        <w:rPr>
          <w:lang w:val="fr-FR"/>
        </w:rPr>
        <w:t> </w:t>
      </w:r>
      <w:r>
        <w:rPr>
          <w:lang w:val="fr-FR"/>
        </w:rPr>
        <w:t>février 2019, il a été soumis à un nouvel examen visant à déterminer son âge, qui a montré qu’il avait plus de 18 ans. Par la suite, il a reçu un acte de naissance et son livret de famille marocain. À une date non précisée (après le 8</w:t>
      </w:r>
      <w:r w:rsidR="00334D93">
        <w:rPr>
          <w:lang w:val="fr-FR"/>
        </w:rPr>
        <w:t> </w:t>
      </w:r>
      <w:r>
        <w:rPr>
          <w:lang w:val="fr-FR"/>
        </w:rPr>
        <w:t>février 2019), il a soumis les deux documents au directeur du Centre de détention des étrangers, mais n’a pas reçu de réponse.</w:t>
      </w:r>
    </w:p>
    <w:p w14:paraId="0F86A11F" w14:textId="52FC7AB4" w:rsidR="0046740A" w:rsidRPr="00441E35" w:rsidRDefault="0046740A" w:rsidP="0046740A">
      <w:pPr>
        <w:pStyle w:val="SingleTxtG"/>
        <w:rPr>
          <w:lang w:val="fr-FR"/>
        </w:rPr>
      </w:pPr>
      <w:r>
        <w:rPr>
          <w:lang w:val="fr-FR"/>
        </w:rPr>
        <w:t>3.</w:t>
      </w:r>
      <w:r>
        <w:rPr>
          <w:lang w:val="fr-FR"/>
        </w:rPr>
        <w:tab/>
        <w:t>Le 19</w:t>
      </w:r>
      <w:r w:rsidR="00334D93">
        <w:rPr>
          <w:lang w:val="fr-FR"/>
        </w:rPr>
        <w:t> </w:t>
      </w:r>
      <w:r>
        <w:rPr>
          <w:lang w:val="fr-FR"/>
        </w:rPr>
        <w:t>mars 2019, le Groupe de travail des communications, agissant au nom du Comité et se fondant sur l’article 6 du Protocole facultatif, a demandé à l’État partie de prendre des mesures provisoires tendant à suspendre l’exécution de l’arrêté d’expulsion visant l’auteur tant que sa communication serait à l’examen et à transférer l’intéressé dans un centre de protection pour mineurs.</w:t>
      </w:r>
    </w:p>
    <w:p w14:paraId="3ADFEACB" w14:textId="4ACA0B56" w:rsidR="0046740A" w:rsidRPr="00441E35" w:rsidRDefault="0046740A" w:rsidP="0046740A">
      <w:pPr>
        <w:pStyle w:val="SingleTxtG"/>
        <w:rPr>
          <w:lang w:val="fr-FR"/>
        </w:rPr>
      </w:pPr>
      <w:r>
        <w:rPr>
          <w:lang w:val="fr-FR"/>
        </w:rPr>
        <w:t>4.</w:t>
      </w:r>
      <w:r>
        <w:rPr>
          <w:lang w:val="fr-FR"/>
        </w:rPr>
        <w:tab/>
        <w:t>Le 22</w:t>
      </w:r>
      <w:r w:rsidR="00334D93">
        <w:rPr>
          <w:lang w:val="fr-FR"/>
        </w:rPr>
        <w:t> </w:t>
      </w:r>
      <w:r>
        <w:rPr>
          <w:lang w:val="fr-FR"/>
        </w:rPr>
        <w:t>mars 2019, le conseil de l’auteur a transmis des informations complémentaires selon lesquelles, le 12</w:t>
      </w:r>
      <w:r w:rsidR="00334D93">
        <w:rPr>
          <w:lang w:val="fr-FR"/>
        </w:rPr>
        <w:t> </w:t>
      </w:r>
      <w:r>
        <w:rPr>
          <w:lang w:val="fr-FR"/>
        </w:rPr>
        <w:t>mars 2019, l’auteur avait été libéré et transféré dans un centre de protection pour mineurs.</w:t>
      </w:r>
    </w:p>
    <w:p w14:paraId="3B3F40FE" w14:textId="35B6B218" w:rsidR="0046740A" w:rsidRPr="00441E35" w:rsidRDefault="0046740A" w:rsidP="0046740A">
      <w:pPr>
        <w:pStyle w:val="SingleTxtG"/>
        <w:rPr>
          <w:rFonts w:eastAsia="Calibri"/>
          <w:lang w:val="fr-FR"/>
        </w:rPr>
      </w:pPr>
      <w:r>
        <w:rPr>
          <w:lang w:val="fr-FR"/>
        </w:rPr>
        <w:t>5.</w:t>
      </w:r>
      <w:r>
        <w:rPr>
          <w:lang w:val="fr-FR"/>
        </w:rPr>
        <w:tab/>
        <w:t>Le 20</w:t>
      </w:r>
      <w:r w:rsidR="00334D93">
        <w:rPr>
          <w:lang w:val="fr-FR"/>
        </w:rPr>
        <w:t> </w:t>
      </w:r>
      <w:r>
        <w:rPr>
          <w:lang w:val="fr-FR"/>
        </w:rPr>
        <w:t>août 2019, l’État partie a demandé qu’il soit mis fin à l’examen de la communication, expliquant que, le 2</w:t>
      </w:r>
      <w:r w:rsidR="00334D93">
        <w:rPr>
          <w:lang w:val="fr-FR"/>
        </w:rPr>
        <w:t> </w:t>
      </w:r>
      <w:r>
        <w:rPr>
          <w:lang w:val="fr-FR"/>
        </w:rPr>
        <w:t>avril 2019, le Bureau du Procureur avait rendu une décision par laquelle il reconnaissait officiellement l’auteur comme mineur et ordonnait son transfert dans un centre de protection pour mineurs (où il se trouvait déjà depuis le mois de mars).</w:t>
      </w:r>
    </w:p>
    <w:p w14:paraId="04AD228C" w14:textId="739C2B91" w:rsidR="0046740A" w:rsidRPr="00441E35" w:rsidRDefault="0046740A" w:rsidP="0046740A">
      <w:pPr>
        <w:pStyle w:val="SingleTxtG"/>
        <w:rPr>
          <w:color w:val="000000"/>
          <w:lang w:val="fr-FR"/>
        </w:rPr>
      </w:pPr>
      <w:r>
        <w:rPr>
          <w:lang w:val="fr-FR"/>
        </w:rPr>
        <w:t>6.</w:t>
      </w:r>
      <w:r>
        <w:rPr>
          <w:lang w:val="fr-FR"/>
        </w:rPr>
        <w:tab/>
        <w:t>Le 15</w:t>
      </w:r>
      <w:r w:rsidR="00334D93">
        <w:rPr>
          <w:lang w:val="fr-FR"/>
        </w:rPr>
        <w:t> </w:t>
      </w:r>
      <w:r>
        <w:rPr>
          <w:lang w:val="fr-FR"/>
        </w:rPr>
        <w:t xml:space="preserve">décembre 2020, le conseil de l’auteur s’est opposé à la demande de l’État partie visant à ce qu’il soit mis fin à l’examen de la communication au motif que l’auteur avait été détenu pendant </w:t>
      </w:r>
      <w:r w:rsidR="00023F0E">
        <w:rPr>
          <w:lang w:val="fr-FR"/>
        </w:rPr>
        <w:t>cinquante-trois</w:t>
      </w:r>
      <w:r>
        <w:rPr>
          <w:lang w:val="fr-FR"/>
        </w:rPr>
        <w:t xml:space="preserve"> jours au Centre de détention des étrangers, établissement non adapté aux enfants, dont il n’était sorti qu’après avoir présenté son acte de naissance et son livret de famille.</w:t>
      </w:r>
    </w:p>
    <w:p w14:paraId="01131946" w14:textId="04E0C04F" w:rsidR="0046740A" w:rsidRPr="00441E35" w:rsidRDefault="0046740A" w:rsidP="0046740A">
      <w:pPr>
        <w:pStyle w:val="SingleTxtG"/>
        <w:rPr>
          <w:lang w:val="fr-FR"/>
        </w:rPr>
      </w:pPr>
      <w:r>
        <w:rPr>
          <w:lang w:val="fr-FR"/>
        </w:rPr>
        <w:t>7.</w:t>
      </w:r>
      <w:r>
        <w:rPr>
          <w:lang w:val="fr-FR"/>
        </w:rPr>
        <w:tab/>
        <w:t>Réuni le 8</w:t>
      </w:r>
      <w:r w:rsidR="00334D93">
        <w:rPr>
          <w:lang w:val="fr-FR"/>
        </w:rPr>
        <w:t> </w:t>
      </w:r>
      <w:r>
        <w:rPr>
          <w:lang w:val="fr-FR"/>
        </w:rPr>
        <w:t xml:space="preserve">février 2022, le Comité note que l’auteur a été reconnu comme mineur et qu’il a été placé sous la protection des autorités. Même si cela ne constitue pas en soi une pleine réparation du préjudice subi par l’auteur du fait des violations de la Convention dont il dit avoir été victime, et sans approuver la procédure de détermination de l’âge appliquée par l’État partie, il considère que la reconnaissance de la minorité de l’auteur rend la communication </w:t>
      </w:r>
      <w:r w:rsidR="00023F0E" w:rsidRPr="00023F0E">
        <w:rPr>
          <w:rFonts w:eastAsia="MS Mincho"/>
          <w:lang w:val="fr-FR"/>
        </w:rPr>
        <w:t>n</w:t>
      </w:r>
      <w:r w:rsidR="00023F0E" w:rsidRPr="00023F0E">
        <w:rPr>
          <w:rFonts w:eastAsia="MS Mincho"/>
          <w:vertAlign w:val="superscript"/>
          <w:lang w:val="fr-FR"/>
        </w:rPr>
        <w:t>o</w:t>
      </w:r>
      <w:r w:rsidR="00023F0E">
        <w:rPr>
          <w:lang w:val="fr-FR"/>
        </w:rPr>
        <w:t xml:space="preserve"> </w:t>
      </w:r>
      <w:r>
        <w:rPr>
          <w:lang w:val="fr-FR"/>
        </w:rPr>
        <w:t>78/2019 sans objet, et il décide de mettre un terme à son examen, conformément à l’article 26 de son règlement intérieur au titre du Protocole facultatif à la Convention relative aux droits de l’enfant établissant une procédure de présentation de communications.</w:t>
      </w:r>
    </w:p>
    <w:p w14:paraId="6505DB58" w14:textId="23911F37" w:rsidR="007341B7" w:rsidRPr="0046740A" w:rsidRDefault="0046740A" w:rsidP="0046740A">
      <w:pPr>
        <w:pStyle w:val="SingleTxtG"/>
        <w:spacing w:before="240" w:after="0"/>
        <w:jc w:val="center"/>
        <w:rPr>
          <w:u w:val="single"/>
          <w:lang w:val="fr-FR"/>
        </w:rPr>
      </w:pPr>
      <w:r w:rsidRPr="00441E35">
        <w:rPr>
          <w:u w:val="single"/>
          <w:lang w:val="fr-FR"/>
        </w:rPr>
        <w:tab/>
      </w:r>
      <w:r w:rsidRPr="00441E35">
        <w:rPr>
          <w:u w:val="single"/>
          <w:lang w:val="fr-FR"/>
        </w:rPr>
        <w:tab/>
      </w:r>
      <w:r w:rsidRPr="00441E35">
        <w:rPr>
          <w:u w:val="single"/>
          <w:lang w:val="fr-FR"/>
        </w:rPr>
        <w:tab/>
      </w:r>
      <w:r w:rsidRPr="00441E35">
        <w:rPr>
          <w:u w:val="single"/>
          <w:lang w:val="fr-FR"/>
        </w:rPr>
        <w:tab/>
      </w:r>
    </w:p>
    <w:sectPr w:rsidR="007341B7" w:rsidRPr="0046740A" w:rsidSect="0046740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A6840" w14:textId="77777777" w:rsidR="002D38E7" w:rsidRDefault="002D38E7" w:rsidP="00F95C08">
      <w:pPr>
        <w:spacing w:line="240" w:lineRule="auto"/>
      </w:pPr>
    </w:p>
  </w:endnote>
  <w:endnote w:type="continuationSeparator" w:id="0">
    <w:p w14:paraId="764B7386" w14:textId="77777777" w:rsidR="002D38E7" w:rsidRPr="00AC3823" w:rsidRDefault="002D38E7" w:rsidP="00AC3823">
      <w:pPr>
        <w:pStyle w:val="Pieddepage"/>
      </w:pPr>
    </w:p>
  </w:endnote>
  <w:endnote w:type="continuationNotice" w:id="1">
    <w:p w14:paraId="3DBA4807" w14:textId="77777777" w:rsidR="002D38E7" w:rsidRDefault="002D38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9E017" w14:textId="23B6CBCE" w:rsidR="0046740A" w:rsidRPr="0046740A" w:rsidRDefault="0046740A" w:rsidP="0046740A">
    <w:pPr>
      <w:pStyle w:val="Pieddepage"/>
      <w:tabs>
        <w:tab w:val="right" w:pos="9638"/>
      </w:tabs>
    </w:pPr>
    <w:r w:rsidRPr="0046740A">
      <w:rPr>
        <w:b/>
        <w:sz w:val="18"/>
      </w:rPr>
      <w:fldChar w:fldCharType="begin"/>
    </w:r>
    <w:r w:rsidRPr="0046740A">
      <w:rPr>
        <w:b/>
        <w:sz w:val="18"/>
      </w:rPr>
      <w:instrText xml:space="preserve"> PAGE  \* MERGEFORMAT </w:instrText>
    </w:r>
    <w:r w:rsidRPr="0046740A">
      <w:rPr>
        <w:b/>
        <w:sz w:val="18"/>
      </w:rPr>
      <w:fldChar w:fldCharType="separate"/>
    </w:r>
    <w:r w:rsidRPr="0046740A">
      <w:rPr>
        <w:b/>
        <w:noProof/>
        <w:sz w:val="18"/>
      </w:rPr>
      <w:t>2</w:t>
    </w:r>
    <w:r w:rsidRPr="0046740A">
      <w:rPr>
        <w:b/>
        <w:sz w:val="18"/>
      </w:rPr>
      <w:fldChar w:fldCharType="end"/>
    </w:r>
    <w:r>
      <w:rPr>
        <w:b/>
        <w:sz w:val="18"/>
      </w:rPr>
      <w:tab/>
    </w:r>
    <w:r>
      <w:t>GE.22-03562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F4730" w14:textId="134DCC12" w:rsidR="0046740A" w:rsidRPr="0046740A" w:rsidRDefault="0046740A" w:rsidP="0046740A">
    <w:pPr>
      <w:pStyle w:val="Pieddepage"/>
      <w:tabs>
        <w:tab w:val="right" w:pos="9638"/>
      </w:tabs>
      <w:rPr>
        <w:b/>
        <w:sz w:val="18"/>
      </w:rPr>
    </w:pPr>
    <w:r>
      <w:t>GE.22-03562</w:t>
    </w:r>
    <w:r>
      <w:tab/>
    </w:r>
    <w:r w:rsidRPr="0046740A">
      <w:rPr>
        <w:b/>
        <w:sz w:val="18"/>
      </w:rPr>
      <w:fldChar w:fldCharType="begin"/>
    </w:r>
    <w:r w:rsidRPr="0046740A">
      <w:rPr>
        <w:b/>
        <w:sz w:val="18"/>
      </w:rPr>
      <w:instrText xml:space="preserve"> PAGE  \* MERGEFORMAT </w:instrText>
    </w:r>
    <w:r w:rsidRPr="0046740A">
      <w:rPr>
        <w:b/>
        <w:sz w:val="18"/>
      </w:rPr>
      <w:fldChar w:fldCharType="separate"/>
    </w:r>
    <w:r w:rsidRPr="0046740A">
      <w:rPr>
        <w:b/>
        <w:noProof/>
        <w:sz w:val="18"/>
      </w:rPr>
      <w:t>3</w:t>
    </w:r>
    <w:r w:rsidRPr="0046740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F2655" w14:textId="30C79BC4" w:rsidR="002D14A3" w:rsidRPr="0046740A" w:rsidRDefault="0046740A" w:rsidP="0046740A">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4241B00B" wp14:editId="426A454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22-03562  (F)</w:t>
    </w:r>
    <w:r>
      <w:rPr>
        <w:noProof/>
        <w:sz w:val="20"/>
      </w:rPr>
      <w:drawing>
        <wp:anchor distT="0" distB="0" distL="114300" distR="114300" simplePos="0" relativeHeight="251660288" behindDoc="0" locked="0" layoutInCell="1" allowOverlap="1" wp14:anchorId="212D3BFA" wp14:editId="6E4081C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160822    160822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9018F" w14:textId="77777777" w:rsidR="002D38E7" w:rsidRPr="00AC3823" w:rsidRDefault="002D38E7" w:rsidP="00AC3823">
      <w:pPr>
        <w:pStyle w:val="Pieddepage"/>
        <w:tabs>
          <w:tab w:val="right" w:pos="2155"/>
        </w:tabs>
        <w:spacing w:after="80" w:line="240" w:lineRule="atLeast"/>
        <w:ind w:left="680"/>
        <w:rPr>
          <w:u w:val="single"/>
        </w:rPr>
      </w:pPr>
      <w:r>
        <w:rPr>
          <w:u w:val="single"/>
        </w:rPr>
        <w:tab/>
      </w:r>
    </w:p>
  </w:footnote>
  <w:footnote w:type="continuationSeparator" w:id="0">
    <w:p w14:paraId="3E8E9537" w14:textId="77777777" w:rsidR="002D38E7" w:rsidRPr="00AC3823" w:rsidRDefault="002D38E7" w:rsidP="00AC3823">
      <w:pPr>
        <w:pStyle w:val="Pieddepage"/>
        <w:tabs>
          <w:tab w:val="right" w:pos="2155"/>
        </w:tabs>
        <w:spacing w:after="80" w:line="240" w:lineRule="atLeast"/>
        <w:ind w:left="680"/>
        <w:rPr>
          <w:u w:val="single"/>
        </w:rPr>
      </w:pPr>
      <w:r>
        <w:rPr>
          <w:u w:val="single"/>
        </w:rPr>
        <w:tab/>
      </w:r>
    </w:p>
  </w:footnote>
  <w:footnote w:type="continuationNotice" w:id="1">
    <w:p w14:paraId="203F2172" w14:textId="77777777" w:rsidR="002D38E7" w:rsidRPr="00AC3823" w:rsidRDefault="002D38E7">
      <w:pPr>
        <w:spacing w:line="240" w:lineRule="auto"/>
        <w:rPr>
          <w:sz w:val="2"/>
          <w:szCs w:val="2"/>
        </w:rPr>
      </w:pPr>
    </w:p>
  </w:footnote>
  <w:footnote w:id="2">
    <w:p w14:paraId="4AAEA497" w14:textId="77777777" w:rsidR="0046740A" w:rsidRPr="00441E35" w:rsidRDefault="0046740A" w:rsidP="0046740A">
      <w:pPr>
        <w:pStyle w:val="Notedebasdepage"/>
        <w:rPr>
          <w:lang w:val="fr-FR"/>
        </w:rPr>
      </w:pPr>
      <w:r>
        <w:rPr>
          <w:lang w:val="fr-FR"/>
        </w:rPr>
        <w:tab/>
      </w:r>
      <w:r w:rsidRPr="00334D93">
        <w:rPr>
          <w:sz w:val="20"/>
          <w:lang w:val="fr-FR"/>
        </w:rPr>
        <w:t>*</w:t>
      </w:r>
      <w:r>
        <w:rPr>
          <w:lang w:val="fr-FR"/>
        </w:rPr>
        <w:tab/>
        <w:t>Adoptée par le Comité à sa quatre-vingt-neuvième session (31 janvier-11 février 2022).</w:t>
      </w:r>
    </w:p>
  </w:footnote>
  <w:footnote w:id="3">
    <w:p w14:paraId="28ED0E9F" w14:textId="4316673A" w:rsidR="0046740A" w:rsidRPr="00441E35" w:rsidRDefault="0046740A" w:rsidP="0046740A">
      <w:pPr>
        <w:pStyle w:val="Notedebasdepage"/>
        <w:rPr>
          <w:lang w:val="fr-FR"/>
        </w:rPr>
      </w:pPr>
      <w:r>
        <w:rPr>
          <w:lang w:val="fr-FR"/>
        </w:rPr>
        <w:tab/>
      </w:r>
      <w:r w:rsidRPr="00334D93">
        <w:rPr>
          <w:sz w:val="20"/>
          <w:lang w:val="fr-FR"/>
        </w:rPr>
        <w:t>**</w:t>
      </w:r>
      <w:r>
        <w:rPr>
          <w:lang w:val="fr-FR"/>
        </w:rPr>
        <w:tab/>
        <w:t>Les membres du Comité dont le nom suit ont participé à l’examen de la communication</w:t>
      </w:r>
      <w:r w:rsidR="00334D93">
        <w:rPr>
          <w:lang w:val="fr-FR"/>
        </w:rPr>
        <w:t> </w:t>
      </w:r>
      <w:r>
        <w:rPr>
          <w:lang w:val="fr-FR"/>
        </w:rPr>
        <w:t>: Suzanne</w:t>
      </w:r>
      <w:r w:rsidR="00334D93">
        <w:rPr>
          <w:lang w:val="fr-FR"/>
        </w:rPr>
        <w:t> </w:t>
      </w:r>
      <w:r>
        <w:rPr>
          <w:lang w:val="fr-FR"/>
        </w:rPr>
        <w:t>Aho, Hynd Ayoubi Idrissi, Rinchen Chophel, Bragi Gudbrandsson, Philip Jaffé, Sopio</w:t>
      </w:r>
      <w:r w:rsidR="00334D93">
        <w:rPr>
          <w:lang w:val="fr-FR"/>
        </w:rPr>
        <w:t> </w:t>
      </w:r>
      <w:r>
        <w:rPr>
          <w:lang w:val="fr-FR"/>
        </w:rPr>
        <w:t xml:space="preserve">Kiladze, Gehad Madi, Benyam Dawit Mezmur, Clarence Nelson, Otani Mikiko, </w:t>
      </w:r>
      <w:r w:rsidR="00334D93">
        <w:rPr>
          <w:lang w:val="fr-FR"/>
        </w:rPr>
        <w:br/>
      </w:r>
      <w:r>
        <w:rPr>
          <w:lang w:val="fr-FR"/>
        </w:rPr>
        <w:t>Luis Ernesto Pedernera Reyna, Zara Ratou, José Ángel Rodríguez Reyes, Ann Marie Skelton, Velina</w:t>
      </w:r>
      <w:r w:rsidR="00334D93">
        <w:rPr>
          <w:lang w:val="fr-FR"/>
        </w:rPr>
        <w:t> </w:t>
      </w:r>
      <w:r>
        <w:rPr>
          <w:lang w:val="fr-FR"/>
        </w:rPr>
        <w:t>Todorova et Benoit Van Keirsbilck.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9A73E" w14:textId="2BD8F2DF" w:rsidR="0046740A" w:rsidRPr="0046740A" w:rsidRDefault="0046740A">
    <w:pPr>
      <w:pStyle w:val="En-tte"/>
    </w:pPr>
    <w:fldSimple w:instr=" TITLE  \* MERGEFORMAT ">
      <w:r>
        <w:t>CRC/C/89/D/78/2019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342C5" w14:textId="73974E9D" w:rsidR="0046740A" w:rsidRPr="0046740A" w:rsidRDefault="0046740A" w:rsidP="0046740A">
    <w:pPr>
      <w:pStyle w:val="En-tte"/>
      <w:jc w:val="right"/>
    </w:pPr>
    <w:fldSimple w:instr=" TITLE  \* MERGEFORMAT ">
      <w:r>
        <w:t>CRC/C/89/D/78/2019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revisionView w:comment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8E7"/>
    <w:rsid w:val="00017F94"/>
    <w:rsid w:val="00023842"/>
    <w:rsid w:val="00023F0E"/>
    <w:rsid w:val="000334F9"/>
    <w:rsid w:val="000354E9"/>
    <w:rsid w:val="0007796D"/>
    <w:rsid w:val="000B7790"/>
    <w:rsid w:val="00111F2F"/>
    <w:rsid w:val="0014365E"/>
    <w:rsid w:val="00176178"/>
    <w:rsid w:val="001F525A"/>
    <w:rsid w:val="00223272"/>
    <w:rsid w:val="0024779E"/>
    <w:rsid w:val="00260A30"/>
    <w:rsid w:val="002D14A3"/>
    <w:rsid w:val="002D38E7"/>
    <w:rsid w:val="00311E81"/>
    <w:rsid w:val="00334D93"/>
    <w:rsid w:val="00340ED0"/>
    <w:rsid w:val="00411C8E"/>
    <w:rsid w:val="00446FE5"/>
    <w:rsid w:val="00452396"/>
    <w:rsid w:val="0046740A"/>
    <w:rsid w:val="00485B35"/>
    <w:rsid w:val="004D7A2C"/>
    <w:rsid w:val="005505B7"/>
    <w:rsid w:val="00573BE5"/>
    <w:rsid w:val="00586ED3"/>
    <w:rsid w:val="00596AA9"/>
    <w:rsid w:val="0071601D"/>
    <w:rsid w:val="007341B7"/>
    <w:rsid w:val="00760CBC"/>
    <w:rsid w:val="007A62E6"/>
    <w:rsid w:val="007F61AD"/>
    <w:rsid w:val="0080684C"/>
    <w:rsid w:val="00840413"/>
    <w:rsid w:val="00871C75"/>
    <w:rsid w:val="008776DC"/>
    <w:rsid w:val="008C54BD"/>
    <w:rsid w:val="008F3CA0"/>
    <w:rsid w:val="00943F2A"/>
    <w:rsid w:val="009705C8"/>
    <w:rsid w:val="00A30353"/>
    <w:rsid w:val="00AC3823"/>
    <w:rsid w:val="00AE323C"/>
    <w:rsid w:val="00B00181"/>
    <w:rsid w:val="00B24A9B"/>
    <w:rsid w:val="00B765F7"/>
    <w:rsid w:val="00BA0CA9"/>
    <w:rsid w:val="00C02897"/>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F19165F"/>
  <w15:docId w15:val="{64630459-A6CA-4D5F-BD31-E5AF87D4A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Footnote number,ftref,Footnotes refss"/>
    <w:basedOn w:val="Policepardfaut"/>
    <w:uiPriority w:val="99"/>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 Char Char Char Char,Footnote Text Char Char Char Char,Footnote reference,FA Fu,Footnote Text Char Char Char,Footnote Text Char1 Char1,Footnote Text Char1 Char Char Char Char, Char,Footnote Reference1,Char"/>
    <w:basedOn w:val="Normal"/>
    <w:link w:val="NotedebasdepageCar"/>
    <w:uiPriority w:val="99"/>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Text Char1 Char1 Car,Footnote Text Char1 Char Char Char Char Car"/>
    <w:basedOn w:val="Policepardfaut"/>
    <w:link w:val="Notedebasdepage"/>
    <w:uiPriority w:val="99"/>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46740A"/>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4</TotalTime>
  <Pages>2</Pages>
  <Words>827</Words>
  <Characters>4029</Characters>
  <Application>Microsoft Office Word</Application>
  <DocSecurity>0</DocSecurity>
  <Lines>77</Lines>
  <Paragraphs>27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CRC/C/89/D/78/2019</dc:title>
  <dc:subject/>
  <dc:creator>Sandrine CLERE</dc:creator>
  <cp:keywords/>
  <cp:lastModifiedBy>Sandrine Clere</cp:lastModifiedBy>
  <cp:revision>2</cp:revision>
  <cp:lastPrinted>2014-05-14T10:59:00Z</cp:lastPrinted>
  <dcterms:created xsi:type="dcterms:W3CDTF">2022-08-16T12:11:00Z</dcterms:created>
  <dcterms:modified xsi:type="dcterms:W3CDTF">2022-08-16T12:11:00Z</dcterms:modified>
</cp:coreProperties>
</file>