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B92365">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81C2C" w:rsidP="00381C2C">
            <w:pPr>
              <w:jc w:val="right"/>
            </w:pPr>
            <w:r w:rsidRPr="00381C2C">
              <w:rPr>
                <w:sz w:val="40"/>
              </w:rPr>
              <w:t>E</w:t>
            </w:r>
            <w:r>
              <w:t>/C.12/ROU/Q/3-5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81C2C" w:rsidRDefault="00381C2C" w:rsidP="00F01516">
            <w:pPr>
              <w:spacing w:before="240"/>
            </w:pPr>
            <w:r>
              <w:t>Distr. générale</w:t>
            </w:r>
          </w:p>
          <w:p w:rsidR="00381C2C" w:rsidRDefault="00381C2C" w:rsidP="00381C2C">
            <w:pPr>
              <w:spacing w:line="240" w:lineRule="exact"/>
            </w:pPr>
            <w:r>
              <w:t>20 juin 2014</w:t>
            </w:r>
          </w:p>
          <w:p w:rsidR="00381C2C" w:rsidRDefault="00381C2C" w:rsidP="00381C2C">
            <w:pPr>
              <w:spacing w:line="240" w:lineRule="exact"/>
            </w:pPr>
            <w:r>
              <w:t>Français</w:t>
            </w:r>
          </w:p>
          <w:p w:rsidR="003D1DF3" w:rsidRPr="00DB58B5" w:rsidRDefault="00381C2C" w:rsidP="00381C2C">
            <w:pPr>
              <w:spacing w:line="240" w:lineRule="exact"/>
            </w:pPr>
            <w:r>
              <w:t>Original: anglais</w:t>
            </w:r>
          </w:p>
        </w:tc>
      </w:tr>
    </w:tbl>
    <w:p w:rsidR="00FF1DBD" w:rsidRPr="00532DE9" w:rsidRDefault="00B92365" w:rsidP="00532DE9">
      <w:pPr>
        <w:spacing w:before="120"/>
        <w:rPr>
          <w:sz w:val="24"/>
          <w:szCs w:val="24"/>
        </w:rPr>
      </w:pPr>
      <w:r w:rsidRPr="00532DE9">
        <w:rPr>
          <w:rFonts w:eastAsia="SimHei"/>
          <w:b/>
          <w:sz w:val="24"/>
          <w:szCs w:val="24"/>
        </w:rPr>
        <w:t>Comité des droits économiques, sociaux et culturels</w:t>
      </w:r>
    </w:p>
    <w:p w:rsidR="00B92365" w:rsidRPr="00F30EE2" w:rsidRDefault="00B92365" w:rsidP="00762C26">
      <w:pPr>
        <w:pStyle w:val="HChG"/>
      </w:pPr>
      <w:r w:rsidRPr="00F30EE2">
        <w:tab/>
      </w:r>
      <w:r w:rsidRPr="00F30EE2">
        <w:tab/>
      </w:r>
      <w:r>
        <w:t xml:space="preserve">Liste de points concernant les troisième, quatrième et cinquième rapports périodiques de la Roumanie </w:t>
      </w:r>
      <w:r w:rsidR="00762C26">
        <w:br/>
      </w:r>
      <w:r w:rsidR="001C272F">
        <w:t>présentés</w:t>
      </w:r>
      <w:r>
        <w:t xml:space="preserve"> en un seul document</w:t>
      </w:r>
      <w:r w:rsidR="00762C26" w:rsidRPr="000C0217">
        <w:rPr>
          <w:rStyle w:val="FootnoteReference"/>
          <w:b w:val="0"/>
          <w:sz w:val="20"/>
          <w:vertAlign w:val="baseline"/>
        </w:rPr>
        <w:footnoteReference w:customMarkFollows="1" w:id="2"/>
        <w:t>*</w:t>
      </w:r>
    </w:p>
    <w:p w:rsidR="00B92365" w:rsidRDefault="00B92365" w:rsidP="00762C26">
      <w:pPr>
        <w:pStyle w:val="HChG"/>
      </w:pPr>
      <w:r>
        <w:tab/>
        <w:t>I.</w:t>
      </w:r>
      <w:r w:rsidR="000C0217">
        <w:tab/>
        <w:t>Renseignements d’ordre général</w:t>
      </w:r>
    </w:p>
    <w:p w:rsidR="00B92365" w:rsidRPr="00F30EE2" w:rsidRDefault="00B92365" w:rsidP="00762C26">
      <w:pPr>
        <w:pStyle w:val="ParNoG"/>
        <w:rPr>
          <w:lang w:val="en-US"/>
        </w:rPr>
      </w:pPr>
      <w:r>
        <w:t>Donner des exemples d’affaires dans lesquelles les dispositions du Pacte ont été invoquées devant les tribunaux et</w:t>
      </w:r>
      <w:r w:rsidRPr="00765821">
        <w:t>/ou</w:t>
      </w:r>
      <w:r>
        <w:t xml:space="preserve"> appliquées par ces derniers.</w:t>
      </w:r>
    </w:p>
    <w:p w:rsidR="00B92365" w:rsidRDefault="00B92365" w:rsidP="000C0217">
      <w:pPr>
        <w:pStyle w:val="ParNoG"/>
        <w:rPr>
          <w:lang w:val="en-US"/>
        </w:rPr>
      </w:pPr>
      <w:r>
        <w:t xml:space="preserve">Fournir des informations sur les mesures prises pour </w:t>
      </w:r>
      <w:r w:rsidR="00D06EC2">
        <w:t>mettre le B</w:t>
      </w:r>
      <w:r>
        <w:t xml:space="preserve">ureau de l’Avocat du peuple </w:t>
      </w:r>
      <w:r w:rsidR="0050651C">
        <w:t>en conformité</w:t>
      </w:r>
      <w:r>
        <w:t xml:space="preserve"> </w:t>
      </w:r>
      <w:r w:rsidR="0050651C">
        <w:t xml:space="preserve">avec les </w:t>
      </w:r>
      <w:r>
        <w:t>Principes concernant le statut des institutions nationales pour la promotion et la protection des droits de l’homme (Principes de Paris). Indiquer également si cette institution dispose de ressources humaines et financières suffisantes.</w:t>
      </w:r>
    </w:p>
    <w:p w:rsidR="00B92365" w:rsidRPr="00F30EE2" w:rsidRDefault="00B92365" w:rsidP="000C0217">
      <w:pPr>
        <w:pStyle w:val="ParNoG"/>
        <w:rPr>
          <w:lang w:val="en-US"/>
        </w:rPr>
      </w:pPr>
      <w:r w:rsidRPr="00765821">
        <w:t>Indiquer au Comité si l</w:t>
      </w:r>
      <w:r>
        <w:t>’</w:t>
      </w:r>
      <w:r w:rsidRPr="00765821">
        <w:t xml:space="preserve">État partie </w:t>
      </w:r>
      <w:r w:rsidR="001E03C7">
        <w:t>considère que</w:t>
      </w:r>
      <w:r w:rsidRPr="00765821">
        <w:t xml:space="preserve"> la déclaration qu</w:t>
      </w:r>
      <w:r>
        <w:t>’</w:t>
      </w:r>
      <w:r w:rsidRPr="00765821">
        <w:t>il a faite au mom</w:t>
      </w:r>
      <w:r w:rsidR="001E03C7">
        <w:t>ent de la ratification du Pacte</w:t>
      </w:r>
      <w:r w:rsidRPr="00765821">
        <w:t xml:space="preserve"> au sujet du paragraphe 1 de l</w:t>
      </w:r>
      <w:r>
        <w:t>’</w:t>
      </w:r>
      <w:r w:rsidRPr="00765821">
        <w:t>article 26</w:t>
      </w:r>
      <w:r w:rsidR="001E03C7">
        <w:t xml:space="preserve"> demeure pertinente</w:t>
      </w:r>
      <w:r w:rsidRPr="00765821">
        <w:t xml:space="preserve"> ou s</w:t>
      </w:r>
      <w:r>
        <w:t>’</w:t>
      </w:r>
      <w:r w:rsidRPr="00765821">
        <w:t xml:space="preserve">il envisage de la </w:t>
      </w:r>
      <w:r w:rsidR="001E03C7">
        <w:t>retirer</w:t>
      </w:r>
      <w:r w:rsidRPr="00403194">
        <w:t>.</w:t>
      </w:r>
    </w:p>
    <w:p w:rsidR="00B92365" w:rsidRPr="00F7085F" w:rsidRDefault="00B92365" w:rsidP="006F3AE2">
      <w:pPr>
        <w:pStyle w:val="HChG"/>
      </w:pPr>
      <w:r>
        <w:tab/>
        <w:t>II.</w:t>
      </w:r>
      <w:r>
        <w:tab/>
        <w:t xml:space="preserve">Points relatifs aux dispositions générales du Pacte </w:t>
      </w:r>
      <w:r w:rsidR="006F3AE2">
        <w:br/>
      </w:r>
      <w:r>
        <w:t>(art. 1</w:t>
      </w:r>
      <w:r w:rsidRPr="001E6A05">
        <w:rPr>
          <w:vertAlign w:val="superscript"/>
        </w:rPr>
        <w:t>er</w:t>
      </w:r>
      <w:r w:rsidR="006F3AE2">
        <w:t xml:space="preserve"> à </w:t>
      </w:r>
      <w:r>
        <w:t>5)</w:t>
      </w:r>
    </w:p>
    <w:p w:rsidR="00B92365" w:rsidRPr="00F30EE2" w:rsidRDefault="00B92365" w:rsidP="006F3AE2">
      <w:pPr>
        <w:pStyle w:val="H1G"/>
      </w:pPr>
      <w:r>
        <w:tab/>
      </w:r>
      <w:r>
        <w:tab/>
        <w:t>Article </w:t>
      </w:r>
      <w:r w:rsidRPr="00F30EE2">
        <w:t>2, paragraph</w:t>
      </w:r>
      <w:r>
        <w:t>e </w:t>
      </w:r>
      <w:r w:rsidR="00D06DC5">
        <w:t>1</w:t>
      </w:r>
      <w:r w:rsidR="00D06DC5">
        <w:br/>
      </w:r>
      <w:r w:rsidRPr="001E6A05">
        <w:t>Obligation d</w:t>
      </w:r>
      <w:r>
        <w:t>’</w:t>
      </w:r>
      <w:r w:rsidRPr="001E6A05">
        <w:t xml:space="preserve">agir au maximum </w:t>
      </w:r>
      <w:r w:rsidR="006F3AE2">
        <w:t>de ses ressources disponibles</w:t>
      </w:r>
    </w:p>
    <w:p w:rsidR="00B92365" w:rsidRPr="002B6D90" w:rsidRDefault="00B92365" w:rsidP="000C0217">
      <w:pPr>
        <w:pStyle w:val="ParNoG"/>
      </w:pPr>
      <w:r>
        <w:t>Fournir des informations sur les mesures concrètes qui ont été prises dans le cadre de la Stratégi</w:t>
      </w:r>
      <w:r w:rsidR="00A87EB1">
        <w:t>e nationale anticorruption 2012</w:t>
      </w:r>
      <w:r w:rsidR="00A87EB1">
        <w:noBreakHyphen/>
      </w:r>
      <w:r>
        <w:t xml:space="preserve">2015 pour </w:t>
      </w:r>
      <w:r w:rsidR="00A87EB1">
        <w:t xml:space="preserve">réagir </w:t>
      </w:r>
      <w:r>
        <w:t xml:space="preserve">aux </w:t>
      </w:r>
      <w:r w:rsidR="00A87EB1">
        <w:t xml:space="preserve">allégations </w:t>
      </w:r>
      <w:r>
        <w:t xml:space="preserve">de corruption et sur les répercussions de ces mesures, </w:t>
      </w:r>
      <w:r w:rsidRPr="00765821">
        <w:t>ainsi que sur la protection accordée aux personnes qui signalent des cas de corruption</w:t>
      </w:r>
      <w:r>
        <w:t xml:space="preserve">. </w:t>
      </w:r>
    </w:p>
    <w:p w:rsidR="00B92365" w:rsidRPr="00F30EE2" w:rsidRDefault="00B92365" w:rsidP="00D06DC5">
      <w:pPr>
        <w:pStyle w:val="H1G"/>
        <w:rPr>
          <w:rFonts w:eastAsia="Calibri"/>
        </w:rPr>
      </w:pPr>
      <w:r>
        <w:rPr>
          <w:rFonts w:eastAsia="Calibri"/>
        </w:rPr>
        <w:tab/>
      </w:r>
      <w:r w:rsidR="00D06DC5">
        <w:rPr>
          <w:rFonts w:eastAsia="Calibri"/>
        </w:rPr>
        <w:tab/>
        <w:t>Article 2, paragraphe 2</w:t>
      </w:r>
      <w:r w:rsidR="00D06DC5">
        <w:rPr>
          <w:rFonts w:eastAsia="Calibri"/>
        </w:rPr>
        <w:br/>
      </w:r>
      <w:r>
        <w:rPr>
          <w:rFonts w:eastAsia="Calibri"/>
        </w:rPr>
        <w:t>Non-</w:t>
      </w:r>
      <w:r w:rsidRPr="00F7085F">
        <w:rPr>
          <w:rFonts w:eastAsia="Calibri"/>
        </w:rPr>
        <w:t>discrimination</w:t>
      </w:r>
    </w:p>
    <w:p w:rsidR="00B92365" w:rsidRPr="00F30EE2" w:rsidRDefault="00B92365" w:rsidP="000C0217">
      <w:pPr>
        <w:pStyle w:val="ParNoG"/>
      </w:pPr>
      <w:r>
        <w:t>Indiquer les mesures concrètes que l’État partie a prises pour garantir, en droit et dans la pratique, l’égalité de traitement des groupes les plus défavorisés et marginalisés, y</w:t>
      </w:r>
      <w:r w:rsidR="000E6C12">
        <w:t> </w:t>
      </w:r>
      <w:r>
        <w:t xml:space="preserve">compris les Roms, dans tous les secteurs de la société. Donner des renseignements à jour sur les principales activités mises en place dans le cadre de la «Stratégie d’intégration des citoyens roumains appartenant à la minorité rom 2012-2020» et sur les résultats obtenus </w:t>
      </w:r>
      <w:r w:rsidR="00EA4401">
        <w:t>et</w:t>
      </w:r>
      <w:r>
        <w:t xml:space="preserve"> les obstacles rencontrés.</w:t>
      </w:r>
    </w:p>
    <w:p w:rsidR="00B92365" w:rsidRPr="00F30EE2" w:rsidRDefault="00B92365" w:rsidP="000C0217">
      <w:pPr>
        <w:pStyle w:val="ParNoG"/>
        <w:rPr>
          <w:lang w:val="en-US"/>
        </w:rPr>
      </w:pPr>
      <w:r>
        <w:t xml:space="preserve">Fournir des informations sur </w:t>
      </w:r>
      <w:r w:rsidR="00EA4401">
        <w:t>la possibilité d’augmenter le nombre de</w:t>
      </w:r>
      <w:r>
        <w:t xml:space="preserve"> centres d’accueil </w:t>
      </w:r>
      <w:r w:rsidR="00EA4401">
        <w:t>pour les</w:t>
      </w:r>
      <w:r>
        <w:t xml:space="preserve"> demandeurs d’asile </w:t>
      </w:r>
      <w:r w:rsidR="00EA4401">
        <w:t xml:space="preserve">relevant </w:t>
      </w:r>
      <w:r>
        <w:t>des autorités roumaines d</w:t>
      </w:r>
      <w:r w:rsidR="005160C0">
        <w:t>e l</w:t>
      </w:r>
      <w:r>
        <w:t xml:space="preserve">’immigration, de sorte </w:t>
      </w:r>
      <w:r w:rsidR="002D4DC6">
        <w:t>à garantir aux</w:t>
      </w:r>
      <w:r>
        <w:t xml:space="preserve"> demandeurs d’asile </w:t>
      </w:r>
      <w:r w:rsidR="002D4DC6">
        <w:t>un hébergement et des services de base, y</w:t>
      </w:r>
      <w:r w:rsidR="000E6C12">
        <w:t> </w:t>
      </w:r>
      <w:r w:rsidR="002D4DC6">
        <w:t xml:space="preserve">compris </w:t>
      </w:r>
      <w:r>
        <w:t>une assistance psychologique et de</w:t>
      </w:r>
      <w:r w:rsidR="002D4DC6">
        <w:t>s</w:t>
      </w:r>
      <w:r>
        <w:t xml:space="preserve"> services médicaux. Expliquer si les enfants des demandeurs d’asile </w:t>
      </w:r>
      <w:r w:rsidR="000771DC">
        <w:t>sont admis dans les</w:t>
      </w:r>
      <w:r>
        <w:t xml:space="preserve"> établissements d’enseignement primaire et secondaire sans restriction.</w:t>
      </w:r>
    </w:p>
    <w:p w:rsidR="00B92365" w:rsidRPr="00F30EE2" w:rsidRDefault="00B92365" w:rsidP="000C0217">
      <w:pPr>
        <w:pStyle w:val="ParNoG"/>
        <w:rPr>
          <w:lang w:val="en-US"/>
        </w:rPr>
      </w:pPr>
      <w:r>
        <w:t xml:space="preserve">Indiquer les mesures prises pour lutter contre la discrimination </w:t>
      </w:r>
      <w:r w:rsidR="00437F8D">
        <w:t xml:space="preserve">sociale </w:t>
      </w:r>
      <w:r>
        <w:t>fondée sur l’orientation sexuelle, y</w:t>
      </w:r>
      <w:r w:rsidR="000E6C12">
        <w:t> </w:t>
      </w:r>
      <w:r>
        <w:t>compris dans l’enseignement public et dans le système de soins de</w:t>
      </w:r>
      <w:r w:rsidR="000E6C12">
        <w:t> </w:t>
      </w:r>
      <w:r>
        <w:t>santé.</w:t>
      </w:r>
    </w:p>
    <w:p w:rsidR="00B92365" w:rsidRPr="00F30EE2" w:rsidRDefault="00B92365" w:rsidP="00D06DC5">
      <w:pPr>
        <w:pStyle w:val="H1G"/>
      </w:pPr>
      <w:r w:rsidRPr="00F30EE2">
        <w:tab/>
      </w:r>
      <w:r w:rsidRPr="00F30EE2">
        <w:tab/>
      </w:r>
      <w:r w:rsidRPr="00125ABC">
        <w:t>Article</w:t>
      </w:r>
      <w:r w:rsidR="00D06DC5">
        <w:t> 3</w:t>
      </w:r>
      <w:r w:rsidR="00FA6011">
        <w:br/>
      </w:r>
      <w:r>
        <w:t xml:space="preserve">Égalité des droits des hommes et des femmes </w:t>
      </w:r>
    </w:p>
    <w:p w:rsidR="00B92365" w:rsidRPr="00F30EE2" w:rsidRDefault="00B92365" w:rsidP="000C0217">
      <w:pPr>
        <w:pStyle w:val="ParNoG"/>
        <w:rPr>
          <w:lang w:val="en-US"/>
        </w:rPr>
      </w:pPr>
      <w:r>
        <w:t>Fournir des informations sur les résultats concrets des activités entreprises dans le</w:t>
      </w:r>
      <w:r w:rsidR="000E6C12">
        <w:t> </w:t>
      </w:r>
      <w:r>
        <w:t>cadre de la Stratégie nationale pour l’égalité des chances entre les femmes e</w:t>
      </w:r>
      <w:r w:rsidR="000B5E1F">
        <w:t>t les hommes 2010-2012, qui visaient</w:t>
      </w:r>
      <w:r>
        <w:t xml:space="preserve"> à éliminer la discrimination à l’égard des femmes. Indiquer également si des mesures concrètes ont été prises en vue de renforcer la représentation des femmes dans les secteurs public et privé.</w:t>
      </w:r>
    </w:p>
    <w:p w:rsidR="00B92365" w:rsidRPr="00F30EE2" w:rsidRDefault="00B92365" w:rsidP="002C18B6">
      <w:pPr>
        <w:pStyle w:val="HChG"/>
      </w:pPr>
      <w:r w:rsidRPr="00F30EE2">
        <w:tab/>
        <w:t>III.</w:t>
      </w:r>
      <w:r w:rsidRPr="00F30EE2">
        <w:tab/>
      </w:r>
      <w:r>
        <w:t xml:space="preserve">Points relatifs aux dispositions spécifiques du Pacte </w:t>
      </w:r>
      <w:r w:rsidR="002C18B6">
        <w:br/>
      </w:r>
      <w:r>
        <w:t>(art. 6 à 15)</w:t>
      </w:r>
    </w:p>
    <w:p w:rsidR="00B92365" w:rsidRPr="00F30EE2" w:rsidRDefault="00B92365" w:rsidP="002C18B6">
      <w:pPr>
        <w:pStyle w:val="H1G"/>
        <w:rPr>
          <w:szCs w:val="24"/>
        </w:rPr>
      </w:pPr>
      <w:r>
        <w:tab/>
      </w:r>
      <w:r>
        <w:tab/>
        <w:t>Article </w:t>
      </w:r>
      <w:r w:rsidRPr="00F30EE2">
        <w:t>6</w:t>
      </w:r>
      <w:r w:rsidR="00FA6011">
        <w:br/>
      </w:r>
      <w:r>
        <w:t xml:space="preserve">Droit au travail </w:t>
      </w:r>
    </w:p>
    <w:p w:rsidR="00B92365" w:rsidRPr="00000782" w:rsidRDefault="00B92365" w:rsidP="000C0217">
      <w:pPr>
        <w:pStyle w:val="ParNoG"/>
      </w:pPr>
      <w:r>
        <w:t xml:space="preserve">Fournir des données statistiques comparatives à jour sur l’emploi, ventilées par emploi à temps </w:t>
      </w:r>
      <w:r w:rsidR="002527DD">
        <w:t xml:space="preserve">plein et </w:t>
      </w:r>
      <w:r>
        <w:t>à temps partiel, secteur privé et public, nationalité, zone urbaine et rur</w:t>
      </w:r>
      <w:r w:rsidR="00D8099A">
        <w:t>ale, secteur formel et informel de l’économie,</w:t>
      </w:r>
      <w:r>
        <w:t xml:space="preserve"> sexe et groupe d’âge, </w:t>
      </w:r>
      <w:r w:rsidR="00D8099A">
        <w:t xml:space="preserve">pour la période allant </w:t>
      </w:r>
      <w:r>
        <w:t>de 2009 à 2013. Donner des renseignements sur le taux de chômage des jeunes</w:t>
      </w:r>
      <w:r w:rsidR="00D8099A">
        <w:t>, ainsi que</w:t>
      </w:r>
      <w:r>
        <w:t xml:space="preserve"> sur les politiques et stratégies à long terme mis</w:t>
      </w:r>
      <w:r w:rsidR="00D8099A">
        <w:t>es en place pour lutter contre l</w:t>
      </w:r>
      <w:r>
        <w:t xml:space="preserve">es causes profondes </w:t>
      </w:r>
      <w:r w:rsidR="00D8099A">
        <w:t xml:space="preserve">de ce problème et sur </w:t>
      </w:r>
      <w:r>
        <w:t>les résultats obtenus.</w:t>
      </w:r>
    </w:p>
    <w:p w:rsidR="00B92365" w:rsidRPr="002D4B36" w:rsidRDefault="00B92365" w:rsidP="00141C9E">
      <w:pPr>
        <w:pStyle w:val="H1G"/>
        <w:rPr>
          <w:szCs w:val="24"/>
        </w:rPr>
      </w:pPr>
      <w:r w:rsidRPr="00141C9E">
        <w:rPr>
          <w:lang w:val="en-US"/>
        </w:rPr>
        <w:tab/>
      </w:r>
      <w:r w:rsidRPr="00141C9E">
        <w:rPr>
          <w:lang w:val="en-US"/>
        </w:rPr>
        <w:tab/>
      </w:r>
      <w:r>
        <w:t>Article </w:t>
      </w:r>
      <w:r w:rsidR="00FA6011">
        <w:t>7</w:t>
      </w:r>
      <w:r w:rsidR="00FA6011">
        <w:br/>
      </w:r>
      <w:r>
        <w:t>Droit à des conditions de travail justes</w:t>
      </w:r>
      <w:r w:rsidR="00FA6011">
        <w:t xml:space="preserve"> et favorables</w:t>
      </w:r>
    </w:p>
    <w:p w:rsidR="00B92365" w:rsidRPr="00F30EE2" w:rsidRDefault="00B92365" w:rsidP="000C0217">
      <w:pPr>
        <w:pStyle w:val="ParNoG"/>
      </w:pPr>
      <w:r>
        <w:t xml:space="preserve">Donner des précisions sur les mesures concrètes destinées à réduire les écarts de rémunération </w:t>
      </w:r>
      <w:r w:rsidRPr="00765821">
        <w:t>entre les hommes et les femmes</w:t>
      </w:r>
      <w:r w:rsidR="00CF5C78">
        <w:t xml:space="preserve">, mises en œuvre dans le cadre du </w:t>
      </w:r>
      <w:r>
        <w:t xml:space="preserve">Plan d’action général de la Stratégie nationale pour l’égalité des chances 2010-2012, et sur </w:t>
      </w:r>
      <w:r w:rsidR="00CF5C78">
        <w:t>l’incidence de ces mesures.</w:t>
      </w:r>
    </w:p>
    <w:p w:rsidR="00B92365" w:rsidRPr="00F30EE2" w:rsidRDefault="00B92365" w:rsidP="000C0217">
      <w:pPr>
        <w:pStyle w:val="ParNoG"/>
      </w:pPr>
      <w:r>
        <w:t xml:space="preserve">Informer le Comité des mécanismes </w:t>
      </w:r>
      <w:r w:rsidR="00A9358C">
        <w:t xml:space="preserve">permettant de réviser </w:t>
      </w:r>
      <w:r>
        <w:t xml:space="preserve">le salaire minimum </w:t>
      </w:r>
      <w:r w:rsidR="00A9358C">
        <w:t xml:space="preserve">(établi en 2009) </w:t>
      </w:r>
      <w:r>
        <w:t>en fonction de l’augmentation de l’indice du coût de la vie.</w:t>
      </w:r>
    </w:p>
    <w:p w:rsidR="00B92365" w:rsidRPr="00F30EE2" w:rsidRDefault="00B92365" w:rsidP="00141C9E">
      <w:pPr>
        <w:pStyle w:val="H1G"/>
        <w:rPr>
          <w:szCs w:val="24"/>
        </w:rPr>
      </w:pPr>
      <w:r w:rsidRPr="00F30EE2">
        <w:tab/>
      </w:r>
      <w:r w:rsidRPr="00F30EE2">
        <w:tab/>
        <w:t>Article</w:t>
      </w:r>
      <w:r>
        <w:t> </w:t>
      </w:r>
      <w:r w:rsidRPr="00F30EE2">
        <w:t>8</w:t>
      </w:r>
      <w:r w:rsidR="00141C9E">
        <w:br/>
      </w:r>
      <w:r>
        <w:t xml:space="preserve">Droits syndicaux </w:t>
      </w:r>
    </w:p>
    <w:p w:rsidR="00B92365" w:rsidRPr="00F30EE2" w:rsidRDefault="00B92365" w:rsidP="000C0217">
      <w:pPr>
        <w:pStyle w:val="ParNoG"/>
        <w:rPr>
          <w:i/>
        </w:rPr>
      </w:pPr>
      <w:r>
        <w:t xml:space="preserve">Donner des renseignements sur les mesures concrètes prises pour </w:t>
      </w:r>
      <w:r w:rsidR="00A9358C">
        <w:t xml:space="preserve">prévenir la pratique signalée, consistant pour </w:t>
      </w:r>
      <w:r w:rsidRPr="00765821">
        <w:t>certains</w:t>
      </w:r>
      <w:r>
        <w:t xml:space="preserve"> employeurs </w:t>
      </w:r>
      <w:r w:rsidR="00A9358C">
        <w:t xml:space="preserve">à </w:t>
      </w:r>
      <w:r>
        <w:t xml:space="preserve">subordonner l’embauche </w:t>
      </w:r>
      <w:r w:rsidR="00A9358C">
        <w:t xml:space="preserve">d’un travailleur </w:t>
      </w:r>
      <w:r>
        <w:t xml:space="preserve">à l’engagement </w:t>
      </w:r>
      <w:r w:rsidR="00A9358C">
        <w:t>pris par celui</w:t>
      </w:r>
      <w:r w:rsidR="00A9358C">
        <w:noBreakHyphen/>
        <w:t xml:space="preserve">ci </w:t>
      </w:r>
      <w:r>
        <w:t>de ne pas créer de syndicat ou de ne pas s’affilier à un syndicat. Informer aussi le Comité des mesures qui ont été adoptées pour garantir une protection totale contre les actes de discrimination tendant à porter atteinte à la liberté syndicale.</w:t>
      </w:r>
    </w:p>
    <w:p w:rsidR="00B92365" w:rsidRPr="00F30EE2" w:rsidRDefault="00B92365" w:rsidP="00306D26">
      <w:pPr>
        <w:pStyle w:val="H1G"/>
      </w:pPr>
      <w:r w:rsidRPr="00F30EE2">
        <w:tab/>
      </w:r>
      <w:r w:rsidRPr="00F30EE2">
        <w:tab/>
      </w:r>
      <w:r w:rsidRPr="00125ABC">
        <w:t>Article</w:t>
      </w:r>
      <w:r>
        <w:t> </w:t>
      </w:r>
      <w:r w:rsidR="00306D26">
        <w:t>9</w:t>
      </w:r>
      <w:r w:rsidR="00306D26">
        <w:br/>
      </w:r>
      <w:r>
        <w:t xml:space="preserve">Droit à la sécurité sociale </w:t>
      </w:r>
    </w:p>
    <w:p w:rsidR="00B92365" w:rsidRPr="00F30EE2" w:rsidRDefault="00B92365" w:rsidP="000C0217">
      <w:pPr>
        <w:pStyle w:val="ParNoG"/>
      </w:pPr>
      <w:r>
        <w:t>Décrire les dispositions prises afin d’éviter que les mesures d’austérité adoptées par l’État partie en 2009 et en 2010 pour faire face à la crise économique et financière n’aient des effets disproportionnés sur la situation sociale des groupes les plus défavorisés et les plus marginalisés.</w:t>
      </w:r>
    </w:p>
    <w:p w:rsidR="00B92365" w:rsidRPr="00F30EE2" w:rsidRDefault="00B92365" w:rsidP="00616E44">
      <w:pPr>
        <w:pStyle w:val="H1G"/>
      </w:pPr>
      <w:r w:rsidRPr="00F30EE2">
        <w:tab/>
      </w:r>
      <w:r w:rsidRPr="00F30EE2">
        <w:tab/>
      </w:r>
      <w:r w:rsidR="00616E44">
        <w:t>Article 10</w:t>
      </w:r>
      <w:r w:rsidR="00616E44">
        <w:br/>
      </w:r>
      <w:r>
        <w:t>Protection de la famille, de la mère et de l’enfant</w:t>
      </w:r>
    </w:p>
    <w:p w:rsidR="00B92365" w:rsidRPr="00F30EE2" w:rsidRDefault="00B92365" w:rsidP="000C0217">
      <w:pPr>
        <w:pStyle w:val="ParNoG"/>
      </w:pPr>
      <w:r>
        <w:t xml:space="preserve">Informer le Comité des mesures législatives et pratiques </w:t>
      </w:r>
      <w:r w:rsidR="00536E60">
        <w:t xml:space="preserve">que l’État partie a </w:t>
      </w:r>
      <w:r>
        <w:t>adoptées pour mettre fin à l’exploitation économique des enfants, y</w:t>
      </w:r>
      <w:r w:rsidR="00B405BC">
        <w:t> </w:t>
      </w:r>
      <w:r>
        <w:t>compris ceux qui appartiennent aux groupes les plus défavorisés et marginalisés, en particulier les enfants roms et les enfants qui travaillent et qui vivent dans la rue. Fournir des informations actualisé</w:t>
      </w:r>
      <w:r w:rsidR="00B405BC">
        <w:t>e</w:t>
      </w:r>
      <w:r w:rsidRPr="00765821">
        <w:t>s</w:t>
      </w:r>
      <w:r>
        <w:t xml:space="preserve"> sur les</w:t>
      </w:r>
      <w:r w:rsidR="000E6C12">
        <w:t> </w:t>
      </w:r>
      <w:r>
        <w:t>cas signalés d’exploitation sexuelle d’enfants migrants dans des «maisons closes» à</w:t>
      </w:r>
      <w:r w:rsidR="000E6C12">
        <w:t> </w:t>
      </w:r>
      <w:r>
        <w:t xml:space="preserve">Bucarest, </w:t>
      </w:r>
      <w:r w:rsidR="00B405BC">
        <w:t>notamment</w:t>
      </w:r>
      <w:r>
        <w:t xml:space="preserve"> sur le nombre de cas ayant donné lieu à des enquêtes et à des poursuites.</w:t>
      </w:r>
    </w:p>
    <w:p w:rsidR="00B92365" w:rsidRPr="00F30EE2" w:rsidRDefault="00B92365" w:rsidP="000C0217">
      <w:pPr>
        <w:pStyle w:val="ParNoG"/>
      </w:pPr>
      <w:r>
        <w:t xml:space="preserve">Donner des renseignements à jour sur les mesures prises pour repérer et aider les enfants </w:t>
      </w:r>
      <w:r w:rsidR="003052C6">
        <w:t>laissés en Roumanie</w:t>
      </w:r>
      <w:r>
        <w:t xml:space="preserve"> par leurs parents qui ont émigré, ainsi que sur la possibilité d’augmenter les ressources octroyées aux services municipaux d’assistance sociale.</w:t>
      </w:r>
    </w:p>
    <w:p w:rsidR="00B92365" w:rsidRDefault="00B92365" w:rsidP="000C0217">
      <w:pPr>
        <w:pStyle w:val="ParNoG"/>
        <w:rPr>
          <w:lang w:val="en-US"/>
        </w:rPr>
      </w:pPr>
      <w:r>
        <w:t xml:space="preserve">Fournir des informations sur les mesures législatives </w:t>
      </w:r>
      <w:r w:rsidR="00AF0C65">
        <w:t>que</w:t>
      </w:r>
      <w:r>
        <w:t xml:space="preserve"> l’État partie </w:t>
      </w:r>
      <w:r w:rsidR="00AF0C65">
        <w:t xml:space="preserve">a prises pour </w:t>
      </w:r>
      <w:r>
        <w:t xml:space="preserve">lutter contre la traite des êtres humains, </w:t>
      </w:r>
      <w:r w:rsidR="00AF0C65">
        <w:t xml:space="preserve">sur </w:t>
      </w:r>
      <w:r>
        <w:t xml:space="preserve">les mécanismes mis en place pour en </w:t>
      </w:r>
      <w:r w:rsidR="00AF0C65">
        <w:t>assurer</w:t>
      </w:r>
      <w:r>
        <w:t xml:space="preserve"> la stricte application et </w:t>
      </w:r>
      <w:r w:rsidR="00AF0C65">
        <w:t xml:space="preserve">sur </w:t>
      </w:r>
      <w:r>
        <w:t xml:space="preserve">les résultats obtenus. Communiquer des données actualisées, ventilées par âge, sexe et appartenance ethnique, sur le nombre de plaintes, d’enquêtes, de poursuites et de condamnations </w:t>
      </w:r>
      <w:r w:rsidR="00AF0C65">
        <w:t>en rapport avec</w:t>
      </w:r>
      <w:r>
        <w:t xml:space="preserve"> des affaires de traite d’êtres humains.</w:t>
      </w:r>
    </w:p>
    <w:p w:rsidR="00B92365" w:rsidRPr="00EA3E0E" w:rsidRDefault="00B92365" w:rsidP="000C0217">
      <w:pPr>
        <w:pStyle w:val="ParNoG"/>
        <w:rPr>
          <w:lang w:val="en-US"/>
        </w:rPr>
      </w:pPr>
      <w:r>
        <w:t xml:space="preserve">Donner des renseignements sur la nécessité de maintenir l’aide financière </w:t>
      </w:r>
      <w:r w:rsidR="00FD4623">
        <w:t>pour le</w:t>
      </w:r>
      <w:r w:rsidRPr="00765821">
        <w:t xml:space="preserve"> chauffage accordée aux ménages dans le besoin</w:t>
      </w:r>
      <w:r>
        <w:t xml:space="preserve"> et sur les difficu</w:t>
      </w:r>
      <w:r w:rsidR="00616E44">
        <w:t xml:space="preserve">ltés </w:t>
      </w:r>
      <w:r w:rsidR="00FD4623">
        <w:t>rencontrées pour</w:t>
      </w:r>
      <w:r w:rsidR="00616E44">
        <w:t xml:space="preserve"> poursuivre ce programme</w:t>
      </w:r>
      <w:r>
        <w:t>.</w:t>
      </w:r>
    </w:p>
    <w:p w:rsidR="00B92365" w:rsidRPr="00F30EE2" w:rsidRDefault="00616E44" w:rsidP="00616E44">
      <w:pPr>
        <w:pStyle w:val="H1G"/>
      </w:pPr>
      <w:r>
        <w:tab/>
      </w:r>
      <w:r>
        <w:tab/>
        <w:t>Article 11</w:t>
      </w:r>
      <w:r>
        <w:br/>
      </w:r>
      <w:r w:rsidR="00B92365" w:rsidRPr="000F1BEA">
        <w:t>Droit à un niveau de vie suffisant</w:t>
      </w:r>
      <w:r w:rsidR="00B92365">
        <w:t xml:space="preserve"> </w:t>
      </w:r>
    </w:p>
    <w:p w:rsidR="00B92365" w:rsidRPr="00F30EE2" w:rsidRDefault="00B92365" w:rsidP="000C0217">
      <w:pPr>
        <w:pStyle w:val="ParNoG"/>
      </w:pPr>
      <w:r>
        <w:t xml:space="preserve">Fournir des informations à jour sur </w:t>
      </w:r>
      <w:r w:rsidR="00EE16D0">
        <w:t>l’incidence du</w:t>
      </w:r>
      <w:r>
        <w:t xml:space="preserve"> programme intitulé «Logements sociaux pour les communautés roms» pour ce qui est de l’accès </w:t>
      </w:r>
      <w:r w:rsidR="00EE16D0">
        <w:t xml:space="preserve">effectif </w:t>
      </w:r>
      <w:r>
        <w:t xml:space="preserve">de ces communautés à un logement </w:t>
      </w:r>
      <w:r w:rsidR="00EE16D0">
        <w:t xml:space="preserve">convenable </w:t>
      </w:r>
      <w:r>
        <w:t>et aux services publics, comme l’eau, l’électricité, l’assainissement et le chauffage.</w:t>
      </w:r>
    </w:p>
    <w:p w:rsidR="00B92365" w:rsidRPr="00F30EE2" w:rsidRDefault="00B92365" w:rsidP="000C0217">
      <w:pPr>
        <w:pStyle w:val="ParNoG"/>
      </w:pPr>
      <w:r>
        <w:t xml:space="preserve">Fournir des </w:t>
      </w:r>
      <w:r w:rsidRPr="00765821">
        <w:t>informations</w:t>
      </w:r>
      <w:r>
        <w:t xml:space="preserve"> à jour sur les directives </w:t>
      </w:r>
      <w:r w:rsidRPr="00765821">
        <w:t xml:space="preserve">qui </w:t>
      </w:r>
      <w:r w:rsidR="00F33D1B">
        <w:t>énoncent les conditions dans lesquelles doivent se dérouler les expulsions</w:t>
      </w:r>
      <w:r w:rsidRPr="00765821">
        <w:t xml:space="preserve"> </w:t>
      </w:r>
      <w:r>
        <w:t xml:space="preserve">et </w:t>
      </w:r>
      <w:r w:rsidRPr="00765821">
        <w:t xml:space="preserve">préciser si </w:t>
      </w:r>
      <w:r w:rsidR="00F33D1B">
        <w:t xml:space="preserve">elles sont en </w:t>
      </w:r>
      <w:r>
        <w:t xml:space="preserve">conformité avec l’article 11 du Pacte, </w:t>
      </w:r>
      <w:r w:rsidRPr="00765821">
        <w:t>tel qu</w:t>
      </w:r>
      <w:r>
        <w:t>’</w:t>
      </w:r>
      <w:r w:rsidRPr="00765821">
        <w:t xml:space="preserve">il est </w:t>
      </w:r>
      <w:r w:rsidR="00F33D1B">
        <w:t xml:space="preserve">développé </w:t>
      </w:r>
      <w:r w:rsidR="00C07B83">
        <w:t xml:space="preserve">dans </w:t>
      </w:r>
      <w:r w:rsidR="00F33D1B">
        <w:t xml:space="preserve">l’Observation générale </w:t>
      </w:r>
      <w:r w:rsidR="00F33D1B">
        <w:rPr>
          <w:rFonts w:eastAsia="MS Mincho"/>
        </w:rPr>
        <w:t>n</w:t>
      </w:r>
      <w:r w:rsidR="00F33D1B">
        <w:rPr>
          <w:rFonts w:eastAsia="MS Mincho"/>
          <w:vertAlign w:val="superscript"/>
        </w:rPr>
        <w:t>o</w:t>
      </w:r>
      <w:r w:rsidR="00F33D1B">
        <w:t> </w:t>
      </w:r>
      <w:r>
        <w:t>7 du Comité sur le</w:t>
      </w:r>
      <w:r w:rsidR="000E6C12">
        <w:t> </w:t>
      </w:r>
      <w:r>
        <w:t xml:space="preserve">droit à un logement suffisant. Indiquer quelles mesures </w:t>
      </w:r>
      <w:r w:rsidR="009971BC">
        <w:t>l’État partie a</w:t>
      </w:r>
      <w:r>
        <w:t xml:space="preserve"> prises pour offrir réparation aux personnes </w:t>
      </w:r>
      <w:r w:rsidR="009971BC">
        <w:t>qui ont été l’objet d’expulsions forcées</w:t>
      </w:r>
      <w:r>
        <w:t xml:space="preserve"> à Cluj-Napoca, Baia Mare et Elforie Sud. Préciser de quelle manière la loi relative au logement protège non seulement les locataires mais aussi les personnes qui n’ont aucun titre officiel d’occupation de leur logement.</w:t>
      </w:r>
    </w:p>
    <w:p w:rsidR="00B92365" w:rsidRPr="00F30EE2" w:rsidRDefault="00A52CEF" w:rsidP="000C0217">
      <w:pPr>
        <w:pStyle w:val="ParNoG"/>
      </w:pPr>
      <w:r>
        <w:t>Présenter</w:t>
      </w:r>
      <w:r w:rsidR="00B92365">
        <w:t xml:space="preserve"> les effets des mesures concrètes prises pour garantir l’accès à l’eau potable dans les zones urbaines et rurales. Donner aussi des informations sur la mesure dans laquelle les ménages défavorisés et marginalisés, y compris les communautés roms, ont aussi accès à l’eau potable. Fournir des données ventilées à jour sur le pourcentage de la population roumaine ayant accès au réseau public de distribution d’eau dans les zones urbaines et rurales, y</w:t>
      </w:r>
      <w:r w:rsidR="009A65D0">
        <w:t> </w:t>
      </w:r>
      <w:r w:rsidR="00B92365">
        <w:t>compris les ménages défavorisés et marginalisés.</w:t>
      </w:r>
    </w:p>
    <w:p w:rsidR="00B92365" w:rsidRPr="00F30EE2" w:rsidRDefault="00CE6807" w:rsidP="00CE6807">
      <w:pPr>
        <w:pStyle w:val="H1G"/>
      </w:pPr>
      <w:r>
        <w:tab/>
      </w:r>
      <w:r>
        <w:tab/>
        <w:t>Article 12</w:t>
      </w:r>
      <w:r>
        <w:br/>
      </w:r>
      <w:r w:rsidR="00B92365" w:rsidRPr="007020DC">
        <w:t>Droit à la santé</w:t>
      </w:r>
      <w:r w:rsidR="00B92365">
        <w:t xml:space="preserve"> </w:t>
      </w:r>
    </w:p>
    <w:p w:rsidR="00B92365" w:rsidRPr="00F30EE2" w:rsidRDefault="00B92365" w:rsidP="000C0217">
      <w:pPr>
        <w:pStyle w:val="ParNoG"/>
      </w:pPr>
      <w:r>
        <w:t>Décrire les mesures concrètes prises pour assurer un financement adéquat du système de santé et réduire les inégalités et la corruption dans le secteur de la santé.</w:t>
      </w:r>
    </w:p>
    <w:p w:rsidR="00B92365" w:rsidRPr="00F30EE2" w:rsidRDefault="00B92365" w:rsidP="000C0217">
      <w:pPr>
        <w:pStyle w:val="ParNoG"/>
      </w:pPr>
      <w:r>
        <w:t xml:space="preserve">Fournir des informations sur les mesures concrètes prises pour prévenir la ségrégation dont sont victimes les Roms dans les hôpitaux et commenter les informations selon lesquelles des Roms </w:t>
      </w:r>
      <w:r w:rsidR="009A65D0">
        <w:t>se seraient vu refuser</w:t>
      </w:r>
      <w:r>
        <w:t xml:space="preserve"> un traitement médical et </w:t>
      </w:r>
      <w:r w:rsidR="009A65D0">
        <w:t>celles faisant état de cas de négligence à l’égard de patients roms</w:t>
      </w:r>
      <w:r>
        <w:t>. Expliquer en outre quelles mesures ont été prises suite à ces allégations.</w:t>
      </w:r>
    </w:p>
    <w:p w:rsidR="00B92365" w:rsidRDefault="002C6E13" w:rsidP="000C0217">
      <w:pPr>
        <w:pStyle w:val="ParNoG"/>
      </w:pPr>
      <w:r>
        <w:t>Donner des renseignements sur</w:t>
      </w:r>
      <w:r w:rsidR="00B92365">
        <w:t xml:space="preserve"> les mesures concrètes </w:t>
      </w:r>
      <w:r>
        <w:t xml:space="preserve">qui ont été </w:t>
      </w:r>
      <w:r w:rsidR="00B92365">
        <w:t xml:space="preserve">prises pour faire reculer les taux élevés de mortalité et de malnutrition chez les enfants, notamment dans les régions rurales, et pour s’attaquer aux causes de ces </w:t>
      </w:r>
      <w:r w:rsidR="008A2CC5">
        <w:t>problèmes</w:t>
      </w:r>
      <w:r w:rsidR="00B92365">
        <w:t>.</w:t>
      </w:r>
    </w:p>
    <w:p w:rsidR="00A77161" w:rsidRDefault="00B92365" w:rsidP="000C0217">
      <w:pPr>
        <w:pStyle w:val="ParNoG"/>
      </w:pPr>
      <w:r>
        <w:t xml:space="preserve">Fournir des informations sur les programmes </w:t>
      </w:r>
      <w:r w:rsidR="00A77161">
        <w:t>visant à</w:t>
      </w:r>
      <w:r w:rsidRPr="00765821">
        <w:t xml:space="preserve"> surveiller </w:t>
      </w:r>
      <w:r w:rsidR="006A47CB">
        <w:t xml:space="preserve">la situation en ce qui concerne le VIH/sida et à </w:t>
      </w:r>
      <w:r w:rsidRPr="00765821">
        <w:t xml:space="preserve">prévenir la propagation du </w:t>
      </w:r>
      <w:r w:rsidR="00D03B7D">
        <w:t>virus</w:t>
      </w:r>
      <w:r>
        <w:t xml:space="preserve"> et </w:t>
      </w:r>
      <w:r w:rsidRPr="00765821">
        <w:t>sur</w:t>
      </w:r>
      <w:r>
        <w:t xml:space="preserve"> les mesures prises pour apporter une aide médicale </w:t>
      </w:r>
      <w:r w:rsidRPr="00765821">
        <w:t xml:space="preserve">aux personnes qui sont </w:t>
      </w:r>
      <w:r w:rsidR="007330AF">
        <w:t>touchées par le VIH/sida</w:t>
      </w:r>
      <w:r w:rsidR="001D7AE4">
        <w:t>.</w:t>
      </w:r>
    </w:p>
    <w:p w:rsidR="00B92365" w:rsidRPr="00F30EE2" w:rsidRDefault="00B92365" w:rsidP="000C0217">
      <w:pPr>
        <w:pStyle w:val="ParNoG"/>
      </w:pPr>
      <w:r>
        <w:t xml:space="preserve">Donner des renseignements sur les mesures prises pour prévenir et décourager la consommation de stupéfiants et pour assurer aux toxicomanes l’accès à des traitements et </w:t>
      </w:r>
      <w:r w:rsidR="00696F5A">
        <w:t xml:space="preserve">à des </w:t>
      </w:r>
      <w:r>
        <w:t>programmes de réadaptation.</w:t>
      </w:r>
    </w:p>
    <w:p w:rsidR="00B92365" w:rsidRPr="00F30EE2" w:rsidRDefault="00B92365" w:rsidP="0071749C">
      <w:pPr>
        <w:pStyle w:val="H1G"/>
      </w:pPr>
      <w:r w:rsidRPr="00F30EE2">
        <w:tab/>
      </w:r>
      <w:r w:rsidRPr="00F30EE2">
        <w:tab/>
        <w:t xml:space="preserve">Articles 13 </w:t>
      </w:r>
      <w:r>
        <w:t>et</w:t>
      </w:r>
      <w:r w:rsidR="0071749C">
        <w:t xml:space="preserve"> 14</w:t>
      </w:r>
      <w:r w:rsidR="0071749C">
        <w:br/>
      </w:r>
      <w:r>
        <w:t xml:space="preserve">Droit à l’éducation </w:t>
      </w:r>
    </w:p>
    <w:p w:rsidR="00B92365" w:rsidRPr="00D96091" w:rsidRDefault="00B92365" w:rsidP="000C0217">
      <w:pPr>
        <w:pStyle w:val="ParNoG"/>
      </w:pPr>
      <w:r>
        <w:t xml:space="preserve">Fournir des informations sur les mesures concrètes </w:t>
      </w:r>
      <w:r w:rsidR="00F263E2">
        <w:t>que</w:t>
      </w:r>
      <w:r>
        <w:t xml:space="preserve"> l’État partie </w:t>
      </w:r>
      <w:r w:rsidR="00F263E2">
        <w:t xml:space="preserve">a adoptées </w:t>
      </w:r>
      <w:r>
        <w:t xml:space="preserve">pour réduire les éventuels coûts cachés liés à l’enseignement obligatoire, </w:t>
      </w:r>
      <w:r w:rsidR="00F263E2">
        <w:t>concernant</w:t>
      </w:r>
      <w:r>
        <w:t xml:space="preserve"> notamment les fournitures scolaires, la participation à l’entretien des bâtiments, les activités récréatives et les matériels didactiques.</w:t>
      </w:r>
    </w:p>
    <w:p w:rsidR="00B92365" w:rsidRPr="00F30EE2" w:rsidRDefault="00B92365" w:rsidP="000C0217">
      <w:pPr>
        <w:pStyle w:val="ParNoG"/>
      </w:pPr>
      <w:r>
        <w:t xml:space="preserve">Indiquer quelles mesures concrètes ont été prises pour prévenir et combattre les stéréotypes sociaux et la discrimination dont font l’objet les enfants roms dans l’accès à </w:t>
      </w:r>
      <w:r w:rsidR="00167885">
        <w:t>l’éducation scolaire</w:t>
      </w:r>
      <w:r>
        <w:t xml:space="preserve">. Fournir des données actualisées sur </w:t>
      </w:r>
      <w:r w:rsidR="00003E8E">
        <w:t xml:space="preserve">l’efficacité de </w:t>
      </w:r>
      <w:r>
        <w:t>l’application de l’ordonnance ministérielle de juillet 2007 interdisant la ségrégation dans les écoles.</w:t>
      </w:r>
    </w:p>
    <w:p w:rsidR="00B92365" w:rsidRPr="00F30EE2" w:rsidRDefault="00B92365" w:rsidP="001E79BA">
      <w:pPr>
        <w:pStyle w:val="H1G"/>
      </w:pPr>
      <w:r w:rsidRPr="00F30EE2">
        <w:tab/>
      </w:r>
      <w:r w:rsidRPr="00F30EE2">
        <w:tab/>
        <w:t>Article</w:t>
      </w:r>
      <w:r>
        <w:t> </w:t>
      </w:r>
      <w:r w:rsidRPr="00F30EE2">
        <w:t>15</w:t>
      </w:r>
      <w:r w:rsidR="001E79BA">
        <w:br/>
      </w:r>
      <w:r>
        <w:t>Droits culturels</w:t>
      </w:r>
    </w:p>
    <w:p w:rsidR="00B92365" w:rsidRDefault="00B92365" w:rsidP="000C0217">
      <w:pPr>
        <w:pStyle w:val="ParNoG"/>
      </w:pPr>
      <w:r>
        <w:t xml:space="preserve">Fournir des informations sur </w:t>
      </w:r>
      <w:r w:rsidR="00003E8E">
        <w:t>la manière dont</w:t>
      </w:r>
      <w:r>
        <w:t xml:space="preserve"> l’État partie </w:t>
      </w:r>
      <w:r w:rsidR="00003E8E">
        <w:t xml:space="preserve">s’emploie à </w:t>
      </w:r>
      <w:r>
        <w:t xml:space="preserve">protéger l’enseignement et </w:t>
      </w:r>
      <w:r w:rsidR="00003E8E">
        <w:t xml:space="preserve">l’utilisation </w:t>
      </w:r>
      <w:r>
        <w:t xml:space="preserve">des langues des minorités et pour assurer le respect et la protection </w:t>
      </w:r>
      <w:r w:rsidR="00003E8E">
        <w:t>du</w:t>
      </w:r>
      <w:r>
        <w:t xml:space="preserve"> patrimoine culturel</w:t>
      </w:r>
      <w:r w:rsidR="00003E8E">
        <w:t xml:space="preserve"> des minorités</w:t>
      </w:r>
      <w:r>
        <w:t>.</w:t>
      </w:r>
    </w:p>
    <w:p w:rsidR="00B92365" w:rsidRDefault="00B92365" w:rsidP="000C0217">
      <w:pPr>
        <w:pStyle w:val="ParNoG"/>
      </w:pPr>
      <w:r>
        <w:t xml:space="preserve">Indiquer les mesures </w:t>
      </w:r>
      <w:r w:rsidR="00EA3D7B">
        <w:t>que</w:t>
      </w:r>
      <w:r>
        <w:t xml:space="preserve"> l’État partie </w:t>
      </w:r>
      <w:r w:rsidR="00EA3D7B">
        <w:t xml:space="preserve">a prises </w:t>
      </w:r>
      <w:r>
        <w:t xml:space="preserve">pour garantir aux groupes défavorisés et marginalisés et aux habitants des zones rurales </w:t>
      </w:r>
      <w:r w:rsidR="00EA3D7B">
        <w:t>l’accès</w:t>
      </w:r>
      <w:r>
        <w:t xml:space="preserve"> à </w:t>
      </w:r>
      <w:r w:rsidR="00EA3D7B">
        <w:t>l’</w:t>
      </w:r>
      <w:r>
        <w:t xml:space="preserve">Internet </w:t>
      </w:r>
      <w:r w:rsidR="00EA3D7B">
        <w:t>à un coût abordable</w:t>
      </w:r>
      <w:r>
        <w:t>.</w:t>
      </w:r>
    </w:p>
    <w:p w:rsidR="000C0217" w:rsidRPr="000C0217" w:rsidRDefault="000C0217" w:rsidP="000C0217">
      <w:pPr>
        <w:pStyle w:val="SingleTxtG"/>
        <w:spacing w:before="240" w:after="0"/>
        <w:jc w:val="center"/>
        <w:rPr>
          <w:u w:val="single"/>
        </w:rPr>
      </w:pPr>
      <w:r>
        <w:rPr>
          <w:u w:val="single"/>
        </w:rPr>
        <w:tab/>
      </w:r>
      <w:r>
        <w:rPr>
          <w:u w:val="single"/>
        </w:rPr>
        <w:tab/>
      </w:r>
      <w:r>
        <w:rPr>
          <w:u w:val="single"/>
        </w:rPr>
        <w:tab/>
      </w:r>
    </w:p>
    <w:sectPr w:rsidR="000C0217" w:rsidRPr="000C0217" w:rsidSect="00381C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62E" w:rsidRDefault="00BF662E"/>
  </w:endnote>
  <w:endnote w:type="continuationSeparator" w:id="0">
    <w:p w:rsidR="00BF662E" w:rsidRDefault="00BF662E"/>
  </w:endnote>
  <w:endnote w:type="continuationNotice" w:id="1">
    <w:p w:rsidR="00BF662E" w:rsidRPr="001E392E" w:rsidRDefault="00BF662E"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1" w:rsidRPr="00381C2C" w:rsidRDefault="00CC1A61" w:rsidP="00381C2C">
    <w:pPr>
      <w:pStyle w:val="Footer"/>
      <w:tabs>
        <w:tab w:val="right" w:pos="9638"/>
      </w:tabs>
    </w:pPr>
    <w:r w:rsidRPr="00381C2C">
      <w:rPr>
        <w:b/>
        <w:sz w:val="18"/>
      </w:rPr>
      <w:fldChar w:fldCharType="begin"/>
    </w:r>
    <w:r w:rsidRPr="00381C2C">
      <w:rPr>
        <w:b/>
        <w:sz w:val="18"/>
      </w:rPr>
      <w:instrText xml:space="preserve"> PAGE  \* MERGEFORMAT </w:instrText>
    </w:r>
    <w:r w:rsidRPr="00381C2C">
      <w:rPr>
        <w:b/>
        <w:sz w:val="18"/>
      </w:rPr>
      <w:fldChar w:fldCharType="separate"/>
    </w:r>
    <w:r w:rsidR="00AF5BD3">
      <w:rPr>
        <w:b/>
        <w:noProof/>
        <w:sz w:val="18"/>
      </w:rPr>
      <w:t>4</w:t>
    </w:r>
    <w:r w:rsidRPr="00381C2C">
      <w:rPr>
        <w:b/>
        <w:sz w:val="18"/>
      </w:rPr>
      <w:fldChar w:fldCharType="end"/>
    </w:r>
    <w:r>
      <w:rPr>
        <w:b/>
        <w:sz w:val="18"/>
      </w:rPr>
      <w:tab/>
    </w:r>
    <w:r>
      <w:t>GE.14-05831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1" w:rsidRPr="00381C2C" w:rsidRDefault="00CC1A61" w:rsidP="00381C2C">
    <w:pPr>
      <w:pStyle w:val="Footer"/>
      <w:tabs>
        <w:tab w:val="right" w:pos="9638"/>
      </w:tabs>
      <w:rPr>
        <w:b/>
        <w:sz w:val="18"/>
      </w:rPr>
    </w:pPr>
    <w:r>
      <w:t>GE.14-05831</w:t>
    </w:r>
    <w:r>
      <w:tab/>
    </w:r>
    <w:r w:rsidRPr="00381C2C">
      <w:rPr>
        <w:b/>
        <w:sz w:val="18"/>
      </w:rPr>
      <w:fldChar w:fldCharType="begin"/>
    </w:r>
    <w:r w:rsidRPr="00381C2C">
      <w:rPr>
        <w:b/>
        <w:sz w:val="18"/>
      </w:rPr>
      <w:instrText xml:space="preserve"> PAGE  \* MERGEFORMAT </w:instrText>
    </w:r>
    <w:r w:rsidRPr="00381C2C">
      <w:rPr>
        <w:b/>
        <w:sz w:val="18"/>
      </w:rPr>
      <w:fldChar w:fldCharType="separate"/>
    </w:r>
    <w:r w:rsidR="00AF5BD3">
      <w:rPr>
        <w:b/>
        <w:noProof/>
        <w:sz w:val="18"/>
      </w:rPr>
      <w:t>5</w:t>
    </w:r>
    <w:r w:rsidRPr="00381C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1" w:rsidRPr="00381C2C" w:rsidRDefault="00CC1A61" w:rsidP="00381C2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14-05831  (F)    040714    090714</w:t>
    </w:r>
    <w:r>
      <w:rPr>
        <w:sz w:val="20"/>
      </w:rPr>
      <w:br/>
    </w:r>
    <w:r w:rsidRPr="00381C2C">
      <w:rPr>
        <w:rFonts w:ascii="C39T30Lfz" w:hAnsi="C39T30Lfz"/>
        <w:sz w:val="56"/>
      </w:rPr>
      <w:t></w:t>
    </w:r>
    <w:r w:rsidRPr="00381C2C">
      <w:rPr>
        <w:rFonts w:ascii="C39T30Lfz" w:hAnsi="C39T30Lfz"/>
        <w:sz w:val="56"/>
      </w:rPr>
      <w:t></w:t>
    </w:r>
    <w:r w:rsidRPr="00381C2C">
      <w:rPr>
        <w:rFonts w:ascii="C39T30Lfz" w:hAnsi="C39T30Lfz"/>
        <w:sz w:val="56"/>
      </w:rPr>
      <w:t></w:t>
    </w:r>
    <w:r w:rsidRPr="00381C2C">
      <w:rPr>
        <w:rFonts w:ascii="C39T30Lfz" w:hAnsi="C39T30Lfz"/>
        <w:sz w:val="56"/>
      </w:rPr>
      <w:t></w:t>
    </w:r>
    <w:r w:rsidRPr="00381C2C">
      <w:rPr>
        <w:rFonts w:ascii="C39T30Lfz" w:hAnsi="C39T30Lfz"/>
        <w:sz w:val="56"/>
      </w:rPr>
      <w:t></w:t>
    </w:r>
    <w:r w:rsidRPr="00381C2C">
      <w:rPr>
        <w:rFonts w:ascii="C39T30Lfz" w:hAnsi="C39T30Lfz"/>
        <w:sz w:val="56"/>
      </w:rPr>
      <w:t></w:t>
    </w:r>
    <w:r w:rsidRPr="00381C2C">
      <w:rPr>
        <w:rFonts w:ascii="C39T30Lfz" w:hAnsi="C39T30Lfz"/>
        <w:sz w:val="56"/>
      </w:rPr>
      <w:t></w:t>
    </w:r>
    <w:r w:rsidRPr="00381C2C">
      <w:rPr>
        <w:rFonts w:ascii="C39T30Lfz" w:hAnsi="C39T30Lfz"/>
        <w:sz w:val="56"/>
      </w:rPr>
      <w:t></w:t>
    </w:r>
    <w:r w:rsidRPr="00381C2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62E" w:rsidRPr="00D27D5E" w:rsidRDefault="00BF662E" w:rsidP="00D27D5E">
      <w:pPr>
        <w:tabs>
          <w:tab w:val="right" w:pos="2155"/>
        </w:tabs>
        <w:spacing w:after="80"/>
        <w:ind w:left="680"/>
        <w:rPr>
          <w:u w:val="single"/>
        </w:rPr>
      </w:pPr>
      <w:r>
        <w:rPr>
          <w:u w:val="single"/>
        </w:rPr>
        <w:tab/>
      </w:r>
    </w:p>
  </w:footnote>
  <w:footnote w:type="continuationSeparator" w:id="0">
    <w:p w:rsidR="00BF662E" w:rsidRPr="005B09DD" w:rsidRDefault="00BF662E" w:rsidP="005B09DD">
      <w:pPr>
        <w:tabs>
          <w:tab w:val="right" w:pos="2155"/>
        </w:tabs>
        <w:spacing w:after="80"/>
        <w:ind w:left="680"/>
        <w:rPr>
          <w:u w:val="single"/>
        </w:rPr>
      </w:pPr>
      <w:r w:rsidRPr="005B09DD">
        <w:rPr>
          <w:u w:val="single"/>
        </w:rPr>
        <w:tab/>
      </w:r>
    </w:p>
  </w:footnote>
  <w:footnote w:type="continuationNotice" w:id="1">
    <w:p w:rsidR="00BF662E" w:rsidRPr="001E392E" w:rsidRDefault="00BF662E" w:rsidP="001E392E">
      <w:pPr>
        <w:spacing w:line="240" w:lineRule="auto"/>
        <w:rPr>
          <w:sz w:val="2"/>
          <w:szCs w:val="2"/>
        </w:rPr>
      </w:pPr>
    </w:p>
  </w:footnote>
  <w:footnote w:id="2">
    <w:p w:rsidR="00CC1A61" w:rsidRPr="00762C26" w:rsidRDefault="00CC1A61" w:rsidP="00762C26">
      <w:pPr>
        <w:pStyle w:val="FootnoteText"/>
        <w:rPr>
          <w:szCs w:val="18"/>
        </w:rPr>
      </w:pPr>
      <w:r w:rsidRPr="00762C26">
        <w:rPr>
          <w:szCs w:val="18"/>
        </w:rPr>
        <w:tab/>
      </w:r>
      <w:r w:rsidRPr="00762C26">
        <w:rPr>
          <w:rStyle w:val="FootnoteReference"/>
          <w:szCs w:val="18"/>
          <w:vertAlign w:val="baseline"/>
        </w:rPr>
        <w:t>*</w:t>
      </w:r>
      <w:r w:rsidRPr="00762C26">
        <w:rPr>
          <w:szCs w:val="18"/>
        </w:rPr>
        <w:tab/>
        <w:t xml:space="preserve">Adoptée par le Groupe de travail de présession à sa cinquantième-troisième session </w:t>
      </w:r>
      <w:r>
        <w:rPr>
          <w:szCs w:val="18"/>
        </w:rPr>
        <w:br/>
        <w:t>(26</w:t>
      </w:r>
      <w:r>
        <w:rPr>
          <w:szCs w:val="18"/>
        </w:rPr>
        <w:noBreakHyphen/>
      </w:r>
      <w:r w:rsidRPr="00762C26">
        <w:rPr>
          <w:szCs w:val="18"/>
        </w:rPr>
        <w:t>30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1" w:rsidRPr="00381C2C" w:rsidRDefault="00CC1A61">
    <w:pPr>
      <w:pStyle w:val="Header"/>
    </w:pPr>
    <w:r>
      <w:t>E/C.12/ROU/Q/3-5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1" w:rsidRPr="00381C2C" w:rsidRDefault="00CC1A61" w:rsidP="00381C2C">
    <w:pPr>
      <w:pStyle w:val="Header"/>
      <w:jc w:val="right"/>
    </w:pPr>
    <w:r>
      <w:t>E/C.12/ROU/Q/3-5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3009A7"/>
    <w:multiLevelType w:val="hybridMultilevel"/>
    <w:tmpl w:val="8EAA9F10"/>
    <w:lvl w:ilvl="0" w:tplc="35E020A0">
      <w:start w:val="1"/>
      <w:numFmt w:val="decimal"/>
      <w:lvlText w:val="%1."/>
      <w:lvlJc w:val="left"/>
      <w:pPr>
        <w:tabs>
          <w:tab w:val="num" w:pos="0"/>
        </w:tabs>
        <w:ind w:left="1495" w:hanging="360"/>
      </w:pPr>
      <w:rPr>
        <w:rFonts w:hint="default"/>
        <w:i w:val="0"/>
        <w:sz w:val="24"/>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3"/>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FC0"/>
    <w:rsid w:val="00003E8E"/>
    <w:rsid w:val="0000696F"/>
    <w:rsid w:val="00016AC5"/>
    <w:rsid w:val="00030ADE"/>
    <w:rsid w:val="000771DC"/>
    <w:rsid w:val="000B5E1F"/>
    <w:rsid w:val="000C0217"/>
    <w:rsid w:val="000E6C12"/>
    <w:rsid w:val="000F41F2"/>
    <w:rsid w:val="00135C0D"/>
    <w:rsid w:val="00141C9E"/>
    <w:rsid w:val="00160540"/>
    <w:rsid w:val="00167885"/>
    <w:rsid w:val="00177007"/>
    <w:rsid w:val="00186EE9"/>
    <w:rsid w:val="00192EEB"/>
    <w:rsid w:val="001A20FB"/>
    <w:rsid w:val="001B6F40"/>
    <w:rsid w:val="001C272F"/>
    <w:rsid w:val="001D7AE4"/>
    <w:rsid w:val="001D7F8A"/>
    <w:rsid w:val="001E03C7"/>
    <w:rsid w:val="001E392E"/>
    <w:rsid w:val="001E3FEB"/>
    <w:rsid w:val="001E4A02"/>
    <w:rsid w:val="001E79BA"/>
    <w:rsid w:val="00223B89"/>
    <w:rsid w:val="00225A8C"/>
    <w:rsid w:val="002527DD"/>
    <w:rsid w:val="002659DD"/>
    <w:rsid w:val="002659F1"/>
    <w:rsid w:val="00287E79"/>
    <w:rsid w:val="002928F9"/>
    <w:rsid w:val="002A5D07"/>
    <w:rsid w:val="002B7E30"/>
    <w:rsid w:val="002C18B6"/>
    <w:rsid w:val="002C6E13"/>
    <w:rsid w:val="002D4DC6"/>
    <w:rsid w:val="003016B7"/>
    <w:rsid w:val="003052C6"/>
    <w:rsid w:val="00306D26"/>
    <w:rsid w:val="00340C35"/>
    <w:rsid w:val="003515AA"/>
    <w:rsid w:val="00370E0F"/>
    <w:rsid w:val="00374106"/>
    <w:rsid w:val="00381C2C"/>
    <w:rsid w:val="003976D5"/>
    <w:rsid w:val="003A3B0D"/>
    <w:rsid w:val="003A4FC0"/>
    <w:rsid w:val="003D1DF3"/>
    <w:rsid w:val="003D46A7"/>
    <w:rsid w:val="003D6C68"/>
    <w:rsid w:val="004159D0"/>
    <w:rsid w:val="004249E7"/>
    <w:rsid w:val="00437F8D"/>
    <w:rsid w:val="00441557"/>
    <w:rsid w:val="00496F68"/>
    <w:rsid w:val="004A7FCC"/>
    <w:rsid w:val="004F3E8B"/>
    <w:rsid w:val="005046DB"/>
    <w:rsid w:val="0050651C"/>
    <w:rsid w:val="005160C0"/>
    <w:rsid w:val="00532DE9"/>
    <w:rsid w:val="00536E60"/>
    <w:rsid w:val="00543D5E"/>
    <w:rsid w:val="00571F41"/>
    <w:rsid w:val="00574B12"/>
    <w:rsid w:val="005844C1"/>
    <w:rsid w:val="005B09DD"/>
    <w:rsid w:val="005E5D1F"/>
    <w:rsid w:val="00603391"/>
    <w:rsid w:val="00611D43"/>
    <w:rsid w:val="00612D48"/>
    <w:rsid w:val="00616B45"/>
    <w:rsid w:val="00616E44"/>
    <w:rsid w:val="00630D9B"/>
    <w:rsid w:val="00631953"/>
    <w:rsid w:val="006439EC"/>
    <w:rsid w:val="00652353"/>
    <w:rsid w:val="00665A73"/>
    <w:rsid w:val="00696F5A"/>
    <w:rsid w:val="006A47CB"/>
    <w:rsid w:val="006B4590"/>
    <w:rsid w:val="006B6E1B"/>
    <w:rsid w:val="006C340C"/>
    <w:rsid w:val="006F3AE2"/>
    <w:rsid w:val="0070347C"/>
    <w:rsid w:val="0071749C"/>
    <w:rsid w:val="007176C1"/>
    <w:rsid w:val="007330AF"/>
    <w:rsid w:val="00762C26"/>
    <w:rsid w:val="007B5F81"/>
    <w:rsid w:val="007C0E8B"/>
    <w:rsid w:val="007F55CB"/>
    <w:rsid w:val="008317F6"/>
    <w:rsid w:val="00844750"/>
    <w:rsid w:val="008803AD"/>
    <w:rsid w:val="008A2CC5"/>
    <w:rsid w:val="008B44C4"/>
    <w:rsid w:val="008B7879"/>
    <w:rsid w:val="008E7FAE"/>
    <w:rsid w:val="00906457"/>
    <w:rsid w:val="00911BF7"/>
    <w:rsid w:val="009422C4"/>
    <w:rsid w:val="00976050"/>
    <w:rsid w:val="00977EC8"/>
    <w:rsid w:val="009935FD"/>
    <w:rsid w:val="009971BC"/>
    <w:rsid w:val="009A65D0"/>
    <w:rsid w:val="009B6C14"/>
    <w:rsid w:val="009D3A8C"/>
    <w:rsid w:val="009E7956"/>
    <w:rsid w:val="009F5257"/>
    <w:rsid w:val="009F759C"/>
    <w:rsid w:val="00A02E14"/>
    <w:rsid w:val="00A02E58"/>
    <w:rsid w:val="00A15819"/>
    <w:rsid w:val="00A2492E"/>
    <w:rsid w:val="00A35D0D"/>
    <w:rsid w:val="00A52CEF"/>
    <w:rsid w:val="00A70163"/>
    <w:rsid w:val="00A77161"/>
    <w:rsid w:val="00A87EB1"/>
    <w:rsid w:val="00A9358C"/>
    <w:rsid w:val="00AC67A1"/>
    <w:rsid w:val="00AC7977"/>
    <w:rsid w:val="00AE352C"/>
    <w:rsid w:val="00AF0C65"/>
    <w:rsid w:val="00AF5BD3"/>
    <w:rsid w:val="00B1135D"/>
    <w:rsid w:val="00B161A1"/>
    <w:rsid w:val="00B32E2D"/>
    <w:rsid w:val="00B405BC"/>
    <w:rsid w:val="00B4466B"/>
    <w:rsid w:val="00B61990"/>
    <w:rsid w:val="00B85D99"/>
    <w:rsid w:val="00B92365"/>
    <w:rsid w:val="00BF0556"/>
    <w:rsid w:val="00BF662E"/>
    <w:rsid w:val="00C07B83"/>
    <w:rsid w:val="00C160E7"/>
    <w:rsid w:val="00C261F8"/>
    <w:rsid w:val="00C26315"/>
    <w:rsid w:val="00C33100"/>
    <w:rsid w:val="00C940E9"/>
    <w:rsid w:val="00CB25DD"/>
    <w:rsid w:val="00CC1A61"/>
    <w:rsid w:val="00CD1A71"/>
    <w:rsid w:val="00CD1FBB"/>
    <w:rsid w:val="00CE6807"/>
    <w:rsid w:val="00CF5C78"/>
    <w:rsid w:val="00D016B5"/>
    <w:rsid w:val="00D034F1"/>
    <w:rsid w:val="00D03B7D"/>
    <w:rsid w:val="00D06DC5"/>
    <w:rsid w:val="00D06EC2"/>
    <w:rsid w:val="00D11B17"/>
    <w:rsid w:val="00D27D5E"/>
    <w:rsid w:val="00D8099A"/>
    <w:rsid w:val="00DA57D4"/>
    <w:rsid w:val="00DB4793"/>
    <w:rsid w:val="00DB714E"/>
    <w:rsid w:val="00DD633B"/>
    <w:rsid w:val="00DE01E3"/>
    <w:rsid w:val="00DE6D90"/>
    <w:rsid w:val="00DF002F"/>
    <w:rsid w:val="00E0244D"/>
    <w:rsid w:val="00E55D71"/>
    <w:rsid w:val="00E81E94"/>
    <w:rsid w:val="00E82607"/>
    <w:rsid w:val="00EA31C2"/>
    <w:rsid w:val="00EA3D7B"/>
    <w:rsid w:val="00EA4401"/>
    <w:rsid w:val="00EC4698"/>
    <w:rsid w:val="00EE16D0"/>
    <w:rsid w:val="00EE2EA3"/>
    <w:rsid w:val="00F01516"/>
    <w:rsid w:val="00F263E2"/>
    <w:rsid w:val="00F33D1B"/>
    <w:rsid w:val="00FA5A79"/>
    <w:rsid w:val="00FA6011"/>
    <w:rsid w:val="00FB0BFE"/>
    <w:rsid w:val="00FB4C51"/>
    <w:rsid w:val="00FD4623"/>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5F81"/>
    <w:pPr>
      <w:suppressAutoHyphens/>
      <w:spacing w:line="240" w:lineRule="atLeast"/>
    </w:pPr>
    <w:rPr>
      <w:lang w:val="fr-CH"/>
    </w:rPr>
  </w:style>
  <w:style w:type="paragraph" w:styleId="Heading1">
    <w:name w:val="heading 1"/>
    <w:aliases w:val="Table_G"/>
    <w:basedOn w:val="SingleTxtG"/>
    <w:next w:val="SingleTxtG"/>
    <w:qFormat/>
    <w:rsid w:val="007B5F81"/>
    <w:pPr>
      <w:keepNext/>
      <w:keepLines/>
      <w:spacing w:after="0" w:line="240" w:lineRule="auto"/>
      <w:ind w:right="0"/>
      <w:jc w:val="left"/>
      <w:outlineLvl w:val="0"/>
    </w:pPr>
  </w:style>
  <w:style w:type="paragraph" w:styleId="Heading2">
    <w:name w:val="heading 2"/>
    <w:basedOn w:val="Normal"/>
    <w:next w:val="Normal"/>
    <w:qFormat/>
    <w:rsid w:val="007B5F81"/>
    <w:pPr>
      <w:outlineLvl w:val="1"/>
    </w:pPr>
  </w:style>
  <w:style w:type="paragraph" w:styleId="Heading3">
    <w:name w:val="heading 3"/>
    <w:basedOn w:val="Normal"/>
    <w:next w:val="Normal"/>
    <w:qFormat/>
    <w:rsid w:val="007B5F81"/>
    <w:pPr>
      <w:outlineLvl w:val="2"/>
    </w:pPr>
  </w:style>
  <w:style w:type="paragraph" w:styleId="Heading4">
    <w:name w:val="heading 4"/>
    <w:basedOn w:val="Normal"/>
    <w:next w:val="Normal"/>
    <w:qFormat/>
    <w:rsid w:val="007B5F81"/>
    <w:pPr>
      <w:outlineLvl w:val="3"/>
    </w:pPr>
  </w:style>
  <w:style w:type="paragraph" w:styleId="Heading5">
    <w:name w:val="heading 5"/>
    <w:basedOn w:val="Normal"/>
    <w:next w:val="Normal"/>
    <w:qFormat/>
    <w:rsid w:val="007B5F81"/>
    <w:pPr>
      <w:outlineLvl w:val="4"/>
    </w:pPr>
  </w:style>
  <w:style w:type="paragraph" w:styleId="Heading6">
    <w:name w:val="heading 6"/>
    <w:basedOn w:val="Normal"/>
    <w:next w:val="Normal"/>
    <w:qFormat/>
    <w:rsid w:val="007B5F81"/>
    <w:pPr>
      <w:outlineLvl w:val="5"/>
    </w:pPr>
  </w:style>
  <w:style w:type="paragraph" w:styleId="Heading7">
    <w:name w:val="heading 7"/>
    <w:basedOn w:val="Normal"/>
    <w:next w:val="Normal"/>
    <w:qFormat/>
    <w:rsid w:val="007B5F81"/>
    <w:pPr>
      <w:outlineLvl w:val="6"/>
    </w:pPr>
  </w:style>
  <w:style w:type="paragraph" w:styleId="Heading8">
    <w:name w:val="heading 8"/>
    <w:basedOn w:val="Normal"/>
    <w:next w:val="Normal"/>
    <w:qFormat/>
    <w:rsid w:val="007B5F81"/>
    <w:pPr>
      <w:outlineLvl w:val="7"/>
    </w:pPr>
  </w:style>
  <w:style w:type="paragraph" w:styleId="Heading9">
    <w:name w:val="heading 9"/>
    <w:basedOn w:val="Normal"/>
    <w:next w:val="Normal"/>
    <w:qFormat/>
    <w:rsid w:val="007B5F81"/>
    <w:pPr>
      <w:outlineLvl w:val="8"/>
    </w:pPr>
  </w:style>
  <w:style w:type="character" w:default="1" w:styleId="DefaultParagraphFont">
    <w:name w:val="Default Paragraph Font"/>
    <w:semiHidden/>
    <w:rsid w:val="007B5F8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B5F81"/>
  </w:style>
  <w:style w:type="paragraph" w:customStyle="1" w:styleId="HMG">
    <w:name w:val="_ H __M_G"/>
    <w:basedOn w:val="Normal"/>
    <w:next w:val="Normal"/>
    <w:rsid w:val="007B5F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B5F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B5F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B5F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B5F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B5F81"/>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B5F81"/>
    <w:pPr>
      <w:spacing w:after="120"/>
      <w:ind w:left="1134" w:right="1134"/>
      <w:jc w:val="both"/>
    </w:pPr>
  </w:style>
  <w:style w:type="paragraph" w:customStyle="1" w:styleId="SLG">
    <w:name w:val="__S_L_G"/>
    <w:basedOn w:val="Normal"/>
    <w:next w:val="Normal"/>
    <w:rsid w:val="007B5F81"/>
    <w:pPr>
      <w:keepNext/>
      <w:keepLines/>
      <w:spacing w:before="240" w:after="240" w:line="580" w:lineRule="exact"/>
      <w:ind w:left="1134" w:right="1134"/>
    </w:pPr>
    <w:rPr>
      <w:b/>
      <w:sz w:val="56"/>
    </w:rPr>
  </w:style>
  <w:style w:type="paragraph" w:customStyle="1" w:styleId="SMG">
    <w:name w:val="__S_M_G"/>
    <w:basedOn w:val="Normal"/>
    <w:next w:val="Normal"/>
    <w:rsid w:val="007B5F81"/>
    <w:pPr>
      <w:keepNext/>
      <w:keepLines/>
      <w:spacing w:before="240" w:after="240" w:line="420" w:lineRule="exact"/>
      <w:ind w:left="1134" w:right="1134"/>
    </w:pPr>
    <w:rPr>
      <w:b/>
      <w:sz w:val="40"/>
    </w:rPr>
  </w:style>
  <w:style w:type="paragraph" w:customStyle="1" w:styleId="SSG">
    <w:name w:val="__S_S_G"/>
    <w:basedOn w:val="Normal"/>
    <w:next w:val="Normal"/>
    <w:rsid w:val="007B5F81"/>
    <w:pPr>
      <w:keepNext/>
      <w:keepLines/>
      <w:spacing w:before="240" w:after="240" w:line="300" w:lineRule="exact"/>
      <w:ind w:left="1134" w:right="1134"/>
    </w:pPr>
    <w:rPr>
      <w:b/>
      <w:sz w:val="28"/>
    </w:rPr>
  </w:style>
  <w:style w:type="paragraph" w:customStyle="1" w:styleId="XLargeG">
    <w:name w:val="__XLarge_G"/>
    <w:basedOn w:val="Normal"/>
    <w:next w:val="Normal"/>
    <w:rsid w:val="007B5F81"/>
    <w:pPr>
      <w:keepNext/>
      <w:keepLines/>
      <w:spacing w:before="240" w:after="240" w:line="420" w:lineRule="exact"/>
      <w:ind w:left="1134" w:right="1134"/>
    </w:pPr>
    <w:rPr>
      <w:b/>
      <w:sz w:val="40"/>
    </w:rPr>
  </w:style>
  <w:style w:type="paragraph" w:customStyle="1" w:styleId="Bullet1G">
    <w:name w:val="_Bullet 1_G"/>
    <w:basedOn w:val="Normal"/>
    <w:rsid w:val="007B5F81"/>
    <w:pPr>
      <w:numPr>
        <w:numId w:val="4"/>
      </w:numPr>
      <w:spacing w:after="120"/>
      <w:ind w:right="1134"/>
      <w:jc w:val="both"/>
    </w:pPr>
  </w:style>
  <w:style w:type="paragraph" w:customStyle="1" w:styleId="Bullet2G">
    <w:name w:val="_Bullet 2_G"/>
    <w:basedOn w:val="Normal"/>
    <w:rsid w:val="007B5F81"/>
    <w:pPr>
      <w:numPr>
        <w:numId w:val="5"/>
      </w:numPr>
      <w:spacing w:after="120"/>
      <w:ind w:right="1134"/>
      <w:jc w:val="both"/>
    </w:pPr>
  </w:style>
  <w:style w:type="character" w:styleId="FootnoteReference">
    <w:name w:val="footnote reference"/>
    <w:aliases w:val="4_G"/>
    <w:rsid w:val="007B5F81"/>
    <w:rPr>
      <w:rFonts w:ascii="Times New Roman" w:hAnsi="Times New Roman"/>
      <w:sz w:val="18"/>
      <w:vertAlign w:val="superscript"/>
      <w:lang w:val="fr-CH"/>
    </w:rPr>
  </w:style>
  <w:style w:type="character" w:styleId="EndnoteReference">
    <w:name w:val="endnote reference"/>
    <w:aliases w:val="1_G"/>
    <w:basedOn w:val="FootnoteReference"/>
    <w:rsid w:val="007B5F81"/>
    <w:rPr>
      <w:rFonts w:ascii="Times New Roman" w:hAnsi="Times New Roman"/>
      <w:sz w:val="18"/>
      <w:vertAlign w:val="superscript"/>
      <w:lang w:val="fr-CH"/>
    </w:rPr>
  </w:style>
  <w:style w:type="paragraph" w:styleId="Header">
    <w:name w:val="header"/>
    <w:aliases w:val="6_G"/>
    <w:basedOn w:val="Normal"/>
    <w:next w:val="Normal"/>
    <w:rsid w:val="007B5F81"/>
    <w:pPr>
      <w:pBdr>
        <w:bottom w:val="single" w:sz="4" w:space="4" w:color="auto"/>
      </w:pBdr>
      <w:spacing w:line="240" w:lineRule="auto"/>
    </w:pPr>
    <w:rPr>
      <w:b/>
      <w:sz w:val="18"/>
    </w:rPr>
  </w:style>
  <w:style w:type="paragraph" w:styleId="FootnoteText">
    <w:name w:val="footnote text"/>
    <w:aliases w:val="5_G"/>
    <w:basedOn w:val="Normal"/>
    <w:rsid w:val="007B5F81"/>
    <w:pPr>
      <w:tabs>
        <w:tab w:val="right" w:pos="1021"/>
      </w:tabs>
      <w:spacing w:line="220" w:lineRule="exact"/>
      <w:ind w:left="1134" w:right="1134" w:hanging="1134"/>
    </w:pPr>
    <w:rPr>
      <w:sz w:val="18"/>
    </w:rPr>
  </w:style>
  <w:style w:type="paragraph" w:styleId="EndnoteText">
    <w:name w:val="endnote text"/>
    <w:aliases w:val="2_G"/>
    <w:basedOn w:val="FootnoteText"/>
    <w:rsid w:val="007B5F81"/>
  </w:style>
  <w:style w:type="character" w:styleId="PageNumber">
    <w:name w:val="page number"/>
    <w:aliases w:val="7_G"/>
    <w:rsid w:val="007B5F81"/>
    <w:rPr>
      <w:rFonts w:ascii="Times New Roman" w:hAnsi="Times New Roman"/>
      <w:b/>
      <w:sz w:val="18"/>
      <w:lang w:val="fr-CH"/>
    </w:rPr>
  </w:style>
  <w:style w:type="paragraph" w:styleId="Footer">
    <w:name w:val="footer"/>
    <w:aliases w:val="3_G"/>
    <w:basedOn w:val="Normal"/>
    <w:next w:val="Normal"/>
    <w:rsid w:val="007B5F81"/>
    <w:pPr>
      <w:spacing w:line="240" w:lineRule="auto"/>
    </w:pPr>
    <w:rPr>
      <w:sz w:val="16"/>
    </w:rPr>
  </w:style>
  <w:style w:type="character" w:styleId="Hyperlink">
    <w:name w:val="Hyperlink"/>
    <w:semiHidden/>
    <w:rsid w:val="007B5F81"/>
    <w:rPr>
      <w:color w:val="0000FF"/>
      <w:u w:val="none"/>
    </w:rPr>
  </w:style>
  <w:style w:type="character" w:styleId="FollowedHyperlink">
    <w:name w:val="FollowedHyperlink"/>
    <w:semiHidden/>
    <w:rsid w:val="007B5F81"/>
    <w:rPr>
      <w:color w:val="0000FF"/>
      <w:u w:val="none"/>
    </w:rPr>
  </w:style>
  <w:style w:type="paragraph" w:customStyle="1" w:styleId="ParNoG">
    <w:name w:val="_ParNo_G"/>
    <w:basedOn w:val="SingleTxtG"/>
    <w:rsid w:val="007B5F81"/>
    <w:pPr>
      <w:numPr>
        <w:numId w:val="6"/>
      </w:numPr>
    </w:pPr>
  </w:style>
  <w:style w:type="table" w:styleId="TableGrid">
    <w:name w:val="Table Grid"/>
    <w:basedOn w:val="TableNormal"/>
    <w:semiHidden/>
    <w:rsid w:val="007B5F8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1611</Words>
  <Characters>8830</Characters>
  <Application>Microsoft Office Word</Application>
  <DocSecurity>4</DocSecurity>
  <Lines>163</Lines>
  <Paragraphs>62</Paragraphs>
  <ScaleCrop>false</ScaleCrop>
  <HeadingPairs>
    <vt:vector size="2" baseType="variant">
      <vt:variant>
        <vt:lpstr>Titre</vt:lpstr>
      </vt:variant>
      <vt:variant>
        <vt:i4>1</vt:i4>
      </vt:variant>
    </vt:vector>
  </HeadingPairs>
  <TitlesOfParts>
    <vt:vector size="1" baseType="lpstr">
      <vt:lpstr>E/C.12/ROU/Q/3-5</vt:lpstr>
    </vt:vector>
  </TitlesOfParts>
  <Company>Corinne</Company>
  <LinksUpToDate>false</LinksUpToDate>
  <CharactersWithSpaces>10379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E/C.12/ROU/Q/3-5</dc:title>
  <dc:subject/>
  <dc:creator>CHAUTAGNAT</dc:creator>
  <cp:keywords/>
  <dc:description/>
  <cp:lastModifiedBy>CHAUTAGNAT</cp:lastModifiedBy>
  <cp:revision>2</cp:revision>
  <cp:lastPrinted>2014-07-09T10:38:00Z</cp:lastPrinted>
  <dcterms:created xsi:type="dcterms:W3CDTF">2014-07-09T12:26:00Z</dcterms:created>
  <dcterms:modified xsi:type="dcterms:W3CDTF">2014-07-09T12:26:00Z</dcterms:modified>
</cp:coreProperties>
</file>