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7446B" w:rsidP="00D7446B">
            <w:pPr>
              <w:jc w:val="right"/>
            </w:pPr>
            <w:r w:rsidRPr="00D7446B">
              <w:rPr>
                <w:sz w:val="40"/>
              </w:rPr>
              <w:t>CCPR</w:t>
            </w:r>
            <w:r>
              <w:t>/C/106/3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7446B" w:rsidRDefault="00D7446B" w:rsidP="00464EEE">
            <w:pPr>
              <w:spacing w:before="240"/>
            </w:pPr>
            <w:r>
              <w:t>Distr. générale</w:t>
            </w:r>
          </w:p>
          <w:p w:rsidR="00D7446B" w:rsidRDefault="00D7446B" w:rsidP="00D7446B">
            <w:pPr>
              <w:spacing w:line="240" w:lineRule="exact"/>
            </w:pPr>
            <w:r>
              <w:t>13 novembre 2012</w:t>
            </w:r>
          </w:p>
          <w:p w:rsidR="00D7446B" w:rsidRDefault="00D7446B" w:rsidP="00D7446B">
            <w:pPr>
              <w:spacing w:line="240" w:lineRule="exact"/>
            </w:pPr>
            <w:r>
              <w:t>Français</w:t>
            </w:r>
          </w:p>
          <w:p w:rsidR="00AF1CE8" w:rsidRPr="00DB58B5" w:rsidRDefault="00D7446B" w:rsidP="00D7446B">
            <w:pPr>
              <w:spacing w:line="240" w:lineRule="exact"/>
            </w:pPr>
            <w:r>
              <w:t>Original: anglais</w:t>
            </w:r>
          </w:p>
        </w:tc>
      </w:tr>
    </w:tbl>
    <w:p w:rsidR="00DF3BF1" w:rsidRDefault="00DF3BF1" w:rsidP="00D7446B">
      <w:pPr>
        <w:spacing w:before="120"/>
        <w:rPr>
          <w:b/>
          <w:sz w:val="24"/>
          <w:szCs w:val="24"/>
        </w:rPr>
      </w:pPr>
      <w:r w:rsidRPr="00DF3BF1">
        <w:rPr>
          <w:b/>
          <w:sz w:val="24"/>
          <w:szCs w:val="24"/>
        </w:rPr>
        <w:t>Comité des droits de l’homme</w:t>
      </w:r>
    </w:p>
    <w:p w:rsidR="001803D9" w:rsidRDefault="001803D9" w:rsidP="009724BF">
      <w:pPr>
        <w:pStyle w:val="HMG"/>
      </w:pPr>
      <w:r>
        <w:tab/>
      </w:r>
      <w:r w:rsidR="009724BF">
        <w:tab/>
        <w:t xml:space="preserve">Document </w:t>
      </w:r>
      <w:r>
        <w:t xml:space="preserve">sur les relations entre le Comité des droits de l’homme et les </w:t>
      </w:r>
      <w:r w:rsidRPr="00DF2EDB">
        <w:t xml:space="preserve">institutions nationales </w:t>
      </w:r>
      <w:r>
        <w:br/>
      </w:r>
      <w:r w:rsidRPr="00DF2EDB">
        <w:t>de défense des droits de l</w:t>
      </w:r>
      <w:r>
        <w:t>’</w:t>
      </w:r>
      <w:r w:rsidRPr="00DF2EDB">
        <w:t>homme</w:t>
      </w:r>
      <w:r>
        <w:t xml:space="preserve"> </w:t>
      </w:r>
      <w:r w:rsidR="009724BF">
        <w:t xml:space="preserve">adopté </w:t>
      </w:r>
      <w:r w:rsidR="009724BF">
        <w:br/>
        <w:t xml:space="preserve">par le </w:t>
      </w:r>
      <w:r>
        <w:t>Comité à sa 106</w:t>
      </w:r>
      <w:r w:rsidRPr="00624D59">
        <w:rPr>
          <w:vertAlign w:val="superscript"/>
        </w:rPr>
        <w:t>e</w:t>
      </w:r>
      <w:r>
        <w:t> session</w:t>
      </w:r>
      <w:r w:rsidR="009724BF">
        <w:t xml:space="preserve"> </w:t>
      </w:r>
      <w:r w:rsidR="009724BF">
        <w:br/>
        <w:t>(15 octobre-2 novembre</w:t>
      </w:r>
      <w:r w:rsidR="008F4F6D">
        <w:t xml:space="preserve"> 2012</w:t>
      </w:r>
      <w:r w:rsidR="009724BF">
        <w:t>)</w:t>
      </w:r>
    </w:p>
    <w:p w:rsidR="001803D9" w:rsidRDefault="001803D9" w:rsidP="001803D9">
      <w:pPr>
        <w:pStyle w:val="H1G"/>
      </w:pPr>
      <w:r>
        <w:tab/>
        <w:t>A.</w:t>
      </w:r>
      <w:r>
        <w:tab/>
        <w:t>Observations générales</w:t>
      </w:r>
    </w:p>
    <w:p w:rsidR="001803D9" w:rsidRDefault="001803D9" w:rsidP="009B196B">
      <w:pPr>
        <w:pStyle w:val="SingleTxtG"/>
      </w:pPr>
      <w:r>
        <w:t>1.</w:t>
      </w:r>
      <w:r>
        <w:tab/>
        <w:t>Le Comité des droits de l’homme estime que sa collaboration étroite avec les institutions nationales de défense des droits de l’homme est essentielle</w:t>
      </w:r>
      <w:r w:rsidRPr="00DF2EDB">
        <w:t xml:space="preserve"> pour promouvoir et appliquer </w:t>
      </w:r>
      <w:r>
        <w:t xml:space="preserve">au niveau national </w:t>
      </w:r>
      <w:r w:rsidRPr="00DF2EDB">
        <w:t>le Pacte international relatif aux droits civils et politiques et les Protocoles facultatifs</w:t>
      </w:r>
      <w:r>
        <w:t xml:space="preserve"> s’y rapportant. </w:t>
      </w:r>
    </w:p>
    <w:p w:rsidR="001803D9" w:rsidRDefault="001803D9" w:rsidP="009B196B">
      <w:pPr>
        <w:pStyle w:val="SingleTxtG"/>
      </w:pPr>
      <w:r>
        <w:t>2.</w:t>
      </w:r>
      <w:r>
        <w:tab/>
        <w:t xml:space="preserve">Le Comité reconnaît que les institutions nationales de défense des droits de l’homme établissent une passerelle entre les mécanismes internationaux et nationaux relatifs aux droits de l’homme. </w:t>
      </w:r>
      <w:r w:rsidR="009B196B">
        <w:t>Il relève</w:t>
      </w:r>
      <w:r>
        <w:t xml:space="preserve"> que la communauté internationale a conscience du rôle de ces institutions nationales et leur donne de plus en plus d’occasions de contribuer à la promotion et à la protection des droits de l’homme au niveau international</w:t>
      </w:r>
      <w:r w:rsidR="00866AB3">
        <w:rPr>
          <w:rStyle w:val="FootnoteReference"/>
        </w:rPr>
        <w:footnoteReference w:id="2"/>
      </w:r>
      <w:r>
        <w:t xml:space="preserve">. </w:t>
      </w:r>
    </w:p>
    <w:p w:rsidR="001803D9" w:rsidRPr="00D56CCF" w:rsidRDefault="001803D9" w:rsidP="001803D9">
      <w:pPr>
        <w:pStyle w:val="SingleTxtG"/>
        <w:rPr>
          <w:spacing w:val="-2"/>
        </w:rPr>
      </w:pPr>
      <w:r w:rsidRPr="00D56CCF">
        <w:rPr>
          <w:spacing w:val="-2"/>
        </w:rPr>
        <w:t>3.</w:t>
      </w:r>
      <w:r w:rsidRPr="00D56CCF">
        <w:rPr>
          <w:spacing w:val="-2"/>
        </w:rPr>
        <w:tab/>
        <w:t>Le Comité fait observer que, pour qu</w:t>
      </w:r>
      <w:r>
        <w:rPr>
          <w:spacing w:val="-2"/>
        </w:rPr>
        <w:t>’</w:t>
      </w:r>
      <w:r w:rsidRPr="00D56CCF">
        <w:rPr>
          <w:spacing w:val="-2"/>
        </w:rPr>
        <w:t>elles puissent remplir leur rôle efficacement, les institutions nationales de défense des droits de l</w:t>
      </w:r>
      <w:r>
        <w:rPr>
          <w:spacing w:val="-2"/>
        </w:rPr>
        <w:t>’</w:t>
      </w:r>
      <w:r w:rsidRPr="00D56CCF">
        <w:rPr>
          <w:spacing w:val="-2"/>
        </w:rPr>
        <w:t xml:space="preserve">homme devraient être renforcées conformément aux </w:t>
      </w:r>
      <w:r w:rsidR="00F53F4B" w:rsidRPr="00D56CCF">
        <w:rPr>
          <w:spacing w:val="-2"/>
        </w:rPr>
        <w:t xml:space="preserve">principes </w:t>
      </w:r>
      <w:r w:rsidRPr="00D56CCF">
        <w:rPr>
          <w:spacing w:val="-2"/>
        </w:rPr>
        <w:t>concernant le statut des institutions nationales pour la promotion et la protection des droits de l</w:t>
      </w:r>
      <w:r>
        <w:rPr>
          <w:spacing w:val="-2"/>
        </w:rPr>
        <w:t>’</w:t>
      </w:r>
      <w:r w:rsidRPr="00D56CCF">
        <w:rPr>
          <w:spacing w:val="-2"/>
        </w:rPr>
        <w:t>homme (Principes de Paris) et être dûment accréditées par le Comité international de coordination des institutions nationales pour la promotion et la protection des droits de l</w:t>
      </w:r>
      <w:r>
        <w:rPr>
          <w:spacing w:val="-2"/>
        </w:rPr>
        <w:t>’</w:t>
      </w:r>
      <w:r w:rsidRPr="00D56CCF">
        <w:rPr>
          <w:spacing w:val="-2"/>
        </w:rPr>
        <w:t>homme (CIC). Le Comité a recommandé à tous les États, et continuera en ce sens selon que de besoin, d</w:t>
      </w:r>
      <w:r>
        <w:rPr>
          <w:spacing w:val="-2"/>
        </w:rPr>
        <w:t>’</w:t>
      </w:r>
      <w:r w:rsidRPr="00D56CCF">
        <w:rPr>
          <w:spacing w:val="-2"/>
        </w:rPr>
        <w:t>établir des institutions nationales de défense des droits de l</w:t>
      </w:r>
      <w:r>
        <w:rPr>
          <w:spacing w:val="-2"/>
        </w:rPr>
        <w:t>’</w:t>
      </w:r>
      <w:r w:rsidRPr="00D56CCF">
        <w:rPr>
          <w:spacing w:val="-2"/>
        </w:rPr>
        <w:t xml:space="preserve">homme et de les renforcer, en respectant pleinement les Principes de Paris. </w:t>
      </w:r>
    </w:p>
    <w:p w:rsidR="001803D9" w:rsidRDefault="001803D9" w:rsidP="001803D9">
      <w:pPr>
        <w:pStyle w:val="SingleTxtG"/>
      </w:pPr>
      <w:r>
        <w:t>4.</w:t>
      </w:r>
      <w:r>
        <w:tab/>
        <w:t xml:space="preserve">Les institutions nationales de défense des droits de l’homme accréditées </w:t>
      </w:r>
      <w:r w:rsidR="00F42B72">
        <w:t>par le CIC</w:t>
      </w:r>
      <w:r>
        <w:t xml:space="preserve"> sont d’importants partenaires nationaux du Comité. Au niveau national, elles </w:t>
      </w:r>
      <w:r w:rsidR="00F42B72">
        <w:t>peuvent assurer</w:t>
      </w:r>
      <w:r>
        <w:t xml:space="preserve"> la promotion de l’éducation aux droits de l’homme et la sensibilisation</w:t>
      </w:r>
      <w:r w:rsidR="00F42B72">
        <w:t xml:space="preserve"> aux droits prévus par le Pacte, à la procédure de présentation de communications </w:t>
      </w:r>
      <w:r>
        <w:t xml:space="preserve">et aux travaux du Comité; </w:t>
      </w:r>
      <w:r w:rsidR="00F42B72">
        <w:t>elles peuvent aussi veiller</w:t>
      </w:r>
      <w:r>
        <w:t xml:space="preserve"> à ce que les lois et politiques nationales respectent</w:t>
      </w:r>
      <w:r w:rsidR="00F42B72">
        <w:t xml:space="preserve"> les dispositions du Pacte et donner</w:t>
      </w:r>
      <w:r>
        <w:t xml:space="preserve"> des conseils aux autorités nationales à ce sujet. Au niveau international, elles invitent et aident l’État partie concerné à respecter ses obligations en mati</w:t>
      </w:r>
      <w:r w:rsidR="00F53F4B">
        <w:t>ère d’établissement de rapports,</w:t>
      </w:r>
      <w:r>
        <w:t xml:space="preserve"> donnent au Comité des informations indépendantes et dignes de foi sur l’application du Pacte au niveau national, et s’emploient à suivre et à superviser la mise en œuvre des observations finales, constatations et autres décisions du Comité.</w:t>
      </w:r>
      <w:r w:rsidR="00F42B72">
        <w:t xml:space="preserve"> Dans le cas des États qui ne sont pas partie</w:t>
      </w:r>
      <w:r w:rsidR="00F53F4B">
        <w:t>s</w:t>
      </w:r>
      <w:r w:rsidR="00F42B72">
        <w:t xml:space="preserve"> au Pacte ou aux Protocoles facultatifs s’y rapportant, elles peuvent encourager la ratification de ces instruments.</w:t>
      </w:r>
    </w:p>
    <w:p w:rsidR="001803D9" w:rsidRPr="00D56CCF" w:rsidRDefault="001803D9" w:rsidP="001803D9">
      <w:pPr>
        <w:pStyle w:val="SingleTxtG"/>
        <w:rPr>
          <w:spacing w:val="-2"/>
        </w:rPr>
      </w:pPr>
      <w:r w:rsidRPr="00D56CCF">
        <w:rPr>
          <w:spacing w:val="-2"/>
        </w:rPr>
        <w:t>5.</w:t>
      </w:r>
      <w:r w:rsidRPr="00D56CCF">
        <w:rPr>
          <w:spacing w:val="-2"/>
        </w:rPr>
        <w:tab/>
        <w:t>Le Comité est résolu à rendre ses travaux plus facilement accessibles aux institutions nationales de défense des droits de l</w:t>
      </w:r>
      <w:r>
        <w:rPr>
          <w:spacing w:val="-2"/>
        </w:rPr>
        <w:t>’</w:t>
      </w:r>
      <w:r w:rsidRPr="00D56CCF">
        <w:rPr>
          <w:spacing w:val="-2"/>
        </w:rPr>
        <w:t>homme. Ainsi, le secrétariat du Comité communique des informations à ces institutions en temps voulu et leur donne des conseils sur les possibilités d</w:t>
      </w:r>
      <w:r w:rsidR="00D85AEB">
        <w:rPr>
          <w:spacing w:val="-2"/>
        </w:rPr>
        <w:t xml:space="preserve">e collaboration avec le Comité. </w:t>
      </w:r>
      <w:r w:rsidRPr="00D56CCF">
        <w:rPr>
          <w:spacing w:val="-2"/>
        </w:rPr>
        <w:t>En outre, le secrétariat du Comité assure la liaison avec le bureau du représentant du CIC à Genève, qui vise à encourager les institutions nationales de défense des droits de l</w:t>
      </w:r>
      <w:r>
        <w:rPr>
          <w:spacing w:val="-2"/>
        </w:rPr>
        <w:t>’</w:t>
      </w:r>
      <w:r w:rsidRPr="00D56CCF">
        <w:rPr>
          <w:spacing w:val="-2"/>
        </w:rPr>
        <w:t xml:space="preserve">homme à </w:t>
      </w:r>
      <w:r w:rsidR="00D85AEB">
        <w:rPr>
          <w:spacing w:val="-2"/>
        </w:rPr>
        <w:t>collaborer</w:t>
      </w:r>
      <w:r w:rsidRPr="00D56CCF">
        <w:rPr>
          <w:spacing w:val="-2"/>
        </w:rPr>
        <w:t xml:space="preserve"> le plus efficacement possible </w:t>
      </w:r>
      <w:r w:rsidR="00D85AEB">
        <w:rPr>
          <w:spacing w:val="-2"/>
        </w:rPr>
        <w:t>avec le</w:t>
      </w:r>
      <w:r w:rsidRPr="00D56CCF">
        <w:rPr>
          <w:spacing w:val="-2"/>
        </w:rPr>
        <w:t xml:space="preserve"> Comité, notamment en partageant des informations, en publiant les travaux du Comité et en conseillant les institutions en question quant aux possibilités de contribution.</w:t>
      </w:r>
    </w:p>
    <w:p w:rsidR="001803D9" w:rsidRDefault="001803D9" w:rsidP="00B80F79">
      <w:pPr>
        <w:pStyle w:val="SingleTxtG"/>
      </w:pPr>
      <w:r>
        <w:t>6.</w:t>
      </w:r>
      <w:r>
        <w:tab/>
        <w:t>Le Comité se félicite de la représentation des institutions nationales de défense des droits de l’h</w:t>
      </w:r>
      <w:r w:rsidR="00D85AEB">
        <w:t xml:space="preserve">omme à ses sessions et réunions. Il est également satisfait de </w:t>
      </w:r>
      <w:r>
        <w:t xml:space="preserve">l’utilisation de nouvelles technologies, </w:t>
      </w:r>
      <w:r w:rsidR="00D85AEB">
        <w:t xml:space="preserve">comme la </w:t>
      </w:r>
      <w:r>
        <w:t>visio</w:t>
      </w:r>
      <w:r w:rsidR="00D85AEB">
        <w:t xml:space="preserve">conférence ou la </w:t>
      </w:r>
      <w:r>
        <w:t>télé</w:t>
      </w:r>
      <w:r w:rsidR="00D85AEB">
        <w:t xml:space="preserve">conférence </w:t>
      </w:r>
      <w:r>
        <w:t xml:space="preserve">et </w:t>
      </w:r>
      <w:r w:rsidR="00D85AEB">
        <w:t xml:space="preserve">la diffusion </w:t>
      </w:r>
      <w:r>
        <w:t>sur le Web</w:t>
      </w:r>
      <w:r w:rsidR="006C23DF">
        <w:t>,</w:t>
      </w:r>
      <w:r>
        <w:t xml:space="preserve"> </w:t>
      </w:r>
      <w:r w:rsidR="00D85AEB">
        <w:t>qui permettent</w:t>
      </w:r>
      <w:r>
        <w:t xml:space="preserve"> aux institutions de toutes les régions d’apporter leur contribution pendant ses sessions.</w:t>
      </w:r>
    </w:p>
    <w:p w:rsidR="001803D9" w:rsidRDefault="001803D9" w:rsidP="00B80F79">
      <w:pPr>
        <w:pStyle w:val="H1G"/>
      </w:pPr>
      <w:r>
        <w:tab/>
        <w:t>B</w:t>
      </w:r>
      <w:r w:rsidRPr="00002E5D">
        <w:t>.</w:t>
      </w:r>
      <w:r w:rsidRPr="00002E5D">
        <w:tab/>
      </w:r>
      <w:r>
        <w:t>Indépendance des institutions nationales de défense des droits</w:t>
      </w:r>
      <w:r>
        <w:br/>
        <w:t>de l’homme</w:t>
      </w:r>
    </w:p>
    <w:p w:rsidR="00B80F79" w:rsidRDefault="001803D9" w:rsidP="00B80F79">
      <w:pPr>
        <w:pStyle w:val="SingleTxtG"/>
        <w:spacing w:line="240" w:lineRule="exact"/>
      </w:pPr>
      <w:r>
        <w:t>7.</w:t>
      </w:r>
      <w:r>
        <w:tab/>
        <w:t xml:space="preserve">Le Comité reconnaît qu’en vertu du mandat que leur </w:t>
      </w:r>
      <w:r w:rsidR="00B80F79">
        <w:t>confèrent</w:t>
      </w:r>
      <w:r>
        <w:t xml:space="preserve"> les Principes de Paris, les institutions nationales de défense des droits de l’homme ont </w:t>
      </w:r>
      <w:r w:rsidR="00B80F79">
        <w:t xml:space="preserve">avec lui </w:t>
      </w:r>
      <w:r>
        <w:t xml:space="preserve">des relations </w:t>
      </w:r>
      <w:r w:rsidRPr="00400708">
        <w:t>particulières</w:t>
      </w:r>
      <w:r>
        <w:t>, dans le cadre desquelles elles sont indépendantes. Ces liens sont différents de ceux qu’elles entretiennent avec les États parties, la société civile, les organisations non gouvernementales et d’autres acteurs, tout en étant complémentaires.</w:t>
      </w:r>
      <w:r w:rsidR="00B80F79">
        <w:t xml:space="preserve"> </w:t>
      </w:r>
      <w:r>
        <w:t xml:space="preserve">Ainsi, le Comité donne aux institutions nationales de défense des droits de l’homme accréditées </w:t>
      </w:r>
      <w:r w:rsidR="00B80F79">
        <w:t>par le CIC</w:t>
      </w:r>
      <w:r>
        <w:t xml:space="preserve"> la possibilité </w:t>
      </w:r>
      <w:r w:rsidR="00B80F79">
        <w:t xml:space="preserve">de coopérer </w:t>
      </w:r>
      <w:r>
        <w:t xml:space="preserve">avec lui </w:t>
      </w:r>
      <w:r w:rsidR="00B80F79">
        <w:t xml:space="preserve">selon des modalités spécifiques. </w:t>
      </w:r>
    </w:p>
    <w:p w:rsidR="001803D9" w:rsidRDefault="00F2011C" w:rsidP="00F2011C">
      <w:pPr>
        <w:pStyle w:val="H1G"/>
      </w:pPr>
      <w:r>
        <w:tab/>
      </w:r>
      <w:r w:rsidR="001803D9" w:rsidRPr="001C2CF4">
        <w:t>C.</w:t>
      </w:r>
      <w:r w:rsidR="001803D9" w:rsidRPr="001C2CF4">
        <w:tab/>
      </w:r>
      <w:r w:rsidR="001803D9">
        <w:t xml:space="preserve">Rôle des institutions nationales de défense des droits de l’homme </w:t>
      </w:r>
      <w:r w:rsidR="001803D9">
        <w:br/>
        <w:t>dans la procédure de soumission des rapports</w:t>
      </w:r>
    </w:p>
    <w:p w:rsidR="001803D9" w:rsidRDefault="003A326B" w:rsidP="001803D9">
      <w:pPr>
        <w:pStyle w:val="SingleTxtG"/>
      </w:pPr>
      <w:r>
        <w:t>8</w:t>
      </w:r>
      <w:r w:rsidR="001803D9">
        <w:t>.</w:t>
      </w:r>
      <w:r w:rsidR="001803D9">
        <w:tab/>
        <w:t xml:space="preserve">Le Comité reconnaît que les institutions nationales de défense des droits de l’homme qui respectent les Principes de Paris peuvent contribuer à tous les stades de la procédure de soumission des rapports prévue par le Pacte, notamment pour ce qui est de la communication d’informations </w:t>
      </w:r>
      <w:r>
        <w:t>aux fins de</w:t>
      </w:r>
      <w:r w:rsidR="001803D9">
        <w:t xml:space="preserve"> l’établissement </w:t>
      </w:r>
      <w:r>
        <w:t>des</w:t>
      </w:r>
      <w:r w:rsidR="001803D9">
        <w:t xml:space="preserve"> liste</w:t>
      </w:r>
      <w:r>
        <w:t>s de</w:t>
      </w:r>
      <w:r w:rsidR="001803D9">
        <w:t xml:space="preserve"> points </w:t>
      </w:r>
      <w:r>
        <w:t>à traiter (y compris les</w:t>
      </w:r>
      <w:r w:rsidR="001803D9">
        <w:t xml:space="preserve"> </w:t>
      </w:r>
      <w:r w:rsidR="001803D9" w:rsidRPr="00DF2EDB">
        <w:t>liste</w:t>
      </w:r>
      <w:r>
        <w:t>s</w:t>
      </w:r>
      <w:r w:rsidR="001803D9" w:rsidRPr="00DF2EDB">
        <w:t xml:space="preserve"> </w:t>
      </w:r>
      <w:r>
        <w:t>préalables à</w:t>
      </w:r>
      <w:r w:rsidR="001803D9" w:rsidRPr="00DF2EDB">
        <w:t xml:space="preserve"> </w:t>
      </w:r>
      <w:r w:rsidR="001803D9">
        <w:t>la soumission</w:t>
      </w:r>
      <w:r w:rsidR="00CD5D8A">
        <w:t xml:space="preserve"> des rapports</w:t>
      </w:r>
      <w:r w:rsidR="001803D9">
        <w:t>) et du suivi des observations finales.</w:t>
      </w:r>
    </w:p>
    <w:p w:rsidR="001803D9" w:rsidRDefault="001803D9" w:rsidP="001803D9">
      <w:pPr>
        <w:pStyle w:val="H23G"/>
      </w:pPr>
      <w:r>
        <w:tab/>
      </w:r>
      <w:r w:rsidR="002727DA">
        <w:t>1.</w:t>
      </w:r>
      <w:r w:rsidRPr="00EA59F8">
        <w:tab/>
      </w:r>
      <w:r>
        <w:t>Obligations des États en matière de soumission de rapports découlant du Pacte</w:t>
      </w:r>
    </w:p>
    <w:p w:rsidR="001803D9" w:rsidRDefault="00903937" w:rsidP="001803D9">
      <w:pPr>
        <w:pStyle w:val="SingleTxtG"/>
      </w:pPr>
      <w:r>
        <w:t>9</w:t>
      </w:r>
      <w:r w:rsidR="001803D9">
        <w:t>.</w:t>
      </w:r>
      <w:r w:rsidR="001803D9">
        <w:tab/>
        <w:t>Le Comité estime que les institutions nationales de défense des droits de l’homme ont un rôle important à jouer en encourageant leurs États respectifs à s’acquitter de leurs obligations en matière de soumission de rapports.</w:t>
      </w:r>
    </w:p>
    <w:p w:rsidR="001803D9" w:rsidRDefault="00903937" w:rsidP="001803D9">
      <w:pPr>
        <w:pStyle w:val="SingleTxtG"/>
      </w:pPr>
      <w:r>
        <w:t>10</w:t>
      </w:r>
      <w:r w:rsidR="001803D9">
        <w:t>.</w:t>
      </w:r>
      <w:r w:rsidR="001803D9">
        <w:tab/>
        <w:t>Le Comité encourage les institutions nationales de défense des droits de l’homme à mener des campagnes d’éducation aux droits de l’homme et des programmes de sensibilisation, afin d’informer et de sensibiliser</w:t>
      </w:r>
      <w:r w:rsidR="00FA185A">
        <w:t xml:space="preserve"> les responsables des États et les </w:t>
      </w:r>
      <w:r w:rsidR="001803D9">
        <w:t xml:space="preserve">autres parties prenantes, y compris les organisations non gouvernementales, </w:t>
      </w:r>
      <w:r w:rsidR="00FA185A">
        <w:t>à l’</w:t>
      </w:r>
      <w:r w:rsidR="001803D9">
        <w:t>o</w:t>
      </w:r>
      <w:r w:rsidR="00FA185A">
        <w:t xml:space="preserve">bligation qui incombe aux </w:t>
      </w:r>
      <w:r w:rsidR="001803D9">
        <w:t xml:space="preserve">États </w:t>
      </w:r>
      <w:r w:rsidR="00FA185A">
        <w:t xml:space="preserve">de soumettre des </w:t>
      </w:r>
      <w:r w:rsidR="001803D9">
        <w:t xml:space="preserve">rapports </w:t>
      </w:r>
      <w:r w:rsidR="00FA185A">
        <w:t xml:space="preserve">en application du </w:t>
      </w:r>
      <w:r w:rsidR="001803D9">
        <w:t>Pacte.</w:t>
      </w:r>
    </w:p>
    <w:p w:rsidR="001803D9" w:rsidRDefault="001803D9" w:rsidP="001803D9">
      <w:pPr>
        <w:pStyle w:val="H23G"/>
      </w:pPr>
      <w:r>
        <w:tab/>
      </w:r>
      <w:r w:rsidR="00695B59">
        <w:t>2.</w:t>
      </w:r>
      <w:r>
        <w:tab/>
        <w:t>Consultations et contributions aux rapports des États parties</w:t>
      </w:r>
    </w:p>
    <w:p w:rsidR="001803D9" w:rsidRDefault="00CA1946" w:rsidP="001803D9">
      <w:pPr>
        <w:pStyle w:val="SingleTxtG"/>
      </w:pPr>
      <w:r>
        <w:t>11</w:t>
      </w:r>
      <w:r w:rsidR="001803D9">
        <w:t>.</w:t>
      </w:r>
      <w:r w:rsidR="001803D9">
        <w:tab/>
        <w:t xml:space="preserve">Le Comité reconnaît l’utilité des vastes consultations nationales organisées par les États parties à l’occasion de l’établissement de leurs rapports au titre du Pacte. À cet égard, il reconnaît également </w:t>
      </w:r>
      <w:r w:rsidR="00F17862">
        <w:t>qu’il est utile</w:t>
      </w:r>
      <w:r w:rsidR="001803D9">
        <w:t xml:space="preserve"> que les États mettent à l’avance </w:t>
      </w:r>
      <w:r w:rsidR="00F17862">
        <w:t xml:space="preserve">leurs rapports </w:t>
      </w:r>
      <w:r w:rsidR="001803D9">
        <w:t xml:space="preserve">à la disposition des institutions nationales de défense des droits de l’homme </w:t>
      </w:r>
      <w:r w:rsidR="00F17862">
        <w:t>et</w:t>
      </w:r>
      <w:r w:rsidR="001803D9">
        <w:t xml:space="preserve"> de tous les secteurs de la société civile, et </w:t>
      </w:r>
      <w:r w:rsidR="00F17862">
        <w:t>invitent</w:t>
      </w:r>
      <w:r w:rsidR="001803D9">
        <w:t xml:space="preserve"> toutes les parties </w:t>
      </w:r>
      <w:r w:rsidR="00F17862">
        <w:t xml:space="preserve">intéressées à prendre part à des </w:t>
      </w:r>
      <w:r w:rsidR="00C035BD">
        <w:t xml:space="preserve">consultations sur la </w:t>
      </w:r>
      <w:r w:rsidR="001803D9">
        <w:t>question</w:t>
      </w:r>
      <w:r w:rsidR="0021285D">
        <w:t>.</w:t>
      </w:r>
    </w:p>
    <w:p w:rsidR="001803D9" w:rsidRDefault="001803D9" w:rsidP="001803D9">
      <w:pPr>
        <w:pStyle w:val="H23G"/>
      </w:pPr>
      <w:r>
        <w:tab/>
      </w:r>
      <w:r w:rsidR="00DA7646">
        <w:t>3.</w:t>
      </w:r>
      <w:r>
        <w:tab/>
        <w:t>Contributions à l’établissement de</w:t>
      </w:r>
      <w:r w:rsidR="00EB5B2A">
        <w:t>s</w:t>
      </w:r>
      <w:r>
        <w:t xml:space="preserve"> liste</w:t>
      </w:r>
      <w:r w:rsidR="00EB5B2A">
        <w:t>s de</w:t>
      </w:r>
      <w:r>
        <w:t xml:space="preserve"> points</w:t>
      </w:r>
      <w:r w:rsidR="00EB5B2A">
        <w:t xml:space="preserve"> à traiter</w:t>
      </w:r>
    </w:p>
    <w:p w:rsidR="001803D9" w:rsidRDefault="00DA7646" w:rsidP="001803D9">
      <w:pPr>
        <w:pStyle w:val="SingleTxtG"/>
      </w:pPr>
      <w:r>
        <w:t>12</w:t>
      </w:r>
      <w:r w:rsidR="001803D9">
        <w:t>.</w:t>
      </w:r>
      <w:r w:rsidR="001803D9">
        <w:tab/>
        <w:t>Il est essentiel que le Comité reçoive des informations émanant des institutions nationales de défense des droits de l’homme</w:t>
      </w:r>
      <w:r w:rsidR="006A5AB8">
        <w:t xml:space="preserve"> au début de la procédure d’établissement de rapports</w:t>
      </w:r>
      <w:r w:rsidR="001803D9">
        <w:t>. Ainsi, le Comité invite ces institutions à soumettre des contributions écrites en vue de l’élaboration de</w:t>
      </w:r>
      <w:r w:rsidR="006A5AB8">
        <w:t>s</w:t>
      </w:r>
      <w:r w:rsidR="001803D9">
        <w:t xml:space="preserve"> liste</w:t>
      </w:r>
      <w:r w:rsidR="006A5AB8">
        <w:t>s de</w:t>
      </w:r>
      <w:r w:rsidR="001803D9">
        <w:t xml:space="preserve"> points</w:t>
      </w:r>
      <w:r w:rsidR="006A5AB8">
        <w:t xml:space="preserve"> à traiter</w:t>
      </w:r>
      <w:r w:rsidR="001803D9">
        <w:t xml:space="preserve"> (y compris </w:t>
      </w:r>
      <w:r w:rsidR="006A5AB8">
        <w:t>les</w:t>
      </w:r>
      <w:r w:rsidR="001803D9">
        <w:t xml:space="preserve"> liste</w:t>
      </w:r>
      <w:r w:rsidR="006A5AB8">
        <w:t>s</w:t>
      </w:r>
      <w:r w:rsidR="001803D9">
        <w:t xml:space="preserve"> </w:t>
      </w:r>
      <w:r w:rsidR="006A5AB8">
        <w:t>préalables à</w:t>
      </w:r>
      <w:r w:rsidR="001803D9">
        <w:t xml:space="preserve"> la soumission</w:t>
      </w:r>
      <w:r w:rsidR="006A5AB8">
        <w:t xml:space="preserve"> des rapports</w:t>
      </w:r>
      <w:r w:rsidR="001803D9">
        <w:t xml:space="preserve">). En outre, il se </w:t>
      </w:r>
      <w:r w:rsidR="00160CDA">
        <w:t>félicite</w:t>
      </w:r>
      <w:r w:rsidR="001803D9">
        <w:t xml:space="preserve"> de la possibilité de rencontrer les institutions nationales de défense des droits de l’homme concernées avant l’adoption de la liste des points.</w:t>
      </w:r>
    </w:p>
    <w:p w:rsidR="001803D9" w:rsidRDefault="00160CDA" w:rsidP="001803D9">
      <w:pPr>
        <w:pStyle w:val="SingleTxtG"/>
      </w:pPr>
      <w:r>
        <w:t>13</w:t>
      </w:r>
      <w:r w:rsidR="001803D9">
        <w:t>.</w:t>
      </w:r>
      <w:r w:rsidR="001803D9">
        <w:tab/>
        <w:t xml:space="preserve">Afin de faciliter la </w:t>
      </w:r>
      <w:r>
        <w:t>communication</w:t>
      </w:r>
      <w:r w:rsidR="001803D9">
        <w:t xml:space="preserve"> en temps voulu </w:t>
      </w:r>
      <w:r>
        <w:t>d’informations par les</w:t>
      </w:r>
      <w:r w:rsidR="001803D9">
        <w:t xml:space="preserve"> institutions nationales de défense des droits de l’homme, le secrétariat du Comité informe à l’</w:t>
      </w:r>
      <w:r>
        <w:t>avance</w:t>
      </w:r>
      <w:r w:rsidR="001803D9">
        <w:t xml:space="preserve"> </w:t>
      </w:r>
      <w:r>
        <w:t>les</w:t>
      </w:r>
      <w:r w:rsidR="001803D9">
        <w:t xml:space="preserve"> institutions </w:t>
      </w:r>
      <w:r>
        <w:t xml:space="preserve">concernées </w:t>
      </w:r>
      <w:r w:rsidR="001803D9">
        <w:t>du calendrier de présentation des rapports et leur donne des conseils quant aux possibilités de contribution.</w:t>
      </w:r>
    </w:p>
    <w:p w:rsidR="001803D9" w:rsidRDefault="00016F58" w:rsidP="001803D9">
      <w:pPr>
        <w:pStyle w:val="H23G"/>
      </w:pPr>
      <w:r>
        <w:tab/>
        <w:t>4.</w:t>
      </w:r>
      <w:r w:rsidR="001803D9">
        <w:tab/>
        <w:t xml:space="preserve">Contributions </w:t>
      </w:r>
      <w:r w:rsidR="004A2C7A">
        <w:t>avant et pendant les</w:t>
      </w:r>
      <w:r w:rsidR="001803D9">
        <w:t xml:space="preserve"> sessions du Comité </w:t>
      </w:r>
    </w:p>
    <w:p w:rsidR="001803D9" w:rsidRDefault="004A2C7A" w:rsidP="001803D9">
      <w:pPr>
        <w:pStyle w:val="SingleTxtG"/>
      </w:pPr>
      <w:r>
        <w:t>14</w:t>
      </w:r>
      <w:r w:rsidR="001803D9">
        <w:t>.</w:t>
      </w:r>
      <w:r w:rsidR="001803D9">
        <w:tab/>
        <w:t xml:space="preserve">Le Comité accueille avec intérêt la </w:t>
      </w:r>
      <w:r>
        <w:t>présentation</w:t>
      </w:r>
      <w:r w:rsidR="001803D9">
        <w:t xml:space="preserve"> de rapports parallèles et d’exposés oraux par des institutions nationales de défense des droits de l’homme</w:t>
      </w:r>
      <w:r>
        <w:t>, ainsi que</w:t>
      </w:r>
      <w:r w:rsidR="001803D9">
        <w:t xml:space="preserve"> la présence de </w:t>
      </w:r>
      <w:r>
        <w:t>ces institutions</w:t>
      </w:r>
      <w:r w:rsidR="001803D9">
        <w:t xml:space="preserve"> lors de l’examen </w:t>
      </w:r>
      <w:r>
        <w:t xml:space="preserve">des rapports des États </w:t>
      </w:r>
      <w:r w:rsidR="001803D9">
        <w:t>partie</w:t>
      </w:r>
      <w:r>
        <w:t>s</w:t>
      </w:r>
      <w:r w:rsidR="001803D9">
        <w:t>.</w:t>
      </w:r>
    </w:p>
    <w:p w:rsidR="00C7360F" w:rsidRDefault="005A1035" w:rsidP="00C7360F">
      <w:pPr>
        <w:pStyle w:val="SingleTxtG"/>
      </w:pPr>
      <w:r>
        <w:t>15</w:t>
      </w:r>
      <w:r w:rsidR="001803D9">
        <w:t>.</w:t>
      </w:r>
      <w:r w:rsidR="001803D9">
        <w:tab/>
        <w:t xml:space="preserve">Depuis la </w:t>
      </w:r>
      <w:r w:rsidR="00A72F17">
        <w:t>103</w:t>
      </w:r>
      <w:r w:rsidR="00A72F17" w:rsidRPr="00A72F17">
        <w:rPr>
          <w:vertAlign w:val="superscript"/>
        </w:rPr>
        <w:t>e</w:t>
      </w:r>
      <w:r w:rsidR="00A72F17">
        <w:t> </w:t>
      </w:r>
      <w:r w:rsidR="001803D9">
        <w:t xml:space="preserve">session du Comité, les institutions nationales de défense des droits de l’homme ont la possibilité de </w:t>
      </w:r>
      <w:r w:rsidR="00C7360F">
        <w:t>tenir avec le</w:t>
      </w:r>
      <w:r w:rsidR="001803D9">
        <w:t xml:space="preserve"> Comité </w:t>
      </w:r>
      <w:r w:rsidR="00C7360F">
        <w:t xml:space="preserve">des réunions formelles, en privé et à huis clos, avec </w:t>
      </w:r>
      <w:r w:rsidR="001803D9">
        <w:t xml:space="preserve">interprétation. </w:t>
      </w:r>
      <w:r w:rsidR="00C7360F">
        <w:t>Ces réunions</w:t>
      </w:r>
      <w:r w:rsidR="001803D9">
        <w:t xml:space="preserve"> sont l’occasion pour le Comité de </w:t>
      </w:r>
      <w:r w:rsidR="00C7360F">
        <w:t>dialoguer</w:t>
      </w:r>
      <w:r w:rsidR="001803D9">
        <w:t xml:space="preserve"> avec les institutions nationales de défense des droits de l’homme</w:t>
      </w:r>
      <w:r w:rsidR="00C7360F">
        <w:t xml:space="preserve"> et d’échanger avec elles des informations additionnelles actualisées</w:t>
      </w:r>
      <w:r w:rsidR="001803D9">
        <w:t xml:space="preserve">. </w:t>
      </w:r>
    </w:p>
    <w:p w:rsidR="001803D9" w:rsidRDefault="00C7360F" w:rsidP="00C7360F">
      <w:pPr>
        <w:pStyle w:val="H23G"/>
      </w:pPr>
      <w:r>
        <w:tab/>
        <w:t>5.</w:t>
      </w:r>
      <w:r w:rsidR="001803D9">
        <w:tab/>
        <w:t>Contributions au suivi des observations finales</w:t>
      </w:r>
    </w:p>
    <w:p w:rsidR="001803D9" w:rsidRDefault="00FB05E1" w:rsidP="001803D9">
      <w:pPr>
        <w:pStyle w:val="SingleTxtG"/>
      </w:pPr>
      <w:r>
        <w:t>16</w:t>
      </w:r>
      <w:r w:rsidR="001803D9">
        <w:t>.</w:t>
      </w:r>
      <w:r w:rsidR="001803D9">
        <w:tab/>
        <w:t xml:space="preserve">En vertu des Principes de Paris, les institutions nationales de défense des droits de l’homme sont spécifiquement chargées de veiller à ce que les États respectent les instruments internationaux </w:t>
      </w:r>
      <w:r w:rsidR="001341B8">
        <w:t>relatifs aux</w:t>
      </w:r>
      <w:r w:rsidR="001803D9">
        <w:t xml:space="preserve"> droits de l’homme ainsi que les recommandation</w:t>
      </w:r>
      <w:r w:rsidR="00BC1562">
        <w:t>s</w:t>
      </w:r>
      <w:r w:rsidR="001803D9">
        <w:t xml:space="preserve"> émanant des organes internationaux </w:t>
      </w:r>
      <w:r w:rsidR="001341B8">
        <w:t>créés en vertu de ces instruments</w:t>
      </w:r>
      <w:r w:rsidR="001803D9">
        <w:t xml:space="preserve">, et de faire rapport à ce sujet. </w:t>
      </w:r>
      <w:r w:rsidR="001341B8">
        <w:t>Ces</w:t>
      </w:r>
      <w:r w:rsidR="001803D9">
        <w:t xml:space="preserve"> institutions </w:t>
      </w:r>
      <w:r w:rsidR="001803D9" w:rsidRPr="00DF2EDB">
        <w:t xml:space="preserve">peuvent adresser </w:t>
      </w:r>
      <w:r w:rsidR="001341B8">
        <w:t xml:space="preserve">au Comité </w:t>
      </w:r>
      <w:r w:rsidR="001803D9" w:rsidRPr="00DF2EDB">
        <w:t>des renseignements écrits, notamment une évaluation des mesures prises par l</w:t>
      </w:r>
      <w:r w:rsidR="001803D9">
        <w:t>’</w:t>
      </w:r>
      <w:r w:rsidR="001803D9" w:rsidRPr="00DF2EDB">
        <w:t xml:space="preserve">État partie pour donner effet </w:t>
      </w:r>
      <w:r w:rsidR="001341B8">
        <w:t xml:space="preserve">à ses constatations. </w:t>
      </w:r>
      <w:r w:rsidR="001341B8" w:rsidRPr="00DF2EDB">
        <w:t xml:space="preserve">Ces </w:t>
      </w:r>
      <w:r w:rsidR="001803D9" w:rsidRPr="00DF2EDB">
        <w:t xml:space="preserve">informations devraient parvenir </w:t>
      </w:r>
      <w:r w:rsidR="001341B8">
        <w:t xml:space="preserve">au Comité </w:t>
      </w:r>
      <w:r w:rsidR="001803D9" w:rsidRPr="00DF2EDB">
        <w:t>à la date à laquelle l</w:t>
      </w:r>
      <w:r w:rsidR="001803D9">
        <w:t>’</w:t>
      </w:r>
      <w:r w:rsidR="001803D9" w:rsidRPr="00DF2EDB">
        <w:t>État partie doit envoyer son rapport ou une fois que le rapport de suivi est rendu public.</w:t>
      </w:r>
    </w:p>
    <w:p w:rsidR="001803D9" w:rsidRDefault="00D52832" w:rsidP="001803D9">
      <w:pPr>
        <w:pStyle w:val="SingleTxtG"/>
      </w:pPr>
      <w:r>
        <w:t>17</w:t>
      </w:r>
      <w:r w:rsidR="001803D9">
        <w:t>.</w:t>
      </w:r>
      <w:r w:rsidR="001803D9">
        <w:tab/>
        <w:t>Le Comité accueille avec intérêt et soutient le rôle majeur que jouent les institutions nationales de défense des droits de l’homme dans le suivi des observations</w:t>
      </w:r>
      <w:r>
        <w:t xml:space="preserve"> finales du Comité dans un pays; il rappelle néanmoins</w:t>
      </w:r>
      <w:r w:rsidR="001803D9">
        <w:t xml:space="preserve"> que le devoir d’appliquer le Pacte incombe à l’État </w:t>
      </w:r>
      <w:r>
        <w:t>lui-</w:t>
      </w:r>
      <w:r w:rsidR="001803D9">
        <w:t>même. Les institutions nationales de défense des droits de l’homme peuvent appuyer la mise en œuvre de plusieurs manières, notamment en diffusant à grande échelle les observations finales à toutes les parties prenantes, en organisant des consultations de suivi mettant à contribution des organisations gouvernem</w:t>
      </w:r>
      <w:r>
        <w:t>entales et non gouvernementales</w:t>
      </w:r>
      <w:r w:rsidR="001803D9">
        <w:t xml:space="preserve"> ainsi que l</w:t>
      </w:r>
      <w:r>
        <w:t>e parlement et d’autres organes</w:t>
      </w:r>
      <w:r w:rsidR="001803D9">
        <w:t xml:space="preserve"> et en </w:t>
      </w:r>
      <w:r>
        <w:t>incitant</w:t>
      </w:r>
      <w:r w:rsidR="001803D9" w:rsidRPr="00E905AE">
        <w:t xml:space="preserve"> </w:t>
      </w:r>
      <w:r w:rsidR="001803D9">
        <w:t xml:space="preserve">l’État concerné </w:t>
      </w:r>
      <w:r>
        <w:t xml:space="preserve">à prendre en compte </w:t>
      </w:r>
      <w:r w:rsidR="001803D9">
        <w:t xml:space="preserve">les observations finales dans le cadre de la planification nationale et de l’examen de la législation. En outre, le Comité encourage les institutions nationales de défense des droits de l’homme à se servir de leurs rapports annuels pour </w:t>
      </w:r>
      <w:r w:rsidR="00EB4109">
        <w:t>suivre</w:t>
      </w:r>
      <w:r w:rsidR="001803D9">
        <w:t xml:space="preserve"> la mise en œuvre des observations finales du Comité.</w:t>
      </w:r>
    </w:p>
    <w:p w:rsidR="001803D9" w:rsidRDefault="00673AC9" w:rsidP="001803D9">
      <w:pPr>
        <w:pStyle w:val="SingleTxtG"/>
      </w:pPr>
      <w:r>
        <w:t>18</w:t>
      </w:r>
      <w:r w:rsidR="001803D9">
        <w:t>.</w:t>
      </w:r>
      <w:r w:rsidR="001803D9">
        <w:tab/>
        <w:t>Afin de garantir que les institutions nationales de défense des droits de l’homme participent avec la plus grande eff</w:t>
      </w:r>
      <w:r>
        <w:t>icacité à la procédure de suivi</w:t>
      </w:r>
      <w:r w:rsidR="001803D9">
        <w:t xml:space="preserve">, le secrétariat du Comité informe à l’avance les institutions concernées </w:t>
      </w:r>
      <w:r>
        <w:t>du calendrier</w:t>
      </w:r>
      <w:r w:rsidR="001803D9">
        <w:t xml:space="preserve"> </w:t>
      </w:r>
      <w:r>
        <w:t>retenu</w:t>
      </w:r>
      <w:r w:rsidR="001803D9">
        <w:t xml:space="preserve"> et leur donne des conseils quant aux possibilités de </w:t>
      </w:r>
      <w:r>
        <w:t>contribution</w:t>
      </w:r>
      <w:r w:rsidR="001803D9">
        <w:t xml:space="preserve"> qui s’offrent à elles.</w:t>
      </w:r>
    </w:p>
    <w:p w:rsidR="001803D9" w:rsidRDefault="00F52799" w:rsidP="001803D9">
      <w:pPr>
        <w:pStyle w:val="H23G"/>
      </w:pPr>
      <w:r>
        <w:tab/>
        <w:t>6.</w:t>
      </w:r>
      <w:r w:rsidR="001803D9">
        <w:tab/>
        <w:t>Contributions dans le cas de l’examen de la situation</w:t>
      </w:r>
      <w:r>
        <w:t xml:space="preserve"> dans un État partie </w:t>
      </w:r>
      <w:r w:rsidR="001803D9">
        <w:t xml:space="preserve">en l’absence </w:t>
      </w:r>
      <w:r>
        <w:t>de</w:t>
      </w:r>
      <w:r w:rsidR="001803D9">
        <w:t xml:space="preserve"> rapport</w:t>
      </w:r>
      <w:r>
        <w:t xml:space="preserve"> </w:t>
      </w:r>
    </w:p>
    <w:p w:rsidR="001803D9" w:rsidRDefault="003001BE" w:rsidP="001803D9">
      <w:pPr>
        <w:pStyle w:val="SingleTxtG"/>
      </w:pPr>
      <w:r>
        <w:t>19</w:t>
      </w:r>
      <w:r w:rsidR="001803D9">
        <w:t>.</w:t>
      </w:r>
      <w:r w:rsidR="001803D9">
        <w:tab/>
        <w:t xml:space="preserve">Le Comité encourage les institutions nationales de défense des droits de l’homme à présenter des rapports parallèles dans les cas où le Comité a décidé d’établir une liste de </w:t>
      </w:r>
      <w:r>
        <w:t xml:space="preserve">points à traiter et de procéder à l’examen de l’application du Pacte dans </w:t>
      </w:r>
      <w:r w:rsidR="001803D9">
        <w:t xml:space="preserve">un État partie en l’absence de rapport. Les institutions nationales de défense des droits de l’homme </w:t>
      </w:r>
      <w:r>
        <w:t>ont alors</w:t>
      </w:r>
      <w:r w:rsidR="001803D9">
        <w:t xml:space="preserve"> les mêmes possibilités de contribution que dans le cadre de la procédure ordinaire d’examen des rapports.</w:t>
      </w:r>
    </w:p>
    <w:p w:rsidR="001803D9" w:rsidRDefault="001803D9" w:rsidP="001803D9">
      <w:pPr>
        <w:pStyle w:val="H1G"/>
      </w:pPr>
      <w:r>
        <w:tab/>
        <w:t>D.</w:t>
      </w:r>
      <w:r>
        <w:tab/>
        <w:t xml:space="preserve">Rôle des institutions nationales de défense des droits de l’homme </w:t>
      </w:r>
      <w:r>
        <w:br/>
        <w:t>au regard de la procédure de communications émanant</w:t>
      </w:r>
      <w:r>
        <w:br/>
        <w:t>de particuliers au titre du Protocole facultatif</w:t>
      </w:r>
    </w:p>
    <w:p w:rsidR="001803D9" w:rsidRDefault="00851DA4" w:rsidP="001803D9">
      <w:pPr>
        <w:pStyle w:val="SingleTxtG"/>
      </w:pPr>
      <w:r>
        <w:t>20</w:t>
      </w:r>
      <w:r w:rsidR="001803D9">
        <w:t>.</w:t>
      </w:r>
      <w:r w:rsidR="001803D9">
        <w:tab/>
        <w:t xml:space="preserve">Les institutions nationales de défense des droits de l’homme jouent un rôle important en ce qui concerne la procédure de présentation de communications émanant de particuliers au titre du Protocole facultatif. Ce rôle consiste notamment à </w:t>
      </w:r>
      <w:r w:rsidR="00251472">
        <w:t>faire connaître la</w:t>
      </w:r>
      <w:r w:rsidR="001803D9">
        <w:t xml:space="preserve"> procédure de présentation de co</w:t>
      </w:r>
      <w:r w:rsidR="00251472">
        <w:t xml:space="preserve">mmunications au niveau national, </w:t>
      </w:r>
      <w:r w:rsidR="001803D9">
        <w:t xml:space="preserve">à suivre les constatations du Comité et à contrôler les mesures prises par l’État partie </w:t>
      </w:r>
      <w:r w:rsidR="00251472">
        <w:t xml:space="preserve">concerné pour leur donner effet et </w:t>
      </w:r>
      <w:r w:rsidR="00E179D0">
        <w:t xml:space="preserve">à </w:t>
      </w:r>
      <w:r w:rsidR="00251472">
        <w:t>soumettre</w:t>
      </w:r>
      <w:r w:rsidR="001803D9">
        <w:t xml:space="preserve"> des informations concernant la mise en œuvre des observations du Comité.</w:t>
      </w:r>
    </w:p>
    <w:p w:rsidR="001803D9" w:rsidRDefault="001803D9" w:rsidP="001803D9">
      <w:pPr>
        <w:pStyle w:val="H1G"/>
      </w:pPr>
      <w:r>
        <w:tab/>
        <w:t>E.</w:t>
      </w:r>
      <w:r>
        <w:tab/>
      </w:r>
      <w:r w:rsidRPr="00DF2EDB">
        <w:t>Contributions à l</w:t>
      </w:r>
      <w:r>
        <w:t>’</w:t>
      </w:r>
      <w:r w:rsidRPr="00DF2EDB">
        <w:t>élaboration des Observations générales du Comité</w:t>
      </w:r>
      <w:r>
        <w:br/>
      </w:r>
      <w:r w:rsidRPr="00DF2EDB">
        <w:t>et utilisation de celles-ci</w:t>
      </w:r>
    </w:p>
    <w:p w:rsidR="001803D9" w:rsidRDefault="00851DA4" w:rsidP="001803D9">
      <w:pPr>
        <w:pStyle w:val="SingleTxtG"/>
      </w:pPr>
      <w:r>
        <w:t>21</w:t>
      </w:r>
      <w:r w:rsidR="001803D9">
        <w:t>.</w:t>
      </w:r>
      <w:r w:rsidR="001803D9">
        <w:tab/>
        <w:t xml:space="preserve">Le Comité encourage les institutions nationales de défense des droits de l’homme à </w:t>
      </w:r>
      <w:r w:rsidR="008A5DF6">
        <w:t>donner leur avis sur les</w:t>
      </w:r>
      <w:r w:rsidR="001803D9">
        <w:t xml:space="preserve"> </w:t>
      </w:r>
      <w:r w:rsidR="008A5DF6">
        <w:t>o</w:t>
      </w:r>
      <w:r w:rsidR="001803D9">
        <w:t xml:space="preserve">bservations générales à l’examen, notamment lors des journées de débat général organisées par le Comité. Il les encourage également à </w:t>
      </w:r>
      <w:r w:rsidR="008A5DF6">
        <w:t>utiliser</w:t>
      </w:r>
      <w:r w:rsidR="001803D9">
        <w:t xml:space="preserve"> </w:t>
      </w:r>
      <w:r w:rsidR="008A5DF6">
        <w:t xml:space="preserve">les </w:t>
      </w:r>
      <w:r w:rsidR="00013A02">
        <w:t xml:space="preserve">Observations </w:t>
      </w:r>
      <w:r w:rsidR="001803D9">
        <w:t>générales du Comité dans le cadre de leurs activités de plaidoyer.</w:t>
      </w:r>
    </w:p>
    <w:p w:rsidR="001803D9" w:rsidRDefault="001803D9" w:rsidP="001803D9">
      <w:pPr>
        <w:pStyle w:val="SingleTxtG"/>
      </w:pPr>
      <w:r>
        <w:t>2</w:t>
      </w:r>
      <w:r w:rsidR="00796196">
        <w:t>2</w:t>
      </w:r>
      <w:r>
        <w:t>.</w:t>
      </w:r>
      <w:r>
        <w:tab/>
        <w:t xml:space="preserve">Afin de veiller à ce que les institutions nationales de défense des droits de l’homme contribuent au mieux à l’élaboration des </w:t>
      </w:r>
      <w:r w:rsidR="00344AC9">
        <w:t xml:space="preserve">observations </w:t>
      </w:r>
      <w:r>
        <w:t>générales, le secrétariat du Comité les informera en temps voulu des possibilités de contributions qui s’offrent à elles.</w:t>
      </w:r>
    </w:p>
    <w:p w:rsidR="006A2416" w:rsidRPr="006A2416" w:rsidRDefault="006A2416" w:rsidP="006A2416">
      <w:pPr>
        <w:pStyle w:val="SingleTxtG"/>
        <w:spacing w:before="240" w:after="0"/>
        <w:jc w:val="center"/>
        <w:rPr>
          <w:u w:val="single"/>
        </w:rPr>
      </w:pPr>
      <w:r>
        <w:rPr>
          <w:u w:val="single"/>
        </w:rPr>
        <w:tab/>
      </w:r>
      <w:r>
        <w:rPr>
          <w:u w:val="single"/>
        </w:rPr>
        <w:tab/>
      </w:r>
      <w:r>
        <w:rPr>
          <w:u w:val="single"/>
        </w:rPr>
        <w:tab/>
      </w:r>
    </w:p>
    <w:sectPr w:rsidR="006A2416" w:rsidRPr="006A2416" w:rsidSect="00D7446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708" w:rsidRDefault="00CF6708"/>
  </w:endnote>
  <w:endnote w:type="continuationSeparator" w:id="0">
    <w:p w:rsidR="00CF6708" w:rsidRDefault="00CF6708"/>
  </w:endnote>
  <w:endnote w:type="continuationNotice" w:id="1">
    <w:p w:rsidR="00CF6708" w:rsidRPr="00903B66" w:rsidRDefault="00CF6708"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6B" w:rsidRPr="00D7446B" w:rsidRDefault="00D7446B" w:rsidP="00D7446B">
    <w:pPr>
      <w:pStyle w:val="Footer"/>
      <w:tabs>
        <w:tab w:val="right" w:pos="9638"/>
      </w:tabs>
    </w:pPr>
    <w:r w:rsidRPr="00D7446B">
      <w:rPr>
        <w:b/>
        <w:sz w:val="18"/>
      </w:rPr>
      <w:fldChar w:fldCharType="begin"/>
    </w:r>
    <w:r w:rsidRPr="00D7446B">
      <w:rPr>
        <w:b/>
        <w:sz w:val="18"/>
      </w:rPr>
      <w:instrText xml:space="preserve"> PAGE  \* MERGEFORMAT </w:instrText>
    </w:r>
    <w:r w:rsidRPr="00D7446B">
      <w:rPr>
        <w:b/>
        <w:sz w:val="18"/>
      </w:rPr>
      <w:fldChar w:fldCharType="separate"/>
    </w:r>
    <w:r w:rsidR="008B3147">
      <w:rPr>
        <w:b/>
        <w:noProof/>
        <w:sz w:val="18"/>
      </w:rPr>
      <w:t>4</w:t>
    </w:r>
    <w:r w:rsidRPr="00D7446B">
      <w:rPr>
        <w:b/>
        <w:sz w:val="18"/>
      </w:rPr>
      <w:fldChar w:fldCharType="end"/>
    </w:r>
    <w:r>
      <w:rPr>
        <w:b/>
        <w:sz w:val="18"/>
      </w:rPr>
      <w:tab/>
    </w:r>
    <w:r>
      <w:t>GE.</w:t>
    </w:r>
    <w:r w:rsidR="002D14AF">
      <w:t>12-47</w:t>
    </w:r>
    <w:r>
      <w:t>636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6B" w:rsidRPr="00D7446B" w:rsidRDefault="00D7446B" w:rsidP="00D7446B">
    <w:pPr>
      <w:pStyle w:val="Footer"/>
      <w:tabs>
        <w:tab w:val="right" w:pos="9638"/>
      </w:tabs>
      <w:rPr>
        <w:b/>
        <w:sz w:val="18"/>
      </w:rPr>
    </w:pPr>
    <w:r>
      <w:t>GE.</w:t>
    </w:r>
    <w:r w:rsidR="002D14AF">
      <w:t>12-47</w:t>
    </w:r>
    <w:r>
      <w:t>636</w:t>
    </w:r>
    <w:r>
      <w:tab/>
    </w:r>
    <w:r w:rsidRPr="00D7446B">
      <w:rPr>
        <w:b/>
        <w:sz w:val="18"/>
      </w:rPr>
      <w:fldChar w:fldCharType="begin"/>
    </w:r>
    <w:r w:rsidRPr="00D7446B">
      <w:rPr>
        <w:b/>
        <w:sz w:val="18"/>
      </w:rPr>
      <w:instrText xml:space="preserve"> PAGE  \* MERGEFORMAT </w:instrText>
    </w:r>
    <w:r w:rsidRPr="00D7446B">
      <w:rPr>
        <w:b/>
        <w:sz w:val="18"/>
      </w:rPr>
      <w:fldChar w:fldCharType="separate"/>
    </w:r>
    <w:r w:rsidR="008B3147">
      <w:rPr>
        <w:b/>
        <w:noProof/>
        <w:sz w:val="18"/>
      </w:rPr>
      <w:t>5</w:t>
    </w:r>
    <w:r w:rsidRPr="00D744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D91" w:rsidRDefault="00D7446B">
    <w:pPr>
      <w:pStyle w:val="Footer"/>
    </w:pPr>
    <w:r>
      <w:rPr>
        <w:sz w:val="20"/>
      </w:rPr>
      <w:t>GE.</w:t>
    </w:r>
    <w:r w:rsidR="002D054C">
      <w:rPr>
        <w:sz w:val="20"/>
      </w:rPr>
      <w:t>12-</w:t>
    </w:r>
    <w:r>
      <w:rPr>
        <w:sz w:val="20"/>
      </w:rPr>
      <w:t>47636</w:t>
    </w:r>
    <w:r w:rsidR="00BC0D9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D054C">
      <w:rPr>
        <w:sz w:val="20"/>
      </w:rPr>
      <w:t xml:space="preserve">    </w:t>
    </w:r>
    <w:r w:rsidR="00A22F53">
      <w:rPr>
        <w:sz w:val="20"/>
      </w:rPr>
      <w:t>221112    071212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708" w:rsidRPr="00D27D5E" w:rsidRDefault="00CF6708" w:rsidP="00D27D5E">
      <w:pPr>
        <w:tabs>
          <w:tab w:val="right" w:pos="2155"/>
        </w:tabs>
        <w:spacing w:after="80"/>
        <w:ind w:left="680"/>
        <w:rPr>
          <w:u w:val="single"/>
        </w:rPr>
      </w:pPr>
      <w:r>
        <w:rPr>
          <w:u w:val="single"/>
        </w:rPr>
        <w:tab/>
      </w:r>
    </w:p>
  </w:footnote>
  <w:footnote w:type="continuationSeparator" w:id="0">
    <w:p w:rsidR="00CF6708" w:rsidRPr="00091505" w:rsidRDefault="00CF6708" w:rsidP="00091505">
      <w:pPr>
        <w:tabs>
          <w:tab w:val="right" w:pos="2155"/>
        </w:tabs>
        <w:spacing w:after="80"/>
        <w:ind w:left="680"/>
        <w:rPr>
          <w:u w:val="single"/>
        </w:rPr>
      </w:pPr>
      <w:r w:rsidRPr="00091505">
        <w:rPr>
          <w:u w:val="single"/>
        </w:rPr>
        <w:tab/>
      </w:r>
    </w:p>
  </w:footnote>
  <w:footnote w:type="continuationNotice" w:id="1">
    <w:p w:rsidR="00CF6708" w:rsidRPr="00903B66" w:rsidRDefault="00CF6708" w:rsidP="00903B66">
      <w:pPr>
        <w:spacing w:line="240" w:lineRule="auto"/>
        <w:rPr>
          <w:sz w:val="2"/>
          <w:szCs w:val="2"/>
        </w:rPr>
      </w:pPr>
    </w:p>
  </w:footnote>
  <w:footnote w:id="2">
    <w:p w:rsidR="00866AB3" w:rsidRDefault="00866AB3">
      <w:pPr>
        <w:pStyle w:val="FootnoteText"/>
      </w:pPr>
      <w:r>
        <w:tab/>
      </w:r>
      <w:r>
        <w:rPr>
          <w:rStyle w:val="FootnoteReference"/>
        </w:rPr>
        <w:footnoteRef/>
      </w:r>
      <w:r>
        <w:tab/>
      </w:r>
      <w:r w:rsidRPr="00B2245B">
        <w:t xml:space="preserve">Voir </w:t>
      </w:r>
      <w:r>
        <w:t>les documents les plus récents, à savoir:</w:t>
      </w:r>
      <w:r w:rsidRPr="00B2245B">
        <w:t xml:space="preserve"> les rapports du Secrétaire général sur les institutions nationales des droits de l</w:t>
      </w:r>
      <w:r>
        <w:t>’</w:t>
      </w:r>
      <w:r w:rsidRPr="00B2245B">
        <w:t>homme (A/HRC/20/9</w:t>
      </w:r>
      <w:r>
        <w:t xml:space="preserve"> et A/HRC/20/10); la résolution </w:t>
      </w:r>
      <w:r w:rsidRPr="00B2245B">
        <w:t>66/169 de l</w:t>
      </w:r>
      <w:r>
        <w:t>’</w:t>
      </w:r>
      <w:r w:rsidRPr="00B2245B">
        <w:t xml:space="preserve">Assemblée générale </w:t>
      </w:r>
      <w:r>
        <w:t xml:space="preserve">en date du 19 </w:t>
      </w:r>
      <w:r w:rsidRPr="00B2245B">
        <w:t>décembre 2011 e</w:t>
      </w:r>
      <w:r>
        <w:t>t les résolutions </w:t>
      </w:r>
      <w:r w:rsidRPr="00B2245B">
        <w:t>17/9 et</w:t>
      </w:r>
      <w:r>
        <w:t> 20/14</w:t>
      </w:r>
      <w:r w:rsidRPr="00B2245B">
        <w:t xml:space="preserve"> du Conseil des droits de l</w:t>
      </w:r>
      <w:r>
        <w:t>’</w:t>
      </w:r>
      <w:r w:rsidRPr="00B2245B">
        <w:t>homme</w:t>
      </w:r>
      <w:r>
        <w:t>, en date du 16 juin 2011 et du 5 juillet 2012, respectivement</w:t>
      </w:r>
      <w:r w:rsidRPr="00B2245B">
        <w:t xml:space="preserve">; ainsi que les observations </w:t>
      </w:r>
      <w:r>
        <w:t xml:space="preserve">générales </w:t>
      </w:r>
      <w:r w:rsidRPr="00B2245B">
        <w:t>et déclarations des organes conventionnels sur les institutions nationales de défense des droits de l</w:t>
      </w:r>
      <w:r>
        <w:t>’</w:t>
      </w:r>
      <w:r w:rsidRPr="00B2245B">
        <w:t>homme (Observation gén</w:t>
      </w:r>
      <w:r>
        <w:t xml:space="preserve">érale </w:t>
      </w:r>
      <w:r w:rsidRPr="00C14D2A">
        <w:t>n</w:t>
      </w:r>
      <w:r w:rsidRPr="00C14D2A">
        <w:rPr>
          <w:vertAlign w:val="superscript"/>
        </w:rPr>
        <w:t>o</w:t>
      </w:r>
      <w:r>
        <w:t> </w:t>
      </w:r>
      <w:r w:rsidRPr="00B2245B">
        <w:t>17</w:t>
      </w:r>
      <w:r>
        <w:t xml:space="preserve"> (1993)</w:t>
      </w:r>
      <w:r w:rsidRPr="00B2245B">
        <w:t xml:space="preserve"> du Comité pour l</w:t>
      </w:r>
      <w:r>
        <w:t>’</w:t>
      </w:r>
      <w:r w:rsidRPr="00B2245B">
        <w:t>élimination de la discrimination r</w:t>
      </w:r>
      <w:r>
        <w:t xml:space="preserve">aciale sur la création d’organismes nationaux pour faciliter l’application de la Convention, Observation générale </w:t>
      </w:r>
      <w:r w:rsidRPr="00C14D2A">
        <w:t>n</w:t>
      </w:r>
      <w:r w:rsidRPr="00C14D2A">
        <w:rPr>
          <w:vertAlign w:val="superscript"/>
        </w:rPr>
        <w:t>o</w:t>
      </w:r>
      <w:r>
        <w:t> </w:t>
      </w:r>
      <w:r w:rsidRPr="00B2245B">
        <w:t xml:space="preserve">10 </w:t>
      </w:r>
      <w:r>
        <w:t xml:space="preserve">(1998) </w:t>
      </w:r>
      <w:r w:rsidRPr="00B2245B">
        <w:t>du Comité des droits éc</w:t>
      </w:r>
      <w:r>
        <w:t>onomiques, sociaux et culturels sur le rôle des institutions nationales de défense des droits de l’homme pour la protection des droits économiques, sociaux et culturels,</w:t>
      </w:r>
      <w:r w:rsidRPr="00B2245B">
        <w:t xml:space="preserve"> déclaration du Comité pour l</w:t>
      </w:r>
      <w:r>
        <w:t>’</w:t>
      </w:r>
      <w:r w:rsidRPr="00B2245B">
        <w:t>élimination de la discrimination à l</w:t>
      </w:r>
      <w:r>
        <w:t>’</w:t>
      </w:r>
      <w:r w:rsidRPr="00B2245B">
        <w:t>égard des femmes</w:t>
      </w:r>
      <w:r>
        <w:t xml:space="preserve"> sur </w:t>
      </w:r>
      <w:r w:rsidR="00EF037B">
        <w:t>ses</w:t>
      </w:r>
      <w:r>
        <w:t xml:space="preserve"> relations avec les institutions nationales de défense des droits de l’homme,</w:t>
      </w:r>
      <w:r w:rsidRPr="00B2245B">
        <w:t xml:space="preserve"> adoptée à sa quarante-cinquième session</w:t>
      </w:r>
      <w:r>
        <w:t xml:space="preserve"> (</w:t>
      </w:r>
      <w:r w:rsidRPr="009E2201">
        <w:rPr>
          <w:i/>
        </w:rPr>
        <w:t xml:space="preserve">Documents officiels de l’Assemblée générale, soixante-cinquième session, Supplément </w:t>
      </w:r>
      <w:r w:rsidRPr="009E2201">
        <w:rPr>
          <w:rFonts w:eastAsia="MS Mincho"/>
          <w:i/>
        </w:rPr>
        <w:t>n</w:t>
      </w:r>
      <w:r w:rsidRPr="009E2201">
        <w:rPr>
          <w:rFonts w:eastAsia="MS Mincho"/>
          <w:i/>
          <w:vertAlign w:val="superscript"/>
        </w:rPr>
        <w:t>o</w:t>
      </w:r>
      <w:r w:rsidRPr="009E2201">
        <w:rPr>
          <w:i/>
        </w:rPr>
        <w:t> 38</w:t>
      </w:r>
      <w:r>
        <w:t xml:space="preserve"> (A/65/38), annexe V)</w:t>
      </w:r>
      <w:r w:rsidRPr="00B2245B">
        <w:t xml:space="preserve">); ainsi que le Protocole facultatif </w:t>
      </w:r>
      <w:r>
        <w:t>se rapportant</w:t>
      </w:r>
      <w:r w:rsidRPr="00B2245B">
        <w:t xml:space="preserve"> à la Convention contre la torture </w:t>
      </w:r>
      <w:r>
        <w:t xml:space="preserve">et autres peines ou traitements cruels, inhumains ou dégradants </w:t>
      </w:r>
      <w:r w:rsidRPr="00B2245B">
        <w:t xml:space="preserve">et la Convention </w:t>
      </w:r>
      <w:r>
        <w:t>relative aux</w:t>
      </w:r>
      <w:r w:rsidRPr="00B2245B">
        <w:t xml:space="preserve"> droits des personnes handicapées, en vertu </w:t>
      </w:r>
      <w:r>
        <w:t>desquels</w:t>
      </w:r>
      <w:r w:rsidRPr="00B2245B">
        <w:t xml:space="preserve"> les États sont tenus d</w:t>
      </w:r>
      <w:r>
        <w:t>’</w:t>
      </w:r>
      <w:r w:rsidRPr="00B2245B">
        <w:t xml:space="preserve">établir au niveau national des mécanismes indépendants de suivi ou de protection </w:t>
      </w:r>
      <w:r>
        <w:t>qui respectent les</w:t>
      </w:r>
      <w:r w:rsidRPr="00B2245B">
        <w:t xml:space="preserve"> </w:t>
      </w:r>
      <w:r>
        <w:t>principes concernant le statut des institutions nationales pour la promotion et la p</w:t>
      </w:r>
      <w:r w:rsidR="00EF037B">
        <w:t>rotection des droits de l’homme</w:t>
      </w:r>
      <w:r>
        <w:t xml:space="preserve"> (</w:t>
      </w:r>
      <w:r w:rsidRPr="00B2245B">
        <w:t>Principes de</w:t>
      </w:r>
      <w:r>
        <w:t xml:space="preserve"> </w:t>
      </w:r>
      <w:r w:rsidRPr="00B2245B">
        <w:t>Paris</w:t>
      </w:r>
      <w:r>
        <w:t>)</w:t>
      </w:r>
      <w:r w:rsidRPr="00B2245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6B" w:rsidRPr="00D7446B" w:rsidRDefault="00D7446B">
    <w:pPr>
      <w:pStyle w:val="Header"/>
    </w:pPr>
    <w:r>
      <w:t>CCPR/C/106/3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6B" w:rsidRPr="00D7446B" w:rsidRDefault="00D7446B" w:rsidP="00D7446B">
    <w:pPr>
      <w:pStyle w:val="Header"/>
      <w:jc w:val="right"/>
    </w:pPr>
    <w:r>
      <w:t>CCPR/C/106/3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D91"/>
    <w:rsid w:val="00013A02"/>
    <w:rsid w:val="00016AC5"/>
    <w:rsid w:val="00016F58"/>
    <w:rsid w:val="00091505"/>
    <w:rsid w:val="000951F2"/>
    <w:rsid w:val="000A0D81"/>
    <w:rsid w:val="000A147A"/>
    <w:rsid w:val="000E61F8"/>
    <w:rsid w:val="000F41F2"/>
    <w:rsid w:val="001341B8"/>
    <w:rsid w:val="00142BC9"/>
    <w:rsid w:val="00160540"/>
    <w:rsid w:val="00160CDA"/>
    <w:rsid w:val="001803D9"/>
    <w:rsid w:val="00191B6B"/>
    <w:rsid w:val="00192EEB"/>
    <w:rsid w:val="001A20FB"/>
    <w:rsid w:val="001B102E"/>
    <w:rsid w:val="001C3080"/>
    <w:rsid w:val="001D0E70"/>
    <w:rsid w:val="001D7F8A"/>
    <w:rsid w:val="001E3FEB"/>
    <w:rsid w:val="001E4A02"/>
    <w:rsid w:val="001F25C4"/>
    <w:rsid w:val="0021285D"/>
    <w:rsid w:val="00225A8C"/>
    <w:rsid w:val="00251472"/>
    <w:rsid w:val="002659F1"/>
    <w:rsid w:val="002727DA"/>
    <w:rsid w:val="0027751F"/>
    <w:rsid w:val="00287E79"/>
    <w:rsid w:val="002928F9"/>
    <w:rsid w:val="002A5D07"/>
    <w:rsid w:val="002D054C"/>
    <w:rsid w:val="002D14AF"/>
    <w:rsid w:val="002D48E6"/>
    <w:rsid w:val="002E0222"/>
    <w:rsid w:val="002E1A7F"/>
    <w:rsid w:val="003001BE"/>
    <w:rsid w:val="003016B7"/>
    <w:rsid w:val="00306F8A"/>
    <w:rsid w:val="00344AC9"/>
    <w:rsid w:val="003515AA"/>
    <w:rsid w:val="00356FF0"/>
    <w:rsid w:val="00366F5B"/>
    <w:rsid w:val="00374106"/>
    <w:rsid w:val="003976D5"/>
    <w:rsid w:val="003A326B"/>
    <w:rsid w:val="003D6C68"/>
    <w:rsid w:val="00413931"/>
    <w:rsid w:val="004159D0"/>
    <w:rsid w:val="00454F84"/>
    <w:rsid w:val="00464EEE"/>
    <w:rsid w:val="00476B9C"/>
    <w:rsid w:val="004778BD"/>
    <w:rsid w:val="004A2C7A"/>
    <w:rsid w:val="00533A95"/>
    <w:rsid w:val="00543D5E"/>
    <w:rsid w:val="005626A0"/>
    <w:rsid w:val="00571F41"/>
    <w:rsid w:val="005A1035"/>
    <w:rsid w:val="005E5D1F"/>
    <w:rsid w:val="00611D43"/>
    <w:rsid w:val="00612D48"/>
    <w:rsid w:val="00616B45"/>
    <w:rsid w:val="00630D9B"/>
    <w:rsid w:val="00631953"/>
    <w:rsid w:val="006439EC"/>
    <w:rsid w:val="00667285"/>
    <w:rsid w:val="00673AC9"/>
    <w:rsid w:val="00695B59"/>
    <w:rsid w:val="006A2416"/>
    <w:rsid w:val="006A5AB8"/>
    <w:rsid w:val="006B4590"/>
    <w:rsid w:val="006C23DF"/>
    <w:rsid w:val="006C2877"/>
    <w:rsid w:val="006C340C"/>
    <w:rsid w:val="0070347C"/>
    <w:rsid w:val="007072CD"/>
    <w:rsid w:val="0071451B"/>
    <w:rsid w:val="007176C1"/>
    <w:rsid w:val="00725DC9"/>
    <w:rsid w:val="00737DEE"/>
    <w:rsid w:val="00775D99"/>
    <w:rsid w:val="00796196"/>
    <w:rsid w:val="00796940"/>
    <w:rsid w:val="007C7846"/>
    <w:rsid w:val="007F55CB"/>
    <w:rsid w:val="00844750"/>
    <w:rsid w:val="00851DA4"/>
    <w:rsid w:val="00866AB3"/>
    <w:rsid w:val="00873B3C"/>
    <w:rsid w:val="00892241"/>
    <w:rsid w:val="008A39ED"/>
    <w:rsid w:val="008A5DF6"/>
    <w:rsid w:val="008B3147"/>
    <w:rsid w:val="008B44C4"/>
    <w:rsid w:val="008E7FAE"/>
    <w:rsid w:val="008F4F6D"/>
    <w:rsid w:val="008F53ED"/>
    <w:rsid w:val="00903937"/>
    <w:rsid w:val="00903B66"/>
    <w:rsid w:val="00911BF7"/>
    <w:rsid w:val="00943FFD"/>
    <w:rsid w:val="009724BF"/>
    <w:rsid w:val="00977EC8"/>
    <w:rsid w:val="00993DE6"/>
    <w:rsid w:val="009A00ED"/>
    <w:rsid w:val="009B196B"/>
    <w:rsid w:val="009D3A8C"/>
    <w:rsid w:val="009E2201"/>
    <w:rsid w:val="009E7956"/>
    <w:rsid w:val="00A05EF2"/>
    <w:rsid w:val="00A228B4"/>
    <w:rsid w:val="00A22F53"/>
    <w:rsid w:val="00A2492E"/>
    <w:rsid w:val="00A720C2"/>
    <w:rsid w:val="00A72F17"/>
    <w:rsid w:val="00A9469F"/>
    <w:rsid w:val="00AA3390"/>
    <w:rsid w:val="00AB51C8"/>
    <w:rsid w:val="00AC67A1"/>
    <w:rsid w:val="00AC7977"/>
    <w:rsid w:val="00AE352C"/>
    <w:rsid w:val="00AF1CE8"/>
    <w:rsid w:val="00B32E2D"/>
    <w:rsid w:val="00B61990"/>
    <w:rsid w:val="00B80F79"/>
    <w:rsid w:val="00B93051"/>
    <w:rsid w:val="00BC0D91"/>
    <w:rsid w:val="00BC1562"/>
    <w:rsid w:val="00BF0556"/>
    <w:rsid w:val="00C035BD"/>
    <w:rsid w:val="00C261F8"/>
    <w:rsid w:val="00C33100"/>
    <w:rsid w:val="00C4083C"/>
    <w:rsid w:val="00C570E6"/>
    <w:rsid w:val="00C7360F"/>
    <w:rsid w:val="00CA1946"/>
    <w:rsid w:val="00CA6A02"/>
    <w:rsid w:val="00CB5A09"/>
    <w:rsid w:val="00CD1A71"/>
    <w:rsid w:val="00CD1FBB"/>
    <w:rsid w:val="00CD5D8A"/>
    <w:rsid w:val="00CF5128"/>
    <w:rsid w:val="00CF6708"/>
    <w:rsid w:val="00D016B5"/>
    <w:rsid w:val="00D034F1"/>
    <w:rsid w:val="00D27D5E"/>
    <w:rsid w:val="00D35B2D"/>
    <w:rsid w:val="00D52832"/>
    <w:rsid w:val="00D7446B"/>
    <w:rsid w:val="00D85AEB"/>
    <w:rsid w:val="00DA7646"/>
    <w:rsid w:val="00DE6D90"/>
    <w:rsid w:val="00DF002F"/>
    <w:rsid w:val="00DF3BF1"/>
    <w:rsid w:val="00E0244D"/>
    <w:rsid w:val="00E144C5"/>
    <w:rsid w:val="00E179D0"/>
    <w:rsid w:val="00E368FF"/>
    <w:rsid w:val="00E81E94"/>
    <w:rsid w:val="00E82607"/>
    <w:rsid w:val="00EB4109"/>
    <w:rsid w:val="00EB5B2A"/>
    <w:rsid w:val="00EF037B"/>
    <w:rsid w:val="00EF1154"/>
    <w:rsid w:val="00EF318A"/>
    <w:rsid w:val="00F17862"/>
    <w:rsid w:val="00F2011C"/>
    <w:rsid w:val="00F33865"/>
    <w:rsid w:val="00F42B72"/>
    <w:rsid w:val="00F52799"/>
    <w:rsid w:val="00F53F4B"/>
    <w:rsid w:val="00FA185A"/>
    <w:rsid w:val="00FA5A79"/>
    <w:rsid w:val="00FB05E1"/>
    <w:rsid w:val="00FB0BFE"/>
    <w:rsid w:val="00FB4C51"/>
    <w:rsid w:val="00FE0DB0"/>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1893</Words>
  <Characters>10414</Characters>
  <Application>Microsoft Office Word</Application>
  <DocSecurity>4</DocSecurity>
  <Lines>165</Lines>
  <Paragraphs>49</Paragraphs>
  <ScaleCrop>false</ScaleCrop>
  <HeadingPairs>
    <vt:vector size="2" baseType="variant">
      <vt:variant>
        <vt:lpstr>Titre</vt:lpstr>
      </vt:variant>
      <vt:variant>
        <vt:i4>1</vt:i4>
      </vt:variant>
    </vt:vector>
  </HeadingPairs>
  <TitlesOfParts>
    <vt:vector size="1" baseType="lpstr">
      <vt:lpstr>CCPR/C/106/3</vt:lpstr>
    </vt:vector>
  </TitlesOfParts>
  <Company>CSD</Company>
  <LinksUpToDate>false</LinksUpToDate>
  <CharactersWithSpaces>12258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CCPR/C/106/3</dc:title>
  <dc:subject/>
  <dc:creator>Chautagnat</dc:creator>
  <cp:keywords/>
  <dc:description/>
  <cp:lastModifiedBy>Chautagnat</cp:lastModifiedBy>
  <cp:revision>2</cp:revision>
  <cp:lastPrinted>2012-12-07T07:08:00Z</cp:lastPrinted>
  <dcterms:created xsi:type="dcterms:W3CDTF">2012-12-07T08:17:00Z</dcterms:created>
  <dcterms:modified xsi:type="dcterms:W3CDTF">2012-12-07T08:17:00Z</dcterms:modified>
</cp:coreProperties>
</file>