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CB7011" w:rsidTr="0078670C">
        <w:trPr>
          <w:trHeight w:hRule="exact" w:val="851"/>
        </w:trPr>
        <w:tc>
          <w:tcPr>
            <w:tcW w:w="1276" w:type="dxa"/>
            <w:tcBorders>
              <w:bottom w:val="single" w:sz="4" w:space="0" w:color="auto"/>
            </w:tcBorders>
          </w:tcPr>
          <w:p w:rsidR="002E0D40" w:rsidRPr="00CB7011" w:rsidRDefault="002E0D40" w:rsidP="00593658"/>
        </w:tc>
        <w:tc>
          <w:tcPr>
            <w:tcW w:w="2268" w:type="dxa"/>
            <w:tcBorders>
              <w:bottom w:val="single" w:sz="4" w:space="0" w:color="auto"/>
            </w:tcBorders>
            <w:vAlign w:val="bottom"/>
          </w:tcPr>
          <w:p w:rsidR="002E0D40" w:rsidRPr="00CB7011" w:rsidRDefault="002E0D40" w:rsidP="00593658">
            <w:pPr>
              <w:spacing w:after="80" w:line="300" w:lineRule="exact"/>
              <w:rPr>
                <w:sz w:val="28"/>
              </w:rPr>
            </w:pPr>
            <w:r w:rsidRPr="00CB7011">
              <w:rPr>
                <w:sz w:val="28"/>
              </w:rPr>
              <w:t>Nations Unies</w:t>
            </w:r>
          </w:p>
        </w:tc>
        <w:tc>
          <w:tcPr>
            <w:tcW w:w="6095" w:type="dxa"/>
            <w:gridSpan w:val="2"/>
            <w:tcBorders>
              <w:bottom w:val="single" w:sz="4" w:space="0" w:color="auto"/>
            </w:tcBorders>
            <w:vAlign w:val="bottom"/>
          </w:tcPr>
          <w:p w:rsidR="002E0D40" w:rsidRPr="00CB7011" w:rsidRDefault="005A444A" w:rsidP="005A444A">
            <w:pPr>
              <w:jc w:val="right"/>
            </w:pPr>
            <w:r w:rsidRPr="00CB7011">
              <w:rPr>
                <w:sz w:val="40"/>
              </w:rPr>
              <w:t>CERD</w:t>
            </w:r>
            <w:r w:rsidRPr="00CB7011">
              <w:t>/C/PRY/Q/1-3</w:t>
            </w:r>
          </w:p>
        </w:tc>
      </w:tr>
      <w:tr w:rsidR="002E0D40" w:rsidRPr="00CB7011" w:rsidTr="00593658">
        <w:trPr>
          <w:trHeight w:hRule="exact" w:val="2835"/>
        </w:trPr>
        <w:tc>
          <w:tcPr>
            <w:tcW w:w="1276" w:type="dxa"/>
            <w:tcBorders>
              <w:top w:val="single" w:sz="4" w:space="0" w:color="auto"/>
              <w:bottom w:val="single" w:sz="12" w:space="0" w:color="auto"/>
            </w:tcBorders>
          </w:tcPr>
          <w:p w:rsidR="002E0D40" w:rsidRPr="00CB7011" w:rsidRDefault="002E0D40" w:rsidP="00593658">
            <w:pPr>
              <w:spacing w:before="120"/>
              <w:jc w:val="center"/>
            </w:pPr>
            <w:r w:rsidRPr="00CB701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CB7011" w:rsidRDefault="002E0D40" w:rsidP="00593658">
            <w:pPr>
              <w:spacing w:before="120" w:line="380" w:lineRule="exact"/>
              <w:rPr>
                <w:b/>
                <w:sz w:val="40"/>
                <w:szCs w:val="40"/>
              </w:rPr>
            </w:pPr>
            <w:r w:rsidRPr="00CB7011">
              <w:rPr>
                <w:b/>
                <w:sz w:val="34"/>
                <w:szCs w:val="34"/>
              </w:rPr>
              <w:t>Convention internationale sur</w:t>
            </w:r>
            <w:r w:rsidRPr="00CB7011">
              <w:rPr>
                <w:b/>
                <w:sz w:val="34"/>
                <w:szCs w:val="34"/>
              </w:rPr>
              <w:br/>
              <w:t>l’élimination de toutes les formes</w:t>
            </w:r>
            <w:r w:rsidRPr="00CB7011">
              <w:rPr>
                <w:b/>
                <w:sz w:val="34"/>
                <w:szCs w:val="34"/>
              </w:rPr>
              <w:br/>
              <w:t>de discrimination raciale</w:t>
            </w:r>
          </w:p>
        </w:tc>
        <w:tc>
          <w:tcPr>
            <w:tcW w:w="2835" w:type="dxa"/>
            <w:tcBorders>
              <w:top w:val="single" w:sz="4" w:space="0" w:color="auto"/>
              <w:bottom w:val="single" w:sz="12" w:space="0" w:color="auto"/>
            </w:tcBorders>
          </w:tcPr>
          <w:p w:rsidR="005A444A" w:rsidRPr="00CB7011" w:rsidRDefault="005A444A" w:rsidP="00593658">
            <w:pPr>
              <w:spacing w:before="240"/>
            </w:pPr>
            <w:r w:rsidRPr="00CB7011">
              <w:t>Distr. générale</w:t>
            </w:r>
          </w:p>
          <w:p w:rsidR="005A444A" w:rsidRPr="00CB7011" w:rsidRDefault="005A444A" w:rsidP="005A444A">
            <w:pPr>
              <w:spacing w:line="240" w:lineRule="exact"/>
            </w:pPr>
            <w:r w:rsidRPr="00CB7011">
              <w:t>13 juillet 2011</w:t>
            </w:r>
          </w:p>
          <w:p w:rsidR="005A444A" w:rsidRPr="00CB7011" w:rsidRDefault="005A444A" w:rsidP="005A444A">
            <w:pPr>
              <w:spacing w:line="240" w:lineRule="exact"/>
            </w:pPr>
            <w:r w:rsidRPr="00CB7011">
              <w:t>Français</w:t>
            </w:r>
          </w:p>
          <w:p w:rsidR="002E0D40" w:rsidRPr="00CB7011" w:rsidRDefault="005A444A" w:rsidP="005A444A">
            <w:pPr>
              <w:spacing w:line="240" w:lineRule="exact"/>
            </w:pPr>
            <w:r w:rsidRPr="00CB7011">
              <w:t>Original: espagnol</w:t>
            </w:r>
          </w:p>
        </w:tc>
      </w:tr>
    </w:tbl>
    <w:p w:rsidR="00FF1DBD" w:rsidRPr="00CB7011" w:rsidRDefault="0078670C" w:rsidP="005A444A">
      <w:pPr>
        <w:spacing w:before="120"/>
        <w:rPr>
          <w:b/>
          <w:sz w:val="24"/>
          <w:szCs w:val="24"/>
        </w:rPr>
      </w:pPr>
      <w:r w:rsidRPr="00CB7011">
        <w:rPr>
          <w:b/>
          <w:sz w:val="24"/>
          <w:szCs w:val="24"/>
        </w:rPr>
        <w:t>Comité pour l’éliminati</w:t>
      </w:r>
      <w:r w:rsidR="005A444A" w:rsidRPr="00CB7011">
        <w:rPr>
          <w:b/>
          <w:sz w:val="24"/>
          <w:szCs w:val="24"/>
        </w:rPr>
        <w:t>on de la discrimination raciale</w:t>
      </w:r>
    </w:p>
    <w:p w:rsidR="005A444A" w:rsidRPr="00CB7011" w:rsidRDefault="00780CA6" w:rsidP="009B1456">
      <w:pPr>
        <w:pStyle w:val="SingleTxtG"/>
        <w:spacing w:after="0"/>
        <w:ind w:left="0"/>
        <w:rPr>
          <w:b/>
        </w:rPr>
      </w:pPr>
      <w:r w:rsidRPr="00CB7011">
        <w:rPr>
          <w:b/>
        </w:rPr>
        <w:t>Soixante-dix-neuvième</w:t>
      </w:r>
      <w:r w:rsidR="005A444A" w:rsidRPr="00CB7011">
        <w:rPr>
          <w:b/>
        </w:rPr>
        <w:t xml:space="preserve"> session</w:t>
      </w:r>
    </w:p>
    <w:p w:rsidR="005A444A" w:rsidRPr="00CB7011" w:rsidRDefault="005A444A" w:rsidP="009B1456">
      <w:pPr>
        <w:pStyle w:val="SingleTxtG"/>
        <w:spacing w:after="0"/>
        <w:ind w:left="0"/>
      </w:pPr>
      <w:r w:rsidRPr="00CB7011">
        <w:t>8 août</w:t>
      </w:r>
      <w:r w:rsidR="00906C9A" w:rsidRPr="00CB7011">
        <w:t>-</w:t>
      </w:r>
      <w:r w:rsidRPr="00CB7011">
        <w:t>2 septembre 2011</w:t>
      </w:r>
    </w:p>
    <w:p w:rsidR="005A444A" w:rsidRPr="00CB7011" w:rsidRDefault="00906C9A" w:rsidP="00906C9A">
      <w:pPr>
        <w:pStyle w:val="HChG"/>
      </w:pPr>
      <w:r w:rsidRPr="00CB7011">
        <w:tab/>
      </w:r>
      <w:r w:rsidRPr="00CB7011">
        <w:tab/>
      </w:r>
      <w:r w:rsidR="005A444A" w:rsidRPr="00CB7011">
        <w:t>Application de la Convention internationale sur l’élimination de toutes les formes de discrimination raciale</w:t>
      </w:r>
    </w:p>
    <w:p w:rsidR="005A444A" w:rsidRPr="00CB7011" w:rsidRDefault="00906C9A" w:rsidP="00906C9A">
      <w:pPr>
        <w:pStyle w:val="H1G"/>
      </w:pPr>
      <w:r w:rsidRPr="00CB7011">
        <w:tab/>
      </w:r>
      <w:r w:rsidRPr="00CB7011">
        <w:tab/>
      </w:r>
      <w:r w:rsidR="005A444A" w:rsidRPr="00CB7011">
        <w:t xml:space="preserve">Liste de thèmes à traiter à l’occasion de l’examen du rapport initial </w:t>
      </w:r>
      <w:r w:rsidR="00CB7011" w:rsidRPr="00CB7011">
        <w:br/>
      </w:r>
      <w:r w:rsidR="005A444A" w:rsidRPr="00CB7011">
        <w:t>et</w:t>
      </w:r>
      <w:r w:rsidR="00973EF6" w:rsidRPr="00CB7011">
        <w:t xml:space="preserve"> </w:t>
      </w:r>
      <w:r w:rsidR="009D53BE" w:rsidRPr="00CB7011">
        <w:t xml:space="preserve">des </w:t>
      </w:r>
      <w:r w:rsidR="005A444A" w:rsidRPr="00CB7011">
        <w:t>deuxième et troisième rapports périodiques du Paraguay (CERD/C/PRY/1-3)</w:t>
      </w:r>
    </w:p>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7653"/>
      </w:tblGrid>
      <w:tr w:rsidR="00A9599E" w:rsidRPr="00CB7011" w:rsidTr="00A9599E">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A9599E" w:rsidRPr="00CB7011" w:rsidRDefault="00A9599E" w:rsidP="00A9599E"/>
        </w:tc>
      </w:tr>
      <w:tr w:rsidR="00A9599E" w:rsidRPr="00CB7011" w:rsidTr="00A9599E">
        <w:trPr>
          <w:jc w:val="center"/>
        </w:trPr>
        <w:tc>
          <w:tcPr>
            <w:tcW w:w="7653" w:type="dxa"/>
            <w:tcBorders>
              <w:left w:val="single" w:sz="4" w:space="0" w:color="auto"/>
              <w:bottom w:val="nil"/>
              <w:right w:val="single" w:sz="4" w:space="0" w:color="auto"/>
            </w:tcBorders>
            <w:shd w:val="clear" w:color="auto" w:fill="auto"/>
          </w:tcPr>
          <w:p w:rsidR="00A9599E" w:rsidRPr="00CB7011" w:rsidRDefault="00A9599E" w:rsidP="00A9599E">
            <w:pPr>
              <w:spacing w:after="120"/>
              <w:ind w:firstLine="567"/>
              <w:jc w:val="both"/>
            </w:pPr>
            <w:r w:rsidRPr="00CB7011">
              <w:t xml:space="preserve">On trouvera ci-après une liste de thèmes définis par le rapporteur de pays aux fins de l’examen </w:t>
            </w:r>
            <w:r w:rsidR="00780CA6" w:rsidRPr="00CB7011">
              <w:t xml:space="preserve">du </w:t>
            </w:r>
            <w:r w:rsidRPr="00CB7011">
              <w:t xml:space="preserve">rapport initial et </w:t>
            </w:r>
            <w:r w:rsidR="00780CA6" w:rsidRPr="00CB7011">
              <w:t xml:space="preserve">des </w:t>
            </w:r>
            <w:r w:rsidRPr="00CB7011">
              <w:t>deuxième et troisième rapports périodiques du Paraguay. Cette liste a pour but de structurer le dialogue entre la délégation de l’État partie et le Comité et n’appelle pas de réponses écrites. Elle n’est pas exhaustive; d’autres questions pourront être abordées au cours du dialogue.</w:t>
            </w:r>
          </w:p>
        </w:tc>
      </w:tr>
      <w:tr w:rsidR="00A9599E" w:rsidRPr="00CB7011" w:rsidTr="00A9599E">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A9599E" w:rsidRPr="00CB7011" w:rsidRDefault="00A9599E" w:rsidP="00A9599E"/>
        </w:tc>
      </w:tr>
    </w:tbl>
    <w:p w:rsidR="005A444A" w:rsidRPr="00CB7011" w:rsidRDefault="00A97559" w:rsidP="00C65C43">
      <w:pPr>
        <w:pStyle w:val="H23G"/>
      </w:pPr>
      <w:r w:rsidRPr="00CB7011">
        <w:tab/>
      </w:r>
      <w:r w:rsidR="005A444A" w:rsidRPr="00CB7011">
        <w:t>1.</w:t>
      </w:r>
      <w:r w:rsidRPr="00CB7011">
        <w:tab/>
      </w:r>
      <w:r w:rsidR="005A444A" w:rsidRPr="00CB7011">
        <w:t>La Convention dans le droit interne; le cadre institutionnel, législatif et des politiques publiques nécessaire</w:t>
      </w:r>
      <w:r w:rsidRPr="00CB7011">
        <w:t>s</w:t>
      </w:r>
      <w:r w:rsidR="005A444A" w:rsidRPr="00CB7011">
        <w:t xml:space="preserve"> à son application (art. 1</w:t>
      </w:r>
      <w:r w:rsidR="005A444A" w:rsidRPr="00CB7011">
        <w:rPr>
          <w:vertAlign w:val="superscript"/>
        </w:rPr>
        <w:t>er</w:t>
      </w:r>
      <w:r w:rsidR="005A444A" w:rsidRPr="00CB7011">
        <w:t>, 2, 4 et 6)</w:t>
      </w:r>
    </w:p>
    <w:p w:rsidR="005A444A" w:rsidRPr="00CB7011" w:rsidRDefault="005A444A" w:rsidP="00A97559">
      <w:pPr>
        <w:pStyle w:val="SingleTxtG"/>
        <w:ind w:firstLine="567"/>
      </w:pPr>
      <w:r w:rsidRPr="00CB7011">
        <w:t>a)</w:t>
      </w:r>
      <w:r w:rsidR="00A97559" w:rsidRPr="00CB7011">
        <w:tab/>
      </w:r>
      <w:r w:rsidRPr="00CB7011">
        <w:t xml:space="preserve">Indiquer </w:t>
      </w:r>
      <w:r w:rsidR="001F2EA0" w:rsidRPr="00CB7011">
        <w:t xml:space="preserve">le rang occupé par </w:t>
      </w:r>
      <w:r w:rsidRPr="00CB7011">
        <w:t xml:space="preserve">la Convention </w:t>
      </w:r>
      <w:r w:rsidR="001F2EA0" w:rsidRPr="00CB7011">
        <w:t xml:space="preserve">dans la hiérarchie des </w:t>
      </w:r>
      <w:r w:rsidRPr="00CB7011">
        <w:t xml:space="preserve">normes juridiques nationales. Préciser si elle </w:t>
      </w:r>
      <w:r w:rsidR="001F2EA0" w:rsidRPr="00CB7011">
        <w:t xml:space="preserve">fait partie du </w:t>
      </w:r>
      <w:r w:rsidRPr="00CB7011">
        <w:t xml:space="preserve">droit interne et si elle </w:t>
      </w:r>
      <w:r w:rsidR="001F2EA0" w:rsidRPr="00CB7011">
        <w:t xml:space="preserve">est donc directement applicable </w:t>
      </w:r>
      <w:r w:rsidR="001C740D" w:rsidRPr="00CB7011">
        <w:t xml:space="preserve">et </w:t>
      </w:r>
      <w:r w:rsidRPr="00CB7011">
        <w:t xml:space="preserve">invoquée par les particuliers devant les juridictions </w:t>
      </w:r>
      <w:r w:rsidR="001C740D" w:rsidRPr="00CB7011">
        <w:t>nationales</w:t>
      </w:r>
      <w:r w:rsidRPr="00CB7011">
        <w:t xml:space="preserve">; </w:t>
      </w:r>
    </w:p>
    <w:p w:rsidR="005A444A" w:rsidRPr="00CB7011" w:rsidRDefault="005A444A" w:rsidP="00A97559">
      <w:pPr>
        <w:pStyle w:val="SingleTxtG"/>
        <w:ind w:firstLine="567"/>
      </w:pPr>
      <w:r w:rsidRPr="00CB7011">
        <w:t>b)</w:t>
      </w:r>
      <w:r w:rsidR="00A97559" w:rsidRPr="00CB7011">
        <w:tab/>
      </w:r>
      <w:r w:rsidRPr="00CB7011">
        <w:t>Étant donné qu</w:t>
      </w:r>
      <w:r w:rsidR="008D5037" w:rsidRPr="00CB7011">
        <w:t xml:space="preserve">e la législation paraguayenne ne fait </w:t>
      </w:r>
      <w:r w:rsidRPr="00CB7011">
        <w:t xml:space="preserve">pas explicitement </w:t>
      </w:r>
      <w:r w:rsidR="008D5037" w:rsidRPr="00CB7011">
        <w:t xml:space="preserve">référence à </w:t>
      </w:r>
      <w:r w:rsidRPr="00CB7011">
        <w:t xml:space="preserve">la discrimination raciale parmi les différents </w:t>
      </w:r>
      <w:r w:rsidR="008D5037" w:rsidRPr="00CB7011">
        <w:t>motifs de</w:t>
      </w:r>
      <w:r w:rsidRPr="00CB7011">
        <w:t xml:space="preserve"> discrimination, donner des informations à jour sur l’examen du projet de loi contre toutes les formes de discrimination, dont la discrimination raciale, </w:t>
      </w:r>
      <w:r w:rsidR="002028F0" w:rsidRPr="00CB7011">
        <w:t xml:space="preserve">au sens </w:t>
      </w:r>
      <w:r w:rsidRPr="00CB7011">
        <w:t xml:space="preserve">de l’article </w:t>
      </w:r>
      <w:r w:rsidR="00780CA6" w:rsidRPr="00CB7011">
        <w:t>premier</w:t>
      </w:r>
      <w:r w:rsidRPr="00CB7011">
        <w:t xml:space="preserve"> de la Convention, au cours des quatre dernières années;</w:t>
      </w:r>
    </w:p>
    <w:p w:rsidR="005A444A" w:rsidRPr="00CB7011" w:rsidRDefault="005A444A" w:rsidP="00A97559">
      <w:pPr>
        <w:pStyle w:val="SingleTxtG"/>
        <w:ind w:firstLine="567"/>
      </w:pPr>
      <w:r w:rsidRPr="00CB7011">
        <w:t>c)</w:t>
      </w:r>
      <w:r w:rsidR="00A97559" w:rsidRPr="00CB7011">
        <w:tab/>
      </w:r>
      <w:r w:rsidRPr="00CB7011">
        <w:t xml:space="preserve">Donner des exemples de situations concrètes où l’Institut paraguayen des autochtones a aidé les autochtones à faire valoir leurs griefs auprès d’organismes publics ou privés </w:t>
      </w:r>
      <w:r w:rsidR="00833578" w:rsidRPr="00CB7011">
        <w:t xml:space="preserve">concernant la </w:t>
      </w:r>
      <w:r w:rsidRPr="00CB7011">
        <w:t>discr</w:t>
      </w:r>
      <w:r w:rsidR="00CB7011" w:rsidRPr="00CB7011">
        <w:t>imination raciale (CERD/C/PRY/1</w:t>
      </w:r>
      <w:r w:rsidR="00CB7011" w:rsidRPr="00CB7011">
        <w:noBreakHyphen/>
      </w:r>
      <w:r w:rsidRPr="00CB7011">
        <w:t xml:space="preserve">3, </w:t>
      </w:r>
      <w:r w:rsidR="00CB7011" w:rsidRPr="00CB7011">
        <w:t>par. </w:t>
      </w:r>
      <w:r w:rsidRPr="00CB7011">
        <w:t xml:space="preserve">43). Citer des exemples concrets de plaintes </w:t>
      </w:r>
      <w:r w:rsidR="00833578" w:rsidRPr="00CB7011">
        <w:t xml:space="preserve">pour discrimination </w:t>
      </w:r>
      <w:r w:rsidRPr="00CB7011">
        <w:t>déposées auprès du bureau du Défenseur du peuple</w:t>
      </w:r>
      <w:r w:rsidR="00833578" w:rsidRPr="00CB7011">
        <w:t xml:space="preserve"> et expliquer où en sont ces </w:t>
      </w:r>
      <w:r w:rsidRPr="00CB7011">
        <w:t>affaires (</w:t>
      </w:r>
      <w:r w:rsidR="00CB7011" w:rsidRPr="00CB7011">
        <w:t>par. </w:t>
      </w:r>
      <w:r w:rsidRPr="00CB7011">
        <w:t xml:space="preserve">60); </w:t>
      </w:r>
    </w:p>
    <w:p w:rsidR="005A444A" w:rsidRPr="00CB7011" w:rsidRDefault="005A444A" w:rsidP="00127913">
      <w:pPr>
        <w:pStyle w:val="SingleTxtG"/>
        <w:keepNext/>
        <w:keepLines/>
        <w:ind w:firstLine="567"/>
      </w:pPr>
      <w:r w:rsidRPr="00CB7011">
        <w:t>d)</w:t>
      </w:r>
      <w:r w:rsidR="00A97559" w:rsidRPr="00CB7011">
        <w:tab/>
      </w:r>
      <w:r w:rsidRPr="00CB7011">
        <w:t xml:space="preserve">Donner un complément d’information sur la compétence et les activités des divers départements du bureau du Défenseur du peuple </w:t>
      </w:r>
      <w:r w:rsidR="009E67D1" w:rsidRPr="00CB7011">
        <w:t xml:space="preserve">qui se rapportent à la protection des droits consacrés dans la </w:t>
      </w:r>
      <w:r w:rsidRPr="00CB7011">
        <w:t xml:space="preserve">Convention, </w:t>
      </w:r>
      <w:r w:rsidR="009E67D1" w:rsidRPr="00CB7011">
        <w:t xml:space="preserve">notamment des </w:t>
      </w:r>
      <w:r w:rsidRPr="00CB7011">
        <w:t>départements chargés des questions autochtones et de la lutte contre la discrimination; signaler les mesures prises concrètement ainsi que les efforts menés pour améliorer le fonctionnement de cette institution</w:t>
      </w:r>
      <w:r w:rsidR="00127913" w:rsidRPr="00CB7011">
        <w:t>,</w:t>
      </w:r>
      <w:r w:rsidRPr="00CB7011">
        <w:t xml:space="preserve"> et la suite qu’elle donne aux plaintes qui lui sont adressées</w:t>
      </w:r>
      <w:r w:rsidR="00973EF6" w:rsidRPr="00CB7011">
        <w:t xml:space="preserve"> </w:t>
      </w:r>
      <w:r w:rsidRPr="00CB7011">
        <w:t xml:space="preserve">(CAT/OP/PRY/1, </w:t>
      </w:r>
      <w:r w:rsidR="00CB7011" w:rsidRPr="00CB7011">
        <w:t>par. </w:t>
      </w:r>
      <w:r w:rsidRPr="00CB7011">
        <w:t>33);</w:t>
      </w:r>
    </w:p>
    <w:p w:rsidR="005A444A" w:rsidRPr="00CB7011" w:rsidRDefault="005A444A" w:rsidP="00A97559">
      <w:pPr>
        <w:pStyle w:val="SingleTxtG"/>
        <w:ind w:firstLine="567"/>
      </w:pPr>
      <w:r w:rsidRPr="00CB7011">
        <w:t>e)</w:t>
      </w:r>
      <w:r w:rsidR="00A97559" w:rsidRPr="00CB7011">
        <w:tab/>
      </w:r>
      <w:r w:rsidRPr="00CB7011">
        <w:t xml:space="preserve">Fournir des statistiques judiciaires à jour </w:t>
      </w:r>
      <w:r w:rsidR="00636CA8" w:rsidRPr="00CB7011">
        <w:t xml:space="preserve">montrant </w:t>
      </w:r>
      <w:r w:rsidRPr="00CB7011">
        <w:t xml:space="preserve">le nombre et les catégories de plaintes déposées, </w:t>
      </w:r>
      <w:r w:rsidR="00CB7011" w:rsidRPr="00CB7011">
        <w:t>l</w:t>
      </w:r>
      <w:r w:rsidRPr="00CB7011">
        <w:t>e</w:t>
      </w:r>
      <w:r w:rsidR="00636CA8" w:rsidRPr="00CB7011">
        <w:t>s</w:t>
      </w:r>
      <w:r w:rsidRPr="00CB7011">
        <w:t xml:space="preserve"> poursuites engagées et </w:t>
      </w:r>
      <w:r w:rsidR="00636CA8" w:rsidRPr="00CB7011">
        <w:t xml:space="preserve">les </w:t>
      </w:r>
      <w:r w:rsidRPr="00CB7011">
        <w:t xml:space="preserve">condamnations prononcées au Paraguay </w:t>
      </w:r>
      <w:r w:rsidR="00636CA8" w:rsidRPr="00CB7011">
        <w:t xml:space="preserve">pour des </w:t>
      </w:r>
      <w:r w:rsidR="00780CA6" w:rsidRPr="00CB7011">
        <w:t>actes de discrimination raciale;</w:t>
      </w:r>
    </w:p>
    <w:p w:rsidR="005A444A" w:rsidRPr="00CB7011" w:rsidRDefault="005A444A" w:rsidP="00A97559">
      <w:pPr>
        <w:pStyle w:val="SingleTxtG"/>
        <w:ind w:firstLine="567"/>
      </w:pPr>
      <w:r w:rsidRPr="00CB7011">
        <w:t>f)</w:t>
      </w:r>
      <w:r w:rsidR="00A97559" w:rsidRPr="00CB7011">
        <w:tab/>
      </w:r>
      <w:r w:rsidR="00636CA8" w:rsidRPr="00CB7011">
        <w:t xml:space="preserve">Expliquer </w:t>
      </w:r>
      <w:r w:rsidRPr="00CB7011">
        <w:t xml:space="preserve">de quelle façon et dans quelle mesure les dispositions des lois pénales </w:t>
      </w:r>
      <w:r w:rsidR="00636CA8" w:rsidRPr="00CB7011">
        <w:t>en vigueur</w:t>
      </w:r>
      <w:r w:rsidRPr="00CB7011">
        <w:t xml:space="preserve">, telles qu’elles sont appliquées par les tribunaux, permettent à l’État partie de s’acquitter effectivement des obligations qui lui incombent en vertu de l’article 4 de la Convention. Indiquer les progrès réalisés dans l’élaboration d’une législation nationale qualifiant pénalement tous les types d’actes de discrimination raciale énumérés aux alinéas </w:t>
      </w:r>
      <w:r w:rsidRPr="00CB7011">
        <w:rPr>
          <w:i/>
        </w:rPr>
        <w:t>a</w:t>
      </w:r>
      <w:r w:rsidRPr="00CB7011">
        <w:t xml:space="preserve">, </w:t>
      </w:r>
      <w:r w:rsidRPr="00CB7011">
        <w:rPr>
          <w:i/>
        </w:rPr>
        <w:t>b</w:t>
      </w:r>
      <w:r w:rsidRPr="00CB7011">
        <w:t xml:space="preserve"> et </w:t>
      </w:r>
      <w:r w:rsidRPr="00CB7011">
        <w:rPr>
          <w:i/>
        </w:rPr>
        <w:t>c</w:t>
      </w:r>
      <w:r w:rsidRPr="00CB7011">
        <w:t xml:space="preserve"> de l’article 4 (CERD/PRY/1</w:t>
      </w:r>
      <w:r w:rsidR="00CB7011" w:rsidRPr="00CB7011">
        <w:noBreakHyphen/>
      </w:r>
      <w:r w:rsidRPr="00CB7011">
        <w:t xml:space="preserve">3, </w:t>
      </w:r>
      <w:r w:rsidR="00CB7011" w:rsidRPr="00CB7011">
        <w:t>par. </w:t>
      </w:r>
      <w:r w:rsidRPr="00CB7011">
        <w:t>21 à 25).</w:t>
      </w:r>
    </w:p>
    <w:p w:rsidR="005A444A" w:rsidRPr="00CB7011" w:rsidRDefault="00A97559" w:rsidP="00C65C43">
      <w:pPr>
        <w:pStyle w:val="H23G"/>
      </w:pPr>
      <w:r w:rsidRPr="00CB7011">
        <w:tab/>
      </w:r>
      <w:r w:rsidR="005A444A" w:rsidRPr="00CB7011">
        <w:t>2.</w:t>
      </w:r>
      <w:r w:rsidRPr="00CB7011">
        <w:tab/>
      </w:r>
      <w:r w:rsidR="005A444A" w:rsidRPr="00CB7011">
        <w:t>Situation des peuples autochtones (art. 2, 4, 5 et 7)</w:t>
      </w:r>
    </w:p>
    <w:p w:rsidR="005A444A" w:rsidRPr="00CB7011" w:rsidRDefault="005A444A" w:rsidP="00A97559">
      <w:pPr>
        <w:pStyle w:val="SingleTxtG"/>
        <w:ind w:firstLine="567"/>
      </w:pPr>
      <w:r w:rsidRPr="00CB7011">
        <w:t>a)</w:t>
      </w:r>
      <w:r w:rsidR="00A97559" w:rsidRPr="00CB7011">
        <w:tab/>
      </w:r>
      <w:r w:rsidRPr="00CB7011">
        <w:t xml:space="preserve">Donner des renseignements sur les diverses mesures, y compris les mesures spéciales, </w:t>
      </w:r>
      <w:r w:rsidR="002649C0" w:rsidRPr="00CB7011">
        <w:t xml:space="preserve">prises pour remédier </w:t>
      </w:r>
      <w:r w:rsidRPr="00CB7011">
        <w:t>à la discrimination à laquelle les membres des communautés autochtones sont exposés, en particulier</w:t>
      </w:r>
      <w:r w:rsidR="0073287C" w:rsidRPr="00CB7011">
        <w:t xml:space="preserve"> aux </w:t>
      </w:r>
      <w:r w:rsidRPr="00CB7011">
        <w:t xml:space="preserve">diverses et multiples manifestations de discrimination contre les femmes appartenant à ces communautés (HRI/CORE/PRY/2010, </w:t>
      </w:r>
      <w:r w:rsidR="00CB7011" w:rsidRPr="00CB7011">
        <w:t>par. </w:t>
      </w:r>
      <w:r w:rsidRPr="00CB7011">
        <w:t>39). D</w:t>
      </w:r>
      <w:r w:rsidR="0073287C" w:rsidRPr="00CB7011">
        <w:t xml:space="preserve">écrire en </w:t>
      </w:r>
      <w:r w:rsidRPr="00CB7011">
        <w:t xml:space="preserve">détail les mesures concrètes prévues pour </w:t>
      </w:r>
      <w:r w:rsidR="0073287C" w:rsidRPr="00CB7011">
        <w:t xml:space="preserve">remédier </w:t>
      </w:r>
      <w:r w:rsidRPr="00CB7011">
        <w:t xml:space="preserve">à l’inégalité persistante que subissent les membres des communautés autochtones en </w:t>
      </w:r>
      <w:r w:rsidR="0073287C" w:rsidRPr="00CB7011">
        <w:t xml:space="preserve">ce qui concerne le </w:t>
      </w:r>
      <w:r w:rsidRPr="00CB7011">
        <w:t xml:space="preserve">droit au travail, </w:t>
      </w:r>
      <w:r w:rsidR="0073287C" w:rsidRPr="00CB7011">
        <w:t xml:space="preserve">la </w:t>
      </w:r>
      <w:r w:rsidRPr="00CB7011">
        <w:t xml:space="preserve">qualité du travail (salaires inférieurs et emplois peu qualifiés) et </w:t>
      </w:r>
      <w:r w:rsidR="00DE0BBB" w:rsidRPr="00CB7011">
        <w:t>l</w:t>
      </w:r>
      <w:r w:rsidRPr="00CB7011">
        <w:t>e revenu salarial (CERD/C/PRY/1</w:t>
      </w:r>
      <w:r w:rsidR="00CB7011" w:rsidRPr="00CB7011">
        <w:noBreakHyphen/>
      </w:r>
      <w:r w:rsidRPr="00CB7011">
        <w:t xml:space="preserve">3, </w:t>
      </w:r>
      <w:r w:rsidR="00CB7011" w:rsidRPr="00CB7011">
        <w:t>par. </w:t>
      </w:r>
      <w:r w:rsidRPr="00CB7011">
        <w:t>90 à 92);</w:t>
      </w:r>
    </w:p>
    <w:p w:rsidR="005A444A" w:rsidRPr="00CB7011" w:rsidRDefault="005A444A" w:rsidP="00A97559">
      <w:pPr>
        <w:pStyle w:val="SingleTxtG"/>
        <w:ind w:firstLine="567"/>
      </w:pPr>
      <w:r w:rsidRPr="00CB7011">
        <w:t>b)</w:t>
      </w:r>
      <w:r w:rsidR="00A97559" w:rsidRPr="00CB7011">
        <w:tab/>
      </w:r>
      <w:r w:rsidRPr="00CB7011">
        <w:t>Donner des détails sur l’application du Recueil de pratiques non exclusives et non discriminatoires dans la fonction publique et les mesures prévues pour en évaluer l’i</w:t>
      </w:r>
      <w:r w:rsidR="00DE0BBB" w:rsidRPr="00CB7011">
        <w:t>ncidence</w:t>
      </w:r>
      <w:r w:rsidRPr="00CB7011">
        <w:t>;</w:t>
      </w:r>
    </w:p>
    <w:p w:rsidR="005A444A" w:rsidRPr="00CB7011" w:rsidRDefault="005A444A" w:rsidP="00A97559">
      <w:pPr>
        <w:pStyle w:val="SingleTxtG"/>
        <w:ind w:firstLine="567"/>
      </w:pPr>
      <w:r w:rsidRPr="00CB7011">
        <w:t>c)</w:t>
      </w:r>
      <w:r w:rsidR="00A97559" w:rsidRPr="00CB7011">
        <w:tab/>
      </w:r>
      <w:r w:rsidR="00F9700F" w:rsidRPr="00CB7011">
        <w:t xml:space="preserve">Citer </w:t>
      </w:r>
      <w:r w:rsidRPr="00CB7011">
        <w:t>des exemples d’actions menées par l’État partie pour combattre les manifestations de préjugés raciaux qui pourraient inciter à la discrimination raciale dans la presse écrite et sur l’Internet, y compris l’utilisation de représentations stéréotypées et dégradantes de personnes appartenant à certaines communautés, en particulier autochtones;</w:t>
      </w:r>
    </w:p>
    <w:p w:rsidR="005A444A" w:rsidRPr="00CB7011" w:rsidRDefault="005A444A" w:rsidP="00A97559">
      <w:pPr>
        <w:pStyle w:val="SingleTxtG"/>
        <w:ind w:firstLine="567"/>
      </w:pPr>
      <w:r w:rsidRPr="00CB7011">
        <w:t>d)</w:t>
      </w:r>
      <w:r w:rsidR="00A97559" w:rsidRPr="00CB7011">
        <w:tab/>
      </w:r>
      <w:r w:rsidRPr="00CB7011">
        <w:t>Donner des renseignements complémentaires sur le droit coutumier autochtone en matière civile et pénale;</w:t>
      </w:r>
    </w:p>
    <w:p w:rsidR="005A444A" w:rsidRPr="00CB7011" w:rsidRDefault="005A444A" w:rsidP="00A97559">
      <w:pPr>
        <w:pStyle w:val="SingleTxtG"/>
        <w:ind w:firstLine="567"/>
      </w:pPr>
      <w:r w:rsidRPr="00CB7011">
        <w:t>e)</w:t>
      </w:r>
      <w:r w:rsidR="00A97559" w:rsidRPr="00CB7011">
        <w:tab/>
      </w:r>
      <w:r w:rsidRPr="00CB7011">
        <w:t xml:space="preserve">Fournir des informations détaillées sur la mise en œuvre de la Politique publique de développement social (2010-2020) intitulée </w:t>
      </w:r>
      <w:r w:rsidR="00A97559" w:rsidRPr="00CB7011">
        <w:t>«</w:t>
      </w:r>
      <w:r w:rsidRPr="00CB7011">
        <w:t>Le Paraguay pour tous et pour toutes</w:t>
      </w:r>
      <w:r w:rsidR="00A97559" w:rsidRPr="00CB7011">
        <w:t>»</w:t>
      </w:r>
      <w:r w:rsidR="00CB7011" w:rsidRPr="00CB7011">
        <w:t xml:space="preserve"> (CERDC/PRY/1</w:t>
      </w:r>
      <w:r w:rsidR="00CB7011" w:rsidRPr="00CB7011">
        <w:noBreakHyphen/>
      </w:r>
      <w:r w:rsidRPr="00CB7011">
        <w:t>3</w:t>
      </w:r>
      <w:r w:rsidR="00780CA6" w:rsidRPr="00CB7011">
        <w:t xml:space="preserve">, </w:t>
      </w:r>
      <w:r w:rsidR="00CB7011" w:rsidRPr="00CB7011">
        <w:t>par. </w:t>
      </w:r>
      <w:r w:rsidRPr="00CB7011">
        <w:t xml:space="preserve">98), </w:t>
      </w:r>
      <w:r w:rsidR="00045711" w:rsidRPr="00CB7011">
        <w:t xml:space="preserve">en particulier sur </w:t>
      </w:r>
      <w:r w:rsidRPr="00CB7011">
        <w:t>les actions en faveur de l’égalité des chances;</w:t>
      </w:r>
    </w:p>
    <w:p w:rsidR="005A444A" w:rsidRPr="00CB7011" w:rsidRDefault="005A444A" w:rsidP="00A97559">
      <w:pPr>
        <w:pStyle w:val="SingleTxtG"/>
        <w:ind w:firstLine="567"/>
      </w:pPr>
      <w:r w:rsidRPr="00CB7011">
        <w:t>f)</w:t>
      </w:r>
      <w:r w:rsidRPr="00CB7011">
        <w:tab/>
      </w:r>
      <w:r w:rsidR="00045711" w:rsidRPr="00CB7011">
        <w:t xml:space="preserve">Apporter </w:t>
      </w:r>
      <w:r w:rsidRPr="00CB7011">
        <w:t xml:space="preserve">un complément d’information sur les progrès accomplis par l’État partie pour mettre en pratique la Politique nationale de santé des autochtones et </w:t>
      </w:r>
      <w:r w:rsidR="00045711" w:rsidRPr="00CB7011">
        <w:t xml:space="preserve">accorder </w:t>
      </w:r>
      <w:r w:rsidRPr="00CB7011">
        <w:t>l’attention voulue à la santé des membres des communautés autochtones (CERD/C/PRY/</w:t>
      </w:r>
      <w:r w:rsidR="00CB7011" w:rsidRPr="00CB7011">
        <w:t>1</w:t>
      </w:r>
      <w:r w:rsidR="00CB7011" w:rsidRPr="00CB7011">
        <w:noBreakHyphen/>
      </w:r>
      <w:r w:rsidRPr="00CB7011">
        <w:t xml:space="preserve">3, </w:t>
      </w:r>
      <w:r w:rsidR="00CB7011" w:rsidRPr="00CB7011">
        <w:t>par. </w:t>
      </w:r>
      <w:r w:rsidRPr="00CB7011">
        <w:t>98 à 102);</w:t>
      </w:r>
    </w:p>
    <w:p w:rsidR="005A444A" w:rsidRPr="00CB7011" w:rsidRDefault="005A444A" w:rsidP="00A97559">
      <w:pPr>
        <w:pStyle w:val="SingleTxtG"/>
        <w:ind w:firstLine="567"/>
      </w:pPr>
      <w:r w:rsidRPr="00CB7011">
        <w:t>g)</w:t>
      </w:r>
      <w:r w:rsidR="00A97559" w:rsidRPr="00CB7011">
        <w:tab/>
      </w:r>
      <w:r w:rsidRPr="00CB7011">
        <w:t xml:space="preserve">Préciser les mesures prises par l’État partie pour garantir aux communautés des Sawhoyamaxas et des Yakey Axas l’accès à des services médicaux, au logement et à des moyens de subsistance (lettres du Comité à l’État partie </w:t>
      </w:r>
      <w:r w:rsidR="00045711" w:rsidRPr="00CB7011">
        <w:t xml:space="preserve">en date </w:t>
      </w:r>
      <w:r w:rsidRPr="00CB7011">
        <w:t xml:space="preserve">du 31 mai et du 27 août 2010, </w:t>
      </w:r>
      <w:r w:rsidR="00045711" w:rsidRPr="00CB7011">
        <w:t xml:space="preserve">au titre </w:t>
      </w:r>
      <w:r w:rsidRPr="00CB7011">
        <w:t>des mesures d’alerte rapide et de la procédure d’action urgente) et décrire les progrès réalisés concernant l’exécution des arrêts prononcés par la Cour interaméricaine des droits de l’homme en faveur des communautés des Xakmok Kaseks, des Yakey Axas et des Sawhoyamaxas. Décrire la situation actuelle et l’i</w:t>
      </w:r>
      <w:r w:rsidR="009237EA" w:rsidRPr="00CB7011">
        <w:t>ncidence</w:t>
      </w:r>
      <w:r w:rsidRPr="00CB7011">
        <w:t xml:space="preserve"> des activités de la Commission exécutive pour la réforme agraire; </w:t>
      </w:r>
    </w:p>
    <w:p w:rsidR="005A444A" w:rsidRPr="00CB7011" w:rsidRDefault="005A444A" w:rsidP="00A97559">
      <w:pPr>
        <w:pStyle w:val="SingleTxtG"/>
        <w:ind w:firstLine="567"/>
      </w:pPr>
      <w:r w:rsidRPr="00CB7011">
        <w:t>h)</w:t>
      </w:r>
      <w:r w:rsidR="00A97559" w:rsidRPr="00CB7011">
        <w:tab/>
      </w:r>
      <w:r w:rsidRPr="00CB7011">
        <w:t xml:space="preserve">Donner des détails sur les mesures </w:t>
      </w:r>
      <w:r w:rsidR="000A0A4A" w:rsidRPr="00CB7011">
        <w:t xml:space="preserve">prises </w:t>
      </w:r>
      <w:r w:rsidRPr="00CB7011">
        <w:t xml:space="preserve">pour réduire le fossé entre la communauté autochtone et les autres communautés du pays en matière d’éducation et assurer l’enseignement dans la langue maternelle (HRI/CORE/PRY/2010, </w:t>
      </w:r>
      <w:r w:rsidR="00CB7011" w:rsidRPr="00CB7011">
        <w:t>par. </w:t>
      </w:r>
      <w:r w:rsidRPr="00CB7011">
        <w:t xml:space="preserve">64 à 67). Indiquer les mesures adoptées en matière d’éducation et d’enseignement pour combattre les préjugés conduisant à la discrimination. Fournir des renseignements sur le Plan d’action national en faveur des droits de l’homme, son contenu et son application, ainsi que sur le Plan d’action national sur l’éducation aux droits de l’homme, </w:t>
      </w:r>
      <w:r w:rsidR="008D3617" w:rsidRPr="00CB7011">
        <w:t xml:space="preserve">que </w:t>
      </w:r>
      <w:r w:rsidRPr="00CB7011">
        <w:t>l’État partie a mention</w:t>
      </w:r>
      <w:r w:rsidR="008D3617" w:rsidRPr="00CB7011">
        <w:t xml:space="preserve">né au </w:t>
      </w:r>
      <w:r w:rsidRPr="00CB7011">
        <w:t>Rapporteur spécial sur la liberté de religion ou de conviction</w:t>
      </w:r>
      <w:r w:rsidR="008D3617" w:rsidRPr="00CB7011">
        <w:t xml:space="preserve">, lors de la visite de celui-ci, </w:t>
      </w:r>
      <w:r w:rsidRPr="00CB7011">
        <w:t>du 23 au 30 mars 2011.</w:t>
      </w:r>
    </w:p>
    <w:p w:rsidR="005A444A" w:rsidRPr="00CB7011" w:rsidRDefault="00A97559" w:rsidP="00C65C43">
      <w:pPr>
        <w:pStyle w:val="H23G"/>
      </w:pPr>
      <w:r w:rsidRPr="00CB7011">
        <w:tab/>
      </w:r>
      <w:r w:rsidR="005A444A" w:rsidRPr="00CB7011">
        <w:t>3.</w:t>
      </w:r>
      <w:r w:rsidRPr="00CB7011">
        <w:tab/>
      </w:r>
      <w:r w:rsidR="005A444A" w:rsidRPr="00CB7011">
        <w:t xml:space="preserve">Situation des communautés paraguayennes d’ascendance africaine </w:t>
      </w:r>
      <w:r w:rsidR="00CB7011">
        <w:br/>
      </w:r>
      <w:r w:rsidR="005A444A" w:rsidRPr="00CB7011">
        <w:t>et discrimination fondée sur l’ascendance (art. 2, 4, 5 et 7)</w:t>
      </w:r>
    </w:p>
    <w:p w:rsidR="005A444A" w:rsidRPr="00CB7011" w:rsidRDefault="005A444A" w:rsidP="00A97559">
      <w:pPr>
        <w:pStyle w:val="SingleTxtG"/>
        <w:ind w:firstLine="567"/>
      </w:pPr>
      <w:r w:rsidRPr="00CB7011">
        <w:t>a)</w:t>
      </w:r>
      <w:r w:rsidRPr="00CB7011">
        <w:tab/>
        <w:t xml:space="preserve">Donner des renseignements sur les différents types de mesures </w:t>
      </w:r>
      <w:r w:rsidR="00BA7998" w:rsidRPr="00CB7011">
        <w:t>prises</w:t>
      </w:r>
      <w:r w:rsidRPr="00CB7011">
        <w:t xml:space="preserve"> et sur les progrès </w:t>
      </w:r>
      <w:r w:rsidR="00BA7998" w:rsidRPr="00CB7011">
        <w:t xml:space="preserve">accomplis </w:t>
      </w:r>
      <w:r w:rsidRPr="00CB7011">
        <w:t xml:space="preserve">pour combattre la discrimination raciale, notamment envers les </w:t>
      </w:r>
      <w:r w:rsidR="00BA7998" w:rsidRPr="00CB7011">
        <w:t>P</w:t>
      </w:r>
      <w:r w:rsidRPr="00CB7011">
        <w:t xml:space="preserve">araguayens d’ascendance africaine et les </w:t>
      </w:r>
      <w:r w:rsidR="00BA7998" w:rsidRPr="00CB7011">
        <w:t xml:space="preserve">membres de </w:t>
      </w:r>
      <w:r w:rsidRPr="00CB7011">
        <w:t xml:space="preserve">minorités, fondée sur l’ascendance, principalement </w:t>
      </w:r>
      <w:r w:rsidR="00BA7998" w:rsidRPr="00CB7011">
        <w:t>d</w:t>
      </w:r>
      <w:r w:rsidRPr="00CB7011">
        <w:t xml:space="preserve">es personnes d’ascendance asiatique et </w:t>
      </w:r>
      <w:r w:rsidR="00BA7998" w:rsidRPr="00CB7011">
        <w:t>d</w:t>
      </w:r>
      <w:r w:rsidRPr="00CB7011">
        <w:t xml:space="preserve">es </w:t>
      </w:r>
      <w:r w:rsidR="00A97559" w:rsidRPr="00CB7011">
        <w:t>«</w:t>
      </w:r>
      <w:r w:rsidRPr="00CB7011">
        <w:t>Brasilguayos</w:t>
      </w:r>
      <w:r w:rsidR="00A97559" w:rsidRPr="00CB7011">
        <w:t>»</w:t>
      </w:r>
      <w:r w:rsidRPr="00CB7011">
        <w:t xml:space="preserve"> (migrants brésiliens)</w:t>
      </w:r>
      <w:r w:rsidR="00973EF6" w:rsidRPr="00CB7011">
        <w:t xml:space="preserve"> </w:t>
      </w:r>
      <w:r w:rsidRPr="00CB7011">
        <w:t>(CERD/C/PRY/1</w:t>
      </w:r>
      <w:r w:rsidR="00CB7011" w:rsidRPr="00CB7011">
        <w:noBreakHyphen/>
      </w:r>
      <w:r w:rsidRPr="00CB7011">
        <w:t xml:space="preserve">3, </w:t>
      </w:r>
      <w:r w:rsidR="00CB7011" w:rsidRPr="00CB7011">
        <w:t>par. </w:t>
      </w:r>
      <w:r w:rsidRPr="00CB7011">
        <w:t xml:space="preserve">13, note de bas de page 2, et </w:t>
      </w:r>
      <w:r w:rsidR="00CB7011" w:rsidRPr="00CB7011">
        <w:t>par. </w:t>
      </w:r>
      <w:r w:rsidRPr="00CB7011">
        <w:t xml:space="preserve">73), et </w:t>
      </w:r>
      <w:r w:rsidR="00BA7998" w:rsidRPr="00CB7011">
        <w:t>traiter</w:t>
      </w:r>
      <w:r w:rsidRPr="00CB7011">
        <w:t xml:space="preserve"> la question particulière de la discrimination multiple que subissent les femmes appartenant à ces communautés;</w:t>
      </w:r>
    </w:p>
    <w:p w:rsidR="005A444A" w:rsidRPr="00CB7011" w:rsidRDefault="005A444A" w:rsidP="00A97559">
      <w:pPr>
        <w:pStyle w:val="SingleTxtG"/>
        <w:ind w:firstLine="567"/>
      </w:pPr>
      <w:r w:rsidRPr="00CB7011">
        <w:t>b)</w:t>
      </w:r>
      <w:r w:rsidR="00A97559" w:rsidRPr="00CB7011">
        <w:tab/>
      </w:r>
      <w:r w:rsidRPr="00CB7011">
        <w:t xml:space="preserve">Décrire les mesures concrètes prévues pour faire face à l’inégalité persistante </w:t>
      </w:r>
      <w:r w:rsidR="00BA7998" w:rsidRPr="00CB7011">
        <w:t xml:space="preserve">dont souffrent </w:t>
      </w:r>
      <w:r w:rsidRPr="00CB7011">
        <w:t xml:space="preserve">les personnes d’ascendance africaine </w:t>
      </w:r>
      <w:r w:rsidR="00BA7998" w:rsidRPr="00CB7011">
        <w:t xml:space="preserve">en ce qui concerne le </w:t>
      </w:r>
      <w:r w:rsidRPr="00CB7011">
        <w:t xml:space="preserve">droit au travail, </w:t>
      </w:r>
      <w:r w:rsidR="00BA7998" w:rsidRPr="00CB7011">
        <w:t xml:space="preserve">la </w:t>
      </w:r>
      <w:r w:rsidRPr="00CB7011">
        <w:t xml:space="preserve">qualité du travail (salaires inférieurs et emplois peu qualifiés) et </w:t>
      </w:r>
      <w:r w:rsidR="001A7BA8" w:rsidRPr="00CB7011">
        <w:t>le</w:t>
      </w:r>
      <w:r w:rsidRPr="00CB7011">
        <w:t xml:space="preserve"> revenu salaria</w:t>
      </w:r>
      <w:r w:rsidR="001A7BA8" w:rsidRPr="00CB7011">
        <w:t>l</w:t>
      </w:r>
      <w:r w:rsidRPr="00CB7011">
        <w:t xml:space="preserve"> (CERD/C/PRY/1</w:t>
      </w:r>
      <w:r w:rsidR="00CB7011" w:rsidRPr="00CB7011">
        <w:rPr>
          <w:rFonts w:eastAsia="MS Mincho"/>
        </w:rPr>
        <w:noBreakHyphen/>
      </w:r>
      <w:r w:rsidRPr="00CB7011">
        <w:t xml:space="preserve">3, </w:t>
      </w:r>
      <w:r w:rsidR="00CB7011" w:rsidRPr="00CB7011">
        <w:t>par. </w:t>
      </w:r>
      <w:r w:rsidRPr="00CB7011">
        <w:t>93);</w:t>
      </w:r>
    </w:p>
    <w:p w:rsidR="005A444A" w:rsidRPr="00CB7011" w:rsidRDefault="005A444A" w:rsidP="00A97559">
      <w:pPr>
        <w:pStyle w:val="SingleTxtG"/>
        <w:ind w:firstLine="567"/>
      </w:pPr>
      <w:r w:rsidRPr="00CB7011">
        <w:t>c)</w:t>
      </w:r>
      <w:r w:rsidR="00A97559" w:rsidRPr="00CB7011">
        <w:tab/>
      </w:r>
      <w:r w:rsidR="004D3BE4" w:rsidRPr="00CB7011">
        <w:t xml:space="preserve">Décrire </w:t>
      </w:r>
      <w:r w:rsidRPr="00CB7011">
        <w:t xml:space="preserve">les mesures complémentaires </w:t>
      </w:r>
      <w:r w:rsidR="004D3BE4" w:rsidRPr="00CB7011">
        <w:t xml:space="preserve">prises pour que les personnes d’ascendance africaine aient </w:t>
      </w:r>
      <w:r w:rsidRPr="00CB7011">
        <w:t xml:space="preserve">accès aux prestations de sécurité sociale et </w:t>
      </w:r>
      <w:r w:rsidR="004D3BE4" w:rsidRPr="00CB7011">
        <w:t>les utilisent</w:t>
      </w:r>
      <w:r w:rsidR="00CB7011" w:rsidRPr="00CB7011">
        <w:t xml:space="preserve"> (CERD/C/PRY/1</w:t>
      </w:r>
      <w:r w:rsidR="00CB7011" w:rsidRPr="00CB7011">
        <w:noBreakHyphen/>
      </w:r>
      <w:r w:rsidRPr="00CB7011">
        <w:t>3</w:t>
      </w:r>
      <w:r w:rsidR="00780CA6" w:rsidRPr="00CB7011">
        <w:t xml:space="preserve">, </w:t>
      </w:r>
      <w:r w:rsidR="00CB7011" w:rsidRPr="00CB7011">
        <w:t>par. </w:t>
      </w:r>
      <w:r w:rsidRPr="00CB7011">
        <w:t>102).</w:t>
      </w:r>
    </w:p>
    <w:p w:rsidR="005A444A" w:rsidRPr="00CB7011" w:rsidRDefault="005A444A" w:rsidP="005A444A">
      <w:pPr>
        <w:pStyle w:val="SingleTxtG"/>
        <w:spacing w:before="240" w:after="0"/>
        <w:jc w:val="center"/>
        <w:rPr>
          <w:u w:val="single"/>
        </w:rPr>
      </w:pPr>
      <w:r w:rsidRPr="00CB7011">
        <w:rPr>
          <w:u w:val="single"/>
        </w:rPr>
        <w:tab/>
      </w:r>
      <w:r w:rsidRPr="00CB7011">
        <w:rPr>
          <w:u w:val="single"/>
        </w:rPr>
        <w:tab/>
      </w:r>
      <w:r w:rsidRPr="00CB7011">
        <w:rPr>
          <w:u w:val="single"/>
        </w:rPr>
        <w:tab/>
      </w:r>
    </w:p>
    <w:sectPr w:rsidR="005A444A" w:rsidRPr="00CB7011" w:rsidSect="005A444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7935" w:rsidRDefault="00CA7935"/>
  </w:endnote>
  <w:endnote w:type="continuationSeparator" w:id="0">
    <w:p w:rsidR="00CA7935" w:rsidRDefault="00CA7935"/>
  </w:endnote>
  <w:endnote w:type="continuationNotice" w:id="1">
    <w:p w:rsidR="00CA7935" w:rsidRDefault="00CA79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44A" w:rsidRPr="005A444A" w:rsidRDefault="005A444A" w:rsidP="005A444A">
    <w:pPr>
      <w:pStyle w:val="Footer"/>
      <w:tabs>
        <w:tab w:val="right" w:pos="9638"/>
      </w:tabs>
    </w:pPr>
    <w:r w:rsidRPr="005A444A">
      <w:rPr>
        <w:b/>
        <w:sz w:val="18"/>
      </w:rPr>
      <w:fldChar w:fldCharType="begin"/>
    </w:r>
    <w:r w:rsidRPr="005A444A">
      <w:rPr>
        <w:b/>
        <w:sz w:val="18"/>
      </w:rPr>
      <w:instrText xml:space="preserve"> PAGE  \* MERGEFORMAT </w:instrText>
    </w:r>
    <w:r w:rsidRPr="005A444A">
      <w:rPr>
        <w:b/>
        <w:sz w:val="18"/>
      </w:rPr>
      <w:fldChar w:fldCharType="separate"/>
    </w:r>
    <w:r w:rsidR="003B4E8E">
      <w:rPr>
        <w:b/>
        <w:noProof/>
        <w:sz w:val="18"/>
      </w:rPr>
      <w:t>2</w:t>
    </w:r>
    <w:r w:rsidRPr="005A444A">
      <w:rPr>
        <w:b/>
        <w:sz w:val="18"/>
      </w:rPr>
      <w:fldChar w:fldCharType="end"/>
    </w:r>
    <w:r>
      <w:rPr>
        <w:b/>
        <w:sz w:val="18"/>
      </w:rPr>
      <w:tab/>
    </w:r>
    <w:r>
      <w:t>GE.11-44088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44A" w:rsidRPr="005A444A" w:rsidRDefault="005A444A" w:rsidP="005A444A">
    <w:pPr>
      <w:pStyle w:val="Footer"/>
      <w:tabs>
        <w:tab w:val="right" w:pos="9638"/>
      </w:tabs>
      <w:rPr>
        <w:b/>
        <w:sz w:val="18"/>
      </w:rPr>
    </w:pPr>
    <w:r>
      <w:t>GE.11-44088</w:t>
    </w:r>
    <w:r>
      <w:tab/>
    </w:r>
    <w:r w:rsidRPr="005A444A">
      <w:rPr>
        <w:b/>
        <w:sz w:val="18"/>
      </w:rPr>
      <w:fldChar w:fldCharType="begin"/>
    </w:r>
    <w:r w:rsidRPr="005A444A">
      <w:rPr>
        <w:b/>
        <w:sz w:val="18"/>
      </w:rPr>
      <w:instrText xml:space="preserve"> PAGE  \* MERGEFORMAT </w:instrText>
    </w:r>
    <w:r w:rsidRPr="005A444A">
      <w:rPr>
        <w:b/>
        <w:sz w:val="18"/>
      </w:rPr>
      <w:fldChar w:fldCharType="separate"/>
    </w:r>
    <w:r w:rsidR="00CB7011">
      <w:rPr>
        <w:b/>
        <w:noProof/>
        <w:sz w:val="18"/>
      </w:rPr>
      <w:t>3</w:t>
    </w:r>
    <w:r w:rsidRPr="005A444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308" w:rsidRDefault="005A444A">
    <w:pPr>
      <w:pStyle w:val="Footer"/>
    </w:pPr>
    <w:r>
      <w:rPr>
        <w:sz w:val="20"/>
      </w:rPr>
      <w:t>GE.11-44088</w:t>
    </w:r>
    <w:r w:rsidR="00726308">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8206C3">
      <w:rPr>
        <w:sz w:val="20"/>
      </w:rPr>
      <w:t xml:space="preserve">    220711</w:t>
    </w:r>
    <w:r w:rsidR="00D02EDA">
      <w:rPr>
        <w:sz w:val="20"/>
      </w:rPr>
      <w:t xml:space="preserve">    270711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7935" w:rsidRPr="00D27D5E" w:rsidRDefault="00CA7935" w:rsidP="00D27D5E">
      <w:pPr>
        <w:tabs>
          <w:tab w:val="right" w:pos="2155"/>
        </w:tabs>
        <w:spacing w:after="80"/>
        <w:ind w:left="680"/>
        <w:rPr>
          <w:u w:val="single"/>
        </w:rPr>
      </w:pPr>
      <w:r>
        <w:rPr>
          <w:u w:val="single"/>
        </w:rPr>
        <w:tab/>
      </w:r>
    </w:p>
  </w:footnote>
  <w:footnote w:type="continuationSeparator" w:id="0">
    <w:p w:rsidR="00CA7935" w:rsidRPr="00AA7FE7" w:rsidRDefault="00CA7935" w:rsidP="00AA7FE7">
      <w:pPr>
        <w:tabs>
          <w:tab w:val="right" w:pos="2155"/>
        </w:tabs>
        <w:spacing w:after="80"/>
        <w:ind w:left="680"/>
        <w:rPr>
          <w:u w:val="single"/>
        </w:rPr>
      </w:pPr>
      <w:r w:rsidRPr="00AA7FE7">
        <w:rPr>
          <w:u w:val="single"/>
        </w:rPr>
        <w:tab/>
      </w:r>
    </w:p>
  </w:footnote>
  <w:footnote w:type="continuationNotice" w:id="1">
    <w:p w:rsidR="00CA7935" w:rsidRDefault="00CA793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44A" w:rsidRPr="005A444A" w:rsidRDefault="005A444A">
    <w:pPr>
      <w:pStyle w:val="Header"/>
    </w:pPr>
    <w:r>
      <w:t>CERD/C/PRY/Q/1-3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44A" w:rsidRPr="005A444A" w:rsidRDefault="005A444A" w:rsidP="005A444A">
    <w:pPr>
      <w:pStyle w:val="Header"/>
      <w:jc w:val="right"/>
    </w:pPr>
    <w:r>
      <w:t>CERD/C/PRY/Q/1-3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A714197A"/>
    <w:lvl w:ilvl="0">
      <w:start w:val="1"/>
      <w:numFmt w:val="decimal"/>
      <w:lvlText w:val="%1."/>
      <w:lvlJc w:val="left"/>
      <w:pPr>
        <w:tabs>
          <w:tab w:val="num" w:pos="1209"/>
        </w:tabs>
        <w:ind w:left="1209" w:hanging="360"/>
      </w:pPr>
    </w:lvl>
  </w:abstractNum>
  <w:abstractNum w:abstractNumId="2">
    <w:nsid w:val="FFFFFF7E"/>
    <w:multiLevelType w:val="singleLevel"/>
    <w:tmpl w:val="F196A252"/>
    <w:lvl w:ilvl="0">
      <w:start w:val="1"/>
      <w:numFmt w:val="decimal"/>
      <w:lvlText w:val="%1."/>
      <w:lvlJc w:val="left"/>
      <w:pPr>
        <w:tabs>
          <w:tab w:val="num" w:pos="926"/>
        </w:tabs>
        <w:ind w:left="926" w:hanging="360"/>
      </w:pPr>
    </w:lvl>
  </w:abstractNum>
  <w:abstractNum w:abstractNumId="3">
    <w:nsid w:val="FFFFFF7F"/>
    <w:multiLevelType w:val="singleLevel"/>
    <w:tmpl w:val="145E9E0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0A08F3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6308"/>
    <w:rsid w:val="00016AC5"/>
    <w:rsid w:val="00045711"/>
    <w:rsid w:val="00054609"/>
    <w:rsid w:val="000A0A4A"/>
    <w:rsid w:val="000A64F7"/>
    <w:rsid w:val="000A6F55"/>
    <w:rsid w:val="000E7579"/>
    <w:rsid w:val="000F41F2"/>
    <w:rsid w:val="001231AD"/>
    <w:rsid w:val="00127913"/>
    <w:rsid w:val="00127FA6"/>
    <w:rsid w:val="001450E6"/>
    <w:rsid w:val="00150465"/>
    <w:rsid w:val="00160540"/>
    <w:rsid w:val="00192EEB"/>
    <w:rsid w:val="00197832"/>
    <w:rsid w:val="001A20FB"/>
    <w:rsid w:val="001A7BA8"/>
    <w:rsid w:val="001B3867"/>
    <w:rsid w:val="001C740D"/>
    <w:rsid w:val="001D72C5"/>
    <w:rsid w:val="001D7F8A"/>
    <w:rsid w:val="001E3FEB"/>
    <w:rsid w:val="001E4A02"/>
    <w:rsid w:val="001F2EA0"/>
    <w:rsid w:val="002028F0"/>
    <w:rsid w:val="00225A8C"/>
    <w:rsid w:val="002626D4"/>
    <w:rsid w:val="002649C0"/>
    <w:rsid w:val="002659F1"/>
    <w:rsid w:val="00265CD7"/>
    <w:rsid w:val="00267BA4"/>
    <w:rsid w:val="00287E79"/>
    <w:rsid w:val="002928F9"/>
    <w:rsid w:val="002A5D07"/>
    <w:rsid w:val="002D076D"/>
    <w:rsid w:val="002D3F03"/>
    <w:rsid w:val="002E0D40"/>
    <w:rsid w:val="002E5B0C"/>
    <w:rsid w:val="00300D06"/>
    <w:rsid w:val="003016B7"/>
    <w:rsid w:val="003515AA"/>
    <w:rsid w:val="00374106"/>
    <w:rsid w:val="003976D5"/>
    <w:rsid w:val="003B4E8E"/>
    <w:rsid w:val="003D6C68"/>
    <w:rsid w:val="004070EC"/>
    <w:rsid w:val="004159D0"/>
    <w:rsid w:val="00472145"/>
    <w:rsid w:val="004D3BE4"/>
    <w:rsid w:val="00540389"/>
    <w:rsid w:val="00543D5E"/>
    <w:rsid w:val="00571F41"/>
    <w:rsid w:val="00593658"/>
    <w:rsid w:val="005A444A"/>
    <w:rsid w:val="005E5D1F"/>
    <w:rsid w:val="006034FC"/>
    <w:rsid w:val="00611D43"/>
    <w:rsid w:val="00612D48"/>
    <w:rsid w:val="00616B45"/>
    <w:rsid w:val="00630D9B"/>
    <w:rsid w:val="00631953"/>
    <w:rsid w:val="00636CA8"/>
    <w:rsid w:val="006439EC"/>
    <w:rsid w:val="00657120"/>
    <w:rsid w:val="00693E16"/>
    <w:rsid w:val="006B4590"/>
    <w:rsid w:val="006C340C"/>
    <w:rsid w:val="006D7B0B"/>
    <w:rsid w:val="006E6AE5"/>
    <w:rsid w:val="006F39E4"/>
    <w:rsid w:val="0070347C"/>
    <w:rsid w:val="007176C1"/>
    <w:rsid w:val="007231EF"/>
    <w:rsid w:val="00726308"/>
    <w:rsid w:val="0073287C"/>
    <w:rsid w:val="00780CA6"/>
    <w:rsid w:val="0078670C"/>
    <w:rsid w:val="007F55CB"/>
    <w:rsid w:val="007F6E33"/>
    <w:rsid w:val="008206C3"/>
    <w:rsid w:val="00833578"/>
    <w:rsid w:val="00844750"/>
    <w:rsid w:val="008B44C4"/>
    <w:rsid w:val="008D2259"/>
    <w:rsid w:val="008D3617"/>
    <w:rsid w:val="008D5037"/>
    <w:rsid w:val="008E7FAE"/>
    <w:rsid w:val="00906C9A"/>
    <w:rsid w:val="00911BF7"/>
    <w:rsid w:val="009237EA"/>
    <w:rsid w:val="00973EF6"/>
    <w:rsid w:val="00977EC8"/>
    <w:rsid w:val="009B1456"/>
    <w:rsid w:val="009C17F5"/>
    <w:rsid w:val="009D3A8C"/>
    <w:rsid w:val="009D53BE"/>
    <w:rsid w:val="009E67D1"/>
    <w:rsid w:val="009E7956"/>
    <w:rsid w:val="00A16125"/>
    <w:rsid w:val="00A2492E"/>
    <w:rsid w:val="00A82B6C"/>
    <w:rsid w:val="00A9599E"/>
    <w:rsid w:val="00A97559"/>
    <w:rsid w:val="00AA7FE7"/>
    <w:rsid w:val="00AB3173"/>
    <w:rsid w:val="00AC01AA"/>
    <w:rsid w:val="00AC67A1"/>
    <w:rsid w:val="00AC7977"/>
    <w:rsid w:val="00AE352C"/>
    <w:rsid w:val="00B32E2D"/>
    <w:rsid w:val="00B61990"/>
    <w:rsid w:val="00BA7998"/>
    <w:rsid w:val="00BC6C34"/>
    <w:rsid w:val="00BF0556"/>
    <w:rsid w:val="00C03431"/>
    <w:rsid w:val="00C261F8"/>
    <w:rsid w:val="00C33100"/>
    <w:rsid w:val="00C65C43"/>
    <w:rsid w:val="00CA7935"/>
    <w:rsid w:val="00CB7011"/>
    <w:rsid w:val="00CD1A71"/>
    <w:rsid w:val="00CD1FBB"/>
    <w:rsid w:val="00D016B5"/>
    <w:rsid w:val="00D02EDA"/>
    <w:rsid w:val="00D034F1"/>
    <w:rsid w:val="00D27D5E"/>
    <w:rsid w:val="00D37345"/>
    <w:rsid w:val="00D7708D"/>
    <w:rsid w:val="00DC156C"/>
    <w:rsid w:val="00DE0BBB"/>
    <w:rsid w:val="00DE6D90"/>
    <w:rsid w:val="00DF002F"/>
    <w:rsid w:val="00E0244D"/>
    <w:rsid w:val="00E42D5E"/>
    <w:rsid w:val="00E81E94"/>
    <w:rsid w:val="00E82607"/>
    <w:rsid w:val="00EA242D"/>
    <w:rsid w:val="00EC5A42"/>
    <w:rsid w:val="00F63BC6"/>
    <w:rsid w:val="00F9700F"/>
    <w:rsid w:val="00FA5A79"/>
    <w:rsid w:val="00FB0BFE"/>
    <w:rsid w:val="00FB4C51"/>
    <w:rsid w:val="00FE409E"/>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 w:type="table" w:styleId="TableGrid">
    <w:name w:val="Table Grid"/>
    <w:basedOn w:val="TableNormal"/>
    <w:rsid w:val="00A9599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Pages>
  <Words>1153</Words>
  <Characters>6632</Characters>
  <Application>Microsoft Office Word</Application>
  <DocSecurity>4</DocSecurity>
  <Lines>116</Lines>
  <Paragraphs>33</Paragraphs>
  <ScaleCrop>false</ScaleCrop>
  <HeadingPairs>
    <vt:vector size="2" baseType="variant">
      <vt:variant>
        <vt:lpstr>Titre</vt:lpstr>
      </vt:variant>
      <vt:variant>
        <vt:i4>1</vt:i4>
      </vt:variant>
    </vt:vector>
  </HeadingPairs>
  <TitlesOfParts>
    <vt:vector size="1" baseType="lpstr">
      <vt:lpstr>CERD/C/PRY/Q/1-3</vt:lpstr>
    </vt:vector>
  </TitlesOfParts>
  <Company>CSD</Company>
  <LinksUpToDate>false</LinksUpToDate>
  <CharactersWithSpaces>7767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CERD/C/PRY/Q/1-3</dc:title>
  <dc:subject>FINAL</dc:subject>
  <dc:creator>C. Ronfini</dc:creator>
  <cp:keywords/>
  <dc:description/>
  <cp:lastModifiedBy>Moret-Var</cp:lastModifiedBy>
  <cp:revision>2</cp:revision>
  <cp:lastPrinted>2011-07-27T12:23:00Z</cp:lastPrinted>
  <dcterms:created xsi:type="dcterms:W3CDTF">2011-07-27T14:39:00Z</dcterms:created>
  <dcterms:modified xsi:type="dcterms:W3CDTF">2011-07-27T14:39:00Z</dcterms:modified>
</cp:coreProperties>
</file>