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hint="eastAsia"/>
        </w:rPr>
      </w:pPr>
      <w:r>
        <w:rPr>
          <w:rFonts w:hint="eastAsia"/>
        </w:rPr>
        <w:t>人权事务委员会</w:t>
      </w:r>
    </w:p>
    <w:p w:rsidR="00000000" w:rsidRDefault="00000000">
      <w:r>
        <w:rPr>
          <w:rFonts w:hint="eastAsia"/>
        </w:rPr>
        <w:t>第九十届会议</w:t>
      </w:r>
    </w:p>
    <w:p w:rsidR="00000000" w:rsidRDefault="00000000">
      <w:pPr>
        <w:spacing w:after="320"/>
      </w:pPr>
      <w:r>
        <w:rPr>
          <w:rFonts w:hint="eastAsia"/>
        </w:rPr>
        <w:t>2007</w:t>
      </w:r>
      <w:r>
        <w:rPr>
          <w:rFonts w:hint="eastAsia"/>
        </w:rPr>
        <w:t>年</w:t>
      </w:r>
      <w:r>
        <w:rPr>
          <w:rFonts w:hint="eastAsia"/>
        </w:rPr>
        <w:t>7</w:t>
      </w:r>
      <w:r>
        <w:rPr>
          <w:rFonts w:hint="eastAsia"/>
        </w:rPr>
        <w:t>月</w:t>
      </w:r>
      <w:r>
        <w:rPr>
          <w:rFonts w:hint="eastAsia"/>
        </w:rPr>
        <w:t>9</w:t>
      </w:r>
      <w:r>
        <w:rPr>
          <w:rFonts w:hint="eastAsia"/>
        </w:rPr>
        <w:t>日至</w:t>
      </w:r>
      <w:r>
        <w:rPr>
          <w:rFonts w:hint="eastAsia"/>
        </w:rPr>
        <w:t>27</w:t>
      </w:r>
      <w:r>
        <w:rPr>
          <w:rFonts w:hint="eastAsia"/>
        </w:rPr>
        <w:t>日，日内瓦</w:t>
      </w:r>
    </w:p>
    <w:p w:rsidR="00000000" w:rsidRDefault="00000000">
      <w:pPr>
        <w:pStyle w:val="Heading2"/>
        <w:rPr>
          <w:rFonts w:ascii="Time New Roman" w:eastAsia="SimHei" w:hAnsi="Time New Roman" w:hint="eastAsia"/>
          <w:kern w:val="0"/>
        </w:rPr>
      </w:pPr>
      <w:r>
        <w:rPr>
          <w:rFonts w:ascii="Time New Roman" w:eastAsia="SimHei" w:hAnsi="Time New Roman" w:hint="eastAsia"/>
          <w:kern w:val="0"/>
        </w:rPr>
        <w:t>审议缔约国根据《公约》第四十条提交的报告</w:t>
      </w:r>
    </w:p>
    <w:p w:rsidR="00000000" w:rsidRDefault="00000000">
      <w:pPr>
        <w:pStyle w:val="Heading3"/>
        <w:rPr>
          <w:rFonts w:ascii="Time New Roman" w:eastAsia="SimHei" w:hAnsi="Time New Roman"/>
          <w:snapToGrid w:val="0"/>
          <w:kern w:val="0"/>
          <w:u w:val="none"/>
        </w:rPr>
      </w:pPr>
      <w:r>
        <w:rPr>
          <w:rFonts w:ascii="Time New Roman" w:eastAsia="SimHei" w:hAnsi="Time New Roman" w:hint="eastAsia"/>
          <w:snapToGrid w:val="0"/>
          <w:kern w:val="0"/>
          <w:u w:val="none"/>
        </w:rPr>
        <w:t>人权事务委员会的结论性意见</w:t>
      </w:r>
    </w:p>
    <w:p w:rsidR="00000000" w:rsidRDefault="00000000">
      <w:pPr>
        <w:pStyle w:val="Heading3"/>
        <w:rPr>
          <w:rFonts w:ascii="Time New Roman" w:eastAsia="SimHei" w:hAnsi="Time New Roman"/>
          <w:snapToGrid w:val="0"/>
          <w:kern w:val="0"/>
          <w:u w:val="none"/>
        </w:rPr>
      </w:pPr>
      <w:r>
        <w:rPr>
          <w:rFonts w:ascii="Time New Roman" w:eastAsia="SimHei" w:hAnsi="Time New Roman" w:hint="eastAsia"/>
          <w:snapToGrid w:val="0"/>
          <w:kern w:val="0"/>
          <w:u w:val="none"/>
        </w:rPr>
        <w:t>捷克共和国</w:t>
      </w:r>
    </w:p>
    <w:p w:rsidR="00000000" w:rsidRDefault="00000000">
      <w:pPr>
        <w:spacing w:after="320"/>
        <w:ind w:firstLine="510"/>
      </w:pPr>
      <w:r>
        <w:t xml:space="preserve">1.  </w:t>
      </w:r>
      <w:r>
        <w:rPr>
          <w:rFonts w:hint="eastAsia"/>
        </w:rPr>
        <w:t>人权事务委员会在</w:t>
      </w:r>
      <w:r>
        <w:t>2007</w:t>
      </w:r>
      <w:r>
        <w:rPr>
          <w:rFonts w:hint="eastAsia"/>
        </w:rPr>
        <w:t>年</w:t>
      </w:r>
      <w:r>
        <w:t>7</w:t>
      </w:r>
      <w:r>
        <w:rPr>
          <w:rFonts w:hint="eastAsia"/>
        </w:rPr>
        <w:t>月</w:t>
      </w:r>
      <w:r>
        <w:t>16</w:t>
      </w:r>
      <w:r>
        <w:rPr>
          <w:rFonts w:hint="eastAsia"/>
        </w:rPr>
        <w:t>日和</w:t>
      </w:r>
      <w:r>
        <w:t>17</w:t>
      </w:r>
      <w:r>
        <w:rPr>
          <w:rFonts w:hint="eastAsia"/>
        </w:rPr>
        <w:t>日举行的第</w:t>
      </w:r>
      <w:r>
        <w:t>2464</w:t>
      </w:r>
      <w:r>
        <w:rPr>
          <w:rFonts w:hint="eastAsia"/>
        </w:rPr>
        <w:t>次和第</w:t>
      </w:r>
      <w:r>
        <w:t>2465</w:t>
      </w:r>
      <w:r>
        <w:rPr>
          <w:rFonts w:hint="eastAsia"/>
        </w:rPr>
        <w:t>次会议</w:t>
      </w:r>
      <w:r>
        <w:t>(CCPR/C/SR.</w:t>
      </w:r>
      <w:r>
        <w:rPr>
          <w:rFonts w:hint="eastAsia"/>
        </w:rPr>
        <w:t>2464</w:t>
      </w:r>
      <w:r>
        <w:rPr>
          <w:rFonts w:hint="eastAsia"/>
        </w:rPr>
        <w:t>和</w:t>
      </w:r>
      <w:r>
        <w:t>2465)</w:t>
      </w:r>
      <w:r>
        <w:rPr>
          <w:rFonts w:hint="eastAsia"/>
        </w:rPr>
        <w:t>上审议了捷克共和国提交的第二次定期报告</w:t>
      </w:r>
      <w:r>
        <w:t>(CCPR/C/</w:t>
      </w:r>
      <w:r>
        <w:rPr>
          <w:rFonts w:hint="eastAsia"/>
        </w:rPr>
        <w:t>CZE</w:t>
      </w:r>
      <w:r>
        <w:t>/2)</w:t>
      </w:r>
      <w:r>
        <w:rPr>
          <w:rFonts w:hint="eastAsia"/>
        </w:rPr>
        <w:t>，并在</w:t>
      </w:r>
      <w:r>
        <w:t>2007</w:t>
      </w:r>
      <w:r>
        <w:rPr>
          <w:rFonts w:hint="eastAsia"/>
        </w:rPr>
        <w:t>年</w:t>
      </w:r>
      <w:r>
        <w:t>7</w:t>
      </w:r>
      <w:r>
        <w:rPr>
          <w:rFonts w:hint="eastAsia"/>
        </w:rPr>
        <w:t>月</w:t>
      </w:r>
      <w:r>
        <w:t>2</w:t>
      </w:r>
      <w:r>
        <w:rPr>
          <w:rFonts w:hint="eastAsia"/>
        </w:rPr>
        <w:t>5</w:t>
      </w:r>
      <w:r>
        <w:rPr>
          <w:rFonts w:hint="eastAsia"/>
        </w:rPr>
        <w:t>日举行的第</w:t>
      </w:r>
      <w:r>
        <w:t>2478</w:t>
      </w:r>
      <w:r>
        <w:rPr>
          <w:rFonts w:hint="eastAsia"/>
        </w:rPr>
        <w:t>次会议</w:t>
      </w:r>
      <w:r>
        <w:t>(CCPR/C/SR.2480)</w:t>
      </w:r>
      <w:r>
        <w:rPr>
          <w:rFonts w:hint="eastAsia"/>
        </w:rPr>
        <w:t>上通过了如下结论性意见。</w:t>
      </w:r>
    </w:p>
    <w:p w:rsidR="00000000" w:rsidRDefault="00000000">
      <w:pPr>
        <w:pStyle w:val="Heading3"/>
        <w:rPr>
          <w:rFonts w:ascii="Time New Roman" w:eastAsia="SimHei" w:hAnsi="Time New Roman" w:hint="eastAsia"/>
          <w:snapToGrid w:val="0"/>
          <w:kern w:val="0"/>
          <w:u w:val="none"/>
        </w:rPr>
      </w:pPr>
      <w:r>
        <w:rPr>
          <w:rFonts w:ascii="Time New Roman" w:eastAsia="SimHei" w:hAnsi="Time New Roman"/>
          <w:b/>
          <w:snapToGrid w:val="0"/>
          <w:kern w:val="0"/>
          <w:u w:val="none"/>
        </w:rPr>
        <w:t>A</w:t>
      </w:r>
      <w:r>
        <w:rPr>
          <w:rFonts w:ascii="Time New Roman" w:eastAsia="SimHei" w:hAnsi="Time New Roman"/>
          <w:snapToGrid w:val="0"/>
          <w:kern w:val="0"/>
          <w:u w:val="none"/>
        </w:rPr>
        <w:t xml:space="preserve">.  </w:t>
      </w:r>
      <w:r>
        <w:rPr>
          <w:rFonts w:ascii="Time New Roman" w:eastAsia="SimHei" w:hAnsi="Time New Roman" w:hint="eastAsia"/>
          <w:snapToGrid w:val="0"/>
          <w:kern w:val="0"/>
          <w:u w:val="none"/>
        </w:rPr>
        <w:t>导</w:t>
      </w:r>
      <w:r>
        <w:rPr>
          <w:rFonts w:ascii="Time New Roman" w:eastAsia="SimHei" w:hAnsi="Time New Roman"/>
          <w:snapToGrid w:val="0"/>
          <w:kern w:val="0"/>
          <w:u w:val="none"/>
        </w:rPr>
        <w:t xml:space="preserve">  </w:t>
      </w:r>
      <w:r>
        <w:rPr>
          <w:rFonts w:ascii="Time New Roman" w:eastAsia="SimHei" w:hAnsi="Time New Roman" w:hint="eastAsia"/>
          <w:snapToGrid w:val="0"/>
          <w:kern w:val="0"/>
          <w:u w:val="none"/>
        </w:rPr>
        <w:t>言</w:t>
      </w:r>
    </w:p>
    <w:p w:rsidR="00000000" w:rsidRDefault="00000000">
      <w:pPr>
        <w:ind w:firstLine="510"/>
        <w:rPr>
          <w:rFonts w:hint="eastAsia"/>
        </w:rPr>
      </w:pPr>
      <w:r>
        <w:t xml:space="preserve">2.  </w:t>
      </w:r>
      <w:r>
        <w:rPr>
          <w:rFonts w:hint="eastAsia"/>
        </w:rPr>
        <w:t>委员会欢迎缔约国提交第二次定期报告，报告中包含具体的法律和事实资料，提到了之前的结论性意见，非常有用。委员会还欢迎对问题清单的书面答复，这促进了与委员会的对话。委员会赞赏一个由《公约》相关各领域专家组成的代表团与会，以及他们认真的口头和书面答复。</w:t>
      </w:r>
    </w:p>
    <w:p w:rsidR="00000000" w:rsidRDefault="00000000">
      <w:pPr>
        <w:pStyle w:val="Heading3"/>
        <w:rPr>
          <w:rFonts w:ascii="Time New Roman" w:eastAsia="SimHei" w:hAnsi="Time New Roman" w:hint="eastAsia"/>
          <w:snapToGrid w:val="0"/>
          <w:kern w:val="0"/>
          <w:u w:val="none"/>
        </w:rPr>
      </w:pPr>
      <w:r>
        <w:rPr>
          <w:rFonts w:ascii="Time New Roman" w:eastAsia="SimHei" w:hAnsi="Time New Roman"/>
          <w:b/>
          <w:snapToGrid w:val="0"/>
          <w:kern w:val="0"/>
          <w:u w:val="none"/>
        </w:rPr>
        <w:t>B</w:t>
      </w:r>
      <w:r>
        <w:rPr>
          <w:rFonts w:ascii="Time New Roman" w:eastAsia="SimHei" w:hAnsi="Time New Roman"/>
          <w:snapToGrid w:val="0"/>
          <w:kern w:val="0"/>
          <w:u w:val="none"/>
        </w:rPr>
        <w:t>.</w:t>
      </w:r>
      <w:r>
        <w:rPr>
          <w:rFonts w:ascii="Time New Roman" w:eastAsia="SimHei" w:hAnsi="Time New Roman" w:hint="eastAsia"/>
          <w:snapToGrid w:val="0"/>
          <w:kern w:val="0"/>
          <w:u w:val="none"/>
        </w:rPr>
        <w:t xml:space="preserve">  </w:t>
      </w:r>
      <w:r>
        <w:rPr>
          <w:rFonts w:ascii="Time New Roman" w:eastAsia="SimHei" w:hAnsi="Time New Roman" w:hint="eastAsia"/>
          <w:snapToGrid w:val="0"/>
          <w:kern w:val="0"/>
          <w:u w:val="none"/>
        </w:rPr>
        <w:t>积极方面</w:t>
      </w:r>
    </w:p>
    <w:p w:rsidR="00000000" w:rsidRDefault="00000000">
      <w:pPr>
        <w:ind w:firstLine="510"/>
        <w:rPr>
          <w:rFonts w:hint="eastAsia"/>
        </w:rPr>
      </w:pPr>
      <w:r>
        <w:rPr>
          <w:rFonts w:hint="eastAsia"/>
        </w:rPr>
        <w:t xml:space="preserve">3.  </w:t>
      </w:r>
      <w:r>
        <w:rPr>
          <w:rFonts w:hint="eastAsia"/>
        </w:rPr>
        <w:t>委员会注意到，捷克共和国于</w:t>
      </w:r>
      <w:r>
        <w:rPr>
          <w:rFonts w:hint="eastAsia"/>
        </w:rPr>
        <w:t>2006</w:t>
      </w:r>
      <w:r>
        <w:rPr>
          <w:rFonts w:hint="eastAsia"/>
        </w:rPr>
        <w:t>年加入了《</w:t>
      </w:r>
      <w:r>
        <w:rPr>
          <w:rFonts w:hint="eastAsia"/>
          <w:snapToGrid/>
          <w:color w:val="000000"/>
          <w:spacing w:val="0"/>
          <w:szCs w:val="24"/>
        </w:rPr>
        <w:t>禁止酷刑和其他残忍、不人道或有辱人格的待遇或处罚公约任择议定书</w:t>
      </w:r>
      <w:r>
        <w:rPr>
          <w:rFonts w:hint="eastAsia"/>
        </w:rPr>
        <w:t>》，这应该能够确保更好地遵守《公约》第七条。</w:t>
      </w:r>
    </w:p>
    <w:p w:rsidR="00000000" w:rsidRDefault="00000000">
      <w:pPr>
        <w:ind w:firstLine="510"/>
        <w:rPr>
          <w:rFonts w:hint="eastAsia"/>
        </w:rPr>
      </w:pPr>
      <w:r>
        <w:t>4.</w:t>
      </w:r>
      <w:r>
        <w:rPr>
          <w:rFonts w:hint="eastAsia"/>
        </w:rPr>
        <w:t xml:space="preserve">  </w:t>
      </w:r>
      <w:r>
        <w:rPr>
          <w:rFonts w:hint="eastAsia"/>
        </w:rPr>
        <w:t>委员会欢迎</w:t>
      </w:r>
      <w:r>
        <w:rPr>
          <w:rFonts w:hint="eastAsia"/>
        </w:rPr>
        <w:t>2002</w:t>
      </w:r>
      <w:r>
        <w:rPr>
          <w:rFonts w:hint="eastAsia"/>
        </w:rPr>
        <w:t>年通过的《宪法》修订案，该案把议会批准的所有国际条约放在了首要地位。</w:t>
      </w:r>
    </w:p>
    <w:p w:rsidR="00000000" w:rsidRDefault="00000000">
      <w:pPr>
        <w:ind w:firstLine="510"/>
        <w:rPr>
          <w:rFonts w:hint="eastAsia"/>
        </w:rPr>
      </w:pPr>
      <w:r>
        <w:t xml:space="preserve">5. </w:t>
      </w:r>
      <w:r>
        <w:rPr>
          <w:rFonts w:hint="eastAsia"/>
        </w:rPr>
        <w:t xml:space="preserve"> </w:t>
      </w:r>
      <w:r>
        <w:t>委员会注意到</w:t>
      </w:r>
      <w:r>
        <w:rPr>
          <w:rFonts w:hint="eastAsia"/>
        </w:rPr>
        <w:t>在</w:t>
      </w:r>
      <w:r>
        <w:t>打击家庭暴力方面取得的进步，包括通过了第</w:t>
      </w:r>
      <w:r>
        <w:t>91/</w:t>
      </w:r>
      <w:r>
        <w:rPr>
          <w:rFonts w:hint="eastAsia"/>
        </w:rPr>
        <w:t>2004</w:t>
      </w:r>
      <w:r>
        <w:rPr>
          <w:rFonts w:hint="eastAsia"/>
        </w:rPr>
        <w:t>号法案，把“对同一屋檐下的人的残忍行为”定为犯罪，还通过了第</w:t>
      </w:r>
      <w:r>
        <w:rPr>
          <w:rFonts w:hint="eastAsia"/>
        </w:rPr>
        <w:t>135/2006</w:t>
      </w:r>
      <w:r>
        <w:rPr>
          <w:rFonts w:hint="eastAsia"/>
        </w:rPr>
        <w:t>号法案，引入了一个新的保护受害者的制度。</w:t>
      </w:r>
    </w:p>
    <w:p w:rsidR="00000000" w:rsidRDefault="00000000">
      <w:pPr>
        <w:spacing w:after="320"/>
        <w:ind w:firstLine="510"/>
        <w:rPr>
          <w:rFonts w:hint="eastAsia"/>
        </w:rPr>
      </w:pPr>
      <w:r>
        <w:t>6.</w:t>
      </w:r>
      <w:r>
        <w:rPr>
          <w:rFonts w:hint="eastAsia"/>
        </w:rPr>
        <w:t xml:space="preserve">  </w:t>
      </w:r>
      <w:r>
        <w:rPr>
          <w:rFonts w:hint="eastAsia"/>
        </w:rPr>
        <w:t>委员会欢迎通过警察局羁押所规章，该规章是由警察总长根据第</w:t>
      </w:r>
      <w:r>
        <w:rPr>
          <w:rFonts w:hint="eastAsia"/>
        </w:rPr>
        <w:t>42/2007</w:t>
      </w:r>
      <w:r>
        <w:rPr>
          <w:rFonts w:hint="eastAsia"/>
        </w:rPr>
        <w:t>号令公布的。</w:t>
      </w:r>
    </w:p>
    <w:p w:rsidR="00000000" w:rsidRDefault="00000000">
      <w:pPr>
        <w:pStyle w:val="Heading3"/>
        <w:rPr>
          <w:rFonts w:ascii="Time New Roman" w:eastAsia="SimHei" w:hAnsi="Time New Roman" w:hint="eastAsia"/>
          <w:bCs/>
          <w:snapToGrid w:val="0"/>
          <w:kern w:val="0"/>
          <w:u w:val="none"/>
        </w:rPr>
      </w:pPr>
      <w:r>
        <w:rPr>
          <w:rFonts w:ascii="Time New Roman" w:eastAsia="SimHei" w:hAnsi="Time New Roman" w:hint="eastAsia"/>
          <w:b/>
          <w:bCs/>
          <w:snapToGrid w:val="0"/>
          <w:kern w:val="0"/>
          <w:u w:val="none"/>
        </w:rPr>
        <w:t>C</w:t>
      </w:r>
      <w:r>
        <w:rPr>
          <w:rFonts w:ascii="Time New Roman" w:eastAsia="SimHei" w:hAnsi="Time New Roman" w:hint="eastAsia"/>
          <w:bCs/>
          <w:snapToGrid w:val="0"/>
          <w:kern w:val="0"/>
          <w:u w:val="none"/>
        </w:rPr>
        <w:t xml:space="preserve">.  </w:t>
      </w:r>
      <w:r>
        <w:rPr>
          <w:rFonts w:ascii="Time New Roman" w:eastAsia="SimHei" w:hAnsi="Time New Roman" w:hint="eastAsia"/>
          <w:bCs/>
          <w:snapToGrid w:val="0"/>
          <w:kern w:val="0"/>
          <w:u w:val="none"/>
        </w:rPr>
        <w:t>主要的关注问题和建议</w:t>
      </w:r>
    </w:p>
    <w:p w:rsidR="00000000" w:rsidRDefault="00000000">
      <w:pPr>
        <w:ind w:firstLine="510"/>
        <w:rPr>
          <w:rFonts w:hint="eastAsia"/>
        </w:rPr>
      </w:pPr>
      <w:r>
        <w:t>7.</w:t>
      </w:r>
      <w:r>
        <w:rPr>
          <w:rFonts w:hint="eastAsia"/>
        </w:rPr>
        <w:t xml:space="preserve">  </w:t>
      </w:r>
      <w:r>
        <w:rPr>
          <w:rFonts w:hint="eastAsia"/>
        </w:rPr>
        <w:t>委员会表示关切缔约国对《任择议定书》和《公约》本身规定的义务作出限制性解释和未能履行这些义务。缔约国说它很难执行委员会的《意见》，包括委员会在很多案件中，根据</w:t>
      </w:r>
      <w:r>
        <w:rPr>
          <w:rFonts w:hint="eastAsia"/>
        </w:rPr>
        <w:t>1991</w:t>
      </w:r>
      <w:r>
        <w:rPr>
          <w:rFonts w:hint="eastAsia"/>
        </w:rPr>
        <w:t>年的第</w:t>
      </w:r>
      <w:r>
        <w:rPr>
          <w:rFonts w:hint="eastAsia"/>
        </w:rPr>
        <w:t>87/91</w:t>
      </w:r>
      <w:r>
        <w:rPr>
          <w:rFonts w:hint="eastAsia"/>
        </w:rPr>
        <w:t>号法案，就向被迫逃离缔约国而加入避难国国籍的个人归还财产和作出赔偿问题提出的意见。委员会忆及，通过加入《任择议定书》，缔约国承认了委员会有权受理并审查缔约国管辖范围内的个人申诉。</w:t>
      </w:r>
    </w:p>
    <w:p w:rsidR="00000000" w:rsidRDefault="00000000">
      <w:pPr>
        <w:ind w:left="1020" w:firstLine="510"/>
        <w:rPr>
          <w:rFonts w:ascii="Time New Roman" w:eastAsia="SimHei" w:hAnsi="Time New Roman" w:hint="eastAsia"/>
        </w:rPr>
      </w:pPr>
      <w:r>
        <w:rPr>
          <w:rFonts w:ascii="Time New Roman" w:eastAsia="SimHei" w:hAnsi="Time New Roman" w:hint="eastAsia"/>
        </w:rPr>
        <w:t>委员会敦促缔约国执行委员会的所有《意见》，包括根据</w:t>
      </w:r>
      <w:r>
        <w:rPr>
          <w:rFonts w:ascii="Time New Roman" w:eastAsia="SimHei" w:hAnsi="Time New Roman" w:hint="eastAsia"/>
          <w:b/>
        </w:rPr>
        <w:t>1991</w:t>
      </w:r>
      <w:r>
        <w:rPr>
          <w:rFonts w:ascii="Time New Roman" w:eastAsia="SimHei" w:hAnsi="Time New Roman" w:hint="eastAsia"/>
        </w:rPr>
        <w:t>年第</w:t>
      </w:r>
      <w:r>
        <w:rPr>
          <w:rFonts w:ascii="Time New Roman" w:eastAsia="SimHei" w:hAnsi="Time New Roman" w:hint="eastAsia"/>
          <w:b/>
        </w:rPr>
        <w:t>87</w:t>
      </w:r>
      <w:r>
        <w:rPr>
          <w:rFonts w:ascii="Time New Roman" w:eastAsia="SimHei" w:hAnsi="Time New Roman" w:hint="eastAsia"/>
        </w:rPr>
        <w:t>/</w:t>
      </w:r>
      <w:r>
        <w:rPr>
          <w:rFonts w:ascii="Time New Roman" w:eastAsia="SimHei" w:hAnsi="Time New Roman" w:hint="eastAsia"/>
          <w:b/>
        </w:rPr>
        <w:t>91</w:t>
      </w:r>
      <w:r>
        <w:rPr>
          <w:rFonts w:ascii="Time New Roman" w:eastAsia="SimHei" w:hAnsi="Time New Roman" w:hint="eastAsia"/>
        </w:rPr>
        <w:t>号法案提出的，旨在归还相关个人财产或以其他方式向他们提供赔偿的意见。</w:t>
      </w:r>
    </w:p>
    <w:p w:rsidR="00000000" w:rsidRDefault="00000000">
      <w:pPr>
        <w:ind w:firstLine="510"/>
        <w:rPr>
          <w:rFonts w:hint="eastAsia"/>
        </w:rPr>
      </w:pPr>
      <w:r>
        <w:t>8.</w:t>
      </w:r>
      <w:r>
        <w:rPr>
          <w:rFonts w:hint="eastAsia"/>
        </w:rPr>
        <w:t xml:space="preserve">  </w:t>
      </w:r>
      <w:r>
        <w:rPr>
          <w:rFonts w:hint="eastAsia"/>
        </w:rPr>
        <w:t>有指控说捷克机场被作为引渡个人前往他们有可能受到酷刑或虐待的国家的中转站，虽然没有证实，但是委员会对此表示担忧，并注意到缔约国拒绝承认此类事件。</w:t>
      </w:r>
      <w:r>
        <w:rPr>
          <w:rFonts w:hint="eastAsia"/>
        </w:rPr>
        <w:t>(</w:t>
      </w:r>
      <w:r>
        <w:rPr>
          <w:rFonts w:hint="eastAsia"/>
        </w:rPr>
        <w:t>第二、七和十四条</w:t>
      </w:r>
      <w:r>
        <w:rPr>
          <w:rFonts w:hint="eastAsia"/>
        </w:rPr>
        <w:t>)</w:t>
      </w:r>
    </w:p>
    <w:p w:rsidR="00000000" w:rsidRDefault="00000000">
      <w:pPr>
        <w:ind w:left="1020" w:firstLine="510"/>
        <w:rPr>
          <w:rFonts w:ascii="Time New Roman" w:eastAsia="SimHei" w:hAnsi="Time New Roman" w:hint="eastAsia"/>
        </w:rPr>
      </w:pPr>
      <w:r>
        <w:rPr>
          <w:rFonts w:ascii="Time New Roman" w:eastAsia="SimHei" w:hAnsi="Time New Roman" w:hint="eastAsia"/>
        </w:rPr>
        <w:t>缔约国应当调查关于捷克机场作为此类引渡飞行中转站的指控，并建立一个监察系统，确保其机场不作此用途。</w:t>
      </w:r>
    </w:p>
    <w:p w:rsidR="00000000" w:rsidRDefault="00000000">
      <w:pPr>
        <w:ind w:firstLine="510"/>
        <w:rPr>
          <w:rFonts w:hint="eastAsia"/>
        </w:rPr>
      </w:pPr>
      <w:r>
        <w:t>9.</w:t>
      </w:r>
      <w:r>
        <w:rPr>
          <w:rFonts w:hint="eastAsia"/>
        </w:rPr>
        <w:t xml:space="preserve">  </w:t>
      </w:r>
      <w:r>
        <w:rPr>
          <w:rFonts w:hint="eastAsia"/>
        </w:rPr>
        <w:t>委员会感到遗憾的是，不断有警察渎职的报告，特别是在逮捕和拘留时对罗姆人和其他脆弱群体行凶，而且缔约国未能按照委员会以前结论性意见中的建议，建立一个独立的权威机构，受理和调查关于警方过度使用武力和其他滥用职权行为的一切申诉。委员会注意到，缺乏这样一个机构可能会造成涉嫌侵犯人权的警察事实上免受惩罚。</w:t>
      </w:r>
      <w:r>
        <w:rPr>
          <w:rFonts w:hint="eastAsia"/>
        </w:rPr>
        <w:t>(</w:t>
      </w:r>
      <w:r>
        <w:rPr>
          <w:rFonts w:hint="eastAsia"/>
        </w:rPr>
        <w:t>第二、七、九和二十六条</w:t>
      </w:r>
      <w:r>
        <w:rPr>
          <w:rFonts w:hint="eastAsia"/>
        </w:rPr>
        <w:t>)</w:t>
      </w:r>
    </w:p>
    <w:p w:rsidR="00000000" w:rsidRDefault="00000000">
      <w:pPr>
        <w:ind w:left="510" w:firstLine="510"/>
        <w:rPr>
          <w:rFonts w:ascii="Time New Roman" w:eastAsia="SimHei" w:hAnsi="Time New Roman" w:hint="eastAsia"/>
        </w:rPr>
      </w:pPr>
      <w:r>
        <w:rPr>
          <w:rFonts w:ascii="Time New Roman" w:eastAsia="SimHei" w:hAnsi="Time New Roman" w:hint="eastAsia"/>
        </w:rPr>
        <w:t>缔约国应当采取坚决措施，根除一切形式的警察虐待行为，尤其是：</w:t>
      </w:r>
    </w:p>
    <w:p w:rsidR="00000000" w:rsidRDefault="00000000">
      <w:pPr>
        <w:numPr>
          <w:ilvl w:val="0"/>
          <w:numId w:val="34"/>
        </w:numPr>
        <w:rPr>
          <w:rFonts w:ascii="Time New Roman" w:eastAsia="SimHei" w:hAnsi="Time New Roman" w:hint="eastAsia"/>
        </w:rPr>
      </w:pPr>
      <w:r>
        <w:rPr>
          <w:rFonts w:ascii="Time New Roman" w:eastAsia="SimHei" w:hAnsi="Time New Roman" w:hint="eastAsia"/>
        </w:rPr>
        <w:t>根据政府人权理事会</w:t>
      </w:r>
      <w:r>
        <w:rPr>
          <w:rFonts w:ascii="Time New Roman" w:eastAsia="SimHei" w:hAnsi="Time New Roman" w:hint="eastAsia"/>
          <w:b/>
        </w:rPr>
        <w:t>2006</w:t>
      </w:r>
      <w:r>
        <w:rPr>
          <w:rFonts w:ascii="Time New Roman" w:eastAsia="SimHei" w:hAnsi="Time New Roman" w:hint="eastAsia"/>
        </w:rPr>
        <w:t>年的建议，建立一个调查关于完全独立于内政部的执法人员行为的申诉的机制；</w:t>
      </w:r>
    </w:p>
    <w:p w:rsidR="00000000" w:rsidRDefault="00000000">
      <w:pPr>
        <w:numPr>
          <w:ilvl w:val="0"/>
          <w:numId w:val="34"/>
        </w:numPr>
        <w:rPr>
          <w:rFonts w:ascii="Time New Roman" w:eastAsia="SimHei" w:hAnsi="Time New Roman" w:hint="eastAsia"/>
        </w:rPr>
      </w:pPr>
      <w:r>
        <w:rPr>
          <w:rFonts w:ascii="Time New Roman" w:eastAsia="SimHei" w:hAnsi="Time New Roman" w:hint="eastAsia"/>
        </w:rPr>
        <w:t>启动针对犯罪嫌疑人的惩戒和刑事诉讼程序，向受害人提供赔偿；以及</w:t>
      </w:r>
    </w:p>
    <w:p w:rsidR="00000000" w:rsidRDefault="00000000">
      <w:pPr>
        <w:numPr>
          <w:ilvl w:val="0"/>
          <w:numId w:val="34"/>
        </w:numPr>
        <w:rPr>
          <w:rFonts w:ascii="Time New Roman" w:eastAsia="SimHei" w:hAnsi="Time New Roman" w:hint="eastAsia"/>
        </w:rPr>
      </w:pPr>
      <w:r>
        <w:rPr>
          <w:rFonts w:ascii="Time New Roman" w:eastAsia="SimHei" w:hAnsi="Time New Roman" w:hint="eastAsia"/>
        </w:rPr>
        <w:t>就过度使用武力的犯罪性质，向警方提供培训。</w:t>
      </w:r>
    </w:p>
    <w:p w:rsidR="00000000" w:rsidRDefault="00000000">
      <w:pPr>
        <w:ind w:firstLine="510"/>
        <w:rPr>
          <w:rFonts w:hint="eastAsia"/>
        </w:rPr>
      </w:pPr>
      <w:r>
        <w:t>10.</w:t>
      </w:r>
      <w:r>
        <w:rPr>
          <w:rFonts w:hint="eastAsia"/>
        </w:rPr>
        <w:t xml:space="preserve">  </w:t>
      </w:r>
      <w:r>
        <w:rPr>
          <w:rFonts w:hint="eastAsia"/>
        </w:rPr>
        <w:t>委员会关切地注意到，不经本人同意对罗姆人和其他妇女实行绝育，而且不执行</w:t>
      </w:r>
      <w:r>
        <w:rPr>
          <w:rFonts w:hint="eastAsia"/>
        </w:rPr>
        <w:t>2005</w:t>
      </w:r>
      <w:r>
        <w:rPr>
          <w:rFonts w:hint="eastAsia"/>
        </w:rPr>
        <w:t>年监察员报告中的相关建议。委员会尤其感到遗憾的是，医生在这方面有太大的自由，而且没有对罪犯提起过刑事诉讼。委员会还担心，赔偿机制尚未建立，受害人还没有得到任何赔偿。</w:t>
      </w:r>
      <w:r>
        <w:rPr>
          <w:rFonts w:hint="eastAsia"/>
        </w:rPr>
        <w:t>(</w:t>
      </w:r>
      <w:r>
        <w:rPr>
          <w:rFonts w:hint="eastAsia"/>
        </w:rPr>
        <w:t>第二、三、七和二十六条</w:t>
      </w:r>
      <w:r>
        <w:rPr>
          <w:rFonts w:hint="eastAsia"/>
        </w:rPr>
        <w:t>)</w:t>
      </w:r>
    </w:p>
    <w:p w:rsidR="00000000" w:rsidRDefault="00000000">
      <w:pPr>
        <w:ind w:left="510" w:firstLine="510"/>
        <w:rPr>
          <w:rFonts w:ascii="Time New Roman" w:eastAsia="SimHei" w:hAnsi="Time New Roman" w:hint="eastAsia"/>
        </w:rPr>
      </w:pPr>
      <w:r>
        <w:rPr>
          <w:rFonts w:ascii="Time New Roman" w:eastAsia="SimHei" w:hAnsi="Time New Roman" w:hint="eastAsia"/>
        </w:rPr>
        <w:t>缔约国应当：</w:t>
      </w:r>
    </w:p>
    <w:p w:rsidR="00000000" w:rsidRDefault="00000000">
      <w:pPr>
        <w:numPr>
          <w:ilvl w:val="0"/>
          <w:numId w:val="36"/>
        </w:numPr>
        <w:rPr>
          <w:rFonts w:ascii="Time New Roman" w:eastAsia="SimHei" w:hAnsi="Time New Roman" w:hint="eastAsia"/>
        </w:rPr>
      </w:pPr>
      <w:r>
        <w:rPr>
          <w:rFonts w:ascii="Time New Roman" w:eastAsia="SimHei" w:hAnsi="Time New Roman" w:hint="eastAsia"/>
        </w:rPr>
        <w:t>执行</w:t>
      </w:r>
      <w:r>
        <w:rPr>
          <w:rFonts w:ascii="Time New Roman" w:eastAsia="SimHei" w:hAnsi="Time New Roman" w:hint="eastAsia"/>
          <w:b/>
        </w:rPr>
        <w:t>2005</w:t>
      </w:r>
      <w:r>
        <w:rPr>
          <w:rFonts w:ascii="Time New Roman" w:eastAsia="SimHei" w:hAnsi="Time New Roman" w:hint="eastAsia"/>
        </w:rPr>
        <w:t>年监察员报告中提出的建议；</w:t>
      </w:r>
    </w:p>
    <w:p w:rsidR="00000000" w:rsidRDefault="00000000">
      <w:pPr>
        <w:numPr>
          <w:ilvl w:val="0"/>
          <w:numId w:val="36"/>
        </w:numPr>
        <w:rPr>
          <w:rFonts w:ascii="Time New Roman" w:eastAsia="SimHei" w:hAnsi="Time New Roman" w:hint="eastAsia"/>
        </w:rPr>
      </w:pPr>
      <w:r>
        <w:rPr>
          <w:rFonts w:ascii="Time New Roman" w:eastAsia="SimHei" w:hAnsi="Time New Roman" w:hint="eastAsia"/>
        </w:rPr>
        <w:t>就病人享有的获得专业医疗人员和社工服务的人权提供强制性培训；</w:t>
      </w:r>
    </w:p>
    <w:p w:rsidR="00000000" w:rsidRDefault="00000000">
      <w:pPr>
        <w:numPr>
          <w:ilvl w:val="0"/>
          <w:numId w:val="36"/>
        </w:numPr>
        <w:rPr>
          <w:rFonts w:ascii="Time New Roman" w:eastAsia="SimHei" w:hAnsi="Time New Roman" w:hint="eastAsia"/>
        </w:rPr>
      </w:pPr>
      <w:r>
        <w:rPr>
          <w:rFonts w:ascii="Time New Roman" w:eastAsia="SimHei" w:hAnsi="Time New Roman" w:hint="eastAsia"/>
        </w:rPr>
        <w:t>向受害人提供赔偿和帮助，包括向希望向法院提起诉讼的人提供法律援助；</w:t>
      </w:r>
    </w:p>
    <w:p w:rsidR="00000000" w:rsidRDefault="00000000">
      <w:pPr>
        <w:numPr>
          <w:ilvl w:val="0"/>
          <w:numId w:val="36"/>
        </w:numPr>
        <w:rPr>
          <w:rFonts w:ascii="Time New Roman" w:eastAsia="SimHei" w:hAnsi="Time New Roman" w:hint="eastAsia"/>
        </w:rPr>
      </w:pPr>
      <w:r>
        <w:rPr>
          <w:rFonts w:ascii="Time New Roman" w:eastAsia="SimHei" w:hAnsi="Time New Roman" w:hint="eastAsia"/>
        </w:rPr>
        <w:t>启动针对犯罪嫌疑人的刑事诉讼程序；</w:t>
      </w:r>
    </w:p>
    <w:p w:rsidR="00000000" w:rsidRDefault="00000000">
      <w:pPr>
        <w:numPr>
          <w:ilvl w:val="0"/>
          <w:numId w:val="36"/>
        </w:numPr>
        <w:rPr>
          <w:rFonts w:ascii="Time New Roman" w:eastAsia="SimHei" w:hAnsi="Time New Roman" w:hint="eastAsia"/>
        </w:rPr>
      </w:pPr>
      <w:r>
        <w:rPr>
          <w:rFonts w:ascii="Time New Roman" w:eastAsia="SimHei" w:hAnsi="Time New Roman" w:hint="eastAsia"/>
        </w:rPr>
        <w:t>确保在提议实施绝育的所有案例中，都得到了完全知情情况下的同意，并采取必要措施，防止今后出现非自愿或强迫绝育，包括提供以罗姆语印刷的书面同意书，以及由熟练使用病人所用语言的人解释提议的医疗程序的性质。</w:t>
      </w:r>
    </w:p>
    <w:p w:rsidR="00000000" w:rsidRDefault="00000000">
      <w:pPr>
        <w:ind w:firstLine="510"/>
        <w:rPr>
          <w:rFonts w:hint="eastAsia"/>
        </w:rPr>
      </w:pPr>
      <w:r>
        <w:t>11.</w:t>
      </w:r>
      <w:r>
        <w:rPr>
          <w:rFonts w:hint="eastAsia"/>
        </w:rPr>
        <w:t xml:space="preserve">  </w:t>
      </w:r>
      <w:r>
        <w:rPr>
          <w:rFonts w:hint="eastAsia"/>
        </w:rPr>
        <w:t>委员会关切地注意到妇女参与政治生活较少，且没有明显进步。委员会忆及，普遍意识到妇女的权利还不足以保障男女在《公约》下的权力平等。</w:t>
      </w:r>
      <w:r>
        <w:rPr>
          <w:rFonts w:hint="eastAsia"/>
        </w:rPr>
        <w:t>(</w:t>
      </w:r>
      <w:r>
        <w:rPr>
          <w:rFonts w:hint="eastAsia"/>
        </w:rPr>
        <w:t>第三、二十五和二十六条</w:t>
      </w:r>
      <w:r>
        <w:rPr>
          <w:rFonts w:hint="eastAsia"/>
        </w:rPr>
        <w:t>)</w:t>
      </w:r>
    </w:p>
    <w:p w:rsidR="00000000" w:rsidRDefault="00000000">
      <w:pPr>
        <w:ind w:left="1020" w:firstLine="510"/>
        <w:rPr>
          <w:rFonts w:ascii="Time New Roman" w:eastAsia="SimHei" w:hAnsi="Time New Roman" w:hint="eastAsia"/>
        </w:rPr>
      </w:pPr>
      <w:r>
        <w:rPr>
          <w:rFonts w:ascii="Time New Roman" w:eastAsia="SimHei" w:hAnsi="Time New Roman" w:hint="eastAsia"/>
        </w:rPr>
        <w:t>缔约国应当根据第三条和第二十六条，采取坚定、积极和配套的措施，提高妇女在政府部门中的参与率。</w:t>
      </w:r>
    </w:p>
    <w:p w:rsidR="00000000" w:rsidRDefault="00000000">
      <w:pPr>
        <w:ind w:firstLine="510"/>
        <w:rPr>
          <w:rFonts w:hint="eastAsia"/>
        </w:rPr>
      </w:pPr>
      <w:r>
        <w:t>12.</w:t>
      </w:r>
      <w:r>
        <w:rPr>
          <w:rFonts w:hint="eastAsia"/>
        </w:rPr>
        <w:t xml:space="preserve">  </w:t>
      </w:r>
      <w:r>
        <w:rPr>
          <w:rFonts w:hint="eastAsia"/>
        </w:rPr>
        <w:t>委员会称赞缔约国为应对和打击贩卖妇女和儿童以及对他们的商业性剥削做出的努力，但仍然为这一现象和缺乏协调的反应机制感到担忧。</w:t>
      </w:r>
      <w:r>
        <w:rPr>
          <w:rFonts w:hint="eastAsia"/>
        </w:rPr>
        <w:t>(</w:t>
      </w:r>
      <w:r>
        <w:rPr>
          <w:rFonts w:hint="eastAsia"/>
        </w:rPr>
        <w:t>第三、八、二十四和二十六条</w:t>
      </w:r>
      <w:r>
        <w:rPr>
          <w:rFonts w:hint="eastAsia"/>
        </w:rPr>
        <w:t>)</w:t>
      </w:r>
    </w:p>
    <w:p w:rsidR="00000000" w:rsidRDefault="00000000">
      <w:pPr>
        <w:ind w:left="1020" w:firstLine="510"/>
        <w:rPr>
          <w:rFonts w:ascii="Time New Roman" w:eastAsia="SimHei" w:hAnsi="Time New Roman" w:hint="eastAsia"/>
        </w:rPr>
      </w:pPr>
      <w:r>
        <w:rPr>
          <w:rFonts w:ascii="Time New Roman" w:eastAsia="SimHei" w:hAnsi="Time New Roman" w:hint="eastAsia"/>
        </w:rPr>
        <w:t>缔约国应当通过建立一个协调的反应机制，并通过起诉和惩罚犯罪分子，继续加强措施打击贩卖妇女和儿童以及对他们的商业性剥削。还应当建立针对受害人的预防和恢复方案。</w:t>
      </w:r>
    </w:p>
    <w:p w:rsidR="00000000" w:rsidRDefault="00000000">
      <w:pPr>
        <w:ind w:firstLine="510"/>
        <w:rPr>
          <w:rFonts w:hint="eastAsia"/>
        </w:rPr>
      </w:pPr>
      <w:r>
        <w:t>13.</w:t>
      </w:r>
      <w:r>
        <w:rPr>
          <w:rFonts w:hint="eastAsia"/>
        </w:rPr>
        <w:t xml:space="preserve">  </w:t>
      </w:r>
      <w:r>
        <w:rPr>
          <w:rFonts w:hint="eastAsia"/>
        </w:rPr>
        <w:t>委员会表示关注继续使用封闭的束缚床</w:t>
      </w:r>
      <w:r>
        <w:rPr>
          <w:rFonts w:hint="eastAsia"/>
        </w:rPr>
        <w:t>(</w:t>
      </w:r>
      <w:r>
        <w:rPr>
          <w:rFonts w:hint="eastAsia"/>
        </w:rPr>
        <w:t>笼子</w:t>
      </w:r>
      <w:r>
        <w:rPr>
          <w:rFonts w:hint="eastAsia"/>
        </w:rPr>
        <w:t>/</w:t>
      </w:r>
      <w:r>
        <w:rPr>
          <w:rFonts w:hint="eastAsia"/>
        </w:rPr>
        <w:t>网状床</w:t>
      </w:r>
      <w:r>
        <w:rPr>
          <w:rFonts w:hint="eastAsia"/>
        </w:rPr>
        <w:t>)</w:t>
      </w:r>
      <w:r>
        <w:rPr>
          <w:rFonts w:hint="eastAsia"/>
        </w:rPr>
        <w:t>来束缚精神病患者，而且缔约国明确表示将不会完全停止使用网状床。委员会忆及，这种做法被认为是对被关在精神病院和相关机构的病人的一种不人道和有辱人格的待遇。</w:t>
      </w:r>
      <w:r>
        <w:rPr>
          <w:rFonts w:hint="eastAsia"/>
        </w:rPr>
        <w:t>(</w:t>
      </w:r>
      <w:r>
        <w:rPr>
          <w:rFonts w:hint="eastAsia"/>
        </w:rPr>
        <w:t>第七、九和十条</w:t>
      </w:r>
      <w:r>
        <w:rPr>
          <w:rFonts w:hint="eastAsia"/>
        </w:rPr>
        <w:t>)</w:t>
      </w:r>
    </w:p>
    <w:p w:rsidR="00000000" w:rsidRDefault="00000000">
      <w:pPr>
        <w:ind w:left="1020" w:firstLine="510"/>
        <w:rPr>
          <w:rFonts w:ascii="Time New Roman" w:eastAsia="SimHei" w:hAnsi="Time New Roman" w:hint="eastAsia"/>
        </w:rPr>
      </w:pPr>
      <w:r>
        <w:rPr>
          <w:rFonts w:ascii="Time New Roman" w:eastAsia="SimHei" w:hAnsi="Time New Roman" w:hint="eastAsia"/>
        </w:rPr>
        <w:t>缔约国应当采取坚定的措施，在精神病院和相关机构中彻底废除使用封闭的束缚床。委员会应当建立起考虑到联合国</w:t>
      </w:r>
      <w:r>
        <w:rPr>
          <w:rFonts w:ascii="Time New Roman" w:eastAsia="SimHei" w:hAnsi="Time New Roman"/>
        </w:rPr>
        <w:t>保护精神病患者和改善精神保健的原则</w:t>
      </w:r>
      <w:r>
        <w:rPr>
          <w:rFonts w:ascii="Time New Roman" w:eastAsia="SimHei" w:hAnsi="Time New Roman" w:hint="eastAsia"/>
        </w:rPr>
        <w:t>的监察制度。缔约国应当确保每一个被关在精神病院和相关机构的病人的尊严和人权得到尊重。</w:t>
      </w:r>
    </w:p>
    <w:p w:rsidR="00000000" w:rsidRDefault="00000000">
      <w:pPr>
        <w:ind w:firstLine="510"/>
        <w:rPr>
          <w:rFonts w:hint="eastAsia"/>
        </w:rPr>
      </w:pPr>
      <w:r>
        <w:t>14.</w:t>
      </w:r>
      <w:r>
        <w:rPr>
          <w:rFonts w:hint="eastAsia"/>
        </w:rPr>
        <w:t xml:space="preserve">  </w:t>
      </w:r>
      <w:r>
        <w:rPr>
          <w:rFonts w:hint="eastAsia"/>
        </w:rPr>
        <w:t>委员会对于仅仅因为有“精神疾病的迹象”就被关进精神病院感到担忧。委员会感到遗憾的是，法庭对精神病院接收病人情况的审查没有充分确保对病人意见的尊重，而监护权有时会指定给不与病人见面的律师。</w:t>
      </w:r>
      <w:r>
        <w:rPr>
          <w:rFonts w:hint="eastAsia"/>
        </w:rPr>
        <w:t>(</w:t>
      </w:r>
      <w:r>
        <w:rPr>
          <w:rFonts w:hint="eastAsia"/>
        </w:rPr>
        <w:t>第九条和第十六条</w:t>
      </w:r>
      <w:r>
        <w:rPr>
          <w:rFonts w:hint="eastAsia"/>
        </w:rPr>
        <w:t>)</w:t>
      </w:r>
    </w:p>
    <w:p w:rsidR="00000000" w:rsidRDefault="00000000">
      <w:pPr>
        <w:ind w:left="1020" w:firstLine="510"/>
        <w:rPr>
          <w:rFonts w:ascii="Time New Roman" w:eastAsia="SimHei" w:hAnsi="Time New Roman" w:hint="eastAsia"/>
        </w:rPr>
      </w:pPr>
      <w:r>
        <w:rPr>
          <w:rFonts w:ascii="Time New Roman" w:eastAsia="SimHei" w:hAnsi="Time New Roman" w:hint="eastAsia"/>
        </w:rPr>
        <w:t>缔约国应当确保不再对精神病人进行医学上不必要的关押，确保所有不具备完全法律行为能力的人被置于真正代表和捍卫他们愿望和利益的人的监护下，并确保在每一个案例中，对卫生机构接受和关押此类病人的合法性进行有效的司法审查。</w:t>
      </w:r>
    </w:p>
    <w:p w:rsidR="00000000" w:rsidRDefault="00000000">
      <w:pPr>
        <w:ind w:firstLine="510"/>
        <w:rPr>
          <w:rFonts w:hint="eastAsia"/>
        </w:rPr>
      </w:pPr>
      <w:r>
        <w:t>15.</w:t>
      </w:r>
      <w:r>
        <w:rPr>
          <w:rFonts w:hint="eastAsia"/>
        </w:rPr>
        <w:t xml:space="preserve">  </w:t>
      </w:r>
      <w:r>
        <w:rPr>
          <w:rFonts w:hint="eastAsia"/>
        </w:rPr>
        <w:t>委员会关切地注意到，根据外国人法第</w:t>
      </w:r>
      <w:r>
        <w:rPr>
          <w:rFonts w:hint="eastAsia"/>
        </w:rPr>
        <w:t>125</w:t>
      </w:r>
      <w:r>
        <w:rPr>
          <w:rFonts w:hint="eastAsia"/>
        </w:rPr>
        <w:t>章，等待被遣送的未满</w:t>
      </w:r>
      <w:r>
        <w:rPr>
          <w:rFonts w:hint="eastAsia"/>
        </w:rPr>
        <w:t>18</w:t>
      </w:r>
      <w:r>
        <w:rPr>
          <w:rFonts w:hint="eastAsia"/>
        </w:rPr>
        <w:t>岁的外国人最多可被拘留</w:t>
      </w:r>
      <w:r>
        <w:rPr>
          <w:rFonts w:hint="eastAsia"/>
        </w:rPr>
        <w:t>90</w:t>
      </w:r>
      <w:r>
        <w:rPr>
          <w:rFonts w:hint="eastAsia"/>
        </w:rPr>
        <w:t>天。</w:t>
      </w:r>
      <w:r>
        <w:rPr>
          <w:rFonts w:hint="eastAsia"/>
        </w:rPr>
        <w:t>(</w:t>
      </w:r>
      <w:r>
        <w:rPr>
          <w:rFonts w:hint="eastAsia"/>
        </w:rPr>
        <w:t>第十条和第二十四条</w:t>
      </w:r>
      <w:r>
        <w:rPr>
          <w:rFonts w:hint="eastAsia"/>
        </w:rPr>
        <w:t>)</w:t>
      </w:r>
    </w:p>
    <w:p w:rsidR="00000000" w:rsidRDefault="00000000">
      <w:pPr>
        <w:ind w:left="1020" w:firstLine="510"/>
        <w:rPr>
          <w:rFonts w:ascii="Time New Roman" w:eastAsia="SimHei" w:hAnsi="Time New Roman" w:hint="eastAsia"/>
        </w:rPr>
      </w:pPr>
      <w:r>
        <w:rPr>
          <w:rFonts w:ascii="Time New Roman" w:eastAsia="SimHei" w:hAnsi="Time New Roman" w:hint="eastAsia"/>
        </w:rPr>
        <w:t>缔约国应当减少等待被遣送的未满</w:t>
      </w:r>
      <w:r>
        <w:rPr>
          <w:rFonts w:ascii="Time New Roman" w:eastAsia="SimHei" w:hAnsi="Time New Roman" w:hint="eastAsia"/>
          <w:b/>
        </w:rPr>
        <w:t>18</w:t>
      </w:r>
      <w:r>
        <w:rPr>
          <w:rFonts w:ascii="Time New Roman" w:eastAsia="SimHei" w:hAnsi="Time New Roman" w:hint="eastAsia"/>
        </w:rPr>
        <w:t>岁的外国人的拘留期限，谨记《公约》第</w:t>
      </w:r>
      <w:r>
        <w:rPr>
          <w:rFonts w:ascii="Time New Roman" w:eastAsia="SimHei" w:hAnsi="Time New Roman" w:hint="eastAsia"/>
          <w:b/>
        </w:rPr>
        <w:t>24</w:t>
      </w:r>
      <w:r>
        <w:rPr>
          <w:rFonts w:ascii="Time New Roman" w:eastAsia="SimHei" w:hAnsi="Time New Roman" w:hint="eastAsia"/>
        </w:rPr>
        <w:t>条规定的采取措施无歧视地保护儿童的义务。</w:t>
      </w:r>
    </w:p>
    <w:p w:rsidR="00000000" w:rsidRDefault="00000000">
      <w:pPr>
        <w:ind w:firstLine="510"/>
        <w:rPr>
          <w:rFonts w:hint="eastAsia"/>
        </w:rPr>
      </w:pPr>
      <w:r>
        <w:t>16.</w:t>
      </w:r>
      <w:r>
        <w:rPr>
          <w:rFonts w:hint="eastAsia"/>
        </w:rPr>
        <w:t xml:space="preserve">  </w:t>
      </w:r>
      <w:r>
        <w:rPr>
          <w:rFonts w:hint="eastAsia"/>
        </w:rPr>
        <w:t>委员会为缔约国至今尚未通过反歧视法案感到遗憾。虽然采纳了相关方案，但是针对罗姆人的歧视在现实中仍然普遍存在，包括在劳动、就业、医疗和教育等领域。委员会关注罗姆人在获得住房方面受到歧视，以及歧视性驱逐屡禁不止，事实上的“贫民窟”持续存在。</w:t>
      </w:r>
      <w:r>
        <w:rPr>
          <w:rFonts w:hint="eastAsia"/>
        </w:rPr>
        <w:t>(</w:t>
      </w:r>
      <w:r>
        <w:rPr>
          <w:rFonts w:hint="eastAsia"/>
        </w:rPr>
        <w:t>第二、二十六和二十七条</w:t>
      </w:r>
      <w:r>
        <w:rPr>
          <w:rFonts w:hint="eastAsia"/>
        </w:rPr>
        <w:t>)</w:t>
      </w:r>
    </w:p>
    <w:p w:rsidR="00000000" w:rsidRDefault="00000000">
      <w:pPr>
        <w:ind w:left="510" w:firstLine="510"/>
        <w:rPr>
          <w:rFonts w:ascii="Time New Roman" w:eastAsia="SimHei" w:hAnsi="Time New Roman" w:hint="eastAsia"/>
        </w:rPr>
      </w:pPr>
      <w:r>
        <w:rPr>
          <w:rFonts w:ascii="Time New Roman" w:eastAsia="SimHei" w:hAnsi="Time New Roman" w:hint="eastAsia"/>
        </w:rPr>
        <w:t>缔约国应当采取有效措施打击歧视。委员会尤其应当：</w:t>
      </w:r>
    </w:p>
    <w:p w:rsidR="00000000" w:rsidRDefault="00000000">
      <w:pPr>
        <w:numPr>
          <w:ilvl w:val="0"/>
          <w:numId w:val="37"/>
        </w:numPr>
        <w:rPr>
          <w:rFonts w:ascii="Time New Roman" w:eastAsia="SimHei" w:hAnsi="Time New Roman" w:hint="eastAsia"/>
        </w:rPr>
      </w:pPr>
      <w:r>
        <w:rPr>
          <w:rFonts w:ascii="Time New Roman" w:eastAsia="SimHei" w:hAnsi="Time New Roman" w:hint="eastAsia"/>
        </w:rPr>
        <w:t>颁布全面的反歧视法，确保在所有领域和相关政策、方案中有效地保护种族歧视和相关歧视的受害者；</w:t>
      </w:r>
    </w:p>
    <w:p w:rsidR="00000000" w:rsidRDefault="00000000">
      <w:pPr>
        <w:numPr>
          <w:ilvl w:val="0"/>
          <w:numId w:val="37"/>
        </w:numPr>
        <w:rPr>
          <w:rFonts w:ascii="Time New Roman" w:eastAsia="SimHei" w:hAnsi="Time New Roman" w:hint="eastAsia"/>
        </w:rPr>
      </w:pPr>
      <w:r>
        <w:rPr>
          <w:rFonts w:ascii="Time New Roman" w:eastAsia="SimHei" w:hAnsi="Time New Roman" w:hint="eastAsia"/>
        </w:rPr>
        <w:t>为歧视受害者提供法律援助；</w:t>
      </w:r>
    </w:p>
    <w:p w:rsidR="00000000" w:rsidRDefault="00000000">
      <w:pPr>
        <w:numPr>
          <w:ilvl w:val="0"/>
          <w:numId w:val="37"/>
        </w:numPr>
        <w:rPr>
          <w:rFonts w:ascii="Time New Roman" w:eastAsia="SimHei" w:hAnsi="Time New Roman" w:hint="eastAsia"/>
        </w:rPr>
      </w:pPr>
      <w:r>
        <w:rPr>
          <w:rFonts w:ascii="Time New Roman" w:eastAsia="SimHei" w:hAnsi="Time New Roman" w:hint="eastAsia"/>
        </w:rPr>
        <w:t>建立有效的监控机制，采用指标和基准，确定是否达到了相关的反歧视目标；</w:t>
      </w:r>
    </w:p>
    <w:p w:rsidR="00000000" w:rsidRDefault="00000000">
      <w:pPr>
        <w:numPr>
          <w:ilvl w:val="0"/>
          <w:numId w:val="37"/>
        </w:numPr>
        <w:rPr>
          <w:rFonts w:ascii="Time New Roman" w:eastAsia="SimHei" w:hAnsi="Time New Roman" w:hint="eastAsia"/>
        </w:rPr>
      </w:pPr>
      <w:r>
        <w:rPr>
          <w:rFonts w:ascii="Time New Roman" w:eastAsia="SimHei" w:hAnsi="Time New Roman" w:hint="eastAsia"/>
        </w:rPr>
        <w:t>为罗姆人提供额外的培训，使他们能够胜任合适的工作，促进就业机会；</w:t>
      </w:r>
    </w:p>
    <w:p w:rsidR="00000000" w:rsidRDefault="00000000">
      <w:pPr>
        <w:numPr>
          <w:ilvl w:val="0"/>
          <w:numId w:val="37"/>
        </w:numPr>
        <w:rPr>
          <w:rFonts w:ascii="Time New Roman" w:eastAsia="SimHei" w:hAnsi="Time New Roman" w:hint="eastAsia"/>
        </w:rPr>
      </w:pPr>
      <w:r>
        <w:rPr>
          <w:rFonts w:ascii="Time New Roman" w:eastAsia="SimHei" w:hAnsi="Time New Roman" w:hint="eastAsia"/>
        </w:rPr>
        <w:t>防止不合理的驱逐，消除住房上对罗姆人社区的隔离；</w:t>
      </w:r>
    </w:p>
    <w:p w:rsidR="00000000" w:rsidRDefault="00000000">
      <w:pPr>
        <w:numPr>
          <w:ilvl w:val="0"/>
          <w:numId w:val="37"/>
        </w:numPr>
        <w:rPr>
          <w:rFonts w:ascii="Time New Roman" w:eastAsia="SimHei" w:hAnsi="Time New Roman" w:hint="eastAsia"/>
        </w:rPr>
      </w:pPr>
      <w:r>
        <w:rPr>
          <w:rFonts w:ascii="Time New Roman" w:eastAsia="SimHei" w:hAnsi="Time New Roman" w:hint="eastAsia"/>
        </w:rPr>
        <w:t>开展宣传活动，消除对罗姆人的偏见。</w:t>
      </w:r>
    </w:p>
    <w:p w:rsidR="00000000" w:rsidRDefault="00000000">
      <w:pPr>
        <w:ind w:firstLine="510"/>
        <w:rPr>
          <w:rFonts w:hint="eastAsia"/>
        </w:rPr>
      </w:pPr>
      <w:r>
        <w:t>17.</w:t>
      </w:r>
      <w:r>
        <w:rPr>
          <w:rFonts w:hint="eastAsia"/>
        </w:rPr>
        <w:t xml:space="preserve">  </w:t>
      </w:r>
      <w:r>
        <w:rPr>
          <w:rFonts w:hint="eastAsia"/>
        </w:rPr>
        <w:t>委员会赞成取消“特殊类学校”，但仍关注有太多的罗姆儿童就读了特殊课程班，这些课程似乎缺乏对罗姆儿童的文化身份和他们面临的具体困难的考虑。有报道说过高比例的罗姆儿童被迫离开家人，在福利院生活，委员会对此也表示关注。</w:t>
      </w:r>
      <w:r>
        <w:rPr>
          <w:rFonts w:hint="eastAsia"/>
        </w:rPr>
        <w:t>(</w:t>
      </w:r>
      <w:r>
        <w:rPr>
          <w:rFonts w:hint="eastAsia"/>
        </w:rPr>
        <w:t>第二十四、二十六和二十七条</w:t>
      </w:r>
      <w:r>
        <w:rPr>
          <w:rFonts w:hint="eastAsia"/>
        </w:rPr>
        <w:t>)</w:t>
      </w:r>
    </w:p>
    <w:p w:rsidR="00000000" w:rsidRDefault="00000000">
      <w:pPr>
        <w:ind w:left="1020" w:firstLine="510"/>
        <w:rPr>
          <w:rFonts w:ascii="Time New Roman" w:eastAsia="SimHei" w:hAnsi="Time New Roman" w:hint="eastAsia"/>
        </w:rPr>
      </w:pPr>
      <w:r>
        <w:rPr>
          <w:rFonts w:ascii="Time New Roman" w:eastAsia="SimHei" w:hAnsi="Time New Roman" w:hint="eastAsia"/>
        </w:rPr>
        <w:t>缔约国应当开展对罗姆人教育需求的评估，考虑他们的文化身份，并实施旨在结束学校中对罗姆人的隔离的方案。缔约国应当进一步确保罗姆儿童家庭生活的权利不被剥夺。</w:t>
      </w:r>
    </w:p>
    <w:p w:rsidR="00000000" w:rsidRDefault="00000000">
      <w:pPr>
        <w:ind w:firstLine="510"/>
        <w:rPr>
          <w:rFonts w:hint="eastAsia"/>
        </w:rPr>
      </w:pPr>
      <w:r>
        <w:t>18.</w:t>
      </w:r>
      <w:r>
        <w:rPr>
          <w:rFonts w:hint="eastAsia"/>
        </w:rPr>
        <w:t xml:space="preserve">  </w:t>
      </w:r>
      <w:r>
        <w:rPr>
          <w:rFonts w:hint="eastAsia"/>
        </w:rPr>
        <w:t>委员会关注有报道说在缔约国生活的非公民受到歧视，在融入捷克社会方面困难重重，而且经常不被告知他们的权利。</w:t>
      </w:r>
      <w:r>
        <w:rPr>
          <w:rFonts w:hint="eastAsia"/>
        </w:rPr>
        <w:t>(</w:t>
      </w:r>
      <w:r>
        <w:rPr>
          <w:rFonts w:hint="eastAsia"/>
        </w:rPr>
        <w:t>第二十六条</w:t>
      </w:r>
      <w:r>
        <w:rPr>
          <w:rFonts w:hint="eastAsia"/>
        </w:rPr>
        <w:t>)</w:t>
      </w:r>
    </w:p>
    <w:p w:rsidR="00000000" w:rsidRDefault="00000000">
      <w:pPr>
        <w:ind w:left="1020" w:firstLine="510"/>
        <w:rPr>
          <w:rFonts w:ascii="Time New Roman" w:eastAsia="SimHei" w:hAnsi="Time New Roman" w:hint="eastAsia"/>
        </w:rPr>
      </w:pPr>
      <w:r>
        <w:rPr>
          <w:rFonts w:ascii="Time New Roman" w:eastAsia="SimHei" w:hAnsi="Time New Roman" w:hint="eastAsia"/>
        </w:rPr>
        <w:t>缔约国应当建立机制，消除在缔约国生活的非公民实际享有《公约》保障的权利时的障碍。缔约国应当采取有效措施，促进公民和非公民在《公约》下的平等，包括通过以非公民能够理解的语言，向他们提供关于他们有权享有的权利和服务的信息。</w:t>
      </w:r>
    </w:p>
    <w:p w:rsidR="00000000" w:rsidRDefault="00000000">
      <w:pPr>
        <w:ind w:firstLine="510"/>
        <w:rPr>
          <w:rFonts w:hint="eastAsia"/>
        </w:rPr>
      </w:pPr>
      <w:r>
        <w:t>19.</w:t>
      </w:r>
      <w:r>
        <w:rPr>
          <w:rFonts w:hint="eastAsia"/>
        </w:rPr>
        <w:t xml:space="preserve">  </w:t>
      </w:r>
      <w:r>
        <w:rPr>
          <w:rFonts w:hint="eastAsia"/>
        </w:rPr>
        <w:t>委员会感到遗憾的是，缔约国缺乏一个框架和方案，以提高其国民对《公约》和《任择议定书》的认识。</w:t>
      </w:r>
      <w:r>
        <w:rPr>
          <w:rFonts w:hint="eastAsia"/>
        </w:rPr>
        <w:t>(</w:t>
      </w:r>
      <w:r>
        <w:rPr>
          <w:rFonts w:hint="eastAsia"/>
        </w:rPr>
        <w:t>第二条</w:t>
      </w:r>
      <w:r>
        <w:rPr>
          <w:rFonts w:hint="eastAsia"/>
        </w:rPr>
        <w:t>)</w:t>
      </w:r>
    </w:p>
    <w:p w:rsidR="00000000" w:rsidRDefault="00000000">
      <w:pPr>
        <w:ind w:left="1020" w:firstLine="510"/>
        <w:rPr>
          <w:rFonts w:ascii="Time New Roman" w:eastAsia="SimHei" w:hAnsi="Time New Roman" w:hint="eastAsia"/>
        </w:rPr>
      </w:pPr>
      <w:r>
        <w:rPr>
          <w:rFonts w:ascii="Time New Roman" w:eastAsia="SimHei" w:hAnsi="Time New Roman" w:hint="eastAsia"/>
        </w:rPr>
        <w:t>缔约国应当考虑颁布一项全面的人权教育行动计划，内容包括就《公约》和《任择议定书》保护的权利，针对公务员、教师、法官、律师和警察进行培训。</w:t>
      </w:r>
    </w:p>
    <w:p w:rsidR="00000000" w:rsidRDefault="00000000">
      <w:pPr>
        <w:ind w:firstLine="510"/>
        <w:rPr>
          <w:rFonts w:hint="eastAsia"/>
        </w:rPr>
      </w:pPr>
      <w:r>
        <w:rPr>
          <w:rFonts w:hint="eastAsia"/>
        </w:rPr>
        <w:t>20</w:t>
      </w:r>
      <w:r>
        <w:t>.</w:t>
      </w:r>
      <w:r>
        <w:rPr>
          <w:rFonts w:hint="eastAsia"/>
        </w:rPr>
        <w:t xml:space="preserve">  </w:t>
      </w:r>
      <w:r>
        <w:rPr>
          <w:rFonts w:hint="eastAsia"/>
        </w:rPr>
        <w:t>委员会把捷克共和国提交第三次定期报告的时间定为</w:t>
      </w:r>
      <w:r>
        <w:rPr>
          <w:rFonts w:hint="eastAsia"/>
        </w:rPr>
        <w:t>2011</w:t>
      </w:r>
      <w:r>
        <w:rPr>
          <w:rFonts w:hint="eastAsia"/>
        </w:rPr>
        <w:t>年</w:t>
      </w:r>
      <w:r>
        <w:rPr>
          <w:rFonts w:hint="eastAsia"/>
        </w:rPr>
        <w:t>8</w:t>
      </w:r>
      <w:r>
        <w:rPr>
          <w:rFonts w:hint="eastAsia"/>
        </w:rPr>
        <w:t>月</w:t>
      </w:r>
      <w:r>
        <w:rPr>
          <w:rFonts w:hint="eastAsia"/>
        </w:rPr>
        <w:t>1</w:t>
      </w:r>
      <w:r>
        <w:rPr>
          <w:rFonts w:hint="eastAsia"/>
        </w:rPr>
        <w:t>日。委员会要求缔约国向公众，以及司法、立法和行政机关散发第二次定期报告和此结论性意见。这些文件的复印件应当发放到大学、公立图书馆、议会图书馆，以及其他所有相关地点。委员会还要求向国内的民间社会和非政府组织发放第三次定期报告和这些结论性意见。希望能够向罗姆社区发放罗姆语的报告摘要和结论性意见。</w:t>
      </w:r>
    </w:p>
    <w:p w:rsidR="00000000" w:rsidRDefault="00000000">
      <w:pPr>
        <w:ind w:firstLine="510"/>
        <w:rPr>
          <w:rFonts w:hint="eastAsia"/>
        </w:rPr>
      </w:pPr>
      <w:r>
        <w:rPr>
          <w:rFonts w:hint="eastAsia"/>
        </w:rPr>
        <w:t>21</w:t>
      </w:r>
      <w:r>
        <w:t>.</w:t>
      </w:r>
      <w:r>
        <w:rPr>
          <w:rFonts w:hint="eastAsia"/>
        </w:rPr>
        <w:t xml:space="preserve">  </w:t>
      </w:r>
      <w:r>
        <w:rPr>
          <w:rFonts w:hint="eastAsia"/>
        </w:rPr>
        <w:t>根据委员会议事规则第</w:t>
      </w:r>
      <w:r>
        <w:rPr>
          <w:rFonts w:hint="eastAsia"/>
        </w:rPr>
        <w:t>71</w:t>
      </w:r>
      <w:r>
        <w:rPr>
          <w:rFonts w:hint="eastAsia"/>
        </w:rPr>
        <w:t>条第</w:t>
      </w:r>
      <w:r>
        <w:rPr>
          <w:rFonts w:hint="eastAsia"/>
        </w:rPr>
        <w:t>5</w:t>
      </w:r>
      <w:r>
        <w:rPr>
          <w:rFonts w:hint="eastAsia"/>
        </w:rPr>
        <w:t>款，缔约国应在一年之内提交资料，说明上文第</w:t>
      </w:r>
      <w:r>
        <w:rPr>
          <w:rFonts w:hint="eastAsia"/>
        </w:rPr>
        <w:t>9</w:t>
      </w:r>
      <w:r>
        <w:rPr>
          <w:rFonts w:hint="eastAsia"/>
        </w:rPr>
        <w:t>、</w:t>
      </w:r>
      <w:r>
        <w:rPr>
          <w:rFonts w:hint="eastAsia"/>
        </w:rPr>
        <w:t>14</w:t>
      </w:r>
      <w:r>
        <w:rPr>
          <w:rFonts w:hint="eastAsia"/>
        </w:rPr>
        <w:t>和</w:t>
      </w:r>
      <w:r>
        <w:rPr>
          <w:rFonts w:hint="eastAsia"/>
        </w:rPr>
        <w:t>16</w:t>
      </w:r>
      <w:r>
        <w:rPr>
          <w:rFonts w:hint="eastAsia"/>
        </w:rPr>
        <w:t>段中所载委员会建议的落实情况。委员会请缔约国在其下次的定期报告中提供资料，说明委员会所提其他建议以及整个《公约》的落实情况。</w:t>
      </w:r>
    </w:p>
    <w:p w:rsidR="00000000" w:rsidRDefault="00000000">
      <w:pPr>
        <w:ind w:firstLine="510"/>
        <w:rPr>
          <w:rFonts w:hint="eastAsia"/>
        </w:rPr>
      </w:pPr>
    </w:p>
    <w:p w:rsidR="00000000" w:rsidRDefault="00000000">
      <w:pPr>
        <w:ind w:firstLine="510"/>
        <w:rPr>
          <w:rFonts w:hint="eastAsia"/>
        </w:rPr>
      </w:pPr>
    </w:p>
    <w:p w:rsidR="00000000" w:rsidRDefault="00000000">
      <w:pPr>
        <w:ind w:firstLine="510"/>
      </w:pPr>
    </w:p>
    <w:p w:rsidR="00000000" w:rsidRDefault="00000000">
      <w:pPr>
        <w:jc w:val="center"/>
      </w:pPr>
      <w:r>
        <w:t>--  --  --  --  --</w:t>
      </w:r>
    </w:p>
    <w:p w:rsidR="00000000" w:rsidRDefault="00000000">
      <w:pPr>
        <w:ind w:firstLine="510"/>
      </w:pPr>
    </w:p>
    <w:sectPr w:rsidR="00000000">
      <w:headerReference w:type="even" r:id="rId7"/>
      <w:headerReference w:type="default" r:id="rId8"/>
      <w:headerReference w:type="first" r:id="rId9"/>
      <w:footerReference w:type="first" r:id="rId10"/>
      <w:endnotePr>
        <w:numFmt w:val="decimal"/>
      </w:endnotePr>
      <w:pgSz w:w="11907" w:h="16840" w:code="9"/>
      <w:pgMar w:top="1134" w:right="851" w:bottom="1985" w:left="1701" w:header="851" w:footer="1701"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noteText"/>
      <w:tabs>
        <w:tab w:val="left" w:pos="896"/>
      </w:tabs>
    </w:pPr>
  </w:p>
  <w:p w:rsidR="00000000" w:rsidRDefault="00000000">
    <w:pPr>
      <w:pStyle w:val="Footer"/>
      <w:rPr>
        <w:rFonts w:ascii="Courier" w:hAnsi="Courier"/>
        <w:lang w:eastAsia="zh-CN"/>
      </w:rPr>
    </w:pPr>
  </w:p>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07-43438 (C)</w:t>
          </w:r>
        </w:p>
      </w:tc>
      <w:tc>
        <w:tcPr>
          <w:tcW w:w="1050" w:type="dxa"/>
        </w:tcPr>
        <w:p w:rsidR="00000000" w:rsidRDefault="00000000">
          <w:pPr>
            <w:pStyle w:val="Footer"/>
          </w:pPr>
          <w:r>
            <w:t>160807</w:t>
          </w:r>
        </w:p>
      </w:tc>
      <w:tc>
        <w:tcPr>
          <w:tcW w:w="6061" w:type="dxa"/>
        </w:tcPr>
        <w:p w:rsidR="00000000" w:rsidRDefault="00000000">
          <w:pPr>
            <w:pStyle w:val="Footer"/>
          </w:pPr>
          <w:r>
            <w:t>1</w:t>
          </w:r>
          <w:r>
            <w:rPr>
              <w:rFonts w:hint="eastAsia"/>
              <w:lang w:eastAsia="zh-CN"/>
            </w:rPr>
            <w:t>7</w:t>
          </w:r>
          <w:r>
            <w:t>0807</w:t>
          </w:r>
        </w:p>
      </w:tc>
    </w:tr>
  </w:tbl>
  <w:p w:rsidR="00000000" w:rsidRDefault="00000000">
    <w:pPr>
      <w:pStyle w:val="Footer"/>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CCPR/C/CZE/CO/2</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pStyle w:val="Header"/>
      <w:rPr>
        <w:rStyle w:val="PageNumber"/>
      </w:rP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6634"/>
        <w:tab w:val="clear" w:pos="7144"/>
        <w:tab w:val="left" w:pos="7320"/>
      </w:tabs>
    </w:pPr>
    <w:r>
      <w:tab/>
    </w:r>
    <w:r>
      <w:tab/>
    </w:r>
    <w:r>
      <w:tab/>
      <w:t>CCPR/C/CZE/CO/2</w:t>
    </w:r>
  </w:p>
  <w:p w:rsidR="00000000" w:rsidRDefault="00000000">
    <w:pPr>
      <w:pStyle w:val="Header"/>
      <w:tabs>
        <w:tab w:val="clear" w:pos="6634"/>
        <w:tab w:val="clear" w:pos="7144"/>
        <w:tab w:val="left" w:pos="7320"/>
      </w:tabs>
      <w:rPr>
        <w:rStyle w:val="PageNumber"/>
      </w:rPr>
    </w:pP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rPr>
        <w:rStyle w:val="PageNumber"/>
      </w:rPr>
    </w:pPr>
  </w:p>
  <w:p w:rsidR="00000000"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1"/>
      <w:spacing w:after="160"/>
    </w:pPr>
    <w:r>
      <w:fldChar w:fldCharType="begin"/>
    </w:r>
    <w:r>
      <w:instrText xml:space="preserve">PRIVATE </w:instrText>
    </w:r>
    <w:r>
      <w:fldChar w:fldCharType="end"/>
    </w:r>
  </w:p>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5575"/>
      <w:gridCol w:w="2264"/>
    </w:tblGrid>
    <w:tr w:rsidR="00000000">
      <w:tblPrEx>
        <w:tblCellMar>
          <w:top w:w="0" w:type="dxa"/>
          <w:bottom w:w="0" w:type="dxa"/>
        </w:tblCellMar>
      </w:tblPrEx>
      <w:tc>
        <w:tcPr>
          <w:tcW w:w="1625" w:type="dxa"/>
          <w:tcBorders>
            <w:top w:val="nil"/>
            <w:left w:val="nil"/>
            <w:bottom w:val="single" w:sz="4" w:space="0" w:color="auto"/>
            <w:right w:val="nil"/>
          </w:tcBorders>
          <w:vAlign w:val="center"/>
        </w:tcPr>
        <w:p w:rsidR="00000000" w:rsidRDefault="00000000">
          <w:pPr>
            <w:pStyle w:val="1L"/>
            <w:framePr w:w="0" w:hRule="auto" w:hSpace="0" w:wrap="auto" w:vAnchor="margin" w:hAnchor="text" w:xAlign="left" w:yAlign="inline"/>
            <w:ind w:left="193"/>
            <w:rPr>
              <w:rFonts w:ascii="Time New Roman" w:hAnsi="Time New Roman"/>
              <w:b/>
            </w:rPr>
          </w:pPr>
          <w:r>
            <w:rPr>
              <w:rFonts w:hint="eastAsia"/>
            </w:rPr>
            <w:t>联合国</w:t>
          </w:r>
        </w:p>
      </w:tc>
      <w:tc>
        <w:tcPr>
          <w:tcW w:w="5575" w:type="dxa"/>
          <w:tcBorders>
            <w:top w:val="nil"/>
            <w:left w:val="nil"/>
            <w:bottom w:val="single" w:sz="4" w:space="0" w:color="auto"/>
            <w:right w:val="nil"/>
          </w:tcBorders>
        </w:tcPr>
        <w:p w:rsidR="00000000" w:rsidRDefault="00000000">
          <w:pPr>
            <w:pStyle w:val="1L"/>
            <w:framePr w:w="0" w:hRule="auto" w:hSpace="0" w:wrap="auto" w:vAnchor="margin" w:hAnchor="text" w:xAlign="left" w:yAlign="inline"/>
          </w:pPr>
        </w:p>
      </w:tc>
      <w:tc>
        <w:tcPr>
          <w:tcW w:w="2264" w:type="dxa"/>
          <w:tcBorders>
            <w:top w:val="nil"/>
            <w:left w:val="nil"/>
            <w:bottom w:val="single" w:sz="4" w:space="0" w:color="auto"/>
            <w:right w:val="nil"/>
          </w:tcBorders>
          <w:vAlign w:val="bottom"/>
        </w:tcPr>
        <w:p w:rsidR="00000000" w:rsidRDefault="00000000">
          <w:pPr>
            <w:pStyle w:val="1R1"/>
            <w:jc w:val="right"/>
            <w:rPr>
              <w:rFonts w:ascii="Arial" w:hAnsi="Arial" w:cs="Arial"/>
              <w:b w:val="0"/>
              <w:sz w:val="72"/>
            </w:rPr>
          </w:pPr>
          <w:r>
            <w:rPr>
              <w:rFonts w:ascii="Arial" w:hAnsi="Arial" w:cs="Arial"/>
              <w:sz w:val="72"/>
            </w:rPr>
            <w:t>CCPR</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000000">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3234459" r:id="rId2"/>
            </w:object>
          </w:r>
        </w:p>
      </w:tc>
      <w:tc>
        <w:tcPr>
          <w:tcW w:w="5575" w:type="dxa"/>
          <w:tcBorders>
            <w:top w:val="single" w:sz="4" w:space="0" w:color="auto"/>
            <w:left w:val="nil"/>
            <w:bottom w:val="single" w:sz="36" w:space="0" w:color="auto"/>
            <w:right w:val="nil"/>
          </w:tcBorders>
        </w:tcPr>
        <w:p w:rsidR="00000000" w:rsidRDefault="00000000">
          <w:pPr>
            <w:pStyle w:val="1m1"/>
            <w:rPr>
              <w:spacing w:val="30"/>
              <w:sz w:val="20"/>
            </w:rPr>
          </w:pPr>
        </w:p>
        <w:p w:rsidR="00000000" w:rsidRDefault="00000000">
          <w:pPr>
            <w:pStyle w:val="1m1"/>
            <w:spacing w:line="240" w:lineRule="auto"/>
            <w:rPr>
              <w:spacing w:val="4"/>
            </w:rPr>
          </w:pPr>
          <w:r>
            <w:rPr>
              <w:rFonts w:hint="eastAsia"/>
              <w:spacing w:val="4"/>
            </w:rPr>
            <w:t>公民权利和政治权利</w:t>
          </w:r>
        </w:p>
        <w:p w:rsidR="00000000" w:rsidRDefault="00000000">
          <w:pPr>
            <w:pStyle w:val="1m1"/>
            <w:spacing w:line="240" w:lineRule="auto"/>
            <w:rPr>
              <w:spacing w:val="4"/>
            </w:rPr>
          </w:pPr>
          <w:r>
            <w:rPr>
              <w:rFonts w:hint="eastAsia"/>
              <w:spacing w:val="4"/>
            </w:rPr>
            <w:t>国际公约</w:t>
          </w:r>
        </w:p>
        <w:p w:rsidR="00000000" w:rsidRDefault="00000000">
          <w:pPr>
            <w:pStyle w:val="1m1"/>
            <w:spacing w:before="360"/>
            <w:rPr>
              <w:spacing w:val="20"/>
            </w:rPr>
          </w:pPr>
        </w:p>
      </w:tc>
      <w:tc>
        <w:tcPr>
          <w:tcW w:w="2264" w:type="dxa"/>
          <w:tcBorders>
            <w:top w:val="single" w:sz="4" w:space="0" w:color="auto"/>
            <w:left w:val="nil"/>
            <w:bottom w:val="single" w:sz="36" w:space="0" w:color="auto"/>
            <w:right w:val="nil"/>
          </w:tcBorders>
        </w:tcPr>
        <w:p w:rsidR="00000000" w:rsidRDefault="00000000">
          <w:pPr>
            <w:pStyle w:val="Header"/>
            <w:rPr>
              <w:sz w:val="28"/>
              <w:lang w:eastAsia="zh-CN"/>
            </w:rPr>
          </w:pPr>
        </w:p>
        <w:p w:rsidR="00000000" w:rsidRDefault="00000000">
          <w:pPr>
            <w:pStyle w:val="Header"/>
          </w:pPr>
          <w:r>
            <w:t>Distr.</w:t>
          </w:r>
        </w:p>
        <w:p w:rsidR="00000000" w:rsidRDefault="00000000">
          <w:pPr>
            <w:pStyle w:val="Header"/>
          </w:pPr>
          <w:r>
            <w:t>GENERAL</w:t>
          </w:r>
        </w:p>
        <w:p w:rsidR="00000000" w:rsidRDefault="00000000">
          <w:pPr>
            <w:pStyle w:val="Header"/>
            <w:rPr>
              <w:sz w:val="12"/>
            </w:rPr>
          </w:pPr>
        </w:p>
        <w:p w:rsidR="00000000" w:rsidRDefault="00000000">
          <w:pPr>
            <w:pStyle w:val="Header"/>
          </w:pPr>
          <w:r>
            <w:t>CCPR/C/CZE/CO/2</w:t>
          </w:r>
        </w:p>
        <w:p w:rsidR="00000000" w:rsidRDefault="00000000">
          <w:pPr>
            <w:pStyle w:val="Header"/>
          </w:pPr>
          <w:r>
            <w:rPr>
              <w:rFonts w:hint="eastAsia"/>
              <w:lang w:eastAsia="zh-CN"/>
            </w:rPr>
            <w:t xml:space="preserve">9 </w:t>
          </w:r>
          <w:r>
            <w:rPr>
              <w:lang w:val="en-US" w:eastAsia="zh-CN"/>
            </w:rPr>
            <w:t>August</w:t>
          </w:r>
          <w:r>
            <w:t xml:space="preserve"> 2007</w:t>
          </w:r>
        </w:p>
        <w:p w:rsidR="00000000" w:rsidRDefault="00000000">
          <w:pPr>
            <w:pStyle w:val="Header"/>
            <w:rPr>
              <w:sz w:val="12"/>
            </w:rPr>
          </w:pPr>
        </w:p>
        <w:p w:rsidR="00000000" w:rsidRDefault="00000000">
          <w:pPr>
            <w:pStyle w:val="Header"/>
          </w:pPr>
          <w:r>
            <w:t>CHINESE</w:t>
          </w:r>
        </w:p>
        <w:p w:rsidR="00000000" w:rsidRDefault="00000000">
          <w:pPr>
            <w:pStyle w:val="Header"/>
            <w:tabs>
              <w:tab w:val="clear" w:pos="992"/>
              <w:tab w:val="left" w:pos="993"/>
            </w:tabs>
          </w:pPr>
          <w:r>
            <w:t>Original:</w:t>
          </w:r>
          <w:r>
            <w:tab/>
            <w:t>ENGLISH</w:t>
          </w:r>
        </w:p>
        <w:p w:rsidR="00000000" w:rsidRDefault="00000000">
          <w:pPr>
            <w:pStyle w:val="Header"/>
            <w:tabs>
              <w:tab w:val="clear" w:pos="992"/>
              <w:tab w:val="left" w:pos="993"/>
            </w:tabs>
          </w:pPr>
        </w:p>
        <w:p w:rsidR="00000000" w:rsidRDefault="00000000">
          <w:pPr>
            <w:pStyle w:val="Header"/>
          </w:pPr>
        </w:p>
      </w:tc>
    </w:tr>
    <w:tr w:rsidR="00000000">
      <w:tblPrEx>
        <w:tblCellMar>
          <w:top w:w="0" w:type="dxa"/>
          <w:bottom w:w="0" w:type="dxa"/>
        </w:tblCellMar>
      </w:tblPrEx>
      <w:trPr>
        <w:trHeight w:hRule="exact" w:val="284"/>
      </w:trPr>
      <w:tc>
        <w:tcPr>
          <w:tcW w:w="1625" w:type="dxa"/>
          <w:tcBorders>
            <w:top w:val="single" w:sz="36" w:space="0" w:color="auto"/>
            <w:left w:val="nil"/>
            <w:bottom w:val="nil"/>
            <w:right w:val="nil"/>
          </w:tcBorders>
          <w:noWrap/>
        </w:tcPr>
        <w:p w:rsidR="00000000" w:rsidRDefault="00000000">
          <w:pPr>
            <w:rPr>
              <w:sz w:val="16"/>
            </w:rPr>
          </w:pPr>
        </w:p>
      </w:tc>
      <w:tc>
        <w:tcPr>
          <w:tcW w:w="5575" w:type="dxa"/>
          <w:tcBorders>
            <w:top w:val="single" w:sz="36" w:space="0" w:color="auto"/>
            <w:left w:val="nil"/>
            <w:bottom w:val="nil"/>
            <w:right w:val="nil"/>
          </w:tcBorders>
          <w:noWrap/>
        </w:tcPr>
        <w:p w:rsidR="00000000" w:rsidRDefault="00000000">
          <w:pPr>
            <w:pStyle w:val="1m1"/>
            <w:spacing w:line="240" w:lineRule="auto"/>
            <w:rPr>
              <w:rFonts w:hint="eastAsia"/>
              <w:sz w:val="16"/>
            </w:rPr>
          </w:pPr>
        </w:p>
      </w:tc>
      <w:tc>
        <w:tcPr>
          <w:tcW w:w="2264" w:type="dxa"/>
          <w:tcBorders>
            <w:top w:val="single" w:sz="36" w:space="0" w:color="auto"/>
            <w:left w:val="nil"/>
            <w:bottom w:val="nil"/>
            <w:right w:val="nil"/>
          </w:tcBorders>
          <w:noWrap/>
        </w:tcPr>
        <w:p w:rsidR="00000000" w:rsidRDefault="00000000">
          <w:pPr>
            <w:rPr>
              <w:sz w:val="16"/>
            </w:rPr>
          </w:pPr>
        </w:p>
      </w:tc>
    </w:tr>
  </w:tbl>
  <w:p w:rsidR="00000000" w:rsidRDefault="00000000">
    <w:pPr>
      <w:pStyle w:val="a1"/>
    </w:pPr>
  </w:p>
  <w:p w:rsidR="00000000" w:rsidRDefault="00000000">
    <w:pPr>
      <w:pStyle w:val="a1"/>
    </w:pPr>
  </w:p>
  <w:p w:rsidR="00000000" w:rsidRDefault="00000000">
    <w:pPr>
      <w:pStyle w:val="a1"/>
    </w:pPr>
  </w:p>
  <w:p w:rsidR="00000000" w:rsidRDefault="00000000">
    <w:pPr>
      <w:pStyle w:val="a1"/>
    </w:pPr>
  </w:p>
  <w:p w:rsidR="00000000" w:rsidRDefault="00000000">
    <w:pPr>
      <w:pStyle w:val="a1"/>
    </w:pPr>
  </w:p>
  <w:p w:rsidR="00000000" w:rsidRDefault="00000000">
    <w:pPr>
      <w:pStyle w:val="a1"/>
    </w:pPr>
  </w:p>
  <w:p w:rsidR="00000000" w:rsidRDefault="00000000">
    <w:pPr>
      <w:pStyle w:val="a1"/>
    </w:pPr>
  </w:p>
  <w:p w:rsidR="00000000" w:rsidRDefault="00000000">
    <w:pPr>
      <w:pStyle w:val="a1"/>
    </w:pPr>
  </w:p>
  <w:p w:rsidR="00000000" w:rsidRDefault="00000000">
    <w:pPr>
      <w:pStyle w:val="a1"/>
    </w:pPr>
    <w:r>
      <w:fldChar w:fldCharType="begin"/>
    </w:r>
    <w:r>
      <w:instrText>ADVANCE \Y 252.30</w:instrText>
    </w:r>
    <w:r>
      <w:fldChar w:fldCharType="end"/>
    </w:r>
  </w:p>
  <w:p w:rsidR="00000000" w:rsidRDefault="00000000">
    <w:pPr>
      <w:pStyle w:val="a1"/>
    </w:pPr>
  </w:p>
  <w:p w:rsidR="00000000" w:rsidRDefault="00000000">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0562"/>
    <w:multiLevelType w:val="singleLevel"/>
    <w:tmpl w:val="F6A2464C"/>
    <w:lvl w:ilvl="0">
      <w:start w:val="1"/>
      <w:numFmt w:val="lowerLetter"/>
      <w:lvlText w:val="(%1)"/>
      <w:lvlJc w:val="left"/>
      <w:pPr>
        <w:tabs>
          <w:tab w:val="num" w:pos="1531"/>
        </w:tabs>
        <w:ind w:left="1531" w:hanging="510"/>
      </w:pPr>
      <w:rPr>
        <w:rFonts w:hint="eastAsia"/>
      </w:rPr>
    </w:lvl>
  </w:abstractNum>
  <w:abstractNum w:abstractNumId="1">
    <w:nsid w:val="12736C5C"/>
    <w:multiLevelType w:val="hybridMultilevel"/>
    <w:tmpl w:val="95740204"/>
    <w:lvl w:ilvl="0" w:tplc="CE620298">
      <w:start w:val="1"/>
      <w:numFmt w:val="lowerLetter"/>
      <w:lvlRestart w:val="0"/>
      <w:lvlText w:val="(%1)"/>
      <w:lvlJc w:val="right"/>
      <w:pPr>
        <w:tabs>
          <w:tab w:val="num" w:pos="1531"/>
        </w:tabs>
        <w:ind w:left="1531" w:hanging="170"/>
      </w:pPr>
      <w:rPr>
        <w:rFonts w:hint="eastAsia"/>
        <w:b w:val="0"/>
        <w:i w:val="0"/>
        <w:caps w:val="0"/>
        <w:strike w:val="0"/>
        <w:dstrike w:val="0"/>
        <w:shadow w:val="0"/>
        <w:emboss w:val="0"/>
        <w:imprint w:val="0"/>
        <w:vanish w:val="0"/>
        <w:effect w:val="none"/>
        <w:vertAlign w:val="baseli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22E44274"/>
    <w:multiLevelType w:val="hybridMultilevel"/>
    <w:tmpl w:val="AFD2814C"/>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9CD5CEA"/>
    <w:multiLevelType w:val="hybridMultilevel"/>
    <w:tmpl w:val="C9C2BA5A"/>
    <w:lvl w:ilvl="0" w:tplc="95D21D7E">
      <w:start w:val="20"/>
      <w:numFmt w:val="decimal"/>
      <w:lvlText w:val="%1."/>
      <w:lvlJc w:val="left"/>
      <w:pPr>
        <w:tabs>
          <w:tab w:val="num" w:pos="1635"/>
        </w:tabs>
        <w:ind w:left="1635" w:hanging="1125"/>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4">
    <w:nsid w:val="2A3F74D5"/>
    <w:multiLevelType w:val="hybridMultilevel"/>
    <w:tmpl w:val="1F7E83DC"/>
    <w:lvl w:ilvl="0" w:tplc="1B502386">
      <w:start w:val="1"/>
      <w:numFmt w:val="lowerLetter"/>
      <w:lvlText w:val="%1)"/>
      <w:lvlJc w:val="left"/>
      <w:pPr>
        <w:tabs>
          <w:tab w:val="num" w:pos="1380"/>
        </w:tabs>
        <w:ind w:left="1380" w:hanging="870"/>
      </w:pPr>
      <w:rPr>
        <w:rFonts w:hint="eastAsia"/>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5">
    <w:nsid w:val="2B0506C9"/>
    <w:multiLevelType w:val="hybridMultilevel"/>
    <w:tmpl w:val="2E9EE93C"/>
    <w:lvl w:ilvl="0" w:tplc="24AC6190">
      <w:start w:val="3"/>
      <w:numFmt w:val="upperLetter"/>
      <w:lvlText w:val="%1."/>
      <w:lvlJc w:val="left"/>
      <w:pPr>
        <w:tabs>
          <w:tab w:val="num" w:pos="2071"/>
        </w:tabs>
        <w:ind w:left="2071" w:hanging="540"/>
      </w:pPr>
      <w:rPr>
        <w:rFonts w:hint="default"/>
        <w:b/>
      </w:rPr>
    </w:lvl>
    <w:lvl w:ilvl="1" w:tplc="04090019" w:tentative="1">
      <w:start w:val="1"/>
      <w:numFmt w:val="ideographTraditional"/>
      <w:lvlText w:val="%2、"/>
      <w:lvlJc w:val="left"/>
      <w:pPr>
        <w:tabs>
          <w:tab w:val="num" w:pos="2491"/>
        </w:tabs>
        <w:ind w:left="2491" w:hanging="480"/>
      </w:pPr>
    </w:lvl>
    <w:lvl w:ilvl="2" w:tplc="0409001B" w:tentative="1">
      <w:start w:val="1"/>
      <w:numFmt w:val="lowerRoman"/>
      <w:lvlText w:val="%3."/>
      <w:lvlJc w:val="right"/>
      <w:pPr>
        <w:tabs>
          <w:tab w:val="num" w:pos="2971"/>
        </w:tabs>
        <w:ind w:left="2971" w:hanging="480"/>
      </w:pPr>
    </w:lvl>
    <w:lvl w:ilvl="3" w:tplc="0409000F" w:tentative="1">
      <w:start w:val="1"/>
      <w:numFmt w:val="decimal"/>
      <w:lvlText w:val="%4."/>
      <w:lvlJc w:val="left"/>
      <w:pPr>
        <w:tabs>
          <w:tab w:val="num" w:pos="3451"/>
        </w:tabs>
        <w:ind w:left="3451" w:hanging="480"/>
      </w:pPr>
    </w:lvl>
    <w:lvl w:ilvl="4" w:tplc="04090019" w:tentative="1">
      <w:start w:val="1"/>
      <w:numFmt w:val="ideographTraditional"/>
      <w:lvlText w:val="%5、"/>
      <w:lvlJc w:val="left"/>
      <w:pPr>
        <w:tabs>
          <w:tab w:val="num" w:pos="3931"/>
        </w:tabs>
        <w:ind w:left="3931" w:hanging="480"/>
      </w:pPr>
    </w:lvl>
    <w:lvl w:ilvl="5" w:tplc="0409001B" w:tentative="1">
      <w:start w:val="1"/>
      <w:numFmt w:val="lowerRoman"/>
      <w:lvlText w:val="%6."/>
      <w:lvlJc w:val="right"/>
      <w:pPr>
        <w:tabs>
          <w:tab w:val="num" w:pos="4411"/>
        </w:tabs>
        <w:ind w:left="4411" w:hanging="480"/>
      </w:pPr>
    </w:lvl>
    <w:lvl w:ilvl="6" w:tplc="0409000F" w:tentative="1">
      <w:start w:val="1"/>
      <w:numFmt w:val="decimal"/>
      <w:lvlText w:val="%7."/>
      <w:lvlJc w:val="left"/>
      <w:pPr>
        <w:tabs>
          <w:tab w:val="num" w:pos="4891"/>
        </w:tabs>
        <w:ind w:left="4891" w:hanging="480"/>
      </w:pPr>
    </w:lvl>
    <w:lvl w:ilvl="7" w:tplc="04090019" w:tentative="1">
      <w:start w:val="1"/>
      <w:numFmt w:val="ideographTraditional"/>
      <w:lvlText w:val="%8、"/>
      <w:lvlJc w:val="left"/>
      <w:pPr>
        <w:tabs>
          <w:tab w:val="num" w:pos="5371"/>
        </w:tabs>
        <w:ind w:left="5371" w:hanging="480"/>
      </w:pPr>
    </w:lvl>
    <w:lvl w:ilvl="8" w:tplc="0409001B" w:tentative="1">
      <w:start w:val="1"/>
      <w:numFmt w:val="lowerRoman"/>
      <w:lvlText w:val="%9."/>
      <w:lvlJc w:val="right"/>
      <w:pPr>
        <w:tabs>
          <w:tab w:val="num" w:pos="5851"/>
        </w:tabs>
        <w:ind w:left="5851" w:hanging="480"/>
      </w:pPr>
    </w:lvl>
  </w:abstractNum>
  <w:abstractNum w:abstractNumId="6">
    <w:nsid w:val="2BB92382"/>
    <w:multiLevelType w:val="hybridMultilevel"/>
    <w:tmpl w:val="ED265D8E"/>
    <w:lvl w:ilvl="0" w:tplc="CEE230C8">
      <w:start w:val="1"/>
      <w:numFmt w:val="lowerLetter"/>
      <w:lvlText w:val="%1)"/>
      <w:lvlJc w:val="left"/>
      <w:pPr>
        <w:tabs>
          <w:tab w:val="num" w:pos="2386"/>
        </w:tabs>
        <w:ind w:left="2386" w:hanging="855"/>
      </w:pPr>
      <w:rPr>
        <w:rFonts w:hint="eastAsia"/>
      </w:rPr>
    </w:lvl>
    <w:lvl w:ilvl="1" w:tplc="04090019" w:tentative="1">
      <w:start w:val="1"/>
      <w:numFmt w:val="ideographTraditional"/>
      <w:lvlText w:val="%2、"/>
      <w:lvlJc w:val="left"/>
      <w:pPr>
        <w:tabs>
          <w:tab w:val="num" w:pos="2491"/>
        </w:tabs>
        <w:ind w:left="2491" w:hanging="480"/>
      </w:pPr>
    </w:lvl>
    <w:lvl w:ilvl="2" w:tplc="0409001B" w:tentative="1">
      <w:start w:val="1"/>
      <w:numFmt w:val="lowerRoman"/>
      <w:lvlText w:val="%3."/>
      <w:lvlJc w:val="right"/>
      <w:pPr>
        <w:tabs>
          <w:tab w:val="num" w:pos="2971"/>
        </w:tabs>
        <w:ind w:left="2971" w:hanging="480"/>
      </w:pPr>
    </w:lvl>
    <w:lvl w:ilvl="3" w:tplc="0409000F" w:tentative="1">
      <w:start w:val="1"/>
      <w:numFmt w:val="decimal"/>
      <w:lvlText w:val="%4."/>
      <w:lvlJc w:val="left"/>
      <w:pPr>
        <w:tabs>
          <w:tab w:val="num" w:pos="3451"/>
        </w:tabs>
        <w:ind w:left="3451" w:hanging="480"/>
      </w:pPr>
    </w:lvl>
    <w:lvl w:ilvl="4" w:tplc="04090019" w:tentative="1">
      <w:start w:val="1"/>
      <w:numFmt w:val="ideographTraditional"/>
      <w:lvlText w:val="%5、"/>
      <w:lvlJc w:val="left"/>
      <w:pPr>
        <w:tabs>
          <w:tab w:val="num" w:pos="3931"/>
        </w:tabs>
        <w:ind w:left="3931" w:hanging="480"/>
      </w:pPr>
    </w:lvl>
    <w:lvl w:ilvl="5" w:tplc="0409001B" w:tentative="1">
      <w:start w:val="1"/>
      <w:numFmt w:val="lowerRoman"/>
      <w:lvlText w:val="%6."/>
      <w:lvlJc w:val="right"/>
      <w:pPr>
        <w:tabs>
          <w:tab w:val="num" w:pos="4411"/>
        </w:tabs>
        <w:ind w:left="4411" w:hanging="480"/>
      </w:pPr>
    </w:lvl>
    <w:lvl w:ilvl="6" w:tplc="0409000F" w:tentative="1">
      <w:start w:val="1"/>
      <w:numFmt w:val="decimal"/>
      <w:lvlText w:val="%7."/>
      <w:lvlJc w:val="left"/>
      <w:pPr>
        <w:tabs>
          <w:tab w:val="num" w:pos="4891"/>
        </w:tabs>
        <w:ind w:left="4891" w:hanging="480"/>
      </w:pPr>
    </w:lvl>
    <w:lvl w:ilvl="7" w:tplc="04090019" w:tentative="1">
      <w:start w:val="1"/>
      <w:numFmt w:val="ideographTraditional"/>
      <w:lvlText w:val="%8、"/>
      <w:lvlJc w:val="left"/>
      <w:pPr>
        <w:tabs>
          <w:tab w:val="num" w:pos="5371"/>
        </w:tabs>
        <w:ind w:left="5371" w:hanging="480"/>
      </w:pPr>
    </w:lvl>
    <w:lvl w:ilvl="8" w:tplc="0409001B" w:tentative="1">
      <w:start w:val="1"/>
      <w:numFmt w:val="lowerRoman"/>
      <w:lvlText w:val="%9."/>
      <w:lvlJc w:val="right"/>
      <w:pPr>
        <w:tabs>
          <w:tab w:val="num" w:pos="5851"/>
        </w:tabs>
        <w:ind w:left="5851" w:hanging="480"/>
      </w:pPr>
    </w:lvl>
  </w:abstractNum>
  <w:abstractNum w:abstractNumId="7">
    <w:nsid w:val="32D95CC5"/>
    <w:multiLevelType w:val="singleLevel"/>
    <w:tmpl w:val="7E1C8126"/>
    <w:lvl w:ilvl="0">
      <w:start w:val="1"/>
      <w:numFmt w:val="lowerLetter"/>
      <w:lvlText w:val="(%1)"/>
      <w:lvlJc w:val="left"/>
      <w:pPr>
        <w:tabs>
          <w:tab w:val="num" w:pos="1446"/>
        </w:tabs>
        <w:ind w:left="1446" w:hanging="425"/>
      </w:pPr>
      <w:rPr>
        <w:rFonts w:ascii="Times New Roman" w:hAnsi="Times New Roman" w:hint="default"/>
        <w:b w:val="0"/>
        <w:i w:val="0"/>
        <w:sz w:val="24"/>
      </w:rPr>
    </w:lvl>
  </w:abstractNum>
  <w:abstractNum w:abstractNumId="8">
    <w:nsid w:val="33BF5892"/>
    <w:multiLevelType w:val="singleLevel"/>
    <w:tmpl w:val="2892C674"/>
    <w:lvl w:ilvl="0">
      <w:start w:val="1"/>
      <w:numFmt w:val="chineseCountingThousand"/>
      <w:lvlText w:val="(%1)"/>
      <w:lvlJc w:val="left"/>
      <w:pPr>
        <w:tabs>
          <w:tab w:val="num" w:pos="1021"/>
        </w:tabs>
        <w:ind w:left="1021" w:hanging="511"/>
      </w:pPr>
      <w:rPr>
        <w:rFonts w:hint="eastAsia"/>
        <w:sz w:val="21"/>
      </w:rPr>
    </w:lvl>
  </w:abstractNum>
  <w:abstractNum w:abstractNumId="9">
    <w:nsid w:val="37295D33"/>
    <w:multiLevelType w:val="hybridMultilevel"/>
    <w:tmpl w:val="ABD0D67C"/>
    <w:lvl w:ilvl="0" w:tplc="710672DA">
      <w:start w:val="1"/>
      <w:numFmt w:val="lowerLetter"/>
      <w:lvlText w:val="%1)"/>
      <w:lvlJc w:val="left"/>
      <w:pPr>
        <w:tabs>
          <w:tab w:val="num" w:pos="1381"/>
        </w:tabs>
        <w:ind w:left="1381" w:hanging="360"/>
      </w:pPr>
      <w:rPr>
        <w:rFonts w:hint="eastAsia"/>
      </w:rPr>
    </w:lvl>
    <w:lvl w:ilvl="1" w:tplc="04090019" w:tentative="1">
      <w:start w:val="1"/>
      <w:numFmt w:val="ideographTraditional"/>
      <w:lvlText w:val="%2、"/>
      <w:lvlJc w:val="left"/>
      <w:pPr>
        <w:tabs>
          <w:tab w:val="num" w:pos="1981"/>
        </w:tabs>
        <w:ind w:left="1981" w:hanging="480"/>
      </w:pPr>
    </w:lvl>
    <w:lvl w:ilvl="2" w:tplc="0409001B" w:tentative="1">
      <w:start w:val="1"/>
      <w:numFmt w:val="lowerRoman"/>
      <w:lvlText w:val="%3."/>
      <w:lvlJc w:val="right"/>
      <w:pPr>
        <w:tabs>
          <w:tab w:val="num" w:pos="2461"/>
        </w:tabs>
        <w:ind w:left="2461" w:hanging="480"/>
      </w:p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10">
    <w:nsid w:val="39D90235"/>
    <w:multiLevelType w:val="singleLevel"/>
    <w:tmpl w:val="2910B574"/>
    <w:lvl w:ilvl="0">
      <w:start w:val="1"/>
      <w:numFmt w:val="bullet"/>
      <w:pStyle w:val="a"/>
      <w:lvlText w:val=""/>
      <w:lvlJc w:val="left"/>
      <w:pPr>
        <w:tabs>
          <w:tab w:val="num" w:pos="510"/>
        </w:tabs>
        <w:ind w:left="510" w:hanging="510"/>
      </w:pPr>
      <w:rPr>
        <w:rFonts w:ascii="Symbol" w:hAnsi="Symbol" w:hint="default"/>
      </w:rPr>
    </w:lvl>
  </w:abstractNum>
  <w:abstractNum w:abstractNumId="11">
    <w:nsid w:val="3B905626"/>
    <w:multiLevelType w:val="hybridMultilevel"/>
    <w:tmpl w:val="498A99C6"/>
    <w:lvl w:ilvl="0" w:tplc="CE620298">
      <w:start w:val="1"/>
      <w:numFmt w:val="lowerLetter"/>
      <w:lvlRestart w:val="0"/>
      <w:lvlText w:val="(%1)"/>
      <w:lvlJc w:val="right"/>
      <w:pPr>
        <w:tabs>
          <w:tab w:val="num" w:pos="1531"/>
        </w:tabs>
        <w:ind w:left="1531" w:hanging="170"/>
      </w:pPr>
      <w:rPr>
        <w:rFonts w:hint="eastAsia"/>
        <w:b w:val="0"/>
        <w:i w:val="0"/>
        <w:caps w:val="0"/>
        <w:strike w:val="0"/>
        <w:dstrike w:val="0"/>
        <w:shadow w:val="0"/>
        <w:emboss w:val="0"/>
        <w:imprint w:val="0"/>
        <w:vanish w:val="0"/>
        <w:effect w:val="none"/>
        <w:vertAlign w:val="baseli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3CC7696C"/>
    <w:multiLevelType w:val="hybridMultilevel"/>
    <w:tmpl w:val="40A0A85A"/>
    <w:lvl w:ilvl="0" w:tplc="CE620298">
      <w:start w:val="1"/>
      <w:numFmt w:val="lowerLetter"/>
      <w:lvlRestart w:val="0"/>
      <w:lvlText w:val="(%1)"/>
      <w:lvlJc w:val="right"/>
      <w:pPr>
        <w:tabs>
          <w:tab w:val="num" w:pos="1531"/>
        </w:tabs>
        <w:ind w:left="1531" w:hanging="170"/>
      </w:pPr>
      <w:rPr>
        <w:rFonts w:hint="eastAsia"/>
        <w:b w:val="0"/>
        <w:i w:val="0"/>
        <w:caps w:val="0"/>
        <w:strike w:val="0"/>
        <w:dstrike w:val="0"/>
        <w:shadow w:val="0"/>
        <w:emboss w:val="0"/>
        <w:imprint w:val="0"/>
        <w:vanish w:val="0"/>
        <w:effect w:val="none"/>
        <w:vertAlign w:val="baseli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507317FD"/>
    <w:multiLevelType w:val="singleLevel"/>
    <w:tmpl w:val="4540114E"/>
    <w:lvl w:ilvl="0">
      <w:start w:val="1"/>
      <w:numFmt w:val="bullet"/>
      <w:pStyle w:val="a0"/>
      <w:lvlText w:val=""/>
      <w:lvlJc w:val="left"/>
      <w:pPr>
        <w:tabs>
          <w:tab w:val="num" w:pos="510"/>
        </w:tabs>
        <w:ind w:left="510" w:hanging="510"/>
      </w:pPr>
      <w:rPr>
        <w:rFonts w:ascii="Symbol" w:hAnsi="Symbol" w:hint="default"/>
        <w:sz w:val="16"/>
      </w:rPr>
    </w:lvl>
  </w:abstractNum>
  <w:abstractNum w:abstractNumId="14">
    <w:nsid w:val="75BD1F05"/>
    <w:multiLevelType w:val="hybridMultilevel"/>
    <w:tmpl w:val="607E46B2"/>
    <w:lvl w:ilvl="0" w:tplc="CE620298">
      <w:start w:val="1"/>
      <w:numFmt w:val="lowerLetter"/>
      <w:lvlRestart w:val="0"/>
      <w:lvlText w:val="(%1)"/>
      <w:lvlJc w:val="right"/>
      <w:pPr>
        <w:tabs>
          <w:tab w:val="num" w:pos="2041"/>
        </w:tabs>
        <w:ind w:left="2041" w:hanging="170"/>
      </w:pPr>
      <w:rPr>
        <w:rFonts w:hint="eastAsia"/>
        <w:b w:val="0"/>
        <w:i w:val="0"/>
        <w:caps w:val="0"/>
        <w:strike w:val="0"/>
        <w:dstrike w:val="0"/>
        <w:shadow w:val="0"/>
        <w:emboss w:val="0"/>
        <w:imprint w:val="0"/>
        <w:vanish w:val="0"/>
        <w:effect w:val="none"/>
        <w:vertAlign w:val="baseline"/>
      </w:rPr>
    </w:lvl>
    <w:lvl w:ilvl="1" w:tplc="04090019">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15">
    <w:nsid w:val="77350EFD"/>
    <w:multiLevelType w:val="hybridMultilevel"/>
    <w:tmpl w:val="B90A2736"/>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13"/>
  </w:num>
  <w:num w:numId="3">
    <w:abstractNumId w:val="10"/>
  </w:num>
  <w:num w:numId="4">
    <w:abstractNumId w:val="7"/>
  </w:num>
  <w:num w:numId="5">
    <w:abstractNumId w:val="8"/>
  </w:num>
  <w:num w:numId="6">
    <w:abstractNumId w:val="13"/>
  </w:num>
  <w:num w:numId="7">
    <w:abstractNumId w:val="10"/>
  </w:num>
  <w:num w:numId="8">
    <w:abstractNumId w:val="7"/>
  </w:num>
  <w:num w:numId="9">
    <w:abstractNumId w:val="8"/>
  </w:num>
  <w:num w:numId="10">
    <w:abstractNumId w:val="13"/>
  </w:num>
  <w:num w:numId="11">
    <w:abstractNumId w:val="10"/>
  </w:num>
  <w:num w:numId="12">
    <w:abstractNumId w:val="7"/>
  </w:num>
  <w:num w:numId="13">
    <w:abstractNumId w:val="8"/>
  </w:num>
  <w:num w:numId="14">
    <w:abstractNumId w:val="13"/>
  </w:num>
  <w:num w:numId="15">
    <w:abstractNumId w:val="10"/>
  </w:num>
  <w:num w:numId="16">
    <w:abstractNumId w:val="7"/>
  </w:num>
  <w:num w:numId="17">
    <w:abstractNumId w:val="8"/>
  </w:num>
  <w:num w:numId="18">
    <w:abstractNumId w:val="13"/>
  </w:num>
  <w:num w:numId="19">
    <w:abstractNumId w:val="10"/>
  </w:num>
  <w:num w:numId="20">
    <w:abstractNumId w:val="0"/>
  </w:num>
  <w:num w:numId="21">
    <w:abstractNumId w:val="13"/>
  </w:num>
  <w:num w:numId="22">
    <w:abstractNumId w:val="10"/>
  </w:num>
  <w:num w:numId="23">
    <w:abstractNumId w:val="15"/>
  </w:num>
  <w:num w:numId="24">
    <w:abstractNumId w:val="2"/>
  </w:num>
  <w:num w:numId="25">
    <w:abstractNumId w:val="2"/>
  </w:num>
  <w:num w:numId="26">
    <w:abstractNumId w:val="2"/>
  </w:num>
  <w:num w:numId="27">
    <w:abstractNumId w:val="13"/>
  </w:num>
  <w:num w:numId="28">
    <w:abstractNumId w:val="10"/>
  </w:num>
  <w:num w:numId="29">
    <w:abstractNumId w:val="5"/>
  </w:num>
  <w:num w:numId="30">
    <w:abstractNumId w:val="6"/>
  </w:num>
  <w:num w:numId="31">
    <w:abstractNumId w:val="9"/>
  </w:num>
  <w:num w:numId="32">
    <w:abstractNumId w:val="4"/>
  </w:num>
  <w:num w:numId="33">
    <w:abstractNumId w:val="3"/>
  </w:num>
  <w:num w:numId="34">
    <w:abstractNumId w:val="11"/>
  </w:num>
  <w:num w:numId="35">
    <w:abstractNumId w:val="14"/>
  </w:num>
  <w:num w:numId="36">
    <w:abstractNumId w:val="12"/>
  </w:num>
  <w:num w:numId="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paragraph" w:styleId="Heading8">
    <w:name w:val="heading 8"/>
    <w:basedOn w:val="Normal"/>
    <w:next w:val="Normal"/>
    <w:qFormat/>
    <w:pPr>
      <w:keepNext/>
      <w:keepLines/>
      <w:spacing w:after="160" w:line="288" w:lineRule="auto"/>
      <w:outlineLvl w:val="7"/>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semiHidden/>
    <w:pPr>
      <w:overflowPunct/>
      <w:spacing w:line="240" w:lineRule="auto"/>
      <w:jc w:val="left"/>
    </w:pPr>
    <w:rPr>
      <w:rFonts w:eastAsia="KaiTi_GB2312"/>
      <w:spacing w:val="0"/>
      <w:lang w:val="en-GB" w:eastAsia="en-US"/>
    </w:rPr>
  </w:style>
  <w:style w:type="character" w:styleId="PageNumber">
    <w:name w:val="page number"/>
    <w:semiHidden/>
    <w:rPr>
      <w:rFonts w:ascii="Times New Roman" w:hAnsi="Times New Roman"/>
      <w:spacing w:val="0"/>
      <w:kern w:val="0"/>
      <w:sz w:val="24"/>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NormalIndent">
    <w:name w:val="Normal Indent"/>
    <w:basedOn w:val="Normal"/>
    <w:semiHidden/>
    <w:pPr>
      <w:widowControl w:val="0"/>
      <w:ind w:firstLine="510"/>
    </w:pPr>
  </w:style>
  <w:style w:type="paragraph" w:customStyle="1" w:styleId="a2">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1m2">
    <w:name w:val="页眉1m2"/>
    <w:basedOn w:val="Normal"/>
    <w:pPr>
      <w:suppressAutoHyphens/>
      <w:spacing w:line="360" w:lineRule="auto"/>
    </w:pPr>
    <w:rPr>
      <w:rFonts w:ascii="SimHei" w:eastAsia="SimHei"/>
      <w:spacing w:val="60"/>
      <w:sz w:val="40"/>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3">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4">
    <w:name w:val="横眉"/>
    <w:basedOn w:val="Header"/>
    <w:autoRedefine/>
    <w:pPr>
      <w:widowControl w:val="0"/>
      <w:snapToGrid/>
      <w:spacing w:line="160" w:lineRule="exact"/>
    </w:pPr>
    <w:rPr>
      <w:snapToGrid/>
    </w:rPr>
  </w:style>
  <w:style w:type="paragraph" w:customStyle="1" w:styleId="a0">
    <w:name w:val="悬挂符号－"/>
    <w:basedOn w:val="a5"/>
    <w:pPr>
      <w:numPr>
        <w:numId w:val="27"/>
      </w:numPr>
      <w:tabs>
        <w:tab w:val="clear" w:pos="510"/>
      </w:tabs>
    </w:pPr>
  </w:style>
  <w:style w:type="paragraph" w:customStyle="1" w:styleId="a5">
    <w:name w:val="悬挂"/>
    <w:basedOn w:val="Normal"/>
    <w:pPr>
      <w:ind w:left="1531" w:hanging="510"/>
    </w:pPr>
  </w:style>
  <w:style w:type="paragraph" w:styleId="BodyText">
    <w:name w:val="Body Text"/>
    <w:basedOn w:val="Normal"/>
    <w:semiHidden/>
    <w:pPr>
      <w:widowControl w:val="0"/>
    </w:pPr>
    <w:rPr>
      <w:snapToGrid/>
    </w:rPr>
  </w:style>
  <w:style w:type="paragraph" w:customStyle="1" w:styleId="a">
    <w:name w:val="悬挂符号●"/>
    <w:basedOn w:val="Normal"/>
    <w:pPr>
      <w:numPr>
        <w:numId w:val="28"/>
      </w:numPr>
      <w:tabs>
        <w:tab w:val="clear" w:pos="510"/>
      </w:tabs>
    </w:p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cdL1">
    <w:name w:val="cdL1"/>
    <w:basedOn w:val="Normal"/>
    <w:pPr>
      <w:widowControl w:val="0"/>
      <w:tabs>
        <w:tab w:val="left" w:pos="510"/>
      </w:tabs>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7">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8">
    <w:name w:val="楷体"/>
    <w:basedOn w:val="Normal"/>
    <w:pPr>
      <w:widowControl w:val="0"/>
    </w:pPr>
    <w:rPr>
      <w:rFonts w:eastAsia="KaiTi_GB2312"/>
      <w:snapToGrid/>
      <w:spacing w:val="0"/>
    </w:rPr>
  </w:style>
  <w:style w:type="paragraph" w:customStyle="1" w:styleId="a9">
    <w:name w:val="居中页眉"/>
    <w:basedOn w:val="Header"/>
    <w:pPr>
      <w:widowControl w:val="0"/>
      <w:snapToGrid/>
      <w:spacing w:line="288" w:lineRule="auto"/>
    </w:pPr>
    <w:rPr>
      <w:snapToGrid/>
    </w:rPr>
  </w:style>
  <w:style w:type="paragraph" w:customStyle="1" w:styleId="aa">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b">
    <w:name w:val="表中文字"/>
    <w:basedOn w:val="Normal"/>
    <w:pPr>
      <w:spacing w:line="320" w:lineRule="exact"/>
    </w:pPr>
    <w:rPr>
      <w:spacing w:val="0"/>
      <w:sz w:val="21"/>
    </w:rPr>
  </w:style>
  <w:style w:type="paragraph" w:customStyle="1" w:styleId="ac">
    <w:name w:val="正文缩进"/>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20915;&#2345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CCPR-决定</Template>
  <TotalTime>0</TotalTime>
  <Pages>6</Pages>
  <Words>536</Words>
  <Characters>3060</Characters>
  <Application>Microsoft Office Word</Application>
  <DocSecurity>4</DocSecurity>
  <Lines>25</Lines>
  <Paragraphs>6</Paragraphs>
  <ScaleCrop>false</ScaleCrop>
  <HeadingPairs>
    <vt:vector size="4" baseType="variant">
      <vt:variant>
        <vt:lpstr>题目</vt:lpstr>
      </vt:variant>
      <vt:variant>
        <vt:i4>1</vt:i4>
      </vt:variant>
      <vt:variant>
        <vt:lpstr>标题</vt:lpstr>
      </vt:variant>
      <vt:variant>
        <vt:i4>6</vt:i4>
      </vt:variant>
    </vt:vector>
  </HeadingPairs>
  <TitlesOfParts>
    <vt:vector size="7" baseType="lpstr">
      <vt:lpstr>人权事务委员会</vt:lpstr>
      <vt:lpstr>    审议缔约国根据《公约》第四十条提交的报告</vt:lpstr>
      <vt:lpstr>        人权事务委员会的结论性意见</vt:lpstr>
      <vt:lpstr>        捷克共和国</vt:lpstr>
      <vt:lpstr>        A.  导  言</vt:lpstr>
      <vt:lpstr>        B.  积极方面</vt:lpstr>
      <vt:lpstr>        C.  主要的关注问题和建议</vt:lpstr>
    </vt:vector>
  </TitlesOfParts>
  <Company>Chinese Unit - GE</Company>
  <LinksUpToDate>false</LinksUpToDate>
  <CharactersWithSpaces>3757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人权事务委员会</dc:title>
  <dc:subject/>
  <dc:creator>WUJS</dc:creator>
  <cp:keywords/>
  <dc:description>公民权利和政治权利国际公约</dc:description>
  <cp:lastModifiedBy>TIAN</cp:lastModifiedBy>
  <cp:revision>2</cp:revision>
  <cp:lastPrinted>2007-08-17T08:13:00Z</cp:lastPrinted>
  <dcterms:created xsi:type="dcterms:W3CDTF">2007-08-17T12:57:00Z</dcterms:created>
  <dcterms:modified xsi:type="dcterms:W3CDTF">2007-08-17T12:57:00Z</dcterms:modified>
  <cp:category>CCPR决定.dot</cp:category>
</cp:coreProperties>
</file>