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2635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CAT/C/67/Add.6</w:t>
            </w:r>
            <w:r>
              <w:rPr>
                <w:lang w:val="fr-FR"/>
              </w:rPr>
              <w:br/>
              <w:t>31 mai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tabs>
          <w:tab w:val="left" w:pos="0"/>
        </w:tabs>
        <w:spacing w:after="240"/>
      </w:pPr>
      <w:r>
        <w:br/>
        <w:t>COMITÉ CONTRE LA TORTURE</w:t>
      </w:r>
      <w:r>
        <w:br/>
      </w:r>
    </w:p>
    <w:p w:rsidR="00000000" w:rsidRDefault="00000000">
      <w:pPr>
        <w:tabs>
          <w:tab w:val="left" w:pos="0"/>
        </w:tabs>
        <w:spacing w:after="720"/>
        <w:jc w:val="center"/>
        <w:rPr>
          <w:b/>
          <w:bCs/>
        </w:rPr>
      </w:pPr>
      <w:r>
        <w:rPr>
          <w:b/>
          <w:bCs/>
        </w:rPr>
        <w:t>EXAMEN DES RAPPORTS PRÉSENTÉS PAR LES ÉTATS PARTIES</w:t>
      </w:r>
      <w:r>
        <w:rPr>
          <w:b/>
          <w:bCs/>
        </w:rPr>
        <w:br/>
        <w:t>EN APPLICATION DE L’ARTICLE 19 DE LA CONVENTION</w:t>
      </w:r>
    </w:p>
    <w:p w:rsidR="00000000" w:rsidRDefault="00000000">
      <w:pPr>
        <w:tabs>
          <w:tab w:val="left" w:pos="0"/>
        </w:tabs>
        <w:spacing w:after="720"/>
        <w:jc w:val="center"/>
        <w:rPr>
          <w:b/>
          <w:bCs/>
        </w:rPr>
      </w:pPr>
      <w:r>
        <w:rPr>
          <w:b/>
          <w:bCs/>
        </w:rPr>
        <w:t>Quatrièmes rapports périodiques des États parties</w:t>
      </w:r>
      <w:r>
        <w:rPr>
          <w:b/>
          <w:bCs/>
        </w:rPr>
        <w:br/>
        <w:t>devant être soumis en 2002</w:t>
      </w:r>
    </w:p>
    <w:p w:rsidR="00000000" w:rsidRDefault="00000000">
      <w:pPr>
        <w:tabs>
          <w:tab w:val="left" w:pos="0"/>
        </w:tabs>
        <w:spacing w:after="720"/>
        <w:jc w:val="center"/>
        <w:rPr>
          <w:b/>
          <w:bCs/>
        </w:rPr>
      </w:pPr>
      <w:r>
        <w:rPr>
          <w:b/>
          <w:bCs/>
        </w:rPr>
        <w:t>PORTUGAL</w:t>
      </w:r>
      <w:r>
        <w:rPr>
          <w:rStyle w:val="FootnoteReference"/>
        </w:rPr>
        <w:footnoteReference w:id="1"/>
      </w:r>
    </w:p>
    <w:p w:rsidR="00000000" w:rsidRDefault="00000000">
      <w:pPr>
        <w:jc w:val="right"/>
      </w:pPr>
      <w:r>
        <w:t>[21 mars 2005]</w:t>
      </w:r>
    </w:p>
    <w:p w:rsidR="00000000" w:rsidRDefault="00000000">
      <w:pPr>
        <w:spacing w:after="240"/>
        <w:jc w:val="center"/>
      </w:pPr>
      <w:r>
        <w:br w:type="page"/>
        <w:t>TABLE DES MATIÈRES</w:t>
      </w:r>
    </w:p>
    <w:p w:rsidR="00000000" w:rsidRDefault="00000000">
      <w:pPr>
        <w:spacing w:after="240"/>
        <w:jc w:val="right"/>
      </w:pPr>
      <w:r>
        <w:rPr>
          <w:i/>
          <w:iCs/>
        </w:rPr>
        <w:t>Paragraphes    Page</w:t>
      </w:r>
    </w:p>
    <w:p w:rsidR="00000000" w:rsidRDefault="00000000">
      <w:pPr>
        <w:tabs>
          <w:tab w:val="left" w:pos="567"/>
          <w:tab w:val="left" w:pos="1134"/>
          <w:tab w:val="right" w:leader="dot" w:pos="7200"/>
          <w:tab w:val="center" w:pos="8040"/>
          <w:tab w:val="right" w:pos="9240"/>
        </w:tabs>
        <w:spacing w:after="240"/>
      </w:pPr>
      <w:r>
        <w:t>Introduction</w:t>
      </w:r>
      <w:r>
        <w:tab/>
      </w:r>
      <w:r>
        <w:tab/>
        <w:t>1 – 2</w:t>
      </w:r>
      <w:r>
        <w:tab/>
        <w:t>4</w:t>
      </w:r>
    </w:p>
    <w:p w:rsidR="00000000" w:rsidRDefault="00000000">
      <w:pPr>
        <w:tabs>
          <w:tab w:val="left" w:pos="567"/>
          <w:tab w:val="left" w:pos="1134"/>
          <w:tab w:val="right" w:leader="dot" w:pos="7200"/>
          <w:tab w:val="center" w:pos="8040"/>
          <w:tab w:val="right" w:pos="9240"/>
          <w:tab w:val="right" w:pos="9840"/>
        </w:tabs>
        <w:spacing w:after="240"/>
        <w:ind w:left="567" w:hanging="567"/>
        <w:rPr>
          <w:bCs/>
          <w:lang w:val="fr-FR"/>
        </w:rPr>
      </w:pPr>
      <w:r>
        <w:rPr>
          <w:bCs/>
        </w:rPr>
        <w:t>I.</w:t>
      </w:r>
      <w:r>
        <w:rPr>
          <w:bCs/>
        </w:rPr>
        <w:tab/>
      </w:r>
      <w:r>
        <w:rPr>
          <w:bCs/>
          <w:lang w:val="fr-FR"/>
        </w:rPr>
        <w:t>DÉFINITION DE TORTURE ET ENGAGEMENT À NE PAS</w:t>
      </w:r>
      <w:r>
        <w:rPr>
          <w:bCs/>
          <w:lang w:val="fr-FR"/>
        </w:rPr>
        <w:br/>
        <w:t>LA COMMETTRE</w:t>
      </w:r>
      <w:r>
        <w:tab/>
      </w:r>
      <w:r>
        <w:rPr>
          <w:bCs/>
          <w:lang w:val="fr-FR"/>
        </w:rPr>
        <w:tab/>
        <w:t>3 – 27</w:t>
      </w:r>
      <w:r>
        <w:rPr>
          <w:bCs/>
          <w:lang w:val="fr-FR"/>
        </w:rPr>
        <w:tab/>
        <w:t>5</w:t>
      </w:r>
    </w:p>
    <w:p w:rsidR="00000000" w:rsidRDefault="00000000">
      <w:pPr>
        <w:tabs>
          <w:tab w:val="left" w:pos="567"/>
          <w:tab w:val="left" w:pos="1134"/>
          <w:tab w:val="right" w:leader="dot" w:pos="7200"/>
          <w:tab w:val="center" w:pos="8040"/>
          <w:tab w:val="right" w:pos="9240"/>
          <w:tab w:val="right" w:pos="9840"/>
        </w:tabs>
        <w:spacing w:after="240"/>
        <w:ind w:left="567" w:hanging="567"/>
        <w:rPr>
          <w:iCs/>
          <w:lang w:val="fr-FR"/>
        </w:rPr>
      </w:pPr>
      <w:r>
        <w:rPr>
          <w:bCs/>
          <w:lang w:val="fr-FR"/>
        </w:rPr>
        <w:tab/>
        <w:t>A.</w:t>
      </w:r>
      <w:r>
        <w:rPr>
          <w:bCs/>
          <w:lang w:val="fr-FR"/>
        </w:rPr>
        <w:tab/>
      </w:r>
      <w:r>
        <w:rPr>
          <w:iCs/>
          <w:lang w:val="fr-FR"/>
        </w:rPr>
        <w:t>Définition de la torture</w:t>
      </w:r>
      <w:r>
        <w:rPr>
          <w:iCs/>
          <w:lang w:val="fr-FR"/>
        </w:rPr>
        <w:tab/>
      </w:r>
      <w:r>
        <w:rPr>
          <w:iCs/>
          <w:lang w:val="fr-FR"/>
        </w:rPr>
        <w:tab/>
        <w:t>3</w:t>
      </w:r>
      <w:r>
        <w:rPr>
          <w:iCs/>
          <w:lang w:val="fr-FR"/>
        </w:rPr>
        <w:tab/>
        <w:t>5</w:t>
      </w:r>
    </w:p>
    <w:p w:rsidR="00000000" w:rsidRDefault="00000000">
      <w:pPr>
        <w:tabs>
          <w:tab w:val="left" w:pos="567"/>
          <w:tab w:val="left" w:pos="1134"/>
          <w:tab w:val="right" w:leader="dot" w:pos="7200"/>
          <w:tab w:val="center" w:pos="8040"/>
          <w:tab w:val="right" w:pos="9240"/>
          <w:tab w:val="right" w:pos="9840"/>
        </w:tabs>
        <w:spacing w:after="240"/>
        <w:ind w:left="567" w:hanging="567"/>
        <w:rPr>
          <w:iCs/>
          <w:lang w:val="fr-FR"/>
        </w:rPr>
      </w:pPr>
      <w:r>
        <w:rPr>
          <w:iCs/>
          <w:lang w:val="fr-FR"/>
        </w:rPr>
        <w:tab/>
        <w:t>B.</w:t>
      </w:r>
      <w:r>
        <w:rPr>
          <w:iCs/>
          <w:lang w:val="fr-FR"/>
        </w:rPr>
        <w:tab/>
        <w:t>Engagement du Portugal contre la torture</w:t>
      </w:r>
      <w:r>
        <w:rPr>
          <w:iCs/>
          <w:lang w:val="fr-FR"/>
        </w:rPr>
        <w:tab/>
      </w:r>
      <w:r>
        <w:rPr>
          <w:iCs/>
          <w:lang w:val="fr-FR"/>
        </w:rPr>
        <w:tab/>
        <w:t>4 – 7</w:t>
      </w:r>
      <w:r>
        <w:rPr>
          <w:iCs/>
          <w:lang w:val="fr-FR"/>
        </w:rPr>
        <w:tab/>
        <w:t>5</w:t>
      </w:r>
    </w:p>
    <w:p w:rsidR="00000000" w:rsidRDefault="00000000">
      <w:pPr>
        <w:tabs>
          <w:tab w:val="left" w:pos="567"/>
          <w:tab w:val="left" w:pos="1134"/>
          <w:tab w:val="right" w:leader="dot" w:pos="7200"/>
          <w:tab w:val="center" w:pos="8040"/>
          <w:tab w:val="right" w:pos="9240"/>
          <w:tab w:val="right" w:pos="9840"/>
        </w:tabs>
        <w:spacing w:after="240"/>
        <w:ind w:left="567" w:hanging="567"/>
        <w:rPr>
          <w:iCs/>
          <w:lang w:val="fr-FR"/>
        </w:rPr>
      </w:pPr>
      <w:r>
        <w:rPr>
          <w:iCs/>
          <w:lang w:val="fr-FR"/>
        </w:rPr>
        <w:tab/>
        <w:t>C.</w:t>
      </w:r>
      <w:r>
        <w:rPr>
          <w:iCs/>
          <w:lang w:val="fr-FR"/>
        </w:rPr>
        <w:tab/>
        <w:t>Mesures législatives, administratives ou autres</w:t>
      </w:r>
      <w:r>
        <w:rPr>
          <w:iCs/>
          <w:lang w:val="fr-FR"/>
        </w:rPr>
        <w:tab/>
      </w:r>
      <w:r>
        <w:rPr>
          <w:iCs/>
          <w:lang w:val="fr-FR"/>
        </w:rPr>
        <w:tab/>
        <w:t>8 – 18</w:t>
      </w:r>
      <w:r>
        <w:rPr>
          <w:iCs/>
          <w:lang w:val="fr-FR"/>
        </w:rPr>
        <w:tab/>
        <w:t>6</w:t>
      </w:r>
    </w:p>
    <w:p w:rsidR="00000000" w:rsidRDefault="00000000">
      <w:pPr>
        <w:tabs>
          <w:tab w:val="left" w:pos="567"/>
          <w:tab w:val="left" w:pos="1134"/>
          <w:tab w:val="right" w:leader="dot" w:pos="7200"/>
          <w:tab w:val="center" w:pos="8040"/>
          <w:tab w:val="right" w:pos="9240"/>
          <w:tab w:val="right" w:pos="9840"/>
        </w:tabs>
        <w:spacing w:after="240"/>
        <w:ind w:left="1134" w:hanging="1134"/>
        <w:rPr>
          <w:iCs/>
          <w:lang w:val="fr-FR"/>
        </w:rPr>
      </w:pPr>
      <w:r>
        <w:rPr>
          <w:iCs/>
          <w:lang w:val="fr-FR"/>
        </w:rPr>
        <w:tab/>
        <w:t>D.</w:t>
      </w:r>
      <w:r>
        <w:rPr>
          <w:iCs/>
          <w:lang w:val="fr-FR"/>
        </w:rPr>
        <w:tab/>
        <w:t>Non</w:t>
      </w:r>
      <w:r>
        <w:rPr>
          <w:iCs/>
          <w:lang w:val="fr-FR"/>
        </w:rPr>
        <w:noBreakHyphen/>
        <w:t>expulsion, remise ou extradition vers un autre État où la</w:t>
      </w:r>
      <w:r>
        <w:rPr>
          <w:iCs/>
          <w:lang w:val="fr-FR"/>
        </w:rPr>
        <w:br/>
        <w:t>personne peut être soumise à la torture</w:t>
      </w:r>
      <w:r>
        <w:rPr>
          <w:iCs/>
          <w:lang w:val="fr-FR"/>
        </w:rPr>
        <w:tab/>
      </w:r>
      <w:r>
        <w:rPr>
          <w:iCs/>
          <w:lang w:val="fr-FR"/>
        </w:rPr>
        <w:tab/>
        <w:t>19 – 27</w:t>
      </w:r>
      <w:r>
        <w:rPr>
          <w:iCs/>
          <w:lang w:val="fr-FR"/>
        </w:rPr>
        <w:tab/>
        <w:t>10</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iCs/>
          <w:lang w:val="fr-FR"/>
        </w:rPr>
        <w:t>II.</w:t>
      </w:r>
      <w:r>
        <w:rPr>
          <w:iCs/>
          <w:lang w:val="fr-FR"/>
        </w:rPr>
        <w:tab/>
      </w:r>
      <w:r>
        <w:rPr>
          <w:bCs/>
        </w:rPr>
        <w:t>DROIT PÉNAL DE LA PUNITION DES ACTES DE TORTURE</w:t>
      </w:r>
      <w:r>
        <w:rPr>
          <w:bCs/>
        </w:rPr>
        <w:tab/>
      </w:r>
      <w:r>
        <w:rPr>
          <w:bCs/>
        </w:rPr>
        <w:tab/>
        <w:t>28 – 56</w:t>
      </w:r>
      <w:r>
        <w:rPr>
          <w:bCs/>
        </w:rPr>
        <w:tab/>
        <w:t>13</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A.</w:t>
      </w:r>
      <w:r>
        <w:rPr>
          <w:bCs/>
        </w:rPr>
        <w:tab/>
        <w:t>La juridiction de l’État</w:t>
      </w:r>
      <w:r>
        <w:rPr>
          <w:bCs/>
        </w:rPr>
        <w:tab/>
      </w:r>
      <w:r>
        <w:rPr>
          <w:bCs/>
        </w:rPr>
        <w:tab/>
        <w:t>30 – 32</w:t>
      </w:r>
      <w:r>
        <w:rPr>
          <w:bCs/>
        </w:rPr>
        <w:tab/>
        <w:t>14</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B.</w:t>
      </w:r>
      <w:r>
        <w:rPr>
          <w:bCs/>
        </w:rPr>
        <w:tab/>
        <w:t>Punition des actes de torture</w:t>
      </w:r>
      <w:r>
        <w:rPr>
          <w:bCs/>
        </w:rPr>
        <w:tab/>
      </w:r>
      <w:r>
        <w:rPr>
          <w:bCs/>
        </w:rPr>
        <w:tab/>
        <w:t>33 – 35</w:t>
      </w:r>
      <w:r>
        <w:rPr>
          <w:bCs/>
        </w:rPr>
        <w:tab/>
        <w:t>14</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C.</w:t>
      </w:r>
      <w:r>
        <w:rPr>
          <w:bCs/>
        </w:rPr>
        <w:tab/>
        <w:t>Détention des personnes ayant commis des actes de torture</w:t>
      </w:r>
      <w:r>
        <w:rPr>
          <w:bCs/>
        </w:rPr>
        <w:tab/>
      </w:r>
      <w:r>
        <w:rPr>
          <w:bCs/>
        </w:rPr>
        <w:tab/>
        <w:t>36 – 38</w:t>
      </w:r>
      <w:r>
        <w:rPr>
          <w:bCs/>
        </w:rPr>
        <w:tab/>
        <w:t>15</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D.</w:t>
      </w:r>
      <w:r>
        <w:rPr>
          <w:bCs/>
        </w:rPr>
        <w:tab/>
        <w:t>Action pénale contre une personne sous la juridiction de l’État</w:t>
      </w:r>
      <w:r>
        <w:rPr>
          <w:bCs/>
        </w:rPr>
        <w:br/>
        <w:t>qui n’est pas extradée</w:t>
      </w:r>
      <w:r>
        <w:rPr>
          <w:bCs/>
        </w:rPr>
        <w:tab/>
      </w:r>
      <w:r>
        <w:rPr>
          <w:bCs/>
        </w:rPr>
        <w:tab/>
        <w:t>39 – 47</w:t>
      </w:r>
      <w:r>
        <w:rPr>
          <w:bCs/>
        </w:rPr>
        <w:tab/>
        <w:t>16</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E.</w:t>
      </w:r>
      <w:r>
        <w:rPr>
          <w:bCs/>
        </w:rPr>
        <w:tab/>
        <w:t>Questions relatives à la juridiction universelle de l’État et aux</w:t>
      </w:r>
      <w:r>
        <w:rPr>
          <w:bCs/>
        </w:rPr>
        <w:br/>
        <w:t>crimes contre l’humanité</w:t>
      </w:r>
      <w:r>
        <w:rPr>
          <w:bCs/>
        </w:rPr>
        <w:tab/>
      </w:r>
      <w:r>
        <w:rPr>
          <w:bCs/>
        </w:rPr>
        <w:tab/>
        <w:t>48 – 55</w:t>
      </w:r>
      <w:r>
        <w:rPr>
          <w:bCs/>
        </w:rPr>
        <w:tab/>
        <w:t>18</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ab/>
        <w:t>F.</w:t>
      </w:r>
      <w:r>
        <w:rPr>
          <w:bCs/>
        </w:rPr>
        <w:tab/>
        <w:t>Coopération judiciaire internationale</w:t>
      </w:r>
      <w:r>
        <w:rPr>
          <w:bCs/>
        </w:rPr>
        <w:tab/>
      </w:r>
      <w:r>
        <w:rPr>
          <w:bCs/>
        </w:rPr>
        <w:tab/>
        <w:t>56</w:t>
      </w:r>
      <w:r>
        <w:rPr>
          <w:bCs/>
        </w:rPr>
        <w:tab/>
        <w:t>20</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bCs/>
        </w:rPr>
        <w:t>III.</w:t>
      </w:r>
      <w:r>
        <w:rPr>
          <w:bCs/>
        </w:rPr>
        <w:tab/>
        <w:t>GARANTIES QU’OFFRE LA PROCÉDURE PÉNALE</w:t>
      </w:r>
      <w:r>
        <w:rPr>
          <w:bCs/>
        </w:rPr>
        <w:tab/>
      </w:r>
      <w:r>
        <w:rPr>
          <w:bCs/>
        </w:rPr>
        <w:tab/>
        <w:t>57 – 197</w:t>
      </w:r>
      <w:r>
        <w:rPr>
          <w:bCs/>
        </w:rPr>
        <w:tab/>
        <w:t>20</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bCs/>
        </w:rPr>
        <w:tab/>
        <w:t>A.</w:t>
      </w:r>
      <w:r>
        <w:rPr>
          <w:bCs/>
        </w:rPr>
        <w:tab/>
      </w:r>
      <w:r>
        <w:rPr>
          <w:iCs/>
        </w:rPr>
        <w:t>Garanties des personnes en ce qui concerne la détention</w:t>
      </w:r>
      <w:r>
        <w:rPr>
          <w:iCs/>
        </w:rPr>
        <w:tab/>
      </w:r>
      <w:r>
        <w:rPr>
          <w:iCs/>
        </w:rPr>
        <w:tab/>
        <w:t>58 – 74</w:t>
      </w:r>
      <w:r>
        <w:rPr>
          <w:iCs/>
        </w:rPr>
        <w:tab/>
        <w:t>20</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B.</w:t>
      </w:r>
      <w:r>
        <w:rPr>
          <w:iCs/>
        </w:rPr>
        <w:tab/>
        <w:t>La prison préventive</w:t>
      </w:r>
      <w:r>
        <w:rPr>
          <w:iCs/>
        </w:rPr>
        <w:tab/>
      </w:r>
      <w:r>
        <w:rPr>
          <w:iCs/>
        </w:rPr>
        <w:tab/>
        <w:t>75 – 92</w:t>
      </w:r>
      <w:r>
        <w:rPr>
          <w:iCs/>
        </w:rPr>
        <w:tab/>
        <w:t>24</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C.</w:t>
      </w:r>
      <w:r>
        <w:rPr>
          <w:iCs/>
        </w:rPr>
        <w:tab/>
        <w:t>La surveillance électronique</w:t>
      </w:r>
      <w:r>
        <w:rPr>
          <w:iCs/>
        </w:rPr>
        <w:tab/>
      </w:r>
      <w:r>
        <w:rPr>
          <w:iCs/>
        </w:rPr>
        <w:tab/>
        <w:t>93 – 97</w:t>
      </w:r>
      <w:r>
        <w:rPr>
          <w:iCs/>
        </w:rPr>
        <w:tab/>
        <w:t>28</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D.</w:t>
      </w:r>
      <w:r>
        <w:rPr>
          <w:iCs/>
        </w:rPr>
        <w:tab/>
        <w:t>Le contrôle exercé sur les autorités chargées de la détention</w:t>
      </w:r>
      <w:r>
        <w:rPr>
          <w:iCs/>
        </w:rPr>
        <w:tab/>
      </w:r>
      <w:r>
        <w:rPr>
          <w:iCs/>
        </w:rPr>
        <w:tab/>
        <w:t>98 – 191</w:t>
      </w:r>
      <w:r>
        <w:rPr>
          <w:iCs/>
        </w:rPr>
        <w:tab/>
        <w:t>29</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E.</w:t>
      </w:r>
      <w:r>
        <w:rPr>
          <w:iCs/>
        </w:rPr>
        <w:tab/>
        <w:t>Abus commis par les forces de l’ordre: données du Procureur</w:t>
      </w:r>
      <w:r>
        <w:rPr>
          <w:iCs/>
        </w:rPr>
        <w:br/>
        <w:t>général de la République</w:t>
      </w:r>
      <w:r>
        <w:rPr>
          <w:iCs/>
        </w:rPr>
        <w:tab/>
      </w:r>
      <w:r>
        <w:rPr>
          <w:iCs/>
        </w:rPr>
        <w:tab/>
        <w:t>192 – 193</w:t>
      </w:r>
      <w:r>
        <w:rPr>
          <w:iCs/>
        </w:rPr>
        <w:tab/>
        <w:t>49</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F.</w:t>
      </w:r>
      <w:r>
        <w:rPr>
          <w:iCs/>
        </w:rPr>
        <w:tab/>
        <w:t>Le droit de présenter une plainte</w:t>
      </w:r>
      <w:r>
        <w:rPr>
          <w:iCs/>
        </w:rPr>
        <w:tab/>
      </w:r>
      <w:r>
        <w:rPr>
          <w:iCs/>
        </w:rPr>
        <w:tab/>
        <w:t>194 – 197</w:t>
      </w:r>
      <w:r>
        <w:rPr>
          <w:iCs/>
        </w:rPr>
        <w:tab/>
        <w:t>49</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p>
    <w:p w:rsidR="00000000" w:rsidRDefault="00000000">
      <w:pPr>
        <w:spacing w:after="240"/>
        <w:jc w:val="center"/>
      </w:pPr>
      <w:r>
        <w:t>TABLE DES MATIÈRES (</w:t>
      </w:r>
      <w:r>
        <w:rPr>
          <w:i/>
          <w:iCs/>
        </w:rPr>
        <w:t>suite</w:t>
      </w:r>
      <w:r>
        <w:t>)</w:t>
      </w:r>
    </w:p>
    <w:p w:rsidR="00000000" w:rsidRDefault="00000000">
      <w:pPr>
        <w:spacing w:after="240"/>
        <w:jc w:val="right"/>
      </w:pPr>
      <w:r>
        <w:rPr>
          <w:i/>
          <w:iCs/>
        </w:rPr>
        <w:t>Paragraphes    Page</w:t>
      </w:r>
    </w:p>
    <w:p w:rsidR="00000000" w:rsidRDefault="00000000">
      <w:pPr>
        <w:tabs>
          <w:tab w:val="left" w:pos="567"/>
          <w:tab w:val="left" w:pos="1134"/>
          <w:tab w:val="right" w:leader="dot" w:pos="7200"/>
          <w:tab w:val="center" w:pos="8040"/>
          <w:tab w:val="right" w:pos="9240"/>
          <w:tab w:val="right" w:pos="9840"/>
        </w:tabs>
        <w:spacing w:after="240"/>
        <w:ind w:left="1134" w:hanging="1134"/>
        <w:rPr>
          <w:bCs/>
        </w:rPr>
      </w:pPr>
      <w:r>
        <w:rPr>
          <w:iCs/>
        </w:rPr>
        <w:t>IV.</w:t>
      </w:r>
      <w:r>
        <w:rPr>
          <w:iCs/>
        </w:rPr>
        <w:tab/>
        <w:t xml:space="preserve">LE </w:t>
      </w:r>
      <w:r>
        <w:rPr>
          <w:bCs/>
        </w:rPr>
        <w:t>SYSTÈME PÉNITENTIAIRE PORTUGAIS</w:t>
      </w:r>
      <w:r>
        <w:rPr>
          <w:bCs/>
        </w:rPr>
        <w:tab/>
      </w:r>
      <w:r>
        <w:rPr>
          <w:bCs/>
        </w:rPr>
        <w:tab/>
        <w:t>198 – 229</w:t>
      </w:r>
      <w:r>
        <w:rPr>
          <w:bCs/>
        </w:rPr>
        <w:tab/>
        <w:t>50</w:t>
      </w:r>
    </w:p>
    <w:p w:rsidR="00000000" w:rsidRDefault="00000000">
      <w:pPr>
        <w:tabs>
          <w:tab w:val="left" w:pos="567"/>
          <w:tab w:val="left" w:pos="1134"/>
          <w:tab w:val="right" w:leader="dot" w:pos="7200"/>
          <w:tab w:val="center" w:pos="8040"/>
          <w:tab w:val="right" w:pos="9240"/>
          <w:tab w:val="right" w:pos="9840"/>
        </w:tabs>
        <w:spacing w:after="240"/>
        <w:ind w:left="1134" w:hanging="1134"/>
        <w:rPr>
          <w:iCs/>
          <w:lang w:val="fr-FR"/>
        </w:rPr>
      </w:pPr>
      <w:r>
        <w:rPr>
          <w:iCs/>
        </w:rPr>
        <w:tab/>
        <w:t>A.</w:t>
      </w:r>
      <w:r>
        <w:rPr>
          <w:iCs/>
        </w:rPr>
        <w:tab/>
        <w:t>L’</w:t>
      </w:r>
      <w:r>
        <w:rPr>
          <w:iCs/>
          <w:lang w:val="fr-FR"/>
        </w:rPr>
        <w:t xml:space="preserve">Institut de </w:t>
      </w:r>
      <w:r>
        <w:rPr>
          <w:bCs/>
        </w:rPr>
        <w:t>réinsertion</w:t>
      </w:r>
      <w:r>
        <w:rPr>
          <w:iCs/>
          <w:lang w:val="fr-FR"/>
        </w:rPr>
        <w:t xml:space="preserve"> sociale et les centres éducatifs</w:t>
      </w:r>
      <w:r>
        <w:rPr>
          <w:iCs/>
          <w:lang w:val="fr-FR"/>
        </w:rPr>
        <w:tab/>
      </w:r>
      <w:r>
        <w:rPr>
          <w:iCs/>
          <w:lang w:val="fr-FR"/>
        </w:rPr>
        <w:tab/>
        <w:t>199 – 205</w:t>
      </w:r>
      <w:r>
        <w:rPr>
          <w:iCs/>
          <w:lang w:val="fr-FR"/>
        </w:rPr>
        <w:tab/>
        <w:t>50</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lang w:val="fr-FR"/>
        </w:rPr>
        <w:tab/>
        <w:t>B.</w:t>
      </w:r>
      <w:r>
        <w:rPr>
          <w:iCs/>
          <w:lang w:val="fr-FR"/>
        </w:rPr>
        <w:tab/>
        <w:t>Les services chargés de</w:t>
      </w:r>
      <w:r>
        <w:rPr>
          <w:iCs/>
        </w:rPr>
        <w:t xml:space="preserve"> l’exécution des mesures privatives</w:t>
      </w:r>
      <w:r>
        <w:rPr>
          <w:iCs/>
        </w:rPr>
        <w:br/>
        <w:t>de liberté</w:t>
      </w:r>
      <w:r>
        <w:rPr>
          <w:iCs/>
        </w:rPr>
        <w:tab/>
      </w:r>
      <w:r>
        <w:rPr>
          <w:iCs/>
        </w:rPr>
        <w:tab/>
        <w:t>206 – 222</w:t>
      </w:r>
      <w:r>
        <w:rPr>
          <w:iCs/>
        </w:rPr>
        <w:tab/>
        <w:t>54</w:t>
      </w:r>
    </w:p>
    <w:p w:rsidR="00000000" w:rsidRDefault="00000000">
      <w:pPr>
        <w:tabs>
          <w:tab w:val="left" w:pos="567"/>
          <w:tab w:val="left" w:pos="1134"/>
          <w:tab w:val="right" w:leader="dot" w:pos="7200"/>
          <w:tab w:val="center" w:pos="8040"/>
          <w:tab w:val="right" w:pos="9240"/>
          <w:tab w:val="right" w:pos="9840"/>
        </w:tabs>
        <w:spacing w:after="240"/>
        <w:ind w:left="1134" w:hanging="1134"/>
        <w:rPr>
          <w:iCs/>
        </w:rPr>
      </w:pPr>
      <w:r>
        <w:rPr>
          <w:iCs/>
        </w:rPr>
        <w:tab/>
        <w:t>C.</w:t>
      </w:r>
      <w:r>
        <w:rPr>
          <w:iCs/>
        </w:rPr>
        <w:tab/>
        <w:t>Données statistiques</w:t>
      </w:r>
      <w:r>
        <w:rPr>
          <w:iCs/>
        </w:rPr>
        <w:tab/>
      </w:r>
      <w:r>
        <w:rPr>
          <w:iCs/>
        </w:rPr>
        <w:tab/>
        <w:t>223 – 229</w:t>
      </w:r>
      <w:r>
        <w:rPr>
          <w:iCs/>
        </w:rPr>
        <w:tab/>
        <w:t>57</w:t>
      </w:r>
    </w:p>
    <w:p w:rsidR="00000000" w:rsidRDefault="00000000">
      <w:pPr>
        <w:tabs>
          <w:tab w:val="left" w:pos="567"/>
          <w:tab w:val="left" w:pos="1134"/>
          <w:tab w:val="right" w:leader="dot" w:pos="7200"/>
          <w:tab w:val="center" w:pos="8040"/>
          <w:tab w:val="right" w:pos="9240"/>
          <w:tab w:val="right" w:pos="9840"/>
        </w:tabs>
        <w:spacing w:after="240"/>
        <w:ind w:left="1134" w:hanging="1134"/>
        <w:rPr>
          <w:iCs/>
          <w:lang w:val="fr-FR"/>
        </w:rPr>
      </w:pPr>
      <w:r>
        <w:rPr>
          <w:iCs/>
        </w:rPr>
        <w:t>V.</w:t>
      </w:r>
      <w:r>
        <w:rPr>
          <w:iCs/>
        </w:rPr>
        <w:tab/>
        <w:t>DROIT À</w:t>
      </w:r>
      <w:r>
        <w:rPr>
          <w:iCs/>
          <w:lang w:val="fr-FR"/>
        </w:rPr>
        <w:t>RÉPARATION</w:t>
      </w:r>
      <w:r>
        <w:rPr>
          <w:iCs/>
          <w:lang w:val="fr-FR"/>
        </w:rPr>
        <w:tab/>
      </w:r>
      <w:r>
        <w:rPr>
          <w:iCs/>
          <w:lang w:val="fr-FR"/>
        </w:rPr>
        <w:tab/>
        <w:t>230 – 234</w:t>
      </w:r>
      <w:r>
        <w:rPr>
          <w:iCs/>
          <w:lang w:val="fr-FR"/>
        </w:rPr>
        <w:tab/>
        <w:t>69</w:t>
      </w:r>
    </w:p>
    <w:p w:rsidR="00000000" w:rsidRDefault="00000000">
      <w:pPr>
        <w:tabs>
          <w:tab w:val="left" w:pos="567"/>
          <w:tab w:val="left" w:pos="1134"/>
          <w:tab w:val="right" w:leader="dot" w:pos="7200"/>
          <w:tab w:val="center" w:pos="8040"/>
          <w:tab w:val="right" w:pos="9240"/>
          <w:tab w:val="right" w:pos="9840"/>
        </w:tabs>
        <w:spacing w:after="240"/>
        <w:ind w:left="1134" w:hanging="1134"/>
        <w:rPr>
          <w:iCs/>
          <w:lang w:val="fr-FR"/>
        </w:rPr>
      </w:pPr>
      <w:r>
        <w:rPr>
          <w:iCs/>
          <w:lang w:val="fr-FR"/>
        </w:rPr>
        <w:t>CONCLUSION</w:t>
      </w:r>
      <w:r>
        <w:rPr>
          <w:iCs/>
          <w:lang w:val="fr-FR"/>
        </w:rPr>
        <w:tab/>
      </w:r>
      <w:r>
        <w:rPr>
          <w:iCs/>
          <w:lang w:val="fr-FR"/>
        </w:rPr>
        <w:tab/>
        <w:t>235</w:t>
      </w:r>
      <w:r>
        <w:rPr>
          <w:iCs/>
          <w:lang w:val="fr-FR"/>
        </w:rPr>
        <w:tab/>
        <w:t>70</w:t>
      </w:r>
    </w:p>
    <w:p w:rsidR="00000000" w:rsidRDefault="00000000">
      <w:pPr>
        <w:tabs>
          <w:tab w:val="left" w:pos="567"/>
          <w:tab w:val="left" w:pos="1134"/>
          <w:tab w:val="right" w:leader="dot" w:pos="8400"/>
          <w:tab w:val="right" w:pos="9240"/>
          <w:tab w:val="right" w:pos="9840"/>
        </w:tabs>
        <w:spacing w:after="240"/>
        <w:ind w:left="1134" w:hanging="1134"/>
        <w:rPr>
          <w:iCs/>
          <w:lang w:val="fr-FR"/>
        </w:rPr>
      </w:pPr>
      <w:r>
        <w:rPr>
          <w:iCs/>
          <w:lang w:val="fr-FR"/>
        </w:rPr>
        <w:t>Liste des annexes</w:t>
      </w:r>
      <w:r>
        <w:rPr>
          <w:rStyle w:val="FootnoteReference"/>
          <w:iCs/>
          <w:lang w:val="fr-FR"/>
        </w:rPr>
        <w:footnoteReference w:customMarkFollows="1" w:id="2"/>
        <w:t>*</w:t>
      </w:r>
      <w:r>
        <w:rPr>
          <w:iCs/>
          <w:lang w:val="fr-FR"/>
        </w:rPr>
        <w:tab/>
      </w:r>
      <w:r>
        <w:rPr>
          <w:iCs/>
          <w:lang w:val="fr-FR"/>
        </w:rPr>
        <w:tab/>
        <w:t>71</w:t>
      </w:r>
    </w:p>
    <w:p w:rsidR="00000000" w:rsidRDefault="00000000">
      <w:pPr>
        <w:rPr>
          <w:lang w:val="fr-FR"/>
        </w:rPr>
      </w:pPr>
    </w:p>
    <w:p w:rsidR="00000000" w:rsidRDefault="00000000">
      <w:pPr>
        <w:spacing w:after="240"/>
        <w:jc w:val="center"/>
        <w:rPr>
          <w:b/>
          <w:bCs/>
          <w:iCs/>
        </w:rPr>
      </w:pPr>
      <w:r>
        <w:rPr>
          <w:lang w:val="fr-FR"/>
        </w:rPr>
        <w:br w:type="page"/>
      </w:r>
      <w:r>
        <w:rPr>
          <w:b/>
          <w:bCs/>
          <w:iCs/>
        </w:rPr>
        <w:t>Introduction</w:t>
      </w:r>
    </w:p>
    <w:p w:rsidR="00000000" w:rsidRDefault="00000000">
      <w:pPr>
        <w:spacing w:after="240"/>
      </w:pPr>
      <w:r>
        <w:rPr>
          <w:lang w:val="fr-FR"/>
        </w:rPr>
        <w:t>1.</w:t>
      </w:r>
      <w:r>
        <w:rPr>
          <w:lang w:val="fr-FR"/>
        </w:rPr>
        <w:tab/>
        <w:t xml:space="preserve">Le présent rapport donne suite au troisième rapport périodique du Portugal relatif à l’application de la Convention contre la torture (CAT/C/44/Add.7). </w:t>
      </w:r>
      <w:r>
        <w:t>Il couvre la période 2000</w:t>
      </w:r>
      <w:r>
        <w:noBreakHyphen/>
        <w:t>2004, c’est</w:t>
      </w:r>
      <w:r>
        <w:noBreakHyphen/>
        <w:t>à</w:t>
      </w:r>
      <w:r>
        <w:noBreakHyphen/>
        <w:t>dire le temps qui s’est écoulé depuis la présentation du troisième rapport jusqu’aux mois de mai, juin et juillet 2004.</w:t>
      </w:r>
    </w:p>
    <w:p w:rsidR="00000000" w:rsidRDefault="00000000">
      <w:pPr>
        <w:spacing w:after="240"/>
      </w:pPr>
      <w:r>
        <w:t>2.</w:t>
      </w:r>
      <w:r>
        <w:tab/>
        <w:t xml:space="preserve">L’économie générale du rapport est la suivante: </w:t>
      </w:r>
    </w:p>
    <w:p w:rsidR="00000000" w:rsidRDefault="00000000">
      <w:pPr>
        <w:spacing w:after="240"/>
        <w:ind w:firstLine="567"/>
        <w:rPr>
          <w:lang w:val="es-ES"/>
        </w:rPr>
      </w:pPr>
      <w:r>
        <w:t>a)</w:t>
      </w:r>
      <w:r>
        <w:tab/>
        <w:t xml:space="preserve">Un premier chapitre traite de la définition de la torture qui, pour le Portugal, se maintient depuis le troisième rapport, et de l’engagement du Portugal à ne pas permettre l’existence de ce phénomène dans tout territoire se trouvant sous sa juridiction. Il porte sur </w:t>
      </w:r>
      <w:r>
        <w:rPr>
          <w:lang w:val="es-ES"/>
        </w:rPr>
        <w:t>l’article 1 de la Convention (définition), sur l’article 2 (mesures législatives, administratives et autres) et sur l’article 3 (garanties de non</w:t>
      </w:r>
      <w:r>
        <w:rPr>
          <w:lang w:val="es-ES"/>
        </w:rPr>
        <w:noBreakHyphen/>
        <w:t>expulsion ou de non</w:t>
      </w:r>
      <w:r>
        <w:rPr>
          <w:lang w:val="es-ES"/>
        </w:rPr>
        <w:noBreakHyphen/>
        <w:t>extradition vers un autre État dans lequel une personne risque d’être torturée);</w:t>
      </w:r>
    </w:p>
    <w:p w:rsidR="00000000" w:rsidRDefault="00000000">
      <w:pPr>
        <w:spacing w:after="240"/>
        <w:ind w:firstLine="567"/>
        <w:rPr>
          <w:lang w:val="es-ES"/>
        </w:rPr>
      </w:pPr>
      <w:r>
        <w:rPr>
          <w:lang w:val="es-ES"/>
        </w:rPr>
        <w:t>b)</w:t>
      </w:r>
      <w:r>
        <w:rPr>
          <w:lang w:val="es-ES"/>
        </w:rPr>
        <w:tab/>
        <w:t xml:space="preserve">Le chapitre II traite des actes de torture, infractions au regard du </w:t>
      </w:r>
      <w:r>
        <w:rPr>
          <w:iCs/>
          <w:lang w:val="es-ES"/>
        </w:rPr>
        <w:t>droit pénal, et de la punition de la torture. Il porte sur l’</w:t>
      </w:r>
      <w:r>
        <w:rPr>
          <w:lang w:val="es-ES"/>
        </w:rPr>
        <w:t>article 4 de la Convention (tous les actes de torture, ainsi que la tentative, sont des infractions criminelles dûment punies). Il porte aussi sur les articles 5, 6, 7 (juridiction de l’État, détention des personnes qui commettent des actes de torture) et contient une note sur la juridiction universelle de l’État portugais. Des renseignements concernant l’article 8 (extradition de ceux qui ont perpétré des actes de torture) et l’article 9 (coopération judiciaire internationale) sont également fournis;</w:t>
      </w:r>
    </w:p>
    <w:p w:rsidR="00000000" w:rsidRDefault="00000000">
      <w:pPr>
        <w:spacing w:after="240"/>
        <w:ind w:firstLine="567"/>
        <w:rPr>
          <w:lang w:val="es-ES"/>
        </w:rPr>
      </w:pPr>
      <w:r>
        <w:rPr>
          <w:lang w:val="es-ES"/>
        </w:rPr>
        <w:t>c)</w:t>
      </w:r>
      <w:r>
        <w:rPr>
          <w:lang w:val="es-ES"/>
        </w:rPr>
        <w:tab/>
        <w:t>Le chapitre III est consacré aux garanties qu’offre la procédure pénale. Y seront notamment abordés les problèmes associés aux garanties des personnes en ce qui concerne la détention, à la prison préventive, à la vigilance systématique, au contrôle exercé sur les autorités chargées de la détention, et au droit de plainte;</w:t>
      </w:r>
    </w:p>
    <w:p w:rsidR="00000000" w:rsidRDefault="00000000">
      <w:pPr>
        <w:spacing w:after="240"/>
        <w:ind w:firstLine="567"/>
        <w:rPr>
          <w:lang w:val="es-ES"/>
        </w:rPr>
      </w:pPr>
      <w:r>
        <w:rPr>
          <w:lang w:val="es-ES"/>
        </w:rPr>
        <w:t>d)</w:t>
      </w:r>
      <w:r>
        <w:rPr>
          <w:lang w:val="es-ES"/>
        </w:rPr>
        <w:tab/>
        <w:t xml:space="preserve">Le chapitre IV donne des renseignements sur le </w:t>
      </w:r>
      <w:r>
        <w:rPr>
          <w:iCs/>
          <w:lang w:val="es-ES"/>
        </w:rPr>
        <w:t xml:space="preserve">système pénitentiaire </w:t>
      </w:r>
      <w:r>
        <w:rPr>
          <w:lang w:val="es-ES"/>
        </w:rPr>
        <w:t>portugais;</w:t>
      </w:r>
    </w:p>
    <w:p w:rsidR="00000000" w:rsidRDefault="00000000">
      <w:pPr>
        <w:spacing w:after="240"/>
        <w:ind w:firstLine="567"/>
        <w:rPr>
          <w:lang w:val="es-ES"/>
        </w:rPr>
      </w:pPr>
      <w:r>
        <w:rPr>
          <w:lang w:val="es-ES"/>
        </w:rPr>
        <w:t>e)</w:t>
      </w:r>
      <w:r>
        <w:rPr>
          <w:lang w:val="es-ES"/>
        </w:rPr>
        <w:tab/>
        <w:t>Le chapitre V traite du droit à réparation, thème pratiquement inchangé depuis la présentation du dernier rapport périodique;</w:t>
      </w:r>
    </w:p>
    <w:p w:rsidR="00000000" w:rsidRDefault="00000000">
      <w:pPr>
        <w:spacing w:after="240"/>
        <w:ind w:firstLine="567"/>
        <w:rPr>
          <w:lang w:val="es-ES"/>
        </w:rPr>
      </w:pPr>
      <w:r>
        <w:rPr>
          <w:lang w:val="es-ES"/>
        </w:rPr>
        <w:t>f)</w:t>
      </w:r>
      <w:r>
        <w:rPr>
          <w:lang w:val="es-ES"/>
        </w:rPr>
        <w:tab/>
        <w:t>Dans une brève conclusion, le Portugal exprime l’espoir que son rapport sera aussi bien accueilli que les rapports précédents, mais surtout que son effort pour améliorer tant le système juridique que le régime pénitentiaire sera compris.</w:t>
      </w:r>
    </w:p>
    <w:p w:rsidR="00000000" w:rsidRDefault="00000000">
      <w:pPr>
        <w:spacing w:after="240"/>
        <w:jc w:val="center"/>
        <w:rPr>
          <w:b/>
          <w:bCs/>
        </w:rPr>
      </w:pPr>
      <w:r>
        <w:rPr>
          <w:lang w:val="es-ES"/>
        </w:rPr>
        <w:br w:type="page"/>
      </w:r>
      <w:r>
        <w:rPr>
          <w:b/>
          <w:bCs/>
        </w:rPr>
        <w:t>I.  DÉFINITION DE LA TORTURE ET ENGAGEMENT</w:t>
      </w:r>
      <w:r>
        <w:rPr>
          <w:b/>
          <w:bCs/>
        </w:rPr>
        <w:br/>
        <w:t>À NE PAS LA COMMETTRE</w:t>
      </w:r>
    </w:p>
    <w:p w:rsidR="00000000" w:rsidRDefault="00000000">
      <w:pPr>
        <w:spacing w:after="240"/>
        <w:jc w:val="center"/>
        <w:rPr>
          <w:b/>
          <w:bCs/>
        </w:rPr>
      </w:pPr>
      <w:r>
        <w:rPr>
          <w:b/>
          <w:bCs/>
        </w:rPr>
        <w:t>A.  Définition de la torture</w:t>
      </w:r>
    </w:p>
    <w:p w:rsidR="00000000" w:rsidRDefault="00000000">
      <w:pPr>
        <w:spacing w:after="240"/>
      </w:pPr>
      <w:r>
        <w:t>3.</w:t>
      </w:r>
      <w:r>
        <w:tab/>
        <w:t>L’article premier de la Convention contre la torture stipule ce qui suit:</w:t>
      </w:r>
    </w:p>
    <w:p w:rsidR="00000000" w:rsidRDefault="00000000">
      <w:pPr>
        <w:spacing w:after="240"/>
        <w:ind w:left="567" w:firstLine="567"/>
      </w:pPr>
      <w:r>
        <w:t xml:space="preserve">«…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 ou pour tout autre motif fondé sur une forme de discrimination quelle qu’elle soit, lorsqu’une douleur ou de telles souffrances </w:t>
      </w:r>
      <w:r>
        <w:rPr>
          <w:u w:val="single"/>
        </w:rPr>
        <w:t>sont infligées par un agent de la fonction publique ou toute autre personne</w:t>
      </w:r>
      <w:r>
        <w:t xml:space="preserve"> [souligné par l’auteur] agissant à titre officiel ou à son instigation ou avec son consentement exprès ou tacite. Ce terme ne s’étant pas à la douleur ou aux souffrances résultant uniquement de sanctions légitimes, inhérentes à ces sanctions ou occasionnées par elles.».</w:t>
      </w:r>
    </w:p>
    <w:p w:rsidR="00000000" w:rsidRDefault="00000000">
      <w:pPr>
        <w:spacing w:after="240"/>
        <w:jc w:val="center"/>
        <w:rPr>
          <w:b/>
          <w:bCs/>
        </w:rPr>
      </w:pPr>
      <w:r>
        <w:rPr>
          <w:b/>
          <w:bCs/>
        </w:rPr>
        <w:t xml:space="preserve">B.  </w:t>
      </w:r>
      <w:r>
        <w:rPr>
          <w:b/>
          <w:bCs/>
          <w:iCs/>
        </w:rPr>
        <w:t>Engagement du Portugal contre la torture</w:t>
      </w:r>
    </w:p>
    <w:p w:rsidR="00000000" w:rsidRDefault="00000000">
      <w:pPr>
        <w:spacing w:after="240"/>
      </w:pPr>
      <w:r>
        <w:t>4.</w:t>
      </w:r>
      <w:r>
        <w:tab/>
        <w:t>Dans la définition de la torture donnée par la Convention figurent les souffrances infligées par un fonctionnaire. La législation portugaise stipule que la torture est un crime contre la paix et l’humanité. L’article 243 du Code pénal portugais se lit comme suit:</w:t>
      </w:r>
    </w:p>
    <w:p w:rsidR="00000000" w:rsidRDefault="00000000">
      <w:pPr>
        <w:spacing w:after="240"/>
        <w:ind w:left="567" w:firstLine="567"/>
      </w:pPr>
      <w:r>
        <w:t>«1.</w:t>
      </w:r>
      <w:r>
        <w:tab/>
        <w:t>Quiconque ayant à sa charge la prévention, la poursuite, l’enquête ou la connaissance d’infractions criminelles ou disciplinaires, l’exécution de sanctions de la même nature ou la protection, la garde ou la surveillance de personnes détenues ou emprisonnées, les soumet à la torture ou les traite de façon cruelle, dégradante ou inhumaine, dans le but:</w:t>
      </w:r>
    </w:p>
    <w:p w:rsidR="00000000" w:rsidRDefault="00000000">
      <w:pPr>
        <w:spacing w:after="240"/>
        <w:ind w:left="567" w:firstLine="573"/>
      </w:pPr>
      <w:r>
        <w:t>a)</w:t>
      </w:r>
      <w:r>
        <w:tab/>
        <w:t>D’obtenir d’elles ou de tierces personnes, des aveux, des dépositions, des déclarations ou des informations;</w:t>
      </w:r>
    </w:p>
    <w:p w:rsidR="00000000" w:rsidRDefault="00000000">
      <w:pPr>
        <w:spacing w:after="240"/>
        <w:ind w:left="567" w:firstLine="573"/>
      </w:pPr>
      <w:r>
        <w:t>b)</w:t>
      </w:r>
      <w:r>
        <w:tab/>
        <w:t>De les punir pour un acte commis par elles, ou dont elles sont soupçonnées, ou d’un acte commis par d’autres personnes;</w:t>
      </w:r>
    </w:p>
    <w:p w:rsidR="00000000" w:rsidRDefault="00000000">
      <w:pPr>
        <w:spacing w:after="240"/>
        <w:ind w:left="567" w:firstLine="573"/>
      </w:pPr>
      <w:r>
        <w:t>c)</w:t>
      </w:r>
      <w:r>
        <w:tab/>
        <w:t>De les intimider ou d’intimider autrui;</w:t>
      </w:r>
    </w:p>
    <w:p w:rsidR="00000000" w:rsidRDefault="00000000">
      <w:pPr>
        <w:spacing w:after="240"/>
        <w:ind w:left="567" w:firstLine="3"/>
      </w:pPr>
      <w:r>
        <w:t>sera puni d’un emprisonnement de un à cinq ans, sauf si une peine plus grave est applicable en vertu d’une autre disposition légale.</w:t>
      </w:r>
    </w:p>
    <w:p w:rsidR="00000000" w:rsidRDefault="00000000">
      <w:pPr>
        <w:spacing w:after="240"/>
        <w:ind w:left="567" w:firstLine="3"/>
      </w:pPr>
      <w:r>
        <w:tab/>
        <w:t>2.</w:t>
      </w:r>
      <w:r>
        <w:tab/>
        <w:t>Quiconque, de sa propre initiative ou sur ordre d’un supérieur, se prévaut de la charge décrite au paragraphe précédent pour commettre l’un des actes prévus, sera puni de la même peine.</w:t>
      </w:r>
    </w:p>
    <w:p w:rsidR="00000000" w:rsidRDefault="00000000">
      <w:pPr>
        <w:spacing w:after="240"/>
        <w:ind w:left="567" w:firstLine="3"/>
      </w:pPr>
      <w:r>
        <w:tab/>
        <w:t>3.</w:t>
      </w:r>
      <w:r>
        <w:tab/>
        <w:t>Est considéré comme torture, traitement cruel, dégradant ou inhumain, l’acte qui consiste à infliger des souffrances physiques ou psychologiques aiguës ou à faire usage de substances chimiques, de médicaments et stupéfiants ou d’autres moyens naturels ou artificiels, dans le but d’amoindrir la capacité de décision ou la libre manifestation de la volonté de la victime.</w:t>
      </w:r>
    </w:p>
    <w:p w:rsidR="00000000" w:rsidRDefault="00000000">
      <w:pPr>
        <w:spacing w:after="240"/>
        <w:ind w:left="567" w:firstLine="3"/>
      </w:pPr>
      <w:r>
        <w:tab/>
        <w:t>4.</w:t>
      </w:r>
      <w:r>
        <w:tab/>
        <w:t>Les dispositions du paragraphe précédent ne visent pas les souffrances inhérentes à l’exécution des sanctions prévues au premier paragraphe ou en découlant, ni les mesures légales privatives ou restrictives de liberté.».</w:t>
      </w:r>
    </w:p>
    <w:p w:rsidR="00000000" w:rsidRDefault="00000000">
      <w:pPr>
        <w:spacing w:after="240"/>
      </w:pPr>
      <w:r>
        <w:t>La définition de la torture donnée par le Code pénal suit donc de très près celle de la Convention.</w:t>
      </w:r>
    </w:p>
    <w:p w:rsidR="00000000" w:rsidRDefault="00000000">
      <w:pPr>
        <w:spacing w:after="240"/>
      </w:pPr>
      <w:r>
        <w:t>5.</w:t>
      </w:r>
      <w:r>
        <w:tab/>
        <w:t>Un autre article est au cœur de la définition de la torture du Code pénal, à savoir l’article 244 qui dispose:</w:t>
      </w:r>
    </w:p>
    <w:p w:rsidR="00000000" w:rsidRDefault="00000000">
      <w:pPr>
        <w:spacing w:after="240"/>
        <w:ind w:left="567" w:firstLine="570"/>
      </w:pPr>
      <w:r>
        <w:t>«1.</w:t>
      </w:r>
      <w:r>
        <w:tab/>
        <w:t>Quiconque, selon les termes et dans les conditions énoncées à l’article précédent:</w:t>
      </w:r>
    </w:p>
    <w:p w:rsidR="00000000" w:rsidRDefault="00000000">
      <w:pPr>
        <w:spacing w:after="240"/>
        <w:ind w:firstLine="567"/>
      </w:pPr>
      <w:r>
        <w:tab/>
        <w:t>a)</w:t>
      </w:r>
      <w:r>
        <w:tab/>
        <w:t>Porte une atteinte grave à l’intégrité physique d’autrui;</w:t>
      </w:r>
    </w:p>
    <w:p w:rsidR="00000000" w:rsidRDefault="00000000">
      <w:pPr>
        <w:spacing w:after="240"/>
        <w:ind w:left="567" w:firstLine="573"/>
      </w:pPr>
      <w:r>
        <w:t>b)</w:t>
      </w:r>
      <w:r>
        <w:tab/>
        <w:t>Use de moyens ou de méthodes de torture particulièrement graves, notamment des agressions, l’application de décharges électriques, des simulacres d’exécution ou de l’administration de substances hallucinogènes, ou</w:t>
      </w:r>
    </w:p>
    <w:p w:rsidR="00000000" w:rsidRDefault="00000000">
      <w:pPr>
        <w:spacing w:after="240"/>
      </w:pPr>
      <w:r>
        <w:tab/>
      </w:r>
      <w:r>
        <w:tab/>
        <w:t>c)</w:t>
      </w:r>
      <w:r>
        <w:tab/>
        <w:t>Commet de manière habituelle l’un des actes mentionnés à l’article précédent;</w:t>
      </w:r>
    </w:p>
    <w:p w:rsidR="00000000" w:rsidRDefault="00000000">
      <w:pPr>
        <w:spacing w:after="240"/>
      </w:pPr>
      <w:r>
        <w:tab/>
        <w:t>sera passible d’une peine de prison de 3 à 12 ans.</w:t>
      </w:r>
    </w:p>
    <w:p w:rsidR="00000000" w:rsidRDefault="00000000">
      <w:pPr>
        <w:spacing w:after="240"/>
        <w:ind w:left="567" w:firstLine="573"/>
      </w:pPr>
      <w:r>
        <w:t>2.</w:t>
      </w:r>
      <w:r>
        <w:tab/>
        <w:t>Lorsque les faits décrits dans cet article ou dans l’article antérieur entraînent le suicide ou le décès de la victime, l’auteur encourt une peine d’emprisonnement de 8 à 16 ans.».</w:t>
      </w:r>
    </w:p>
    <w:p w:rsidR="00000000" w:rsidRDefault="00000000">
      <w:pPr>
        <w:spacing w:after="240"/>
      </w:pPr>
      <w:r>
        <w:t>6.</w:t>
      </w:r>
      <w:r>
        <w:tab/>
        <w:t>Enfin, aux termes de l’article 245, l’omission de dénoncer la perpétration d’un acte de torture est également punie:</w:t>
      </w:r>
    </w:p>
    <w:p w:rsidR="00000000" w:rsidRDefault="00000000">
      <w:pPr>
        <w:spacing w:after="240"/>
        <w:ind w:left="567" w:firstLine="567"/>
      </w:pPr>
      <w:r>
        <w:t>«Le supérieur hiérarchique qui, ayant connaissance de la perpétration, par un subordonné, d’un fait prescrit dans les articles 243 ou 244, ne procède pas à la dénonciation dans le délai maximum de trois jours à partir du moment où il en a pris connaissance, est puni d’une peine de prison de six mois à trois ans.».</w:t>
      </w:r>
    </w:p>
    <w:p w:rsidR="00000000" w:rsidRDefault="00000000">
      <w:pPr>
        <w:spacing w:after="240"/>
      </w:pPr>
      <w:r>
        <w:t>7.</w:t>
      </w:r>
      <w:r>
        <w:tab/>
        <w:t>Finalement, la perpétration de crimes prévus dans le Code pénal en tant que crimes contre la paix et l’humanité, peut conduire, aux termes de l’article 246 du Code pénal, à l’incapacité d’élire et d’être élu à toute charge politique, pour une période allant de 2 à 10 ans.</w:t>
      </w:r>
    </w:p>
    <w:p w:rsidR="00000000" w:rsidRDefault="00000000">
      <w:pPr>
        <w:spacing w:after="240"/>
        <w:jc w:val="center"/>
        <w:rPr>
          <w:b/>
          <w:bCs/>
        </w:rPr>
      </w:pPr>
      <w:r>
        <w:rPr>
          <w:b/>
          <w:bCs/>
        </w:rPr>
        <w:t>C.  Mesures législatives, administratives ou autres</w:t>
      </w:r>
    </w:p>
    <w:p w:rsidR="00000000" w:rsidRDefault="00000000">
      <w:pPr>
        <w:spacing w:after="240"/>
      </w:pPr>
      <w:r>
        <w:t>8.</w:t>
      </w:r>
      <w:r>
        <w:tab/>
        <w:t>En ce qui concerne les mesures législatives, administratives, judiciaires et autres, tout comme pour ce qui a été dit jusqu’à présent, nous renvoyons au troisième rapport périodique du Portugal (CAT/C/44/Add.7, par. 33 à 36).</w:t>
      </w:r>
    </w:p>
    <w:p w:rsidR="00000000" w:rsidRDefault="00000000">
      <w:pPr>
        <w:spacing w:after="240"/>
      </w:pPr>
      <w:r>
        <w:t>9.</w:t>
      </w:r>
      <w:r>
        <w:tab/>
        <w:t xml:space="preserve">En ce qui concerne les mesures adoptées récemment, il faut citer la nouvelle loi d’organisation et de fonctionnement des tribunaux judiciaires, déjà mentionnée lors de la présentation, en mai 2000, du troisième rapport, et dont la dernière modification a eu lieu au moyen de la loi </w:t>
      </w:r>
      <w:r>
        <w:rPr>
          <w:rFonts w:eastAsia="MS Mincho"/>
        </w:rPr>
        <w:t>n</w:t>
      </w:r>
      <w:r>
        <w:rPr>
          <w:rFonts w:eastAsia="MS Mincho"/>
          <w:vertAlign w:val="superscript"/>
        </w:rPr>
        <w:t>o</w:t>
      </w:r>
      <w:r>
        <w:t xml:space="preserve"> 105/2003, du 10 décembre. Cette loi résout des problèmes liés à l’intégration des juges militaires pour les affaires militaires dans les tribunaux communs.</w:t>
      </w:r>
    </w:p>
    <w:p w:rsidR="00000000" w:rsidRDefault="00000000">
      <w:pPr>
        <w:spacing w:after="240"/>
      </w:pPr>
      <w:r>
        <w:t>10.</w:t>
      </w:r>
      <w:r>
        <w:tab/>
        <w:t>Un ensemble important de dispositions de cette nouvelle loi, qui maintient la garantie de l’indépendance des tribunaux et renforce, en les réorganisant, leurs pouvoirs, est celui qui est composé des articles 68 à 76:</w:t>
      </w:r>
    </w:p>
    <w:p w:rsidR="00000000" w:rsidRDefault="00000000">
      <w:pPr>
        <w:spacing w:after="240"/>
      </w:pPr>
      <w:r>
        <w:tab/>
        <w:t>a)</w:t>
      </w:r>
      <w:r>
        <w:tab/>
        <w:t xml:space="preserve">On y prévoit le remplacement des juges, dans leurs absences et empêchements, par un autre juge et, lorsque celui-ci fait défaut, par une personne idoine, titulaire d’une </w:t>
      </w:r>
      <w:r>
        <w:rPr>
          <w:i/>
          <w:iCs/>
        </w:rPr>
        <w:t>Licenciatura</w:t>
      </w:r>
      <w:r>
        <w:t xml:space="preserve"> en droit, désignée par le Conseil supérieur de la magistrature (art. 68);</w:t>
      </w:r>
    </w:p>
    <w:p w:rsidR="00000000" w:rsidRDefault="00000000">
      <w:pPr>
        <w:spacing w:after="240"/>
      </w:pPr>
      <w:r>
        <w:tab/>
        <w:t>b)</w:t>
      </w:r>
      <w:r>
        <w:tab/>
        <w:t>En cas de besoin justifié, en des circonstances exceptionnelles, le Conseil supérieur de la magistrature peut décider qu’un juge, avec le consentement de celui-ci, exerce des fonctions dans plus d’un tribunal, même dans une circonscription différente (art. 68);</w:t>
      </w:r>
    </w:p>
    <w:p w:rsidR="00000000" w:rsidRDefault="00000000">
      <w:pPr>
        <w:spacing w:after="240"/>
      </w:pPr>
      <w:r>
        <w:tab/>
        <w:t>c)</w:t>
      </w:r>
      <w:r>
        <w:tab/>
        <w:t>Des juges auxiliaires peuvent être désignés pour compléter le nombre de juges des tribunaux de première instance et des cours d’appel (art. 70 et 50);</w:t>
      </w:r>
    </w:p>
    <w:p w:rsidR="00000000" w:rsidRDefault="00000000">
      <w:pPr>
        <w:spacing w:after="240"/>
      </w:pPr>
      <w:r>
        <w:tab/>
        <w:t>d)</w:t>
      </w:r>
      <w:r>
        <w:tab/>
        <w:t>Dans chaque district judiciaire est créée une «bourse» de juges destinés à remplacer les juges des circonscriptions judiciaires comprises dans le district, lorsque le volume de travail, l’empêchement des juges ou la période de temps pour laquelle un juge suppléant est nécessaire ne permettent pas d’utiliser le régime prévu à l’article 69 (art. 71).</w:t>
      </w:r>
    </w:p>
    <w:p w:rsidR="00000000" w:rsidRDefault="00000000">
      <w:pPr>
        <w:spacing w:after="240"/>
      </w:pPr>
      <w:r>
        <w:tab/>
        <w:t>e)</w:t>
      </w:r>
      <w:r>
        <w:tab/>
        <w:t>Aux termes de l’article 73, le service urgent est assuré par roulement, notamment lors des vacances judiciaires.</w:t>
      </w:r>
    </w:p>
    <w:p w:rsidR="00000000" w:rsidRDefault="00000000">
      <w:pPr>
        <w:spacing w:after="240"/>
      </w:pPr>
      <w:r>
        <w:tab/>
        <w:t>f)</w:t>
      </w:r>
      <w:r>
        <w:tab/>
        <w:t>Le service urgent prévu dans le Code de procédure pénale, dans la loi relative à la santé mentale et dans la législation relative aux jeunes est également organisé par roulement (art. 73).</w:t>
      </w:r>
    </w:p>
    <w:p w:rsidR="00000000" w:rsidRDefault="00000000">
      <w:pPr>
        <w:spacing w:after="240"/>
      </w:pPr>
      <w:r>
        <w:t>11.</w:t>
      </w:r>
      <w:r>
        <w:tab/>
        <w:t>Des tribunaux d’instruction criminelle, prévus aux articles 79 et suivants de la loi d’organisation et de fonctionnement des tribunaux judiciaires, peuvent être créés lorsque la densité de l’activité judiciaire l’exige. Dans les mêmes termes, des unités du ministère public, intitulées Départements de recherche et d’action pénale (DIAP), peuvent être créées dans l’aire de juridiction des tribunaux d’instruction.</w:t>
      </w:r>
    </w:p>
    <w:p w:rsidR="00000000" w:rsidRDefault="00000000">
      <w:pPr>
        <w:spacing w:after="240"/>
      </w:pPr>
      <w:r>
        <w:t>12.</w:t>
      </w:r>
      <w:r>
        <w:tab/>
        <w:t>La loi prévoit encore le service du ministère public auprès des tribunaux et la représentation de celui-ci auprès de chaque instance: auprès de la Cour suprême c’est le Procureur général de la République qui en est le représentant; auprès des cours d’appel ce sont les procureurs généraux adjoints ainsi que les procureurs généraux de district; auprès des tribunaux de première instance, la représentation est assurée par les procureurs de la République et par les procureurs adjoints.</w:t>
      </w:r>
    </w:p>
    <w:p w:rsidR="00000000" w:rsidRDefault="00000000">
      <w:pPr>
        <w:spacing w:after="240"/>
      </w:pPr>
      <w:r>
        <w:t>13.</w:t>
      </w:r>
      <w:r>
        <w:tab/>
        <w:t>Un chapitre important de la loi a trait aux mandataires, c’est</w:t>
      </w:r>
      <w:r>
        <w:noBreakHyphen/>
        <w:t>à</w:t>
      </w:r>
      <w:r>
        <w:noBreakHyphen/>
        <w:t>dire aux avocats, aux termes de l’article 114:</w:t>
      </w:r>
    </w:p>
    <w:p w:rsidR="00000000" w:rsidRDefault="00000000">
      <w:pPr>
        <w:spacing w:after="240"/>
        <w:ind w:left="567" w:firstLine="573"/>
      </w:pPr>
      <w:r>
        <w:t>«1.</w:t>
      </w:r>
      <w:r>
        <w:tab/>
        <w:t>La loi assure aux avocats les immunités nécessaires à l’exercice du mandat et réglemente la représentation en justice en tant qu’élément essentiel de l’administration de la justice.</w:t>
      </w:r>
    </w:p>
    <w:p w:rsidR="00000000" w:rsidRDefault="00000000">
      <w:pPr>
        <w:spacing w:after="240"/>
        <w:ind w:left="567" w:firstLine="573"/>
      </w:pPr>
      <w:r>
        <w:t>2.</w:t>
      </w:r>
      <w:r>
        <w:tab/>
        <w:t>Pour la défense des droits et des garanties individuelles, les avocats peuvent requérir l’intervention des organes juridictionnels compétents.</w:t>
      </w:r>
    </w:p>
    <w:p w:rsidR="00000000" w:rsidRDefault="00000000">
      <w:pPr>
        <w:spacing w:after="240"/>
        <w:ind w:left="567" w:firstLine="573"/>
      </w:pPr>
      <w:r>
        <w:t>3.</w:t>
      </w:r>
      <w:r>
        <w:tab/>
        <w:t>L’immunité nécessaire à l’exécution efficace du mandat est assurée aux avocats par la reconnaissance légale et par la garantie:</w:t>
      </w:r>
    </w:p>
    <w:p w:rsidR="00000000" w:rsidRDefault="00000000">
      <w:pPr>
        <w:spacing w:after="240"/>
        <w:ind w:left="567" w:firstLine="573"/>
      </w:pPr>
      <w:r>
        <w:t>a)</w:t>
      </w:r>
      <w:r>
        <w:tab/>
        <w:t>Du droit à la protection du secret professionnel;</w:t>
      </w:r>
    </w:p>
    <w:p w:rsidR="00000000" w:rsidRDefault="00000000">
      <w:pPr>
        <w:spacing w:after="240"/>
        <w:ind w:left="567" w:firstLine="573"/>
      </w:pPr>
      <w:r>
        <w:t>b)</w:t>
      </w:r>
      <w:r>
        <w:tab/>
        <w:t>Du droit au libre exercice de la représentation et à la non</w:t>
      </w:r>
      <w:r>
        <w:noBreakHyphen/>
        <w:t>punition pour l’exercice d’actes conformes au statut de la profession;</w:t>
      </w:r>
    </w:p>
    <w:p w:rsidR="00000000" w:rsidRDefault="00000000">
      <w:pPr>
        <w:spacing w:after="240"/>
        <w:ind w:left="567" w:firstLine="573"/>
      </w:pPr>
      <w:r>
        <w:t>c)</w:t>
      </w:r>
      <w:r>
        <w:tab/>
        <w:t>Du droit à la protection spéciale des communications avec le client et à la préservation du secret de la documentation relative à l’exercice de la défense.».</w:t>
      </w:r>
    </w:p>
    <w:p w:rsidR="00000000" w:rsidRDefault="00000000">
      <w:pPr>
        <w:spacing w:after="240"/>
      </w:pPr>
      <w:r>
        <w:t>14.</w:t>
      </w:r>
      <w:r>
        <w:tab/>
        <w:t xml:space="preserve">Le statut du ministère public a également été changé; il est désormais régi par la loi </w:t>
      </w:r>
      <w:r>
        <w:rPr>
          <w:rFonts w:eastAsia="MS Mincho"/>
        </w:rPr>
        <w:t>n</w:t>
      </w:r>
      <w:r>
        <w:rPr>
          <w:rFonts w:eastAsia="MS Mincho"/>
          <w:vertAlign w:val="superscript"/>
        </w:rPr>
        <w:t>o</w:t>
      </w:r>
      <w:r>
        <w:t> 68/98. Le ministère public représente l’État, défend les intérêts que la loi détermine, participe à l’exécution de la politique criminelle définie par les organes de l’État, exerce l’action pénale orientée par le principe de la légalité et défend le principe de la légalité démocratique, conformément à la Constitution, à son statut et à la loi.</w:t>
      </w:r>
    </w:p>
    <w:p w:rsidR="00000000" w:rsidRDefault="00000000">
      <w:pPr>
        <w:spacing w:after="240"/>
      </w:pPr>
      <w:r>
        <w:t>15.</w:t>
      </w:r>
      <w:r>
        <w:tab/>
        <w:t>Le ministère public jouit de l’autonomie, par rapport aux autres organes du pouvoir central, régional et local, aux termes de la loi. Son autonomie se caractérise par le fait d’être lié à des critères de légalité et d’objectivité et par la sujétion exclusive des magistrats du ministère public aux directives, aux ordres et aux instructions prévues dans la loi.</w:t>
      </w:r>
    </w:p>
    <w:p w:rsidR="00000000" w:rsidRDefault="00000000">
      <w:pPr>
        <w:spacing w:after="240"/>
      </w:pPr>
      <w:r>
        <w:t>16.</w:t>
      </w:r>
      <w:r>
        <w:tab/>
        <w:t>Alors que les tribunaux sont indépendants, le ministère public est seulement autonome parce que lié à l’État, cependant, il n’en est pas moins autonome: même lors de la représentation de l’État, c’est le ministère public qui détermine les termes de cette représentation. Dans les affaires qui lui sont soumises aux termes de la loi, il décide du mode de son intervention. L’État n’a aucune mainmise, du reste, sur la direction du ministère public qui revient au Procureur général de la République et au Conseil supérieur du ministère public.</w:t>
      </w:r>
    </w:p>
    <w:p w:rsidR="00000000" w:rsidRDefault="00000000">
      <w:pPr>
        <w:spacing w:after="240"/>
      </w:pPr>
      <w:r>
        <w:t>17.</w:t>
      </w:r>
      <w:r>
        <w:tab/>
        <w:t>La surveillance supérieure de l’activité de procédure des organes de police criminelle, de la police judiciaire en particulier, revient au ministère public, par la personne du Procureur général de la République. Elle revient, à chaque échelon de la hiérarchie, en fonction des procès concrets, l’enquête étant dirigée par le ministère public, dans le cadre de l’action pénale (l’instruction, présidée par le juge d’instruction, est facultative: elle a lieu, notamment, lorsque le prévenu le demande).</w:t>
      </w:r>
    </w:p>
    <w:p w:rsidR="00000000" w:rsidRDefault="00000000">
      <w:pPr>
        <w:spacing w:after="240"/>
      </w:pPr>
      <w:r>
        <w:t>18.</w:t>
      </w:r>
      <w:r>
        <w:tab/>
        <w:t xml:space="preserve">Outre la réforme du Code de procédure pénale, qui a abouti en 1998 (loi </w:t>
      </w:r>
      <w:r>
        <w:rPr>
          <w:rFonts w:eastAsia="MS Mincho"/>
        </w:rPr>
        <w:t>n</w:t>
      </w:r>
      <w:r>
        <w:rPr>
          <w:rFonts w:eastAsia="MS Mincho"/>
          <w:vertAlign w:val="superscript"/>
        </w:rPr>
        <w:t>o</w:t>
      </w:r>
      <w:r>
        <w:t xml:space="preserve"> 58/98, du 25 août) et à laquelle il sera fait mention ci</w:t>
      </w:r>
      <w:r>
        <w:noBreakHyphen/>
        <w:t>après lors de l’examen des garanties de la procédure, d’autres mesures ont été prises depuis la présentation du troisième rapport périodique:</w:t>
      </w:r>
    </w:p>
    <w:p w:rsidR="00000000" w:rsidRDefault="00000000">
      <w:pPr>
        <w:spacing w:after="240"/>
      </w:pPr>
      <w:r>
        <w:tab/>
        <w:t>a)</w:t>
      </w:r>
      <w:r>
        <w:tab/>
        <w:t xml:space="preserve">La loi </w:t>
      </w:r>
      <w:r>
        <w:rPr>
          <w:rFonts w:eastAsia="MS Mincho"/>
        </w:rPr>
        <w:t>n</w:t>
      </w:r>
      <w:r>
        <w:rPr>
          <w:rFonts w:eastAsia="MS Mincho"/>
          <w:vertAlign w:val="superscript"/>
        </w:rPr>
        <w:t>o</w:t>
      </w:r>
      <w:r>
        <w:t xml:space="preserve"> 16/98, du 8 avril, réglemente la structure et le fonctionnement du Centre d’études judiciaires qui est chargé de la formation de magistrats du siège et du parquet, ainsi que d’assesseurs des tribunaux; de la formation juridique et judiciaire, en des actions spécifiques, d’avocats, d’avoués et d’agents d’autres secteurs professionnels, et de l’élaboration d’activités d’étude et de recherche juridique et judiciaire;</w:t>
      </w:r>
    </w:p>
    <w:p w:rsidR="00000000" w:rsidRDefault="00000000">
      <w:pPr>
        <w:spacing w:after="240"/>
      </w:pPr>
      <w:r>
        <w:tab/>
        <w:t>b)</w:t>
      </w:r>
      <w:r>
        <w:tab/>
        <w:t xml:space="preserve">La loi </w:t>
      </w:r>
      <w:r>
        <w:rPr>
          <w:rFonts w:eastAsia="MS Mincho"/>
        </w:rPr>
        <w:t>n</w:t>
      </w:r>
      <w:r>
        <w:rPr>
          <w:rFonts w:eastAsia="MS Mincho"/>
          <w:vertAlign w:val="superscript"/>
        </w:rPr>
        <w:t>o</w:t>
      </w:r>
      <w:r>
        <w:t xml:space="preserve"> 93/99, du 14 juillet, réglemente l’application de mesures pour la protection des témoins en procédure pénale, ainsi que le décret-loi </w:t>
      </w:r>
      <w:r>
        <w:rPr>
          <w:rFonts w:eastAsia="MS Mincho"/>
        </w:rPr>
        <w:t>n</w:t>
      </w:r>
      <w:r>
        <w:rPr>
          <w:rFonts w:eastAsia="MS Mincho"/>
          <w:vertAlign w:val="superscript"/>
        </w:rPr>
        <w:t>o</w:t>
      </w:r>
      <w:r>
        <w:t xml:space="preserve"> 190/2003, du 22 août, qui la réglemente;</w:t>
      </w:r>
    </w:p>
    <w:p w:rsidR="00000000" w:rsidRDefault="00000000">
      <w:pPr>
        <w:spacing w:after="240"/>
      </w:pPr>
      <w:r>
        <w:tab/>
        <w:t>c)</w:t>
      </w:r>
      <w:r>
        <w:tab/>
        <w:t xml:space="preserve">L’arrêté </w:t>
      </w:r>
      <w:r>
        <w:rPr>
          <w:rFonts w:eastAsia="MS Mincho"/>
        </w:rPr>
        <w:t>n</w:t>
      </w:r>
      <w:r>
        <w:rPr>
          <w:rFonts w:eastAsia="MS Mincho"/>
          <w:vertAlign w:val="superscript"/>
        </w:rPr>
        <w:t>o</w:t>
      </w:r>
      <w:r>
        <w:t> 183/2003, du 21 février, portant création au Ministère de la justice, avec un caractère temporaire, de la Commission d’études et de débat de la réforme du système pénitentiaire;</w:t>
      </w:r>
    </w:p>
    <w:p w:rsidR="00000000" w:rsidRDefault="00000000">
      <w:pPr>
        <w:spacing w:after="240"/>
      </w:pPr>
      <w:r>
        <w:tab/>
        <w:t>d)</w:t>
      </w:r>
      <w:r>
        <w:tab/>
        <w:t xml:space="preserve">La résolution du Conseil des ministres </w:t>
      </w:r>
      <w:r>
        <w:rPr>
          <w:rFonts w:eastAsia="MS Mincho"/>
        </w:rPr>
        <w:t>n</w:t>
      </w:r>
      <w:r>
        <w:rPr>
          <w:rFonts w:eastAsia="MS Mincho"/>
          <w:vertAlign w:val="superscript"/>
        </w:rPr>
        <w:t>o</w:t>
      </w:r>
      <w:r>
        <w:t xml:space="preserve"> 37/2002, du 28 février, prend note de l’adoption, par les agents de la Garde nationale républicaine (GNR) et la Police de sécurité publique (PSP), du Code déontologique du Service de police;</w:t>
      </w:r>
    </w:p>
    <w:p w:rsidR="00000000" w:rsidRDefault="00000000">
      <w:pPr>
        <w:spacing w:after="240"/>
      </w:pPr>
      <w:r>
        <w:tab/>
        <w:t>e)</w:t>
      </w:r>
      <w:r>
        <w:tab/>
        <w:t xml:space="preserve">L’arrêté </w:t>
      </w:r>
      <w:r>
        <w:rPr>
          <w:rFonts w:eastAsia="MS Mincho"/>
        </w:rPr>
        <w:t>n</w:t>
      </w:r>
      <w:r>
        <w:rPr>
          <w:rFonts w:eastAsia="MS Mincho"/>
          <w:vertAlign w:val="superscript"/>
        </w:rPr>
        <w:t>o</w:t>
      </w:r>
      <w:r>
        <w:t xml:space="preserve"> 472/2001, du 10 mai, détermine que les départements de recherche criminelle de la police judiciaire sont ceux qui résultent de la division judiciaire du pays en circonscriptions de première instance (</w:t>
      </w:r>
      <w:r>
        <w:rPr>
          <w:i/>
          <w:iCs/>
        </w:rPr>
        <w:t>comarcas</w:t>
      </w:r>
      <w:r>
        <w:t>);</w:t>
      </w:r>
    </w:p>
    <w:p w:rsidR="00000000" w:rsidRDefault="00000000">
      <w:pPr>
        <w:spacing w:after="240"/>
      </w:pPr>
      <w:r>
        <w:tab/>
        <w:t>f)</w:t>
      </w:r>
      <w:r>
        <w:tab/>
        <w:t xml:space="preserve">Le décret-loi </w:t>
      </w:r>
      <w:r>
        <w:rPr>
          <w:rFonts w:eastAsia="MS Mincho"/>
        </w:rPr>
        <w:t>n</w:t>
      </w:r>
      <w:r>
        <w:rPr>
          <w:rFonts w:eastAsia="MS Mincho"/>
          <w:vertAlign w:val="superscript"/>
        </w:rPr>
        <w:t>o</w:t>
      </w:r>
      <w:r>
        <w:t xml:space="preserve"> 11/98, du 24 janvier, procède à la réorganisation du système médico</w:t>
      </w:r>
      <w:r>
        <w:noBreakHyphen/>
        <w:t>légal;</w:t>
      </w:r>
    </w:p>
    <w:p w:rsidR="00000000" w:rsidRDefault="00000000">
      <w:pPr>
        <w:spacing w:after="240"/>
      </w:pPr>
      <w:r>
        <w:tab/>
        <w:t>g)</w:t>
      </w:r>
      <w:r>
        <w:tab/>
        <w:t xml:space="preserve">Le décret-loi </w:t>
      </w:r>
      <w:r>
        <w:rPr>
          <w:rFonts w:eastAsia="MS Mincho"/>
        </w:rPr>
        <w:t>n</w:t>
      </w:r>
      <w:r>
        <w:rPr>
          <w:rFonts w:eastAsia="MS Mincho"/>
          <w:vertAlign w:val="superscript"/>
        </w:rPr>
        <w:t>o</w:t>
      </w:r>
      <w:r>
        <w:t xml:space="preserve"> 96/2001, du 26 mars, approuve la loi organique de l’Institut national de médecine légale;</w:t>
      </w:r>
    </w:p>
    <w:p w:rsidR="00000000" w:rsidRDefault="00000000">
      <w:pPr>
        <w:spacing w:after="240"/>
      </w:pPr>
      <w:r>
        <w:tab/>
        <w:t>h)</w:t>
      </w:r>
      <w:r>
        <w:tab/>
        <w:t xml:space="preserve">Le décret-loi </w:t>
      </w:r>
      <w:r>
        <w:rPr>
          <w:rFonts w:eastAsia="MS Mincho"/>
        </w:rPr>
        <w:t>n</w:t>
      </w:r>
      <w:r>
        <w:rPr>
          <w:rFonts w:eastAsia="MS Mincho"/>
          <w:vertAlign w:val="superscript"/>
        </w:rPr>
        <w:t>o</w:t>
      </w:r>
      <w:r>
        <w:t xml:space="preserve"> 395/99, du 13 octobre, établit le régime juridique des Instituts de médecine légale de Lisbonne, de Porto et de Coimbra;</w:t>
      </w:r>
    </w:p>
    <w:p w:rsidR="00000000" w:rsidRDefault="00000000">
      <w:pPr>
        <w:spacing w:after="240"/>
      </w:pPr>
      <w:r>
        <w:tab/>
        <w:t>i)</w:t>
      </w:r>
      <w:r>
        <w:tab/>
        <w:t xml:space="preserve">Le décret-loi </w:t>
      </w:r>
      <w:r>
        <w:rPr>
          <w:rFonts w:eastAsia="MS Mincho"/>
        </w:rPr>
        <w:t>n</w:t>
      </w:r>
      <w:r>
        <w:rPr>
          <w:rFonts w:eastAsia="MS Mincho"/>
          <w:vertAlign w:val="superscript"/>
        </w:rPr>
        <w:t>o</w:t>
      </w:r>
      <w:r>
        <w:rPr>
          <w:rFonts w:eastAsia="MS Mincho"/>
        </w:rPr>
        <w:t> </w:t>
      </w:r>
      <w:r>
        <w:t>274/99, du 22 juillet, réglemente la dissection de cadavres et l’extraction de pièces, de tissus et d’organes, à des fins d’enseignement et de recherche scientifique;</w:t>
      </w:r>
    </w:p>
    <w:p w:rsidR="00000000" w:rsidRDefault="00000000">
      <w:pPr>
        <w:spacing w:after="240"/>
      </w:pPr>
      <w:r>
        <w:tab/>
        <w:t>j)</w:t>
      </w:r>
      <w:r>
        <w:tab/>
        <w:t xml:space="preserve">La loi relative à la santé mentale, loi </w:t>
      </w:r>
      <w:r>
        <w:rPr>
          <w:rFonts w:eastAsia="MS Mincho"/>
        </w:rPr>
        <w:t>n</w:t>
      </w:r>
      <w:r>
        <w:rPr>
          <w:rFonts w:eastAsia="MS Mincho"/>
          <w:vertAlign w:val="superscript"/>
        </w:rPr>
        <w:t>o</w:t>
      </w:r>
      <w:r>
        <w:t xml:space="preserve"> 36/98, du 24 juillet;</w:t>
      </w:r>
    </w:p>
    <w:p w:rsidR="00000000" w:rsidRDefault="00000000">
      <w:pPr>
        <w:spacing w:after="240"/>
      </w:pPr>
      <w:r>
        <w:tab/>
        <w:t>k)</w:t>
      </w:r>
      <w:r>
        <w:tab/>
        <w:t xml:space="preserve">La résolution du Conseil des ministres </w:t>
      </w:r>
      <w:r>
        <w:rPr>
          <w:rFonts w:eastAsia="MS Mincho"/>
        </w:rPr>
        <w:t>n</w:t>
      </w:r>
      <w:r>
        <w:rPr>
          <w:rFonts w:eastAsia="MS Mincho"/>
          <w:vertAlign w:val="superscript"/>
        </w:rPr>
        <w:t>o</w:t>
      </w:r>
      <w:r>
        <w:t xml:space="preserve"> 46/99, du 26 mai, approuve la Stratégie nationale de lutte contre la drogue;</w:t>
      </w:r>
    </w:p>
    <w:p w:rsidR="00000000" w:rsidRDefault="00000000">
      <w:pPr>
        <w:spacing w:after="240"/>
      </w:pPr>
      <w:r>
        <w:tab/>
        <w:t>l)</w:t>
      </w:r>
      <w:r>
        <w:tab/>
        <w:t xml:space="preserve">La résolution du Conseil des ministres </w:t>
      </w:r>
      <w:r>
        <w:rPr>
          <w:rFonts w:eastAsia="MS Mincho"/>
        </w:rPr>
        <w:t>n</w:t>
      </w:r>
      <w:r>
        <w:rPr>
          <w:rFonts w:eastAsia="MS Mincho"/>
          <w:vertAlign w:val="superscript"/>
        </w:rPr>
        <w:t>o</w:t>
      </w:r>
      <w:r>
        <w:t xml:space="preserve"> 39/2001, du 9 avril, portant le Plan d’action national de lutte contre la drogue et la toxicodépendance – Horizon 2004.</w:t>
      </w:r>
    </w:p>
    <w:p w:rsidR="00000000" w:rsidRDefault="00000000">
      <w:pPr>
        <w:spacing w:after="240"/>
      </w:pPr>
      <w:r>
        <w:tab/>
        <w:t>m)</w:t>
      </w:r>
      <w:r>
        <w:tab/>
        <w:t xml:space="preserve">La résolution de l’Assemblée de la République </w:t>
      </w:r>
      <w:r>
        <w:rPr>
          <w:rFonts w:eastAsia="MS Mincho"/>
        </w:rPr>
        <w:t>n</w:t>
      </w:r>
      <w:r>
        <w:rPr>
          <w:rFonts w:eastAsia="MS Mincho"/>
          <w:vertAlign w:val="superscript"/>
        </w:rPr>
        <w:t>o</w:t>
      </w:r>
      <w:r>
        <w:t xml:space="preserve"> 16/2000, du 2 décembre 1999.</w:t>
      </w:r>
    </w:p>
    <w:p w:rsidR="00000000" w:rsidRDefault="00000000">
      <w:pPr>
        <w:spacing w:after="240"/>
      </w:pPr>
      <w:r>
        <w:tab/>
        <w:t>n)</w:t>
      </w:r>
      <w:r>
        <w:tab/>
        <w:t xml:space="preserve">Le décret du Président de la République </w:t>
      </w:r>
      <w:r>
        <w:rPr>
          <w:rFonts w:eastAsia="MS Mincho"/>
        </w:rPr>
        <w:t>n</w:t>
      </w:r>
      <w:r>
        <w:rPr>
          <w:rFonts w:eastAsia="MS Mincho"/>
          <w:vertAlign w:val="superscript"/>
        </w:rPr>
        <w:t>o</w:t>
      </w:r>
      <w:r>
        <w:t xml:space="preserve"> 4/2000, du 6 mars, portant ratification de la Convention européenne relative à l’indemnisation des victimes de crimes violents.</w:t>
      </w:r>
    </w:p>
    <w:p w:rsidR="00000000" w:rsidRDefault="00000000">
      <w:pPr>
        <w:keepNext/>
        <w:spacing w:after="240"/>
        <w:jc w:val="center"/>
        <w:rPr>
          <w:b/>
          <w:bCs/>
          <w:iCs/>
          <w:lang w:val="fr-FR"/>
        </w:rPr>
      </w:pPr>
      <w:r>
        <w:rPr>
          <w:b/>
          <w:bCs/>
        </w:rPr>
        <w:t xml:space="preserve">D.  </w:t>
      </w:r>
      <w:r>
        <w:rPr>
          <w:b/>
          <w:bCs/>
          <w:iCs/>
          <w:lang w:val="fr-FR"/>
        </w:rPr>
        <w:t>Non</w:t>
      </w:r>
      <w:r>
        <w:rPr>
          <w:b/>
          <w:bCs/>
          <w:iCs/>
          <w:lang w:val="fr-FR"/>
        </w:rPr>
        <w:noBreakHyphen/>
        <w:t>expulsion, remise ou extradition vers un autre État où la personne</w:t>
      </w:r>
      <w:r>
        <w:rPr>
          <w:b/>
          <w:bCs/>
          <w:iCs/>
          <w:lang w:val="fr-FR"/>
        </w:rPr>
        <w:br/>
        <w:t>peut être soumise à la torture</w:t>
      </w:r>
    </w:p>
    <w:p w:rsidR="00000000" w:rsidRDefault="00000000">
      <w:pPr>
        <w:keepNext/>
        <w:spacing w:after="240"/>
      </w:pPr>
      <w:r>
        <w:rPr>
          <w:iCs/>
          <w:lang w:val="fr-FR"/>
        </w:rPr>
        <w:t>19.</w:t>
      </w:r>
      <w:r>
        <w:rPr>
          <w:iCs/>
          <w:lang w:val="fr-FR"/>
        </w:rPr>
        <w:tab/>
      </w:r>
      <w:r>
        <w:t xml:space="preserve">La loi </w:t>
      </w:r>
      <w:r>
        <w:rPr>
          <w:rFonts w:eastAsia="MS Mincho"/>
        </w:rPr>
        <w:t>n</w:t>
      </w:r>
      <w:r>
        <w:rPr>
          <w:rFonts w:eastAsia="MS Mincho"/>
          <w:vertAlign w:val="superscript"/>
        </w:rPr>
        <w:t>o</w:t>
      </w:r>
      <w:r>
        <w:t xml:space="preserve"> 144/99, du 31 août, régit la coopération judiciaire internationale de l’État portugais; elle concerne: i) l’extradition; ii) la transmission de procès pénaux; iii) l’exécution de sentences pénales; iv) le transfert de personnes condamnées à des peines et des mesures de sûreté privatives de liberté; v) la vigilance de personnes condamnées ou libérées sous condition; et vi) l’entraide judiciaire mutuelle en matière pénale.</w:t>
      </w:r>
    </w:p>
    <w:p w:rsidR="00000000" w:rsidRDefault="00000000">
      <w:pPr>
        <w:spacing w:after="240"/>
      </w:pPr>
      <w:r>
        <w:t>20.</w:t>
      </w:r>
      <w:r>
        <w:tab/>
        <w:t>Selon l’article 4 de la loi, la coopération judiciaire internationale en matière pénale relève du principe de la réciprocité. Le Ministère de la justice sollicite une garantie de réciprocité lorsque les circonstances l’exigent, et peut donner cette garantie à d’autres États. L’absence de coopération et d’entraide n’empêche pas la satisfaction d’une demande de coopération, pourvu que celle-ci:</w:t>
      </w:r>
    </w:p>
    <w:p w:rsidR="00000000" w:rsidRDefault="00000000">
      <w:pPr>
        <w:spacing w:after="240"/>
      </w:pPr>
      <w:r>
        <w:tab/>
        <w:t>a)</w:t>
      </w:r>
      <w:r>
        <w:tab/>
        <w:t>Se montre nécessaire en raison de la nature du fait ou du besoin de lutter contre certaines formes graves de criminalité;</w:t>
      </w:r>
    </w:p>
    <w:p w:rsidR="00000000" w:rsidRDefault="00000000">
      <w:pPr>
        <w:spacing w:after="240"/>
      </w:pPr>
      <w:r>
        <w:tab/>
        <w:t>b)</w:t>
      </w:r>
      <w:r>
        <w:tab/>
        <w:t>Puisse contribuer à améliorer la situation du détenu ou à sa réinsertion sociale;</w:t>
      </w:r>
    </w:p>
    <w:p w:rsidR="00000000" w:rsidRDefault="00000000">
      <w:pPr>
        <w:spacing w:after="240"/>
      </w:pPr>
      <w:r>
        <w:tab/>
        <w:t>c)</w:t>
      </w:r>
      <w:r>
        <w:tab/>
        <w:t>Soit utile à la découverte de la vérité, en ce qui concerne des faits imputés à un citoyen portugais.</w:t>
      </w:r>
    </w:p>
    <w:p w:rsidR="00000000" w:rsidRDefault="00000000">
      <w:pPr>
        <w:spacing w:after="240"/>
      </w:pPr>
      <w:r>
        <w:t>21.</w:t>
      </w:r>
      <w:r>
        <w:tab/>
        <w:t xml:space="preserve">L’article 6 de la loi </w:t>
      </w:r>
      <w:r>
        <w:rPr>
          <w:rFonts w:eastAsia="MS Mincho"/>
        </w:rPr>
        <w:t>n</w:t>
      </w:r>
      <w:r>
        <w:rPr>
          <w:rFonts w:eastAsia="MS Mincho"/>
          <w:vertAlign w:val="superscript"/>
        </w:rPr>
        <w:t>o</w:t>
      </w:r>
      <w:r>
        <w:t xml:space="preserve"> 144/99 pose des limites à la coopération internationale. Celle-ci est refusée lorsque:</w:t>
      </w:r>
    </w:p>
    <w:p w:rsidR="00000000" w:rsidRDefault="00000000">
      <w:pPr>
        <w:spacing w:after="240"/>
      </w:pPr>
      <w:r>
        <w:tab/>
        <w:t>a)</w:t>
      </w:r>
      <w:r>
        <w:tab/>
        <w:t>Le procès ne satisfait pas aux exigences de la Convention européenne de sauvegarde des droits de l’homme et des libertés fondamentales, du 4 novembre 1950, ou d’autres instruments internationaux pertinents, ratifiés par le Portugal;</w:t>
      </w:r>
    </w:p>
    <w:p w:rsidR="00000000" w:rsidRDefault="00000000">
      <w:pPr>
        <w:spacing w:after="240"/>
      </w:pPr>
      <w:r>
        <w:tab/>
        <w:t>b)</w:t>
      </w:r>
      <w:r>
        <w:tab/>
        <w:t>Il y a des raisons sérieuses de croire que la coopération est sollicitée dans le but de poursuivre ou de punir une personne en raison de sa race, de sa religion, de son sexe, de sa nationalité, de sa langue, de ses convictions politiques ou idéologiques, ou de son appartenance à un groupe social déterminé;</w:t>
      </w:r>
    </w:p>
    <w:p w:rsidR="00000000" w:rsidRDefault="00000000">
      <w:pPr>
        <w:spacing w:after="240"/>
      </w:pPr>
      <w:r>
        <w:tab/>
        <w:t>c)</w:t>
      </w:r>
      <w:r>
        <w:tab/>
        <w:t>Il y a un risque sérieux d’aggravation de la situation procédurale d’une personne pour l’une des raisons indiquées ci</w:t>
      </w:r>
      <w:r>
        <w:noBreakHyphen/>
        <w:t>dessus;</w:t>
      </w:r>
    </w:p>
    <w:p w:rsidR="00000000" w:rsidRDefault="00000000">
      <w:pPr>
        <w:spacing w:after="240"/>
      </w:pPr>
      <w:r>
        <w:tab/>
        <w:t>d)</w:t>
      </w:r>
      <w:r>
        <w:tab/>
        <w:t>Elle peut conduire à un jugement par un tribunal d’exception ou être relative à l’exécution d’une décision rendue par un tribunal de cette nature;</w:t>
      </w:r>
    </w:p>
    <w:p w:rsidR="00000000" w:rsidRDefault="00000000">
      <w:pPr>
        <w:spacing w:after="240"/>
      </w:pPr>
      <w:r>
        <w:tab/>
        <w:t>e)</w:t>
      </w:r>
      <w:r>
        <w:tab/>
        <w:t>Le fait auquel elle se rapporte est passible de la peine de mort ou d’une autre peine susceptible de provoquer une lésion irréversible de l’intégrité de la personne;</w:t>
      </w:r>
    </w:p>
    <w:p w:rsidR="00000000" w:rsidRDefault="00000000">
      <w:pPr>
        <w:spacing w:after="240"/>
      </w:pPr>
      <w:r>
        <w:tab/>
        <w:t>f)</w:t>
      </w:r>
      <w:r>
        <w:tab/>
        <w:t>Elle se rapporte à une infraction à laquelle correspond une peine de prison perpétuelle ou d’une durée indéfinie.</w:t>
      </w:r>
    </w:p>
    <w:p w:rsidR="00000000" w:rsidRDefault="00000000">
      <w:pPr>
        <w:spacing w:after="240"/>
      </w:pPr>
      <w:r>
        <w:t>22.</w:t>
      </w:r>
      <w:r>
        <w:tab/>
        <w:t xml:space="preserve">Aux termes du paragraphe 2 de l’article 6, les dispositions des alinéas </w:t>
      </w:r>
      <w:r>
        <w:rPr>
          <w:i/>
          <w:iCs/>
        </w:rPr>
        <w:t>e</w:t>
      </w:r>
      <w:r>
        <w:t xml:space="preserve"> et </w:t>
      </w:r>
      <w:r>
        <w:rPr>
          <w:i/>
          <w:iCs/>
        </w:rPr>
        <w:t>f</w:t>
      </w:r>
      <w:r>
        <w:t xml:space="preserve"> du paragraphe ci</w:t>
      </w:r>
      <w:r>
        <w:noBreakHyphen/>
        <w:t>dessus ne s’opposent pas à la coopération:</w:t>
      </w:r>
    </w:p>
    <w:p w:rsidR="00000000" w:rsidRDefault="00000000">
      <w:pPr>
        <w:spacing w:after="240"/>
      </w:pPr>
      <w:r>
        <w:tab/>
        <w:t>a)</w:t>
      </w:r>
      <w:r>
        <w:tab/>
        <w:t>Si l’État qui formule la demande, commue, par acte irrévocable et qui lie les tribunaux ou d’autres entités d’exécution des peines; s’il a préalablement commué la peine de mort ou une autre peine dont il peut résulter une lésion irréversible de l’intégrité de la personne ou en a retiré le caractère perpétuel ou la durée indéfinie;</w:t>
      </w:r>
    </w:p>
    <w:p w:rsidR="00000000" w:rsidRDefault="00000000">
      <w:pPr>
        <w:spacing w:after="240"/>
      </w:pPr>
      <w:r>
        <w:tab/>
        <w:t>b)</w:t>
      </w:r>
      <w:r>
        <w:tab/>
        <w:t>Si, en ce qui concerne l’extradition pour des crimes auxquels correspond, selon le droit de l’État requérant, une peine ou une mesure de sûreté privative ou restrictive de la liberté de nature perpétuelle, ou d’une durée indéfinie, l’État requérant offre des garanties telles que cette peine ou cette mesure de sûreté ne soit pas appliquée ou exécutée;</w:t>
      </w:r>
    </w:p>
    <w:p w:rsidR="00000000" w:rsidRDefault="00000000">
      <w:pPr>
        <w:spacing w:after="240"/>
      </w:pPr>
      <w:r>
        <w:tab/>
        <w:t>c)</w:t>
      </w:r>
      <w:r>
        <w:tab/>
        <w:t>Si l’État qui formule la demande accepte la conversion de ces peines ou de ces mesures par un tribunal portugais, selon les dispositions de la loi portugaise applicable au crime qui a motivé la condamnation;</w:t>
      </w:r>
    </w:p>
    <w:p w:rsidR="00000000" w:rsidRDefault="00000000">
      <w:pPr>
        <w:spacing w:after="240"/>
      </w:pPr>
      <w:r>
        <w:tab/>
        <w:t>ou encore</w:t>
      </w:r>
    </w:p>
    <w:p w:rsidR="00000000" w:rsidRDefault="00000000">
      <w:pPr>
        <w:spacing w:after="240"/>
      </w:pPr>
      <w:r>
        <w:tab/>
        <w:t>d)</w:t>
      </w:r>
      <w:r>
        <w:tab/>
        <w:t xml:space="preserve">Au cas où la demande est relative à l’entraide prévue à l’alinéa </w:t>
      </w:r>
      <w:r>
        <w:rPr>
          <w:i/>
          <w:iCs/>
        </w:rPr>
        <w:t>f</w:t>
      </w:r>
      <w:r>
        <w:t xml:space="preserve"> du paragraphe 1 de l’article 6, elle est sollicitée sur la base de la pertinence de l’acte pour une non</w:t>
      </w:r>
      <w:r>
        <w:noBreakHyphen/>
        <w:t>application présumée de ces peines ou de ces mesures.</w:t>
      </w:r>
    </w:p>
    <w:p w:rsidR="00000000" w:rsidRDefault="00000000">
      <w:pPr>
        <w:spacing w:after="240"/>
      </w:pPr>
      <w:r>
        <w:t>23.</w:t>
      </w:r>
      <w:r>
        <w:tab/>
        <w:t xml:space="preserve">En cas de refus de la demande d’extradition, sur le fondement des alinéas </w:t>
      </w:r>
      <w:r>
        <w:rPr>
          <w:i/>
          <w:iCs/>
        </w:rPr>
        <w:t>d</w:t>
      </w:r>
      <w:r>
        <w:t xml:space="preserve">, </w:t>
      </w:r>
      <w:r>
        <w:rPr>
          <w:i/>
          <w:iCs/>
        </w:rPr>
        <w:t>e</w:t>
      </w:r>
      <w:r>
        <w:t xml:space="preserve"> et </w:t>
      </w:r>
      <w:r>
        <w:rPr>
          <w:i/>
          <w:iCs/>
        </w:rPr>
        <w:t>f</w:t>
      </w:r>
      <w:r>
        <w:t xml:space="preserve"> du paragraphe 1, on applique le mécanisme de coopération prévu au paragraphe 5 de l’article 32, à savoir que lorsque l’extradition est refusée sur le fondement des alinéas </w:t>
      </w:r>
      <w:r>
        <w:rPr>
          <w:i/>
          <w:iCs/>
        </w:rPr>
        <w:t>d</w:t>
      </w:r>
      <w:r>
        <w:t xml:space="preserve">, </w:t>
      </w:r>
      <w:r>
        <w:rPr>
          <w:i/>
          <w:iCs/>
        </w:rPr>
        <w:t>e</w:t>
      </w:r>
      <w:r>
        <w:t xml:space="preserve"> et </w:t>
      </w:r>
      <w:r>
        <w:rPr>
          <w:i/>
          <w:iCs/>
        </w:rPr>
        <w:t>f</w:t>
      </w:r>
      <w:r>
        <w:t xml:space="preserve"> du paragraphe 1 de l’article 6, une procédure pénale est instaurée pour les faits qui étayent la demande, les éléments nécessaires étant demandés à l’État requérant. Le juge peut appliquer les mesures provisoires qui se révèlent adéquates.</w:t>
      </w:r>
    </w:p>
    <w:p w:rsidR="00000000" w:rsidRDefault="00000000">
      <w:pPr>
        <w:spacing w:after="240"/>
      </w:pPr>
      <w:r>
        <w:t>24.</w:t>
      </w:r>
      <w:r>
        <w:tab/>
        <w:t xml:space="preserve">La question de la constitutionnalité de cette nouvelle loi a été posée par le Médiateur, en fiscalisation abstraite, successive auprès de la Cour constitutionnelle. Celle-ci, dans son arrêt </w:t>
      </w:r>
      <w:r>
        <w:rPr>
          <w:rFonts w:eastAsia="MS Mincho"/>
        </w:rPr>
        <w:t>n</w:t>
      </w:r>
      <w:r>
        <w:rPr>
          <w:rFonts w:eastAsia="MS Mincho"/>
          <w:vertAlign w:val="superscript"/>
        </w:rPr>
        <w:t>o</w:t>
      </w:r>
      <w:r>
        <w:t xml:space="preserve"> 1/2001, rendu dans le procès 742/99 (publié au </w:t>
      </w:r>
      <w:r>
        <w:rPr>
          <w:i/>
          <w:iCs/>
        </w:rPr>
        <w:t>Diário da República</w:t>
      </w:r>
      <w:r>
        <w:t>, II</w:t>
      </w:r>
      <w:r>
        <w:rPr>
          <w:vertAlign w:val="superscript"/>
        </w:rPr>
        <w:t>ème</w:t>
      </w:r>
      <w:r>
        <w:t xml:space="preserve"> série, du 8 février 2001), a cependant décidé qu’il n’y a pas inconstitutionnalité.</w:t>
      </w:r>
    </w:p>
    <w:p w:rsidR="00000000" w:rsidRDefault="00000000">
      <w:pPr>
        <w:spacing w:after="240"/>
      </w:pPr>
      <w:r>
        <w:t>25.</w:t>
      </w:r>
      <w:r>
        <w:tab/>
        <w:t xml:space="preserve">Récemment, la loi </w:t>
      </w:r>
      <w:r>
        <w:rPr>
          <w:rFonts w:eastAsia="MS Mincho"/>
        </w:rPr>
        <w:t>n</w:t>
      </w:r>
      <w:r>
        <w:rPr>
          <w:rFonts w:eastAsia="MS Mincho"/>
          <w:vertAlign w:val="superscript"/>
        </w:rPr>
        <w:t>o</w:t>
      </w:r>
      <w:r>
        <w:t xml:space="preserve"> 65/2003, du 23 août, portant approbation du régime juridique du mandat de détention européen (en exécution de la décision-cadre </w:t>
      </w:r>
      <w:r>
        <w:rPr>
          <w:rFonts w:eastAsia="MS Mincho"/>
        </w:rPr>
        <w:t>n</w:t>
      </w:r>
      <w:r>
        <w:rPr>
          <w:rFonts w:eastAsia="MS Mincho"/>
          <w:vertAlign w:val="superscript"/>
        </w:rPr>
        <w:t>o</w:t>
      </w:r>
      <w:r>
        <w:t xml:space="preserve"> 2002/584/JAI, justice et affaires intérieures, du Conseil, du 13 juin) est venue changer légèrement le régime de la loi </w:t>
      </w:r>
      <w:r>
        <w:rPr>
          <w:rFonts w:eastAsia="MS Mincho"/>
        </w:rPr>
        <w:t>n</w:t>
      </w:r>
      <w:r>
        <w:rPr>
          <w:rFonts w:eastAsia="MS Mincho"/>
          <w:vertAlign w:val="superscript"/>
        </w:rPr>
        <w:t>o</w:t>
      </w:r>
      <w:r>
        <w:t> 144/99.</w:t>
      </w:r>
    </w:p>
    <w:p w:rsidR="00000000" w:rsidRDefault="00000000">
      <w:pPr>
        <w:spacing w:after="240"/>
      </w:pPr>
      <w:r>
        <w:t>26.</w:t>
      </w:r>
      <w:r>
        <w:tab/>
        <w:t>Pour les États membres de l’Union européenne, il suffit désormais qu’un juge émette un mandat de détention pour que celui-ci soit exécuté au Portugal, sans contrôle, notamment, de la double incrimination (qui exige que lorsque quelqu’un est poursuivi pour un fait par des autorités étrangères, il doit l’être aussi par les autorités nationales, aux termes de la loi portugaise, si celle</w:t>
      </w:r>
      <w:r>
        <w:noBreakHyphen/>
        <w:t>ci devait s’appliquer, pour que l’extradition puisse avoir lieu), pour les faits suivants:</w:t>
      </w:r>
    </w:p>
    <w:p w:rsidR="00000000" w:rsidRDefault="00000000">
      <w:pPr>
        <w:spacing w:after="240"/>
      </w:pPr>
      <w:r>
        <w:tab/>
        <w:t>a)</w:t>
      </w:r>
      <w:r>
        <w:tab/>
        <w:t>Participation à une organisation criminelle;</w:t>
      </w:r>
    </w:p>
    <w:p w:rsidR="00000000" w:rsidRDefault="00000000">
      <w:pPr>
        <w:spacing w:after="240"/>
      </w:pPr>
      <w:r>
        <w:tab/>
        <w:t>b)</w:t>
      </w:r>
      <w:r>
        <w:tab/>
        <w:t>Terrorisme;</w:t>
      </w:r>
    </w:p>
    <w:p w:rsidR="00000000" w:rsidRDefault="00000000">
      <w:pPr>
        <w:spacing w:after="240"/>
      </w:pPr>
      <w:r>
        <w:tab/>
        <w:t>c)</w:t>
      </w:r>
      <w:r>
        <w:tab/>
        <w:t>Trafic d’êtres humains;</w:t>
      </w:r>
    </w:p>
    <w:p w:rsidR="00000000" w:rsidRDefault="00000000">
      <w:pPr>
        <w:spacing w:after="240"/>
      </w:pPr>
      <w:r>
        <w:tab/>
        <w:t>d)</w:t>
      </w:r>
      <w:r>
        <w:tab/>
        <w:t>Exploitation sexuelle d’enfants et pédopornographie;</w:t>
      </w:r>
    </w:p>
    <w:p w:rsidR="00000000" w:rsidRDefault="00000000">
      <w:pPr>
        <w:spacing w:after="240"/>
      </w:pPr>
      <w:r>
        <w:tab/>
        <w:t>e)</w:t>
      </w:r>
      <w:r>
        <w:tab/>
        <w:t>Trafic illicite de stupéfiants et de substances psychotropes;</w:t>
      </w:r>
    </w:p>
    <w:p w:rsidR="00000000" w:rsidRDefault="00000000">
      <w:pPr>
        <w:spacing w:after="240"/>
      </w:pPr>
      <w:r>
        <w:tab/>
        <w:t>f)</w:t>
      </w:r>
      <w:r>
        <w:tab/>
        <w:t>Trafic illicite d’armes, de munitions et d’explosifs;</w:t>
      </w:r>
    </w:p>
    <w:p w:rsidR="00000000" w:rsidRDefault="00000000">
      <w:pPr>
        <w:spacing w:after="240"/>
      </w:pPr>
      <w:r>
        <w:tab/>
        <w:t>g)</w:t>
      </w:r>
      <w:r>
        <w:tab/>
        <w:t>Corruption;</w:t>
      </w:r>
    </w:p>
    <w:p w:rsidR="00000000" w:rsidRDefault="00000000">
      <w:pPr>
        <w:spacing w:after="240"/>
      </w:pPr>
      <w:r>
        <w:tab/>
        <w:t>h)</w:t>
      </w:r>
      <w:r>
        <w:tab/>
        <w:t>Fraude, y compris la fraude qui lèse des intérêts financiers des Communautés européennes, dans l’acception de la Convention du 26 juillet 1995, relative à la protection des intérêts financiers des Communautés européennes;</w:t>
      </w:r>
    </w:p>
    <w:p w:rsidR="00000000" w:rsidRDefault="00000000">
      <w:pPr>
        <w:spacing w:after="240"/>
      </w:pPr>
      <w:r>
        <w:tab/>
        <w:t>i)</w:t>
      </w:r>
      <w:r>
        <w:tab/>
        <w:t>Blanchiment des produits du crime;</w:t>
      </w:r>
    </w:p>
    <w:p w:rsidR="00000000" w:rsidRDefault="00000000">
      <w:pPr>
        <w:spacing w:after="240"/>
      </w:pPr>
      <w:r>
        <w:tab/>
        <w:t>j)</w:t>
      </w:r>
      <w:r>
        <w:tab/>
        <w:t>Faux monnayage, y compris la contrefaçon de l’euro;</w:t>
      </w:r>
    </w:p>
    <w:p w:rsidR="00000000" w:rsidRDefault="00000000">
      <w:pPr>
        <w:spacing w:after="240"/>
      </w:pPr>
      <w:r>
        <w:tab/>
        <w:t>k)</w:t>
      </w:r>
      <w:r>
        <w:tab/>
        <w:t>Cybercriminalité;</w:t>
      </w:r>
    </w:p>
    <w:p w:rsidR="00000000" w:rsidRDefault="00000000">
      <w:pPr>
        <w:spacing w:after="240"/>
      </w:pPr>
      <w:r>
        <w:tab/>
        <w:t>l)</w:t>
      </w:r>
      <w:r>
        <w:tab/>
        <w:t>Crimes contre l’environnement, y compris le trafic illicite d’espèces animales menacées et d’espèces et d’essences végétales menacées;</w:t>
      </w:r>
    </w:p>
    <w:p w:rsidR="00000000" w:rsidRDefault="00000000">
      <w:pPr>
        <w:spacing w:after="240"/>
      </w:pPr>
      <w:r>
        <w:tab/>
        <w:t>m)</w:t>
      </w:r>
      <w:r>
        <w:tab/>
        <w:t>Aide à l’entrée et à la permanence irrégulières;</w:t>
      </w:r>
    </w:p>
    <w:p w:rsidR="00000000" w:rsidRDefault="00000000">
      <w:pPr>
        <w:spacing w:after="240"/>
        <w:ind w:firstLine="567"/>
      </w:pPr>
      <w:r>
        <w:t>n)</w:t>
      </w:r>
      <w:r>
        <w:tab/>
        <w:t>Homicide volontaire et atteintes graves à l’intégrité physique;</w:t>
      </w:r>
    </w:p>
    <w:p w:rsidR="00000000" w:rsidRDefault="00000000">
      <w:pPr>
        <w:spacing w:after="240"/>
        <w:ind w:left="567"/>
      </w:pPr>
      <w:r>
        <w:t>o)</w:t>
      </w:r>
      <w:r>
        <w:tab/>
        <w:t>Trafic illicite d’organes et de tissus humains;</w:t>
      </w:r>
    </w:p>
    <w:p w:rsidR="00000000" w:rsidRDefault="00000000">
      <w:pPr>
        <w:spacing w:after="240"/>
        <w:ind w:firstLine="567"/>
      </w:pPr>
      <w:r>
        <w:t>p)</w:t>
      </w:r>
      <w:r>
        <w:tab/>
        <w:t>Rapt, séquestre et prise d’otages;</w:t>
      </w:r>
    </w:p>
    <w:p w:rsidR="00000000" w:rsidRDefault="00000000">
      <w:pPr>
        <w:spacing w:after="240"/>
        <w:ind w:firstLine="567"/>
      </w:pPr>
      <w:r>
        <w:t>q)</w:t>
      </w:r>
      <w:r>
        <w:tab/>
        <w:t>Racisme et xénophobie;</w:t>
      </w:r>
    </w:p>
    <w:p w:rsidR="00000000" w:rsidRDefault="00000000">
      <w:pPr>
        <w:spacing w:after="240"/>
        <w:ind w:firstLine="567"/>
      </w:pPr>
      <w:r>
        <w:t>r)</w:t>
      </w:r>
      <w:r>
        <w:tab/>
        <w:t>Vol organisé ou à main armée;</w:t>
      </w:r>
    </w:p>
    <w:p w:rsidR="00000000" w:rsidRDefault="00000000">
      <w:pPr>
        <w:spacing w:after="240"/>
        <w:ind w:firstLine="567"/>
      </w:pPr>
      <w:r>
        <w:t>s)</w:t>
      </w:r>
      <w:r>
        <w:tab/>
        <w:t>Trafic de biens culturels, y compris les antiquités et les œuvres d’art;</w:t>
      </w:r>
    </w:p>
    <w:p w:rsidR="00000000" w:rsidRDefault="00000000">
      <w:pPr>
        <w:spacing w:after="240"/>
        <w:ind w:firstLine="567"/>
      </w:pPr>
      <w:r>
        <w:t>t)</w:t>
      </w:r>
      <w:r>
        <w:tab/>
        <w:t>Escroquerie;</w:t>
      </w:r>
    </w:p>
    <w:p w:rsidR="00000000" w:rsidRDefault="00000000">
      <w:pPr>
        <w:spacing w:after="240"/>
        <w:ind w:firstLine="567"/>
      </w:pPr>
      <w:r>
        <w:t>u)</w:t>
      </w:r>
      <w:r>
        <w:tab/>
        <w:t>Extorsion de protection et extorsion;</w:t>
      </w:r>
    </w:p>
    <w:p w:rsidR="00000000" w:rsidRDefault="00000000">
      <w:pPr>
        <w:spacing w:after="240"/>
        <w:ind w:firstLine="567"/>
      </w:pPr>
      <w:r>
        <w:t>v)</w:t>
      </w:r>
      <w:r>
        <w:tab/>
        <w:t>Contrefaçon et piratage de produits;</w:t>
      </w:r>
    </w:p>
    <w:p w:rsidR="00000000" w:rsidRDefault="00000000">
      <w:pPr>
        <w:spacing w:after="240"/>
        <w:ind w:firstLine="567"/>
      </w:pPr>
      <w:r>
        <w:t>w)</w:t>
      </w:r>
      <w:r>
        <w:tab/>
        <w:t>Faux de documents administratifs et leur trafic;</w:t>
      </w:r>
    </w:p>
    <w:p w:rsidR="00000000" w:rsidRDefault="00000000">
      <w:pPr>
        <w:spacing w:after="240"/>
        <w:ind w:firstLine="567"/>
      </w:pPr>
      <w:r>
        <w:t>x)</w:t>
      </w:r>
      <w:r>
        <w:tab/>
        <w:t>Falsification de moyens de paiement;</w:t>
      </w:r>
    </w:p>
    <w:p w:rsidR="00000000" w:rsidRDefault="00000000">
      <w:pPr>
        <w:spacing w:after="240"/>
        <w:ind w:firstLine="567"/>
      </w:pPr>
      <w:r>
        <w:t>y)</w:t>
      </w:r>
      <w:r>
        <w:tab/>
        <w:t>Trafic illicite de substances hormonales et d’autres facteurs de croissance;</w:t>
      </w:r>
    </w:p>
    <w:p w:rsidR="00000000" w:rsidRDefault="00000000">
      <w:pPr>
        <w:spacing w:after="240"/>
        <w:ind w:firstLine="567"/>
      </w:pPr>
      <w:r>
        <w:t>z)</w:t>
      </w:r>
      <w:r>
        <w:tab/>
        <w:t>Trafic illicite de matériaux nucléaires et radioactifs;</w:t>
      </w:r>
    </w:p>
    <w:p w:rsidR="00000000" w:rsidRDefault="00000000">
      <w:pPr>
        <w:spacing w:after="240"/>
        <w:ind w:firstLine="567"/>
      </w:pPr>
      <w:r>
        <w:t>aa)</w:t>
      </w:r>
      <w:r>
        <w:tab/>
        <w:t>Trafic de véhicules volés;</w:t>
      </w:r>
    </w:p>
    <w:p w:rsidR="00000000" w:rsidRDefault="00000000">
      <w:pPr>
        <w:spacing w:after="240"/>
        <w:ind w:firstLine="567"/>
      </w:pPr>
      <w:r>
        <w:t>bb)</w:t>
      </w:r>
      <w:r>
        <w:tab/>
        <w:t>Viol;</w:t>
      </w:r>
    </w:p>
    <w:p w:rsidR="00000000" w:rsidRDefault="00000000">
      <w:pPr>
        <w:spacing w:after="240"/>
        <w:ind w:firstLine="567"/>
      </w:pPr>
      <w:r>
        <w:t>cc)</w:t>
      </w:r>
      <w:r>
        <w:tab/>
        <w:t>Incendie;</w:t>
      </w:r>
    </w:p>
    <w:p w:rsidR="00000000" w:rsidRDefault="00000000">
      <w:pPr>
        <w:spacing w:after="240"/>
        <w:ind w:firstLine="567"/>
      </w:pPr>
      <w:r>
        <w:t>dd)</w:t>
      </w:r>
      <w:r>
        <w:tab/>
        <w:t>Crimes compris dans la juridiction de la Cour pénale internationale;</w:t>
      </w:r>
    </w:p>
    <w:p w:rsidR="00000000" w:rsidRDefault="00000000">
      <w:pPr>
        <w:spacing w:after="240"/>
        <w:ind w:firstLine="567"/>
      </w:pPr>
      <w:r>
        <w:t>ee)</w:t>
      </w:r>
      <w:r>
        <w:tab/>
        <w:t>Détournement d’avion ou de navire;</w:t>
      </w:r>
    </w:p>
    <w:p w:rsidR="00000000" w:rsidRDefault="00000000">
      <w:pPr>
        <w:spacing w:after="240"/>
        <w:ind w:firstLine="567"/>
      </w:pPr>
      <w:r>
        <w:t>ff)</w:t>
      </w:r>
      <w:r>
        <w:tab/>
        <w:t>Sabotage.</w:t>
      </w:r>
    </w:p>
    <w:p w:rsidR="00000000" w:rsidRDefault="00000000">
      <w:pPr>
        <w:spacing w:after="240"/>
      </w:pPr>
      <w:r>
        <w:t>27.</w:t>
      </w:r>
      <w:r>
        <w:tab/>
        <w:t xml:space="preserve">Il faut ajouter que la loi </w:t>
      </w:r>
      <w:r>
        <w:rPr>
          <w:rFonts w:eastAsia="MS Mincho"/>
        </w:rPr>
        <w:t>n</w:t>
      </w:r>
      <w:r>
        <w:rPr>
          <w:rFonts w:eastAsia="MS Mincho"/>
          <w:vertAlign w:val="superscript"/>
        </w:rPr>
        <w:t>o</w:t>
      </w:r>
      <w:r>
        <w:t xml:space="preserve"> 65/2003, du 23 août, mentionnée au paragraphe 25, maintient les garanties propres à l’ordre juridique portugais, dans son article 13. Ainsi, l’exécution du mandat de détention européen n’a lieu que si l’État membre d’émission donne l’une des garanties suivantes:</w:t>
      </w:r>
    </w:p>
    <w:p w:rsidR="00000000" w:rsidRDefault="00000000">
      <w:pPr>
        <w:spacing w:after="240"/>
        <w:ind w:firstLine="567"/>
      </w:pPr>
      <w:r>
        <w:t>a)</w:t>
      </w:r>
      <w:r>
        <w:tab/>
        <w:t>Lorsque le mandat de détention européen est émis aux fins de l’exécution d’une peine ou d’une mesure de sûreté imposée par une décision prise en l’absence du prévenu, et lorsque la personne en cause n’a pas été personnellement notifiée, ou de toute autre façon informée de la date et du lieu de l’audience qui a déterminé la décision prise en son absence, une décision de remise n’est prise que si l’autorité judiciaire d’émission donne des garanties suffisantes de ce que la possibilité de former un recours ou de demander un nouveau jugement dans l’État membre d’émission, et d’être présente au jugement est assurée;</w:t>
      </w:r>
    </w:p>
    <w:p w:rsidR="00000000" w:rsidRDefault="00000000">
      <w:pPr>
        <w:spacing w:after="240"/>
        <w:ind w:firstLine="567"/>
      </w:pPr>
      <w:r>
        <w:t>b)</w:t>
      </w:r>
      <w:r>
        <w:tab/>
        <w:t>Lorsque l’infraction qui motive l’émission du mandat de détention européen est punissable d’une peine ou d’une mesure de sûreté privative de liberté de nature perpétuelle, une décision de remise n’est prise que si le système juridique de l’État membre d’émission prévoit une révision de la peine appliquée, sur demande ou au plus tard dans un délai de 20 ans, ou l’application de mesures de clémence auxquelles la personne recherchée a droit, aux termes du droit ou de la pratique de l’État membre d’émission, ayant en vue la non</w:t>
      </w:r>
      <w:r>
        <w:noBreakHyphen/>
        <w:t>exécution de cette peine ou de cette mesure;</w:t>
      </w:r>
    </w:p>
    <w:p w:rsidR="00000000" w:rsidRDefault="00000000">
      <w:pPr>
        <w:spacing w:after="240"/>
        <w:ind w:firstLine="567"/>
      </w:pPr>
      <w:r>
        <w:t>c)</w:t>
      </w:r>
      <w:r>
        <w:tab/>
        <w:t>Lorsque la personne recherchée aux fins de la procédure pénale a la nationalité de l’État membre d’exécution, ou réside dans cet État, la décision de remise peut être soumise à la condition de ce que la personne recherchée est rendue à l’État membre d’exécution, après avoir été entendue, pour y exécuter la peine ou la mesure de sûreté privative de liberté à laquelle elle a été condamnée dans l’État membre d’émission.</w:t>
      </w:r>
    </w:p>
    <w:p w:rsidR="00000000" w:rsidRDefault="00000000">
      <w:pPr>
        <w:spacing w:after="240"/>
        <w:jc w:val="center"/>
        <w:rPr>
          <w:b/>
        </w:rPr>
      </w:pPr>
      <w:r>
        <w:rPr>
          <w:b/>
        </w:rPr>
        <w:t xml:space="preserve">II.  </w:t>
      </w:r>
      <w:r>
        <w:rPr>
          <w:b/>
          <w:bCs/>
        </w:rPr>
        <w:t>DROIT PÉNAL DE LA PUNITION DES ACTES DE TORTURE</w:t>
      </w:r>
    </w:p>
    <w:p w:rsidR="00000000" w:rsidRDefault="00000000">
      <w:pPr>
        <w:spacing w:after="240"/>
      </w:pPr>
      <w:r>
        <w:t>28.</w:t>
      </w:r>
      <w:r>
        <w:tab/>
        <w:t>Si, dans ce chapitre II, on suit l’ordre des articles de la Convention, il faudrait aborder l’article 4, selon lequel tous les actes de torture, y compris la tentative, sont des infractions pénales dûment punies, l’article 5 relatif à la juridiction de l’État, l’article 6 relatif à la détention des personnes qui ont commis des actes de torture, l’article 7 qui traite de l’exercice de l’action pénale contre la personne se trouvant sous la juridiction de l’État qui n’est pas extradée, l’article 8 relatif à l’extradition et, enfin, l’article 9 qui concerne la coopération judiciaire internationale.</w:t>
      </w:r>
    </w:p>
    <w:p w:rsidR="00000000" w:rsidRDefault="00000000">
      <w:pPr>
        <w:spacing w:after="240"/>
      </w:pPr>
      <w:r>
        <w:t>29.</w:t>
      </w:r>
      <w:r>
        <w:tab/>
        <w:t>Ces thèmes seront certes abordés, mais afin d’éviter les répétitions, ils seront analysés succinctement dans six sections traitant de la juridiction de l’État, de la punition des actes de torture, de la détention des personnes qui ont commis des actes de torture, de l’exercice de l’action pénale contre la personne se trouvant sous la juridiction de l’État qui n’est pas extradée, des questions relatives à la juridiction universelle de l’État et aux crimes contre l’humanité, et, enfin, de la coopération judiciaire internationale.</w:t>
      </w:r>
    </w:p>
    <w:p w:rsidR="00000000" w:rsidRDefault="00000000">
      <w:pPr>
        <w:keepNext/>
        <w:keepLines/>
        <w:spacing w:after="240"/>
        <w:jc w:val="center"/>
        <w:rPr>
          <w:b/>
          <w:bCs/>
        </w:rPr>
      </w:pPr>
      <w:r>
        <w:rPr>
          <w:b/>
          <w:bCs/>
        </w:rPr>
        <w:t>A.  La juridiction de l’État</w:t>
      </w:r>
    </w:p>
    <w:p w:rsidR="00000000" w:rsidRDefault="00000000">
      <w:pPr>
        <w:keepNext/>
        <w:keepLines/>
        <w:spacing w:after="240"/>
      </w:pPr>
      <w:r>
        <w:t>30.</w:t>
      </w:r>
      <w:r>
        <w:tab/>
        <w:t>La juridiction de l’État correspond à la compétence des tribunaux et des autorités de police pour poursuivre et réprimer les crimes dont il est question dans ce rapport. Cette juridiction correspond au territoire du Portugal (continent, Açores et Madère) sur lequel les autorités portugaises exercent leur pouvoir, atteignant toute personne qui s’y trouve.</w:t>
      </w:r>
    </w:p>
    <w:p w:rsidR="00000000" w:rsidRDefault="00000000">
      <w:pPr>
        <w:spacing w:after="240"/>
      </w:pPr>
      <w:r>
        <w:t>31.</w:t>
      </w:r>
      <w:r>
        <w:tab/>
        <w:t>Aux termes de l’article 4 du Code pénal, sauf traité ou convention internationale contraire, la loi pénale portugaise est applicable à des faits pratiqués a) en territoire portugais, quelle que soit la nationalité de l’agent ou b) à bord de navires ou d’aéronefs portugais.</w:t>
      </w:r>
    </w:p>
    <w:p w:rsidR="00000000" w:rsidRDefault="00000000">
      <w:pPr>
        <w:spacing w:after="240"/>
      </w:pPr>
      <w:r>
        <w:t>32.</w:t>
      </w:r>
      <w:r>
        <w:tab/>
        <w:t>Aux termes de l’article 8 du Code de procédure pénale «les tribunaux judiciaires sont les organes compétents pour décider les causes pénales et appliquer les peines et les mesures de sûreté criminelles». C’est donc à l’ordre judiciaire commun que revient le jugement des actes de torture.</w:t>
      </w:r>
    </w:p>
    <w:p w:rsidR="00000000" w:rsidRDefault="00000000">
      <w:pPr>
        <w:spacing w:after="240"/>
        <w:jc w:val="center"/>
        <w:rPr>
          <w:b/>
          <w:bCs/>
        </w:rPr>
      </w:pPr>
      <w:r>
        <w:rPr>
          <w:b/>
          <w:bCs/>
        </w:rPr>
        <w:t>B.  Punition des actes de torture</w:t>
      </w:r>
    </w:p>
    <w:p w:rsidR="00000000" w:rsidRDefault="00000000">
      <w:pPr>
        <w:spacing w:after="240"/>
      </w:pPr>
      <w:r>
        <w:t>33.</w:t>
      </w:r>
      <w:r>
        <w:tab/>
        <w:t>Nous connaissons déjà les crimes de torture prévus aux articles 243 et 244 du Code pénal, pour les avoir abordés aux paragraphes 4 et 5 ci</w:t>
      </w:r>
      <w:r>
        <w:noBreakHyphen/>
        <w:t>dessus dans le cadre de la définition de la torture. L’un définit la torture, pour la perpétration de laquelle il prévoit la punition, l’autre énonce la punition de la torture lorsque les conséquences de celle-ci sont particulièrement graves (grave atteinte à l’intégrité physique, emploi de moyens ou de méthodes de torture particulièrement graves tels que coups, électrochocs, simulacres d’exécution, substances hallucinogènes, ou pratique habituelle d’actes de torture selon la définition de l’article 243).</w:t>
      </w:r>
    </w:p>
    <w:p w:rsidR="00000000" w:rsidRDefault="00000000">
      <w:pPr>
        <w:spacing w:after="240"/>
      </w:pPr>
      <w:r>
        <w:t>34.</w:t>
      </w:r>
      <w:r>
        <w:tab/>
        <w:t>Il faut également mentionner l’article 241 (crimes de guerre contre des civils), dans la mesure où les crimes dont il traite peuvent également concerner les agents de l’autorité les pratiquant, et l’article 245 (omission de dénonciation).</w:t>
      </w:r>
    </w:p>
    <w:p w:rsidR="00000000" w:rsidRDefault="00000000">
      <w:pPr>
        <w:spacing w:after="240"/>
        <w:ind w:firstLine="567"/>
      </w:pPr>
      <w:r>
        <w:t>a)</w:t>
      </w:r>
      <w:r>
        <w:tab/>
        <w:t>L’article 241 dispose ce qui suit:</w:t>
      </w:r>
    </w:p>
    <w:p w:rsidR="00000000" w:rsidRDefault="00000000">
      <w:pPr>
        <w:spacing w:after="240"/>
        <w:ind w:left="567" w:firstLine="570"/>
      </w:pPr>
      <w:r>
        <w:t>«1.</w:t>
      </w:r>
      <w:r>
        <w:tab/>
        <w:t>Quiconque, en violation des normes ou des principes du droit international général ou commun, en temps de guerre, de conflit armé ou d’occupation, commet sur la population civile, sur des blessés, sur des malades ou sur des prisonniers de guerre:</w:t>
      </w:r>
    </w:p>
    <w:p w:rsidR="00000000" w:rsidRDefault="00000000">
      <w:pPr>
        <w:spacing w:after="240"/>
      </w:pPr>
      <w:r>
        <w:tab/>
      </w:r>
      <w:r>
        <w:tab/>
        <w:t>a)</w:t>
      </w:r>
      <w:r>
        <w:tab/>
        <w:t>L’homicide dolosif;</w:t>
      </w:r>
    </w:p>
    <w:p w:rsidR="00000000" w:rsidRDefault="00000000">
      <w:pPr>
        <w:spacing w:after="240"/>
        <w:ind w:left="567" w:firstLine="567"/>
      </w:pPr>
      <w:r>
        <w:t>b)</w:t>
      </w:r>
      <w:r>
        <w:tab/>
        <w:t>La torture ou les traitements cruels, dégradants ou inhumains;</w:t>
      </w:r>
    </w:p>
    <w:p w:rsidR="00000000" w:rsidRDefault="00000000">
      <w:pPr>
        <w:spacing w:after="240"/>
        <w:ind w:left="567" w:firstLine="567"/>
      </w:pPr>
      <w:r>
        <w:t>c)</w:t>
      </w:r>
      <w:r>
        <w:tab/>
        <w:t>L’atteinte à l’intégrité physique grave dolosive;</w:t>
      </w:r>
    </w:p>
    <w:p w:rsidR="00000000" w:rsidRDefault="00000000">
      <w:pPr>
        <w:spacing w:after="240"/>
      </w:pPr>
      <w:r>
        <w:tab/>
      </w:r>
      <w:r>
        <w:tab/>
        <w:t>d)</w:t>
      </w:r>
      <w:r>
        <w:tab/>
        <w:t>La prise d’otages;</w:t>
      </w:r>
    </w:p>
    <w:p w:rsidR="00000000" w:rsidRDefault="00000000">
      <w:pPr>
        <w:spacing w:after="240"/>
      </w:pPr>
      <w:r>
        <w:tab/>
      </w:r>
      <w:r>
        <w:tab/>
        <w:t>e)</w:t>
      </w:r>
      <w:r>
        <w:tab/>
        <w:t>La contrainte au service dans les forces armées ennemies;</w:t>
      </w:r>
    </w:p>
    <w:p w:rsidR="00000000" w:rsidRDefault="00000000">
      <w:pPr>
        <w:spacing w:after="240"/>
      </w:pPr>
      <w:r>
        <w:tab/>
      </w:r>
      <w:r>
        <w:tab/>
        <w:t>f)</w:t>
      </w:r>
      <w:r>
        <w:tab/>
        <w:t>La déportation;</w:t>
      </w:r>
    </w:p>
    <w:p w:rsidR="00000000" w:rsidRDefault="00000000">
      <w:pPr>
        <w:spacing w:after="240"/>
        <w:ind w:left="567" w:firstLine="567"/>
      </w:pPr>
      <w:r>
        <w:t>g)</w:t>
      </w:r>
      <w:r>
        <w:tab/>
        <w:t>Des restrictions graves, prolongées et injustifiées, de la liberté des personnes; ou</w:t>
      </w:r>
    </w:p>
    <w:p w:rsidR="00000000" w:rsidRDefault="00000000">
      <w:pPr>
        <w:spacing w:after="240"/>
        <w:ind w:left="567" w:firstLine="567"/>
      </w:pPr>
      <w:r>
        <w:t>h)</w:t>
      </w:r>
      <w:r>
        <w:tab/>
        <w:t>La soustraction ou la destruction injustifiée de biens patrimoniaux de grande valeur;</w:t>
      </w:r>
    </w:p>
    <w:p w:rsidR="00000000" w:rsidRDefault="00000000">
      <w:pPr>
        <w:spacing w:after="240"/>
        <w:ind w:firstLine="567"/>
      </w:pPr>
      <w:r>
        <w:t>est puni d’une peine de prison de 10 à 20 ans.</w:t>
      </w:r>
    </w:p>
    <w:p w:rsidR="00000000" w:rsidRDefault="00000000">
      <w:pPr>
        <w:spacing w:after="240"/>
        <w:ind w:left="567" w:firstLine="570"/>
      </w:pPr>
      <w:r>
        <w:t>2.</w:t>
      </w:r>
      <w:r>
        <w:tab/>
        <w:t>La peine est aggravée d’un quart dans ces limites minimum et maximum lorsque l’un des actes mentionnés dans le paragraphe antérieur est perpétré sur des membres d’une institution humanitaire.».</w:t>
      </w:r>
    </w:p>
    <w:p w:rsidR="00000000" w:rsidRDefault="00000000">
      <w:pPr>
        <w:spacing w:after="240"/>
        <w:ind w:firstLine="567"/>
      </w:pPr>
      <w:r>
        <w:tab/>
        <w:t>b)</w:t>
      </w:r>
      <w:r>
        <w:tab/>
        <w:t xml:space="preserve">L’article 245 se lit comme suit: </w:t>
      </w:r>
    </w:p>
    <w:p w:rsidR="00000000" w:rsidRDefault="00000000">
      <w:pPr>
        <w:spacing w:after="240"/>
        <w:ind w:left="567" w:firstLine="567"/>
      </w:pPr>
      <w:r>
        <w:t>«Le supérieur hiérarchique qui, ayant connaissance de la perpétration, par un subordonné, d’un fait décrit dans les articles 243 ou 244, ne procède pas à la dénonciation respective dans le délai maximal de trois jours à partir du moment où il en a pris connaissance, est puni d’une peine de prison de six mois à trois ans.».</w:t>
      </w:r>
    </w:p>
    <w:p w:rsidR="00000000" w:rsidRDefault="00000000">
      <w:pPr>
        <w:spacing w:after="240"/>
      </w:pPr>
      <w:r>
        <w:t>35.</w:t>
      </w:r>
      <w:r>
        <w:tab/>
        <w:t>Dans le cadre de la punition de ces crimes, l’article 246 prévoit un ensemble d’incapacités qui frappent les personnes coupables de ces crimes:</w:t>
      </w:r>
    </w:p>
    <w:p w:rsidR="00000000" w:rsidRDefault="00000000">
      <w:pPr>
        <w:spacing w:after="240"/>
        <w:ind w:left="567" w:firstLine="573"/>
      </w:pPr>
      <w:r>
        <w:t>«Quiconque est condamné pour un crime prévu aux articles 236 à 245 peut, attendu la gravité du fait et sa projection sur l’intégrité civique de l’agent, être dans l’incapacité d’élire le Président de la République, les membres du Parlement européen, les membres d’une assemblée législative ou d’une collectivité locale, pour être élu à l’une de ces charges ou pour être juré, pour une période de 2 à 10 ans.».</w:t>
      </w:r>
    </w:p>
    <w:p w:rsidR="00000000" w:rsidRDefault="00000000">
      <w:pPr>
        <w:spacing w:after="240"/>
        <w:jc w:val="center"/>
        <w:rPr>
          <w:b/>
          <w:bCs/>
        </w:rPr>
      </w:pPr>
      <w:r>
        <w:rPr>
          <w:b/>
          <w:bCs/>
        </w:rPr>
        <w:t>C.  Détention des personnes ayant commis des actes de torture</w:t>
      </w:r>
    </w:p>
    <w:p w:rsidR="00000000" w:rsidRDefault="00000000">
      <w:pPr>
        <w:spacing w:after="240"/>
      </w:pPr>
      <w:r>
        <w:t>36.</w:t>
      </w:r>
      <w:r>
        <w:tab/>
        <w:t>Aux termes de l’article 242 du Code de procédure pénale, la dénonciation est obligatoire même si les auteurs du crime ne sont pas connus:</w:t>
      </w:r>
    </w:p>
    <w:p w:rsidR="00000000" w:rsidRDefault="00000000">
      <w:pPr>
        <w:spacing w:after="240"/>
        <w:ind w:left="567" w:firstLine="567"/>
      </w:pPr>
      <w:r>
        <w:t>«a)</w:t>
      </w:r>
      <w:r>
        <w:tab/>
        <w:t>Pour les entités de police, pour tous les crimes dont elles ont connaissance;</w:t>
      </w:r>
    </w:p>
    <w:p w:rsidR="00000000" w:rsidRDefault="00000000">
      <w:pPr>
        <w:spacing w:after="240"/>
        <w:ind w:left="567" w:firstLine="567"/>
      </w:pPr>
      <w:r>
        <w:t>b)</w:t>
      </w:r>
      <w:r>
        <w:tab/>
        <w:t>Pour les fonctionnaires, dans l’acception de l’article 386 du Code pénal, pour les crimes dont ils ont connaissance dans l’exercice de leurs fonctions.».</w:t>
      </w:r>
    </w:p>
    <w:p w:rsidR="00000000" w:rsidRDefault="00000000">
      <w:pPr>
        <w:spacing w:after="240"/>
      </w:pPr>
      <w:r>
        <w:t>37.</w:t>
      </w:r>
      <w:r>
        <w:tab/>
        <w:t>Par le terme «fonctionnaire» on entend ce qui suit, aux termes de l’article 386 du Code pénal:</w:t>
      </w:r>
    </w:p>
    <w:p w:rsidR="00000000" w:rsidRDefault="00000000">
      <w:pPr>
        <w:spacing w:after="240"/>
      </w:pPr>
      <w:r>
        <w:tab/>
      </w:r>
      <w:r>
        <w:tab/>
        <w:t>«a)</w:t>
      </w:r>
      <w:r>
        <w:tab/>
        <w:t>Le fonctionnaire civil;</w:t>
      </w:r>
    </w:p>
    <w:p w:rsidR="00000000" w:rsidRDefault="00000000">
      <w:pPr>
        <w:spacing w:after="240"/>
      </w:pPr>
      <w:r>
        <w:tab/>
      </w:r>
      <w:r>
        <w:tab/>
        <w:t>b)</w:t>
      </w:r>
      <w:r>
        <w:tab/>
        <w:t>L’agent administratif; et</w:t>
      </w:r>
    </w:p>
    <w:p w:rsidR="00000000" w:rsidRDefault="00000000">
      <w:pPr>
        <w:spacing w:after="240"/>
        <w:ind w:left="567" w:hanging="567"/>
      </w:pPr>
      <w:r>
        <w:tab/>
      </w:r>
      <w:r>
        <w:tab/>
        <w:t>c)</w:t>
      </w:r>
      <w:r>
        <w:tab/>
        <w:t>Quiconque, qui, même de façon provisoire ou temporaire, moyennant rémunération ou à titre gratuit, de façon volontaire ou de façon obligatoire, a été appelé à fournir ou à participer à l’exécution d’une activité comprise dans la fonction publique administrative ou juridictionnelle, ou, dans les mêmes circonstances, exécute des fonctions au sein d’organismes d’utilité publique ou y participe.</w:t>
      </w:r>
    </w:p>
    <w:p w:rsidR="00000000" w:rsidRDefault="00000000">
      <w:pPr>
        <w:spacing w:after="240"/>
        <w:ind w:left="567" w:firstLine="567"/>
      </w:pPr>
      <w:r>
        <w:t>2.</w:t>
      </w:r>
      <w:r>
        <w:tab/>
        <w:t>Les gestionnaires, les titulaires des organes de surveillance et les travailleurs des entreprises publiques, nationalisées, avec des capitaux publics ou avec une participation majoritaire de capital public et des entreprises concessionnaires de services publics sont considérés aux fins du droit pénal comme des fonctionnaires.».</w:t>
      </w:r>
    </w:p>
    <w:p w:rsidR="00000000" w:rsidRDefault="00000000">
      <w:pPr>
        <w:spacing w:after="240"/>
      </w:pPr>
      <w:r>
        <w:t>Entre-temps, nous savons que le supérieur hiérarchique est toujours obligé de procéder à la dénonciation (art. 245 du Code pénal).</w:t>
      </w:r>
    </w:p>
    <w:p w:rsidR="00000000" w:rsidRDefault="00000000">
      <w:pPr>
        <w:spacing w:after="240"/>
      </w:pPr>
      <w:r>
        <w:t>38.</w:t>
      </w:r>
      <w:r>
        <w:tab/>
        <w:t>La détention est ensuite ordonnée, aux termes de l’article 257 du Code de procédure pénale, sur mandat du juge ou, pour les crimes où la détention préventive (et c’est ici le cas) est admissible, sur mandat du magistrat du ministère public. En cas de flagrant délit, toute autorité judiciaire ou autorité de police procède à la détention, ainsi que toute personne dans le cas où ces autorités ne sont pas présentes ou ne peuvent être appelées en temps utile (art. 255 du Code de procédure pénale).</w:t>
      </w:r>
    </w:p>
    <w:p w:rsidR="00000000" w:rsidRDefault="00000000">
      <w:pPr>
        <w:spacing w:after="240"/>
        <w:jc w:val="center"/>
        <w:rPr>
          <w:b/>
          <w:bCs/>
        </w:rPr>
      </w:pPr>
      <w:r>
        <w:rPr>
          <w:b/>
          <w:bCs/>
        </w:rPr>
        <w:t>D.  Action pénale contre une personne sous la juridiction de l’État,</w:t>
      </w:r>
      <w:r>
        <w:rPr>
          <w:b/>
          <w:bCs/>
        </w:rPr>
        <w:br/>
        <w:t>qui n’est pas extradée</w:t>
      </w:r>
    </w:p>
    <w:p w:rsidR="00000000" w:rsidRDefault="00000000">
      <w:pPr>
        <w:spacing w:after="200"/>
      </w:pPr>
      <w:r>
        <w:t>39.</w:t>
      </w:r>
      <w:r>
        <w:tab/>
        <w:t xml:space="preserve">En vertu de l’article 6 de la loi </w:t>
      </w:r>
      <w:r>
        <w:rPr>
          <w:rFonts w:eastAsia="MS Mincho"/>
        </w:rPr>
        <w:t>n</w:t>
      </w:r>
      <w:r>
        <w:rPr>
          <w:rFonts w:eastAsia="MS Mincho"/>
          <w:vertAlign w:val="superscript"/>
        </w:rPr>
        <w:t>o</w:t>
      </w:r>
      <w:r>
        <w:t xml:space="preserve"> 144/99, du 31 octobre, la demande de coopération internationale aux fins de l’extradition est refusée lorsque:</w:t>
      </w:r>
    </w:p>
    <w:p w:rsidR="00000000" w:rsidRDefault="00000000">
      <w:pPr>
        <w:spacing w:after="200"/>
        <w:ind w:left="567" w:firstLine="570"/>
      </w:pPr>
      <w:r>
        <w:t>«a)</w:t>
      </w:r>
      <w:r>
        <w:tab/>
        <w:t>Le procès ne satisfait pas ou ne respecte pas les exigences de la Convention européenne pour la protection des droits de l’homme et des libertés fondamentales, du 4 novembre 1950, ou d’autres instruments internationaux pertinents, ratifiés par le Portugal;</w:t>
      </w:r>
    </w:p>
    <w:p w:rsidR="00000000" w:rsidRDefault="00000000">
      <w:pPr>
        <w:spacing w:after="200"/>
        <w:ind w:left="567" w:firstLine="573"/>
      </w:pPr>
      <w:r>
        <w:t>b)</w:t>
      </w:r>
      <w:r>
        <w:tab/>
        <w:t>Il y a des raisons plausibles de croire que la coopération est demandée dans le but de poursuivre ou de punir une personne en vertu de sa race, de sa religion, de son sexe, de sa nationalité, de sa langue, de ses convictions politiques ou idéologiques ou de son appartenance à un groupe social déterminé;</w:t>
      </w:r>
    </w:p>
    <w:p w:rsidR="00000000" w:rsidRDefault="00000000">
      <w:pPr>
        <w:spacing w:after="200"/>
        <w:ind w:left="567" w:firstLine="573"/>
      </w:pPr>
      <w:r>
        <w:t>c)</w:t>
      </w:r>
      <w:r>
        <w:tab/>
        <w:t>Il existe un risque d’aggravation de la situation procédurale d’une personne pour l’une des raisons indiquées à l’alinéa antérieur;</w:t>
      </w:r>
    </w:p>
    <w:p w:rsidR="00000000" w:rsidRDefault="00000000">
      <w:pPr>
        <w:spacing w:after="200"/>
        <w:ind w:left="567" w:firstLine="573"/>
      </w:pPr>
      <w:r>
        <w:t>d)</w:t>
      </w:r>
      <w:r>
        <w:tab/>
        <w:t>La coopération peut conduire à un jugement par un tribunal d’exception ou est relative à l’exécution d’une décision proférée par un tribunal de cette nature;</w:t>
      </w:r>
    </w:p>
    <w:p w:rsidR="00000000" w:rsidRDefault="00000000">
      <w:pPr>
        <w:spacing w:after="200"/>
        <w:ind w:left="567" w:firstLine="573"/>
      </w:pPr>
      <w:r>
        <w:t>e)</w:t>
      </w:r>
      <w:r>
        <w:tab/>
        <w:t>Le fait auquel elle se rapporte est passible de l’application de la peine de mort ou d’une autre dont il peut résulter une lésion irréversible de l’intégrité de la personne;</w:t>
      </w:r>
    </w:p>
    <w:p w:rsidR="00000000" w:rsidRDefault="00000000">
      <w:pPr>
        <w:spacing w:after="200"/>
        <w:ind w:left="567" w:firstLine="573"/>
      </w:pPr>
      <w:r>
        <w:t>f)</w:t>
      </w:r>
      <w:r>
        <w:tab/>
        <w:t>Le procès est relatif à une infraction à laquelle correspond une peine de détention ou une mesure de sûreté de nature perpétuelle ou de durée indéfinie.».</w:t>
      </w:r>
    </w:p>
    <w:p w:rsidR="00000000" w:rsidRDefault="00000000">
      <w:pPr>
        <w:spacing w:after="240"/>
      </w:pPr>
      <w:r>
        <w:t xml:space="preserve">Et aussi lorsque les présupposés de l’application de l’alinéa </w:t>
      </w:r>
      <w:r>
        <w:rPr>
          <w:i/>
          <w:iCs/>
        </w:rPr>
        <w:t>b</w:t>
      </w:r>
      <w:r>
        <w:t xml:space="preserve"> de cet article ne sont pas vérifiés.</w:t>
      </w:r>
    </w:p>
    <w:p w:rsidR="00000000" w:rsidRDefault="00000000">
      <w:pPr>
        <w:spacing w:after="240"/>
      </w:pPr>
      <w:r>
        <w:t>40.</w:t>
      </w:r>
      <w:r>
        <w:tab/>
        <w:t xml:space="preserve">La coopération est également refusée si, au Portugal ou dans un autre État, a été instauré un procès pour le même fait (art. 8 de la loi </w:t>
      </w:r>
      <w:r>
        <w:rPr>
          <w:rFonts w:eastAsia="MS Mincho"/>
        </w:rPr>
        <w:t>n</w:t>
      </w:r>
      <w:r>
        <w:rPr>
          <w:rFonts w:eastAsia="MS Mincho"/>
          <w:vertAlign w:val="superscript"/>
        </w:rPr>
        <w:t>o</w:t>
      </w:r>
      <w:r>
        <w:t xml:space="preserve"> 144/99):</w:t>
      </w:r>
    </w:p>
    <w:p w:rsidR="00000000" w:rsidRDefault="00000000">
      <w:pPr>
        <w:spacing w:after="240"/>
        <w:ind w:left="567" w:firstLine="570"/>
      </w:pPr>
      <w:r>
        <w:t>«a)</w:t>
      </w:r>
      <w:r>
        <w:tab/>
        <w:t>Le procès a été conclu par une décision définitive d’absolution ou par la décision de le rayer du rôle;</w:t>
      </w:r>
    </w:p>
    <w:p w:rsidR="00000000" w:rsidRDefault="00000000">
      <w:pPr>
        <w:spacing w:after="240"/>
        <w:ind w:left="567" w:firstLine="567"/>
      </w:pPr>
      <w:r>
        <w:t>b)</w:t>
      </w:r>
      <w:r>
        <w:tab/>
        <w:t>La décision de condamnation a été exécutée ou ne peut l’être, aux termes du droit de l’État où elle a été prise;</w:t>
      </w:r>
    </w:p>
    <w:p w:rsidR="00000000" w:rsidRDefault="00000000">
      <w:pPr>
        <w:spacing w:after="240"/>
        <w:ind w:left="567" w:firstLine="567"/>
      </w:pPr>
      <w:r>
        <w:t>c)</w:t>
      </w:r>
      <w:r>
        <w:tab/>
        <w:t>La procédure est éteinte pour tout autre motif, sauf si l’extinction de la procédure n’empêche pas la coopération internationale, en vertu d’une Convention internationale.».</w:t>
      </w:r>
    </w:p>
    <w:p w:rsidR="00000000" w:rsidRDefault="00000000">
      <w:pPr>
        <w:spacing w:after="240"/>
      </w:pPr>
      <w:r>
        <w:t>41.</w:t>
      </w:r>
      <w:r>
        <w:tab/>
        <w:t xml:space="preserve">Les dispositions des alinéas </w:t>
      </w:r>
      <w:r>
        <w:rPr>
          <w:i/>
          <w:iCs/>
        </w:rPr>
        <w:t>a</w:t>
      </w:r>
      <w:r>
        <w:t xml:space="preserve"> et </w:t>
      </w:r>
      <w:r>
        <w:rPr>
          <w:i/>
          <w:iCs/>
        </w:rPr>
        <w:t>b</w:t>
      </w:r>
      <w:r>
        <w:t xml:space="preserve"> ne s’appliquent pas lorsque la demande est fondée sur la nécessité de la révision de la sentence.</w:t>
      </w:r>
    </w:p>
    <w:p w:rsidR="00000000" w:rsidRDefault="00000000">
      <w:pPr>
        <w:spacing w:after="240"/>
      </w:pPr>
      <w:r>
        <w:t>42.</w:t>
      </w:r>
      <w:r>
        <w:tab/>
        <w:t xml:space="preserve">Aux termes de l’article 9 de la loi </w:t>
      </w:r>
      <w:r>
        <w:rPr>
          <w:rFonts w:eastAsia="MS Mincho"/>
        </w:rPr>
        <w:t>n</w:t>
      </w:r>
      <w:r>
        <w:rPr>
          <w:rFonts w:eastAsia="MS Mincho"/>
          <w:vertAlign w:val="superscript"/>
        </w:rPr>
        <w:t>o</w:t>
      </w:r>
      <w:r>
        <w:t> 144/99, lorsque le fait imputé à la personne contre laquelle la procédure est instaurée est prévu dans différentes dispositions du Code pénal, la demande de coopération n’est admise que dans la partie où elle se rapporte à une infraction ou à des infractions par rapport auxquelles la demande est admissible et pourvu que l’État qui la formule donne des garanties selon lesquelles il respectera les conditions déterminées pour la coopération. Cependant (toujours en vertu de l’article 9, mais cette fois de son paragraphe 2), la coopération est exclue si le fait est prévu dans plusieurs dispositions du droit pénal portugais ou étranger et la demande ne peut être satisfaite en vertu d’une disposition légale qui comprend le fait dans sa totalité et qui constitue un motif de refus de la coopération.</w:t>
      </w:r>
    </w:p>
    <w:p w:rsidR="00000000" w:rsidRDefault="00000000">
      <w:pPr>
        <w:spacing w:after="240"/>
      </w:pPr>
      <w:r>
        <w:t>43.</w:t>
      </w:r>
      <w:r>
        <w:tab/>
        <w:t>Aux termes de l’article 18, la coopération peut être refusée lorsque le fait qui la motive fait l’objet d’une procédure pendante ou lorsque ce fait doit ou peut également faire l’objet d’une procédure de la compétence d’une autorité judiciaire portugaise. Selon le paragraphe 2, la coopération peut encore être refusée lorsque, en prenant en compte les circonstances du fait, la satisfaction de la demande peut impliquer des conséquences graves pour la personne visée, en raison de son âge, de son état de santé ou d’autres motifs de nature personnelle.</w:t>
      </w:r>
    </w:p>
    <w:p w:rsidR="00000000" w:rsidRDefault="00000000">
      <w:pPr>
        <w:spacing w:after="240"/>
      </w:pPr>
      <w:r>
        <w:t>44.</w:t>
      </w:r>
      <w:r>
        <w:tab/>
        <w:t xml:space="preserve">Aux termes de l’article 19, le principe </w:t>
      </w:r>
      <w:r>
        <w:rPr>
          <w:i/>
          <w:iCs/>
        </w:rPr>
        <w:t xml:space="preserve">non bis in idem </w:t>
      </w:r>
      <w:r>
        <w:t>est applicable: lorsqu’une demande de coopération est acceptée, et qu’elle implique la délégation d’une procédure au bénéfice d’une autorité judiciaire étrangère, on ne peut instaurer ni continuer au Portugal une procédure pour le fait qui a déterminé la demande, ni procéder à l’exécution d’une décision dont l’exécution est déléguée en une autorité étrangère. Dans ces cas de refus de la coopération, il est possible, sur la demande d’un État étranger, d’instaurer ou de continuer au Portugal, une procédure pénale pour un fait perpétré en dehors du territoire portugais (art. 79).</w:t>
      </w:r>
    </w:p>
    <w:p w:rsidR="00000000" w:rsidRDefault="00000000">
      <w:pPr>
        <w:spacing w:after="240"/>
      </w:pPr>
      <w:r>
        <w:t>45.</w:t>
      </w:r>
      <w:r>
        <w:tab/>
        <w:t>Certaines conditions spéciales doivent alors être remplies (art. 80):</w:t>
      </w:r>
    </w:p>
    <w:p w:rsidR="00000000" w:rsidRDefault="00000000">
      <w:pPr>
        <w:spacing w:after="240"/>
      </w:pPr>
      <w:r>
        <w:tab/>
      </w:r>
      <w:r>
        <w:tab/>
        <w:t>«a)</w:t>
      </w:r>
      <w:r>
        <w:tab/>
        <w:t>Le recours à l’extradition doit être exclu;</w:t>
      </w:r>
    </w:p>
    <w:p w:rsidR="00000000" w:rsidRDefault="00000000">
      <w:pPr>
        <w:spacing w:after="240"/>
        <w:ind w:left="567" w:hanging="567"/>
      </w:pPr>
      <w:r>
        <w:tab/>
      </w:r>
      <w:r>
        <w:tab/>
        <w:t>b)</w:t>
      </w:r>
      <w:r>
        <w:tab/>
        <w:t>L’État étranger doit donner des garanties selon lesquelles il ne procèdera pas pénalement pour le même fait, contre le suspect ou le prévenu, au cas où celui-ci serait définitivement jugé par une décision d’un tribunal portugais;</w:t>
      </w:r>
    </w:p>
    <w:p w:rsidR="00000000" w:rsidRDefault="00000000">
      <w:pPr>
        <w:spacing w:after="240"/>
        <w:ind w:left="567" w:firstLine="573"/>
      </w:pPr>
      <w:r>
        <w:t>c)</w:t>
      </w:r>
      <w:r>
        <w:tab/>
        <w:t>La procédure pénale a pour objet un fait qui constitue un crime aux termes de la loi de l’État étranger et de la loi portugaise;</w:t>
      </w:r>
    </w:p>
    <w:p w:rsidR="00000000" w:rsidRDefault="00000000">
      <w:pPr>
        <w:spacing w:after="240"/>
        <w:ind w:left="567" w:firstLine="573"/>
      </w:pPr>
      <w:r>
        <w:t>d)</w:t>
      </w:r>
      <w:r>
        <w:tab/>
        <w:t>La peine ou la mesure de sûreté privative de liberté qui correspond est d’une durée maximale non inférieure à un an, ou, s’agissant d’une peine pécuniaire, son montant maximal n’est pas inférieur à 30 unités de compte processuelles;</w:t>
      </w:r>
    </w:p>
    <w:p w:rsidR="00000000" w:rsidRDefault="00000000">
      <w:pPr>
        <w:spacing w:after="240"/>
        <w:ind w:left="567" w:firstLine="573"/>
      </w:pPr>
      <w:r>
        <w:t>e)</w:t>
      </w:r>
      <w:r>
        <w:tab/>
        <w:t>Le suspect ou le prévenu a la nationalité portugaise ou, s’il s’agit d’étrangers ou d’apatrides, ils possèdent leur résidence habituelle en territoire portugais;</w:t>
      </w:r>
    </w:p>
    <w:p w:rsidR="00000000" w:rsidRDefault="00000000">
      <w:pPr>
        <w:spacing w:after="240"/>
        <w:ind w:left="567" w:firstLine="567"/>
      </w:pPr>
      <w:r>
        <w:t>f)</w:t>
      </w:r>
      <w:r>
        <w:tab/>
        <w:t>L’acceptation de la demande se justifie dans l’intérêt de la bonne administration de la justice ou par la meilleure réinsertion sociale du suspect ou du prévenu au cas où ils seraient condamnés.».</w:t>
      </w:r>
    </w:p>
    <w:p w:rsidR="00000000" w:rsidRDefault="00000000">
      <w:pPr>
        <w:spacing w:after="240"/>
      </w:pPr>
      <w:r>
        <w:t>46.</w:t>
      </w:r>
      <w:r>
        <w:tab/>
        <w:t>Toujours en vertu de l’article 80, mais cette fois, de son paragraphe 2, il est possible d’accepter l’instauration ou la continuation de la procédure pénale au Portugal, lorsque les conditions prévues au paragraphe antérieur se vérifient dans les cas suivants:</w:t>
      </w:r>
    </w:p>
    <w:p w:rsidR="00000000" w:rsidRDefault="00000000">
      <w:pPr>
        <w:spacing w:after="240"/>
        <w:ind w:left="567" w:firstLine="567"/>
      </w:pPr>
      <w:r>
        <w:t>«a)</w:t>
      </w:r>
      <w:r>
        <w:tab/>
        <w:t>Lorsque le suspect ou le prévenu se trouve soumis à une procédure pénale au Portugal pour un autre fait auquel correspond une peine ou une mesure de sûreté dont la gravité est égale ou supérieure aux peines mentionnées sous d) supra, et la présence devant le tribunal du suspect ou du prévenu est assurée;</w:t>
      </w:r>
    </w:p>
    <w:p w:rsidR="00000000" w:rsidRDefault="00000000">
      <w:pPr>
        <w:spacing w:after="240"/>
        <w:ind w:left="567" w:firstLine="567"/>
      </w:pPr>
      <w:r>
        <w:t>b)</w:t>
      </w:r>
      <w:r>
        <w:tab/>
        <w:t>Lorsque l’extradition du suspect ou du prévenu qui réside habituellement au Portugal est refusée;</w:t>
      </w:r>
    </w:p>
    <w:p w:rsidR="00000000" w:rsidRDefault="00000000">
      <w:pPr>
        <w:spacing w:after="240"/>
        <w:ind w:left="567" w:firstLine="573"/>
      </w:pPr>
      <w:r>
        <w:t>c)</w:t>
      </w:r>
      <w:r>
        <w:tab/>
        <w:t>Lorsque l’État requérant considère que la présence du suspect ou du prévenu ne peut être assurée devant ses tribunaux, mais qu’elle peut l’être au Portugal;</w:t>
      </w:r>
    </w:p>
    <w:p w:rsidR="00000000" w:rsidRDefault="00000000">
      <w:pPr>
        <w:spacing w:after="240"/>
        <w:ind w:left="567" w:firstLine="573"/>
      </w:pPr>
      <w:r>
        <w:t>d)</w:t>
      </w:r>
      <w:r>
        <w:tab/>
        <w:t>Si l’État étranger considère qu’il n’existe pas de conditions pour exécuter une éventuelle condamnation, même en ayant recours à l’extradition, et que de telles conditions existent au Portugal.».</w:t>
      </w:r>
    </w:p>
    <w:p w:rsidR="00000000" w:rsidRDefault="00000000">
      <w:pPr>
        <w:spacing w:after="240"/>
      </w:pPr>
      <w:r>
        <w:t>47.</w:t>
      </w:r>
      <w:r>
        <w:tab/>
        <w:t>Aux termes de l’article 81, le droit applicable est alors le droit portugais, sauf si la loi de l’État étranger qui formule la demande est plus favorable.</w:t>
      </w:r>
    </w:p>
    <w:p w:rsidR="00000000" w:rsidRDefault="00000000">
      <w:pPr>
        <w:spacing w:after="240"/>
        <w:jc w:val="center"/>
        <w:rPr>
          <w:b/>
          <w:bCs/>
        </w:rPr>
      </w:pPr>
      <w:r>
        <w:rPr>
          <w:b/>
          <w:bCs/>
        </w:rPr>
        <w:t>E.  Questions relatives à la juridiction universelle de l’État</w:t>
      </w:r>
      <w:r>
        <w:rPr>
          <w:b/>
          <w:bCs/>
        </w:rPr>
        <w:br/>
        <w:t>et aux crimes contre l’humanité</w:t>
      </w:r>
    </w:p>
    <w:p w:rsidR="00000000" w:rsidRDefault="00000000">
      <w:pPr>
        <w:spacing w:after="240"/>
      </w:pPr>
      <w:r>
        <w:t>48.</w:t>
      </w:r>
      <w:r>
        <w:tab/>
        <w:t xml:space="preserve">Aux termes de l’article 4 du Code pénal, le principe de territorialité forme le principe général de l’application de la loi dans l’espace. Mais l’article 5, relatif aux «faits commis en dehors du territoire national» admet, dans l’alinéa </w:t>
      </w:r>
      <w:r>
        <w:rPr>
          <w:i/>
          <w:iCs/>
        </w:rPr>
        <w:t>a</w:t>
      </w:r>
      <w:r>
        <w:t xml:space="preserve"> du paragraphe 1, un ensemble de crimes passibles de répression par le Portugal, encore que commis en dehors du territoire national. Ces crimes, comme la tromperie informatique et dans les communications (art. 221), sont cependant associés à des intérêts nationaux.</w:t>
      </w:r>
    </w:p>
    <w:p w:rsidR="00000000" w:rsidRDefault="00000000">
      <w:pPr>
        <w:spacing w:after="240"/>
      </w:pPr>
      <w:r>
        <w:t>49.</w:t>
      </w:r>
      <w:r>
        <w:tab/>
        <w:t xml:space="preserve">L’alinéa </w:t>
      </w:r>
      <w:r>
        <w:rPr>
          <w:i/>
          <w:iCs/>
        </w:rPr>
        <w:t>b</w:t>
      </w:r>
      <w:r>
        <w:t xml:space="preserve"> du même paragraphe 1, par contre, concerne le principe de l’application universelle de la loi pénale en prévoyant la poursuite de certains crimes pratiqués en dehors du territoire national, pourvu que l’auteur se trouve au Portugal et ne puisse être extradé. Ces crimes, pour lesquels le Portugal reconnaît avoir juridiction universelle, sont:</w:t>
      </w:r>
    </w:p>
    <w:p w:rsidR="00000000" w:rsidRDefault="00000000">
      <w:pPr>
        <w:keepNext/>
        <w:numPr>
          <w:ilvl w:val="0"/>
          <w:numId w:val="49"/>
        </w:numPr>
        <w:tabs>
          <w:tab w:val="clear" w:pos="927"/>
        </w:tabs>
        <w:spacing w:after="240"/>
        <w:ind w:left="1134" w:hanging="567"/>
      </w:pPr>
      <w:r>
        <w:t>L’esclavage (art. 159 du Code pénal);</w:t>
      </w:r>
    </w:p>
    <w:p w:rsidR="00000000" w:rsidRDefault="00000000">
      <w:pPr>
        <w:keepNext/>
        <w:numPr>
          <w:ilvl w:val="0"/>
          <w:numId w:val="49"/>
        </w:numPr>
        <w:tabs>
          <w:tab w:val="clear" w:pos="927"/>
        </w:tabs>
        <w:spacing w:after="240"/>
        <w:ind w:left="1134" w:hanging="567"/>
      </w:pPr>
      <w:r>
        <w:t>Le rapt (art. 160);</w:t>
      </w:r>
    </w:p>
    <w:p w:rsidR="00000000" w:rsidRDefault="00000000">
      <w:pPr>
        <w:numPr>
          <w:ilvl w:val="0"/>
          <w:numId w:val="49"/>
        </w:numPr>
        <w:tabs>
          <w:tab w:val="clear" w:pos="927"/>
        </w:tabs>
        <w:spacing w:after="240"/>
        <w:ind w:left="1134" w:hanging="567"/>
      </w:pPr>
      <w:r>
        <w:t>Le trafic de personnes (art. 169);</w:t>
      </w:r>
    </w:p>
    <w:p w:rsidR="00000000" w:rsidRDefault="00000000">
      <w:pPr>
        <w:numPr>
          <w:ilvl w:val="0"/>
          <w:numId w:val="49"/>
        </w:numPr>
        <w:tabs>
          <w:tab w:val="clear" w:pos="927"/>
        </w:tabs>
        <w:spacing w:after="240"/>
        <w:ind w:left="1134" w:hanging="567"/>
      </w:pPr>
      <w:r>
        <w:t>L’abus sexuel d’enfants (art. 172);</w:t>
      </w:r>
    </w:p>
    <w:p w:rsidR="00000000" w:rsidRDefault="00000000">
      <w:pPr>
        <w:numPr>
          <w:ilvl w:val="0"/>
          <w:numId w:val="49"/>
        </w:numPr>
        <w:tabs>
          <w:tab w:val="clear" w:pos="927"/>
        </w:tabs>
        <w:spacing w:after="240"/>
        <w:ind w:left="1134" w:hanging="567"/>
      </w:pPr>
      <w:r>
        <w:t>L’abus sexuel de majeurs dépendants (art. 173);</w:t>
      </w:r>
    </w:p>
    <w:p w:rsidR="00000000" w:rsidRDefault="00000000">
      <w:pPr>
        <w:numPr>
          <w:ilvl w:val="0"/>
          <w:numId w:val="49"/>
        </w:numPr>
        <w:tabs>
          <w:tab w:val="clear" w:pos="927"/>
        </w:tabs>
        <w:spacing w:after="240"/>
        <w:ind w:left="1134" w:hanging="567"/>
      </w:pPr>
      <w:r>
        <w:t>L’exploitation de la prostitution et le trafic de mineurs (art. 176);</w:t>
      </w:r>
    </w:p>
    <w:p w:rsidR="00000000" w:rsidRDefault="00000000">
      <w:pPr>
        <w:numPr>
          <w:ilvl w:val="0"/>
          <w:numId w:val="49"/>
        </w:numPr>
        <w:tabs>
          <w:tab w:val="clear" w:pos="927"/>
        </w:tabs>
        <w:spacing w:after="240"/>
        <w:ind w:left="1134" w:hanging="567"/>
      </w:pPr>
      <w:r>
        <w:t>L’incitation à la guerre (art. 236);</w:t>
      </w:r>
    </w:p>
    <w:p w:rsidR="00000000" w:rsidRDefault="00000000">
      <w:pPr>
        <w:numPr>
          <w:ilvl w:val="0"/>
          <w:numId w:val="49"/>
        </w:numPr>
        <w:tabs>
          <w:tab w:val="clear" w:pos="927"/>
        </w:tabs>
        <w:spacing w:after="240"/>
        <w:ind w:left="1134" w:hanging="567"/>
      </w:pPr>
      <w:r>
        <w:t>L’incitation des forces armées (art. 237);</w:t>
      </w:r>
    </w:p>
    <w:p w:rsidR="00000000" w:rsidRDefault="00000000">
      <w:pPr>
        <w:numPr>
          <w:ilvl w:val="0"/>
          <w:numId w:val="49"/>
        </w:numPr>
        <w:tabs>
          <w:tab w:val="clear" w:pos="927"/>
        </w:tabs>
        <w:spacing w:after="240"/>
        <w:ind w:left="1134" w:hanging="567"/>
      </w:pPr>
      <w:r>
        <w:t>Le recrutement de mercenaires (art. 238);</w:t>
      </w:r>
    </w:p>
    <w:p w:rsidR="00000000" w:rsidRDefault="00000000">
      <w:pPr>
        <w:numPr>
          <w:ilvl w:val="0"/>
          <w:numId w:val="49"/>
        </w:numPr>
        <w:tabs>
          <w:tab w:val="clear" w:pos="927"/>
        </w:tabs>
        <w:spacing w:after="240"/>
        <w:ind w:left="1134" w:hanging="567"/>
      </w:pPr>
      <w:r>
        <w:t>Le génocide (art. 239.1);</w:t>
      </w:r>
    </w:p>
    <w:p w:rsidR="00000000" w:rsidRDefault="00000000">
      <w:pPr>
        <w:numPr>
          <w:ilvl w:val="0"/>
          <w:numId w:val="49"/>
        </w:numPr>
        <w:tabs>
          <w:tab w:val="clear" w:pos="927"/>
        </w:tabs>
        <w:spacing w:after="240"/>
        <w:ind w:left="1134" w:hanging="567"/>
      </w:pPr>
      <w:r>
        <w:t>La destruction de monuments (art. 242).</w:t>
      </w:r>
    </w:p>
    <w:p w:rsidR="00000000" w:rsidRDefault="00000000">
      <w:pPr>
        <w:spacing w:after="240"/>
      </w:pPr>
      <w:r>
        <w:t>50.</w:t>
      </w:r>
      <w:r>
        <w:tab/>
        <w:t xml:space="preserve">Ce principe du paragraphe 1, alinéa </w:t>
      </w:r>
      <w:r>
        <w:rPr>
          <w:i/>
          <w:iCs/>
        </w:rPr>
        <w:t>b</w:t>
      </w:r>
      <w:r>
        <w:t>, de l’article 5, est étendu par le paragraphe 2 du même article, qui élargit l’application de la loi pénale portugaise aux faits survenus en dehors du territoire national, indépendamment de la nationalité des agents ou des victimes, pourvu que, par traité ou par convention internationale, le Portugal se soit obligé à les juger.</w:t>
      </w:r>
    </w:p>
    <w:p w:rsidR="00000000" w:rsidRDefault="00000000">
      <w:pPr>
        <w:spacing w:after="240"/>
      </w:pPr>
      <w:r>
        <w:t>51.</w:t>
      </w:r>
      <w:r>
        <w:tab/>
        <w:t>Il est mitigé par l’article 6, «restrictions à l’application de la loi portugaise», qui a pour but de signifier que le jugement pour des faits commis en dehors du territoire national est subsidiaire:</w:t>
      </w:r>
    </w:p>
    <w:p w:rsidR="00000000" w:rsidRDefault="00000000">
      <w:pPr>
        <w:spacing w:after="240"/>
        <w:ind w:left="567" w:firstLine="573"/>
      </w:pPr>
      <w:r>
        <w:t>«1.</w:t>
      </w:r>
      <w:r>
        <w:tab/>
        <w:t>L’application de la loi portugaise à des faits perpétrés en dehors du territoire national n’a lieu que lorsque l’agent n’a pas été jugé dans le pays de la perpétration du fait ou s’est soustrait à l’exécution totale ou partielle de la condamnation.</w:t>
      </w:r>
    </w:p>
    <w:p w:rsidR="00000000" w:rsidRDefault="00000000">
      <w:pPr>
        <w:spacing w:after="240"/>
        <w:ind w:left="567" w:firstLine="567"/>
      </w:pPr>
      <w:r>
        <w:t>2.</w:t>
      </w:r>
      <w:r>
        <w:tab/>
        <w:t>Encore que la loi portugaise soit applicable, aux termes du paragraphe antérieur, le fait est jugé selon la loi du pays où il a été perpétré si cette loi est – en concret – plus favorable à l’agent. La peine applicable est convertie peine qui lui correspond dans le système portugais ou, en cas de non</w:t>
      </w:r>
      <w:r>
        <w:noBreakHyphen/>
        <w:t>correspondance, celle que la loi portugaise prévoit pour le fait.».</w:t>
      </w:r>
    </w:p>
    <w:p w:rsidR="00000000" w:rsidRDefault="00000000">
      <w:pPr>
        <w:spacing w:after="240"/>
      </w:pPr>
      <w:r>
        <w:t>52.</w:t>
      </w:r>
      <w:r>
        <w:tab/>
        <w:t xml:space="preserve">Tous les tribunaux criminels peuvent exercer la juridiction universelle, qu’ils soient de première instance ou d’appel (tribunal de </w:t>
      </w:r>
      <w:r>
        <w:rPr>
          <w:i/>
          <w:iCs/>
        </w:rPr>
        <w:t>comarca</w:t>
      </w:r>
      <w:r>
        <w:t xml:space="preserve">, de </w:t>
      </w:r>
      <w:r>
        <w:rPr>
          <w:i/>
          <w:iCs/>
        </w:rPr>
        <w:t>Relação</w:t>
      </w:r>
      <w:r>
        <w:t xml:space="preserve">, ou </w:t>
      </w:r>
      <w:r>
        <w:rPr>
          <w:i/>
          <w:iCs/>
        </w:rPr>
        <w:t>Supremo</w:t>
      </w:r>
      <w:r>
        <w:t xml:space="preserve">, selon le fonctionnement du recours </w:t>
      </w:r>
      <w:r>
        <w:rPr>
          <w:i/>
          <w:iCs/>
        </w:rPr>
        <w:t>per saltum</w:t>
      </w:r>
      <w:r>
        <w:t xml:space="preserve"> existant dans l’ordre procédural portugais.</w:t>
      </w:r>
    </w:p>
    <w:p w:rsidR="00000000" w:rsidRDefault="00000000">
      <w:pPr>
        <w:spacing w:after="240"/>
      </w:pPr>
      <w:r>
        <w:t>53.</w:t>
      </w:r>
      <w:r>
        <w:tab/>
        <w:t xml:space="preserve">En ce qui concerne la juridiction universelle facultative ou obligatoire, il semble, en termes généraux, y avoir un devoir de poursuite, d’office, pour les crimes auxquels s’appliquerait la juridiction universelle de l’État. Il y a certainement un devoir de poursuite pour tous les crimes énoncés dans le Code pénal portugais (ceux de l’article 5, paragraphe 1, alinéa </w:t>
      </w:r>
      <w:r>
        <w:rPr>
          <w:i/>
          <w:iCs/>
        </w:rPr>
        <w:t>b</w:t>
      </w:r>
      <w:r>
        <w:t>). Le même devoir existe certainement pour les crimes prévus au paragraphe 2 de l’article 5.</w:t>
      </w:r>
    </w:p>
    <w:p w:rsidR="00000000" w:rsidRDefault="00000000">
      <w:pPr>
        <w:spacing w:after="240"/>
      </w:pPr>
      <w:r>
        <w:t>54.</w:t>
      </w:r>
      <w:r>
        <w:tab/>
        <w:t>De plus, on peut dire que la notion d’</w:t>
      </w:r>
      <w:r>
        <w:rPr>
          <w:i/>
          <w:iCs/>
        </w:rPr>
        <w:t>action populaire</w:t>
      </w:r>
      <w:r>
        <w:t xml:space="preserve"> s’applique à l’exercice de la juridiction universelle. Ainsi, même s’il n’y a pas intérêt à agir en matière pénale, défini par le fait, pour tout citoyen, d’être victime ou de se trouver dans une situation dans laquelle la loi permet l’intervention en qualité de plaignant ou de partie civile dans la procédure, toute personne peut dénoncer, et se constituer assistante (c’est</w:t>
      </w:r>
      <w:r>
        <w:noBreakHyphen/>
        <w:t>à</w:t>
      </w:r>
      <w:r>
        <w:noBreakHyphen/>
        <w:t xml:space="preserve">dire à la fois plaignant et partie civile) dans les crimes contre la paix et l’humanité, ainsi que dans les crimes de trafic d’influence, de corruption pratiquée par un fonctionnaire, de déni de justice, de prévarication, de toute forme de corruption, notamment la participation économique illicite dans une affaire, l’abus de pouvoir et la fraude dans l’obtention d’un subside ou d’une subvention (art. 68, par. 1, al. </w:t>
      </w:r>
      <w:r>
        <w:rPr>
          <w:i/>
          <w:iCs/>
        </w:rPr>
        <w:t>e</w:t>
      </w:r>
      <w:r>
        <w:t>) du Code de procédure pénale). Pour ces crimes aussi, il y a un devoir d’intervention de la part du ministère public.</w:t>
      </w:r>
    </w:p>
    <w:p w:rsidR="00000000" w:rsidRDefault="00000000">
      <w:pPr>
        <w:spacing w:after="240"/>
      </w:pPr>
      <w:r>
        <w:t>55.</w:t>
      </w:r>
      <w:r>
        <w:tab/>
        <w:t>Le Portugal a connu une demande d’exercice de la juridiction universelle et un avis a été émis par l’Office du Procureur général de la République, notamment par son Conseil consultatif. Il s’agissait d’une demande formulée par la section portugaise de la Commission internationale des juristes contre cinq militaires de l’armée indonésienne en tant que responsables, immédiatement après le référendum de 1999, d’actes de terrorisme, notamment de massacres généralisés. L’Office du Procureur général a cependant considéré que les présupposés de l’exercice de la juridiction universelle de l’État n’étaient pas vérifiés. Cela a permis à la juridiction internationale de se saisir du jugement de ces crimes.</w:t>
      </w:r>
    </w:p>
    <w:p w:rsidR="00000000" w:rsidRDefault="00000000">
      <w:pPr>
        <w:spacing w:after="240"/>
        <w:jc w:val="center"/>
        <w:rPr>
          <w:b/>
          <w:bCs/>
        </w:rPr>
      </w:pPr>
      <w:r>
        <w:rPr>
          <w:b/>
          <w:bCs/>
        </w:rPr>
        <w:t>F.  Coopération judiciaire internationale</w:t>
      </w:r>
    </w:p>
    <w:p w:rsidR="00000000" w:rsidRDefault="00000000">
      <w:pPr>
        <w:spacing w:after="240"/>
      </w:pPr>
      <w:r>
        <w:t>56.</w:t>
      </w:r>
      <w:r>
        <w:tab/>
        <w:t>Nous nous permettons de renvoyer aux sections du présent rapport où il est fait référence à la coopération judiciaire internationale. Qu’il nous soit permis de dire que, par tous les moyens qui viennent d’être mentionnés dans ce chapitre II, l’État portugais assure la répression des actes de torture.</w:t>
      </w:r>
    </w:p>
    <w:p w:rsidR="00000000" w:rsidRDefault="00000000">
      <w:pPr>
        <w:spacing w:after="240"/>
        <w:jc w:val="center"/>
        <w:rPr>
          <w:b/>
          <w:bCs/>
        </w:rPr>
      </w:pPr>
      <w:r>
        <w:rPr>
          <w:b/>
          <w:bCs/>
        </w:rPr>
        <w:t>III.  GARANTIES QU’OFFRE LA PROCÉDURE PÉNALE</w:t>
      </w:r>
    </w:p>
    <w:p w:rsidR="00000000" w:rsidRDefault="00000000">
      <w:pPr>
        <w:spacing w:after="240"/>
      </w:pPr>
      <w:r>
        <w:t>57.</w:t>
      </w:r>
      <w:r>
        <w:tab/>
        <w:t>Au chapitre III, on traitera des garanties de procédure pénale contre la torture à l’égard des prévenus: y seront abordés les problèmes associés aux garanties des personnes en ce qui concerne la détention, à la prison préventive, à la surveillance électronique, à la surveillance exercée sur les autorités de détention, et au droit de présenter une plainte.</w:t>
      </w:r>
    </w:p>
    <w:p w:rsidR="00000000" w:rsidRDefault="00000000">
      <w:pPr>
        <w:spacing w:after="240"/>
        <w:jc w:val="center"/>
        <w:rPr>
          <w:b/>
          <w:bCs/>
        </w:rPr>
      </w:pPr>
      <w:r>
        <w:rPr>
          <w:b/>
          <w:bCs/>
        </w:rPr>
        <w:t>A.  Garanties de personnes en ce qui concerne la détention</w:t>
      </w:r>
    </w:p>
    <w:p w:rsidR="00000000" w:rsidRDefault="00000000">
      <w:pPr>
        <w:spacing w:after="240"/>
        <w:jc w:val="center"/>
        <w:rPr>
          <w:i/>
          <w:iCs/>
        </w:rPr>
      </w:pPr>
      <w:r>
        <w:rPr>
          <w:i/>
          <w:iCs/>
        </w:rPr>
        <w:t>1.  Le suspect</w:t>
      </w:r>
    </w:p>
    <w:p w:rsidR="00000000" w:rsidRDefault="00000000">
      <w:pPr>
        <w:spacing w:after="240"/>
      </w:pPr>
      <w:r>
        <w:t>58.</w:t>
      </w:r>
      <w:r>
        <w:tab/>
        <w:t xml:space="preserve">Avant d’examiner  les questions relatives à la prison préventive, il faut mentionner les garanties des prévenus en ce qui concerne la détention. La détention peut être opérée aux fins d’identification d’une personne ne possédant pas sur elle des papiers d’identité. Cette question est régie par la loi </w:t>
      </w:r>
      <w:r>
        <w:rPr>
          <w:rFonts w:eastAsia="MS Mincho"/>
        </w:rPr>
        <w:t>n</w:t>
      </w:r>
      <w:r>
        <w:rPr>
          <w:rFonts w:eastAsia="MS Mincho"/>
          <w:vertAlign w:val="superscript"/>
        </w:rPr>
        <w:t>o</w:t>
      </w:r>
      <w:r>
        <w:t xml:space="preserve"> 5/95, du 21 février, qui établit le devoir de porter sur soi une pièce d’identité. En l’absence de cette pièce, il est possible à la police de procéder aux opérations d’identification nécessaires, pendant une période qui ne peut excéder deux heures, en accompagnant, en cas de besoin, l’intéressé à son domicile ou en contactant les personnes qu’il aura désignées, sa famille ou son avocat.</w:t>
      </w:r>
    </w:p>
    <w:p w:rsidR="00000000" w:rsidRDefault="00000000">
      <w:pPr>
        <w:spacing w:after="240"/>
      </w:pPr>
      <w:r>
        <w:t>59.</w:t>
      </w:r>
      <w:r>
        <w:tab/>
        <w:t xml:space="preserve"> Cette première situation de détention est une détention aux fins d’identification, de nature non pénale. Aux termes de l’article 250 du Code de procédure pénale, on peut procéder à une identification plus longue – mais ne dépassant pas six heures – lorsque la personne à identifier est suspecte de la perpétration d’un crime, de la pendance d’un procès d’extradition ou d’expulsion contre elle, de l’entrée ou du séjour irrégulier sur le territoire national ou de l’existence d’un mandat de détention contre elle.</w:t>
      </w:r>
    </w:p>
    <w:p w:rsidR="00000000" w:rsidRDefault="00000000">
      <w:pPr>
        <w:spacing w:after="240"/>
      </w:pPr>
      <w:r>
        <w:t>60.</w:t>
      </w:r>
      <w:r>
        <w:tab/>
        <w:t>Avant de procéder à l’identification, les organes de la police criminelle doivent prouver leur qualité, communiquer au suspect les circonstances qui fondent le devoir d’identifier et indiquer les moyens par lesquels le suspect peut s’identifier. Ici encore, le suspect a le droit de communiquer avec toute personne qui peut lui apporter ses documents, de se déplacer avec les organes de police criminelle jusqu’au lieu où se trouvent les documents d’identification, ou de faire reconnaître son identité par une personne dûment identifiée qui garantit la véracité des données personnelles indiquées par le suspect.</w:t>
      </w:r>
    </w:p>
    <w:p w:rsidR="00000000" w:rsidRDefault="00000000">
      <w:pPr>
        <w:spacing w:after="240"/>
      </w:pPr>
      <w:r>
        <w:t>61.</w:t>
      </w:r>
      <w:r>
        <w:tab/>
        <w:t>Vient ensuite la phase de la détention proprement dite, détention aux fins de garde à vue, avec présentation du prévenu à un juge ou à un magistrat du parquet (en certaines circonstances) dans les 48 heures (art. 141.1 du Code de procédure pénale) afin de le relâcher ou de valider sa détention, qui devient alors prison préventive.</w:t>
      </w:r>
    </w:p>
    <w:p w:rsidR="00000000" w:rsidRDefault="00000000">
      <w:pPr>
        <w:spacing w:after="240"/>
        <w:jc w:val="center"/>
        <w:rPr>
          <w:i/>
          <w:iCs/>
        </w:rPr>
      </w:pPr>
      <w:r>
        <w:rPr>
          <w:i/>
          <w:iCs/>
        </w:rPr>
        <w:t>2.  Le prévenu</w:t>
      </w:r>
    </w:p>
    <w:p w:rsidR="00000000" w:rsidRDefault="00000000">
      <w:pPr>
        <w:spacing w:after="240"/>
      </w:pPr>
      <w:r>
        <w:t>62.</w:t>
      </w:r>
      <w:r>
        <w:tab/>
        <w:t>C’est ici que se situe le moment de la constitution du suspect en prévenu, avec tous les droits et garanties que cela implique. En effet, la garde à vue est une mesure de coercition et l’article 58 du Code de procédure pénale dispose que la constitution du suspect en tant que prévenu se situe immédiatement au moment de l’application d’une mesure de coercition.</w:t>
      </w:r>
    </w:p>
    <w:p w:rsidR="00000000" w:rsidRDefault="00000000">
      <w:pPr>
        <w:spacing w:after="240"/>
      </w:pPr>
      <w:r>
        <w:t>63.</w:t>
      </w:r>
      <w:r>
        <w:tab/>
        <w:t>La constitution en tant que prévenu s’opère par la communication orale ou écrite qui est faite au suspect par une autorité judiciaire ou un organe de police criminelle, selon laquelle, à partir de ce moment, il doit se considérer prévenu en procédure pénale. Cette communication est accompagnée de l’indication et, en cas de besoin, de l’explication des droits et des devoirs de procédure qui lui reviennent dès ce moment.</w:t>
      </w:r>
    </w:p>
    <w:p w:rsidR="00000000" w:rsidRDefault="00000000">
      <w:pPr>
        <w:spacing w:after="240"/>
      </w:pPr>
      <w:r>
        <w:t>64.</w:t>
      </w:r>
      <w:r>
        <w:tab/>
        <w:t>La constitution en tant que prévenu implique la remise, chaque fois que possible dans l’acte lui-même, d’un document dans lequel se trouvent l’identification du procès et du défenseur, si celui-ci est déjà nommé, ainsi que l’énoncé des droits et des devoirs de procédure mentionnés à l’article 61 du Code de procédure pénale.</w:t>
      </w:r>
    </w:p>
    <w:p w:rsidR="00000000" w:rsidRDefault="00000000">
      <w:pPr>
        <w:spacing w:after="240"/>
      </w:pPr>
      <w:r>
        <w:t>65.</w:t>
      </w:r>
      <w:r>
        <w:tab/>
        <w:t>L’omission ou la violation des formalités prévues dans les paragraphes 2 et 3 de l’article 58 – formalités qui viennent d’être énoncées – implique que les déclarations fournies par la personne destinataire des mesures, ne peuvent être utilisées comme une preuve contre celle-ci (art. 58, par. 4 du Code de procédure pénale).</w:t>
      </w:r>
    </w:p>
    <w:p w:rsidR="00000000" w:rsidRDefault="00000000">
      <w:pPr>
        <w:spacing w:after="240"/>
      </w:pPr>
      <w:r>
        <w:t>66.</w:t>
      </w:r>
      <w:r>
        <w:tab/>
        <w:t>Aux termes de l’article 61 du Code de procédure pénale, le prévenu jouit, à partir du moment de sa constitution en tant que prévenu, aux termes de l’article 58 de ce code, et en toute phase du procès, des droits suivants:</w:t>
      </w:r>
    </w:p>
    <w:p w:rsidR="00000000" w:rsidRDefault="00000000">
      <w:pPr>
        <w:spacing w:after="240"/>
      </w:pPr>
      <w:r>
        <w:tab/>
        <w:t>a)</w:t>
      </w:r>
      <w:r>
        <w:tab/>
        <w:t>D’être présent dans les actes de procédure qui le concernent directement;</w:t>
      </w:r>
    </w:p>
    <w:p w:rsidR="00000000" w:rsidRDefault="00000000">
      <w:pPr>
        <w:spacing w:after="240"/>
        <w:ind w:firstLine="567"/>
      </w:pPr>
      <w:r>
        <w:t>b)</w:t>
      </w:r>
      <w:r>
        <w:tab/>
        <w:t>D’être entendu par le tribunal ou par le juge d’instruction chaque fois que doit être prise une décision qui le concerne personnellement;</w:t>
      </w:r>
    </w:p>
    <w:p w:rsidR="00000000" w:rsidRDefault="00000000">
      <w:pPr>
        <w:spacing w:after="240"/>
        <w:ind w:firstLine="567"/>
      </w:pPr>
      <w:r>
        <w:t>c)</w:t>
      </w:r>
      <w:r>
        <w:tab/>
        <w:t>De ne pas répondre à des questions formulées par toute entité, sur les faits qui lui sont reprochés ou sur le contenu des déclarations qu’il pourrait faire sur ces faits;</w:t>
      </w:r>
    </w:p>
    <w:p w:rsidR="00000000" w:rsidRDefault="00000000">
      <w:pPr>
        <w:spacing w:after="240"/>
        <w:ind w:firstLine="567"/>
      </w:pPr>
      <w:r>
        <w:t>d)</w:t>
      </w:r>
      <w:r>
        <w:tab/>
        <w:t>De choisir un défenseur ou de solliciter au tribunal que celui-ci lui en nomme un;</w:t>
      </w:r>
    </w:p>
    <w:p w:rsidR="00000000" w:rsidRDefault="00000000">
      <w:pPr>
        <w:spacing w:after="240"/>
        <w:ind w:firstLine="567"/>
      </w:pPr>
      <w:r>
        <w:t>e)</w:t>
      </w:r>
      <w:r>
        <w:tab/>
        <w:t>D’être assisté par un défenseur dans tous les actes de la procédure auxquels il participe et, lorsqu’en détention, de communiquer même en privé avec lui;</w:t>
      </w:r>
    </w:p>
    <w:p w:rsidR="00000000" w:rsidRDefault="00000000">
      <w:pPr>
        <w:spacing w:after="240"/>
        <w:ind w:firstLine="567"/>
      </w:pPr>
      <w:r>
        <w:t>f)</w:t>
      </w:r>
      <w:r>
        <w:tab/>
        <w:t>D’intervenir dans l’enquête et dans l’instruction en offrant des preuves et en requérant les diligences qui lui paraissent nécessaires;</w:t>
      </w:r>
    </w:p>
    <w:p w:rsidR="00000000" w:rsidRDefault="00000000">
      <w:pPr>
        <w:spacing w:after="240"/>
        <w:ind w:firstLine="567"/>
      </w:pPr>
      <w:r>
        <w:t>g)</w:t>
      </w:r>
      <w:r>
        <w:tab/>
        <w:t>D’être informé, par l’autorité judiciaire ou par l’organe de police criminelle devant lesquels il est obligé de comparaître, des droits qui sont les siens;</w:t>
      </w:r>
    </w:p>
    <w:p w:rsidR="00000000" w:rsidRDefault="00000000">
      <w:pPr>
        <w:spacing w:after="240"/>
        <w:ind w:firstLine="567"/>
      </w:pPr>
      <w:r>
        <w:t>h)</w:t>
      </w:r>
      <w:r>
        <w:tab/>
        <w:t>De recourir, aux termes de la loi, à des décisions qui lui sont défavorables.</w:t>
      </w:r>
    </w:p>
    <w:p w:rsidR="00000000" w:rsidRDefault="00000000">
      <w:pPr>
        <w:spacing w:after="240"/>
      </w:pPr>
      <w:r>
        <w:t xml:space="preserve">La communication privée mentionnée sous l’alinéa </w:t>
      </w:r>
      <w:r>
        <w:rPr>
          <w:i/>
          <w:iCs/>
        </w:rPr>
        <w:t>e</w:t>
      </w:r>
      <w:r>
        <w:t xml:space="preserve"> (qui correspond à l’alinéa </w:t>
      </w:r>
      <w:r>
        <w:rPr>
          <w:i/>
          <w:iCs/>
        </w:rPr>
        <w:t>e</w:t>
      </w:r>
      <w:r>
        <w:t xml:space="preserve"> de l’article 61), a lieu sous la surveillance, lorsque des raisons de sécurité l’imposent, mais en des conditions telles qu’elle ne peut être entendue par la personne chargée de la surveillance.</w:t>
      </w:r>
    </w:p>
    <w:p w:rsidR="00000000" w:rsidRDefault="00000000">
      <w:pPr>
        <w:spacing w:after="240"/>
      </w:pPr>
      <w:r>
        <w:t>67.</w:t>
      </w:r>
      <w:r>
        <w:tab/>
        <w:t>Le prévenu a également des devoirs (art. 61, par. 3):</w:t>
      </w:r>
    </w:p>
    <w:p w:rsidR="00000000" w:rsidRDefault="00000000">
      <w:pPr>
        <w:spacing w:after="240"/>
      </w:pPr>
      <w:r>
        <w:tab/>
        <w:t>a)</w:t>
      </w:r>
      <w:r>
        <w:tab/>
        <w:t>Il doit comparaître devant le juge, le ministère public ou les organes de police criminelle lorsque la loi le détermine et qu’il a été dûment convoqué;</w:t>
      </w:r>
    </w:p>
    <w:p w:rsidR="00000000" w:rsidRDefault="00000000">
      <w:pPr>
        <w:spacing w:after="240"/>
      </w:pPr>
      <w:r>
        <w:tab/>
        <w:t>b)</w:t>
      </w:r>
      <w:r>
        <w:tab/>
        <w:t>Il doit répondre avec vérité aux questions posées par une autorité compétente sur son identité et, lorsque la loi le détermine, aux questions posées sur ses antécédents criminels;</w:t>
      </w:r>
    </w:p>
    <w:p w:rsidR="00000000" w:rsidRDefault="00000000">
      <w:pPr>
        <w:spacing w:after="240"/>
        <w:ind w:firstLine="567"/>
      </w:pPr>
      <w:r>
        <w:t>c)</w:t>
      </w:r>
      <w:r>
        <w:tab/>
        <w:t>Il doit se maintenir à la disposition de la justice, notamment en termes de résidence;</w:t>
      </w:r>
    </w:p>
    <w:p w:rsidR="00000000" w:rsidRDefault="00000000">
      <w:pPr>
        <w:spacing w:after="240"/>
        <w:ind w:firstLine="567"/>
      </w:pPr>
      <w:r>
        <w:t>d)</w:t>
      </w:r>
      <w:r>
        <w:tab/>
        <w:t>Il doit se soumettre aux diligences de preuve et aux mesures de coercition et de garantie patrimoniale spécifiées dans la loi et ordonnées et effectuées par une autorité compétente.</w:t>
      </w:r>
    </w:p>
    <w:p w:rsidR="00000000" w:rsidRDefault="00000000">
      <w:pPr>
        <w:spacing w:after="240"/>
      </w:pPr>
      <w:r>
        <w:t>68.</w:t>
      </w:r>
      <w:r>
        <w:tab/>
        <w:t xml:space="preserve">Aux termes de l’article 62 du Code de procédure pénale, le prévenu peut être assisté d’un avocat à tout moment du procès. Dans les cas où la loi détermine que le prévenu est assisté par un défenseur et que celui-ci ne l’a pas nommé ou ne l’a pas constitué, le juge lui en désigne un d’office, avocat ou avocat stagiaire, le défenseur nommé cessant ses fonctions dès que le prévenu constitue un avocat. Exceptionnellement, en cas d’urgence, dans l’impossibilité de désigner un avocat ou un avocat stagiaire, il est possible de nommer une personne idoine, possédant de préférence une </w:t>
      </w:r>
      <w:r>
        <w:rPr>
          <w:i/>
          <w:iCs/>
        </w:rPr>
        <w:t>licenciatura</w:t>
      </w:r>
      <w:r>
        <w:t xml:space="preserve"> en droit, qui cessera ses fonctions dès qu’il est possible de nommer un avocat ou un avocat stagiaire.</w:t>
      </w:r>
    </w:p>
    <w:p w:rsidR="00000000" w:rsidRDefault="00000000">
      <w:pPr>
        <w:spacing w:after="240"/>
      </w:pPr>
      <w:r>
        <w:t>69.</w:t>
      </w:r>
      <w:r>
        <w:tab/>
        <w:t>Lorsque le prévenu est sourd, muet, analphabète, ne connaît pas la langue portugaise, est mineur de 21 ans et lorsque se pose la question de sa non-imputabilité ou de son imputabilité réduite, le ministère public lui désigne d’office un avocat.</w:t>
      </w:r>
    </w:p>
    <w:p w:rsidR="00000000" w:rsidRDefault="00000000">
      <w:pPr>
        <w:spacing w:after="240"/>
      </w:pPr>
      <w:r>
        <w:t>70.</w:t>
      </w:r>
      <w:r>
        <w:tab/>
        <w:t xml:space="preserve">Cette désignation </w:t>
      </w:r>
      <w:r>
        <w:rPr>
          <w:i/>
          <w:iCs/>
        </w:rPr>
        <w:t>ex officio</w:t>
      </w:r>
      <w:r>
        <w:t xml:space="preserve"> est également obligatoire lorsque le prévenu n’a pas de mandataire constitué ou de défenseur nommé au moment de la clôture de l’enquête, si l’accusation contre lui est faite par le ministère public. Cela vaut également pour le premier interrogatoire non judiciaire d’un prévenu détenu qui peut demander l’assistance d’un avocat.</w:t>
      </w:r>
    </w:p>
    <w:p w:rsidR="00000000" w:rsidRDefault="00000000">
      <w:pPr>
        <w:spacing w:after="240"/>
      </w:pPr>
      <w:r>
        <w:t>71.</w:t>
      </w:r>
      <w:r>
        <w:tab/>
        <w:t>Aux termes de l’article 64 du Code de procédure pénale, l’assistance d’un défenseur est obligatoire:</w:t>
      </w:r>
    </w:p>
    <w:p w:rsidR="00000000" w:rsidRDefault="00000000">
      <w:pPr>
        <w:spacing w:after="240"/>
        <w:ind w:firstLine="567"/>
      </w:pPr>
      <w:r>
        <w:t>a)</w:t>
      </w:r>
      <w:r>
        <w:tab/>
        <w:t>Lors du premier interrogatoire judiciaire d’un prévenu détenu;</w:t>
      </w:r>
    </w:p>
    <w:p w:rsidR="00000000" w:rsidRDefault="00000000">
      <w:pPr>
        <w:spacing w:after="240"/>
        <w:ind w:firstLine="567"/>
      </w:pPr>
      <w:r>
        <w:t>b)</w:t>
      </w:r>
      <w:r>
        <w:tab/>
        <w:t>Lors du débat d’instruction et dans l’audience, sauf s’il s’agit d’un procès qui ne peut conduire à l’application d’une peine de prison ou d’une mesure de sûreté d’internement;</w:t>
      </w:r>
    </w:p>
    <w:p w:rsidR="00000000" w:rsidRDefault="00000000">
      <w:pPr>
        <w:spacing w:after="240"/>
        <w:ind w:firstLine="567"/>
      </w:pPr>
      <w:r>
        <w:t>c)</w:t>
      </w:r>
      <w:r>
        <w:tab/>
        <w:t>Pour tout acte de procédure lorsque le prévenu est sourd, muet, analphabète, ne connaît pas la langue portugaise, est mineur de 21 ans, ou lorsque se pose la question de sa non</w:t>
      </w:r>
      <w:r>
        <w:noBreakHyphen/>
        <w:t>imputabilité ou de son imputabilité réduite;</w:t>
      </w:r>
    </w:p>
    <w:p w:rsidR="00000000" w:rsidRDefault="00000000">
      <w:pPr>
        <w:spacing w:after="240"/>
      </w:pPr>
      <w:r>
        <w:tab/>
        <w:t>d)</w:t>
      </w:r>
      <w:r>
        <w:tab/>
        <w:t>Lors des recours ordinaires ou extraordinaires;</w:t>
      </w:r>
    </w:p>
    <w:p w:rsidR="00000000" w:rsidRDefault="00000000">
      <w:pPr>
        <w:spacing w:after="240"/>
        <w:ind w:firstLine="567"/>
      </w:pPr>
      <w:r>
        <w:t>e)</w:t>
      </w:r>
      <w:r>
        <w:tab/>
        <w:t>Dans les cas auxquels se rapportent les articles 271 et 294 (témoignages et déclarations pour la mémoire future);</w:t>
      </w:r>
    </w:p>
    <w:p w:rsidR="00000000" w:rsidRDefault="00000000">
      <w:pPr>
        <w:spacing w:after="240"/>
      </w:pPr>
      <w:r>
        <w:tab/>
        <w:t>f)</w:t>
      </w:r>
      <w:r>
        <w:tab/>
        <w:t>Lors de l’audience de jugement réalisée en l’absence du prévenu;</w:t>
      </w:r>
    </w:p>
    <w:p w:rsidR="00000000" w:rsidRDefault="00000000">
      <w:pPr>
        <w:spacing w:after="240"/>
        <w:ind w:firstLine="567"/>
      </w:pPr>
      <w:r>
        <w:t>g)</w:t>
      </w:r>
      <w:r>
        <w:tab/>
        <w:t>En tout cas prévu par la loi.</w:t>
      </w:r>
    </w:p>
    <w:p w:rsidR="00000000" w:rsidRDefault="00000000">
      <w:pPr>
        <w:spacing w:after="240"/>
      </w:pPr>
      <w:r>
        <w:t>72.</w:t>
      </w:r>
      <w:r>
        <w:tab/>
        <w:t>Outre les éléments analysés ci</w:t>
      </w:r>
      <w:r>
        <w:noBreakHyphen/>
        <w:t>dessus, il est également convenable de mentionner les moyens de preuve (art. 124 et suivants du Code de procédure pénale) et les garanties qui les entourent.</w:t>
      </w:r>
    </w:p>
    <w:p w:rsidR="00000000" w:rsidRDefault="00000000">
      <w:pPr>
        <w:spacing w:after="240"/>
        <w:jc w:val="center"/>
        <w:rPr>
          <w:i/>
          <w:iCs/>
        </w:rPr>
      </w:pPr>
      <w:r>
        <w:rPr>
          <w:i/>
          <w:iCs/>
        </w:rPr>
        <w:t>3.  La preuve</w:t>
      </w:r>
    </w:p>
    <w:p w:rsidR="00000000" w:rsidRDefault="00000000">
      <w:pPr>
        <w:spacing w:after="240"/>
      </w:pPr>
      <w:r>
        <w:t>73.</w:t>
      </w:r>
      <w:r>
        <w:tab/>
        <w:t>Aux termes de l’article 124 du Code de procédure pénale, tous les faits juridiquement pertinents pour l’existence ou l’inexistence du crime, la punibilité ou la non-punibilité du prévenu et la détermination de la peine ou de la mesure de sûreté applicables constituent l’objet de la preuve.</w:t>
      </w:r>
    </w:p>
    <w:p w:rsidR="00000000" w:rsidRDefault="00000000">
      <w:pPr>
        <w:spacing w:after="240"/>
      </w:pPr>
      <w:r>
        <w:t>74.</w:t>
      </w:r>
      <w:r>
        <w:tab/>
        <w:t>D’une façon générale, sont admissibles les preuves qui ne sont pas interdites par la loi, l’article 126 du Code de procédure pénale interdisant les méthodes de preuve suivantes:</w:t>
      </w:r>
    </w:p>
    <w:p w:rsidR="00000000" w:rsidRDefault="00000000">
      <w:pPr>
        <w:spacing w:after="240"/>
        <w:ind w:left="567" w:firstLine="570"/>
      </w:pPr>
      <w:r>
        <w:t>«1.</w:t>
      </w:r>
      <w:r>
        <w:tab/>
        <w:t>Les preuves obtenues moyennant la torture, la coercition ou, en général, l’atteinte à l’intégrité physique ou morale des personnes, sont nulles et ne peuvent être employées;</w:t>
      </w:r>
    </w:p>
    <w:p w:rsidR="00000000" w:rsidRDefault="00000000">
      <w:pPr>
        <w:spacing w:after="240"/>
        <w:ind w:left="567" w:firstLine="573"/>
      </w:pPr>
      <w:r>
        <w:t>2.</w:t>
      </w:r>
      <w:r>
        <w:tab/>
        <w:t>Les preuves qui suivent sont nulles, elles portent atteinte à l’intégrité physique et morale des personnes, même lorsqu’elles sont obtenues moyennant:</w:t>
      </w:r>
    </w:p>
    <w:p w:rsidR="00000000" w:rsidRDefault="00000000">
      <w:pPr>
        <w:spacing w:after="240"/>
        <w:ind w:left="567" w:firstLine="567"/>
      </w:pPr>
      <w:r>
        <w:t>a)</w:t>
      </w:r>
      <w:r>
        <w:tab/>
        <w:t>La perturbation de la liberté de la volonté ou de la décision au moyen de mauvais traitements, d’offenses corporelles, d’administration de moyens de toute nature, d’hypnose ou d’emploi de moyens cruels ou trompeurs;</w:t>
      </w:r>
    </w:p>
    <w:p w:rsidR="00000000" w:rsidRDefault="00000000">
      <w:pPr>
        <w:spacing w:after="240"/>
        <w:ind w:left="567" w:firstLine="567"/>
      </w:pPr>
      <w:r>
        <w:t>b)</w:t>
      </w:r>
      <w:r>
        <w:tab/>
        <w:t>La perturbation, par tout moyen, de la capacité de mémoire ou d’évaluation;</w:t>
      </w:r>
    </w:p>
    <w:p w:rsidR="00000000" w:rsidRDefault="00000000">
      <w:pPr>
        <w:spacing w:after="240"/>
        <w:ind w:left="567" w:firstLine="567"/>
      </w:pPr>
      <w:r>
        <w:t>c)</w:t>
      </w:r>
      <w:r>
        <w:tab/>
        <w:t>L’emploi de la force, en dehors des cas et des limites permis par la loi;</w:t>
      </w:r>
    </w:p>
    <w:p w:rsidR="00000000" w:rsidRDefault="00000000">
      <w:pPr>
        <w:spacing w:after="240"/>
        <w:ind w:left="567" w:firstLine="567"/>
      </w:pPr>
      <w:r>
        <w:t>d)</w:t>
      </w:r>
      <w:r>
        <w:tab/>
        <w:t>La menace de l’emploi d’une mesure légalement inadmissible ainsi que le déni ou le refus ou le conditionnement de l’obtention d’un bénéfice légalement prévu;</w:t>
      </w:r>
    </w:p>
    <w:p w:rsidR="00000000" w:rsidRDefault="00000000">
      <w:pPr>
        <w:spacing w:after="240"/>
        <w:ind w:left="567" w:firstLine="567"/>
      </w:pPr>
      <w:r>
        <w:t>e)</w:t>
      </w:r>
      <w:r>
        <w:tab/>
        <w:t>La promesse d’un avantage légalement inadmissible.</w:t>
      </w:r>
    </w:p>
    <w:p w:rsidR="00000000" w:rsidRDefault="00000000">
      <w:pPr>
        <w:spacing w:after="240"/>
        <w:ind w:left="567" w:firstLine="573"/>
      </w:pPr>
      <w:r>
        <w:t>3.</w:t>
      </w:r>
      <w:r>
        <w:tab/>
        <w:t>Sauf les cas prévus par la loi, les preuves obtenues moyennant l’ingérence dans la vie privée, dans le domicile, dans la correspondance ou dans les télécommunications sans le consentement de leurs titulaires sont également nulles.</w:t>
      </w:r>
    </w:p>
    <w:p w:rsidR="00000000" w:rsidRDefault="00000000">
      <w:pPr>
        <w:spacing w:after="240"/>
        <w:ind w:left="567" w:firstLine="573"/>
      </w:pPr>
      <w:r>
        <w:t>4.</w:t>
      </w:r>
      <w:r>
        <w:tab/>
        <w:t>Lorsque l’usage des méthodes d’obtention de preuve prévues dans cet article constitue un crime, celles-ci peuvent être utilisées dans le but exclusif de procéder contre leurs auteurs.».</w:t>
      </w:r>
    </w:p>
    <w:p w:rsidR="00000000" w:rsidRDefault="00000000">
      <w:pPr>
        <w:spacing w:after="240"/>
        <w:jc w:val="center"/>
        <w:rPr>
          <w:b/>
          <w:bCs/>
        </w:rPr>
      </w:pPr>
      <w:r>
        <w:rPr>
          <w:b/>
          <w:bCs/>
        </w:rPr>
        <w:t>B.  La prison préventive</w:t>
      </w:r>
    </w:p>
    <w:p w:rsidR="00000000" w:rsidRDefault="00000000">
      <w:pPr>
        <w:spacing w:after="240"/>
      </w:pPr>
      <w:r>
        <w:t>75.</w:t>
      </w:r>
      <w:r>
        <w:tab/>
        <w:t>La prison préventive est une mesure de coercition, au même titre que d’autres mesures moins graves, prévues dans le Code de procédure pénale, telles que l’assignation à résidence (art. 196), l’imposition de caution (art. 197), le devoir de présentation périodique (art. 158), la suspension de l’exercice de fonctions, de profession et de droits (art. 199), l’interdiction de permanence, d’absence et de contacts (art. 200), l’interdiction de quitter le domicile (art. 201).</w:t>
      </w:r>
    </w:p>
    <w:p w:rsidR="00000000" w:rsidRDefault="00000000">
      <w:pPr>
        <w:spacing w:after="240"/>
      </w:pPr>
      <w:r>
        <w:t>76.</w:t>
      </w:r>
      <w:r>
        <w:tab/>
        <w:t>Les conditions d’application de la prison préventive sont:</w:t>
      </w:r>
    </w:p>
    <w:p w:rsidR="00000000" w:rsidRDefault="00000000">
      <w:pPr>
        <w:spacing w:after="240"/>
      </w:pPr>
      <w:r>
        <w:tab/>
        <w:t>a)</w:t>
      </w:r>
      <w:r>
        <w:tab/>
        <w:t>L’existence d’indices forts de la perpétration d’un crime dolosif passible d’une peine de prison dont la durée maximale est supérieure à trois ans, ou</w:t>
      </w:r>
    </w:p>
    <w:p w:rsidR="00000000" w:rsidRDefault="00000000">
      <w:pPr>
        <w:spacing w:after="240"/>
      </w:pPr>
      <w:r>
        <w:tab/>
        <w:t>b)</w:t>
      </w:r>
      <w:r>
        <w:tab/>
        <w:t>Le fait qu’il s’agit d’une personne ayant pénétré ou séjourné irrégulièrement sur le territoire national, ou contre laquelle est en cours un procès d’extradition ou d’expulsion.</w:t>
      </w:r>
    </w:p>
    <w:p w:rsidR="00000000" w:rsidRDefault="00000000">
      <w:pPr>
        <w:spacing w:after="240"/>
      </w:pPr>
      <w:r>
        <w:t>77.</w:t>
      </w:r>
      <w:r>
        <w:tab/>
        <w:t>Au cas où la personne à soumettre au régime de la prison préventive souffre d’anomalies psychiques, le juge peut déterminer, après avoir entendu le défenseur et, chaque fois que possible, un membre de la famille, que, tant que l’anomalie persiste, l’internement se fera en hôpital psychiatrique ou dans un autre établissement analogue adéquat, en prenant les mesures nécessaires à la prévention des dangers de fuite et de perpétration de nouveaux crimes.</w:t>
      </w:r>
    </w:p>
    <w:p w:rsidR="00000000" w:rsidRDefault="00000000">
      <w:pPr>
        <w:spacing w:after="240"/>
      </w:pPr>
      <w:r>
        <w:t>78.</w:t>
      </w:r>
      <w:r>
        <w:tab/>
        <w:t>Aux termes de l’article 204, sauf l’assignation à résidence prévue dans l’article 196, aucune mesure de coercition ne peut être appliquée s’il n’y a pas eu, concrètement:</w:t>
      </w:r>
    </w:p>
    <w:p w:rsidR="00000000" w:rsidRDefault="00000000">
      <w:pPr>
        <w:spacing w:after="240"/>
        <w:ind w:firstLine="567"/>
      </w:pPr>
      <w:r>
        <w:t>a)</w:t>
      </w:r>
      <w:r>
        <w:tab/>
        <w:t>Fuite ou danger de fuite;</w:t>
      </w:r>
    </w:p>
    <w:p w:rsidR="00000000" w:rsidRDefault="00000000">
      <w:pPr>
        <w:spacing w:after="240"/>
      </w:pPr>
      <w:r>
        <w:tab/>
        <w:t>b)</w:t>
      </w:r>
      <w:r>
        <w:tab/>
        <w:t>Danger de perturbation du déroulement de l’enquête ou de l’instruction du procès et, notamment, danger pour l’acquisition, la conservation ou la véracité de la preuve; ou</w:t>
      </w:r>
    </w:p>
    <w:p w:rsidR="00000000" w:rsidRDefault="00000000">
      <w:pPr>
        <w:spacing w:after="240"/>
        <w:ind w:firstLine="567"/>
      </w:pPr>
      <w:r>
        <w:t>c)</w:t>
      </w:r>
      <w:r>
        <w:tab/>
        <w:t>Danger, en raison de la nature et des circonstances du crime ou de la personnalité du prévenu, de perturbation de l’ordre et de la tranquillité publiques, ou de poursuite de l’activité criminelle.</w:t>
      </w:r>
    </w:p>
    <w:p w:rsidR="00000000" w:rsidRDefault="00000000">
      <w:pPr>
        <w:spacing w:after="240"/>
      </w:pPr>
      <w:r>
        <w:t>79.</w:t>
      </w:r>
      <w:r>
        <w:tab/>
        <w:t>En ce qui concerne la prison préventive, celle-ci peut être suspendue si cela est exigé en raison d’une maladie grave du prévenu, d’une grossesse ou d’un post-partum. La suspension cesse dès que les circonstances qui l’ont déterminée cessent et, en ce qui concerne le post</w:t>
      </w:r>
      <w:r>
        <w:noBreakHyphen/>
        <w:t>partum, à la fin du troisième mois suivant l’accouchement. Pendant la période de suspension de l’exécution de la prison préventive, le prévenu est soumis à la mesure d’assignation à domicile ainsi qu’à toute autre mesure conforme à son état et compatible avec celui-ci, notamment l’internement hospitalier.</w:t>
      </w:r>
    </w:p>
    <w:p w:rsidR="00000000" w:rsidRDefault="00000000">
      <w:pPr>
        <w:spacing w:after="240"/>
      </w:pPr>
      <w:r>
        <w:t>80.</w:t>
      </w:r>
      <w:r>
        <w:tab/>
        <w:t>Les mesures de coercition sont immédiatement révoquées, par ordonnance du juge, si elles ont été appliquées en dehors des cas ou des conditions prévues dans la loi, ou si les circonstances qui ont justifié leur application ont cessé d’exister.</w:t>
      </w:r>
    </w:p>
    <w:p w:rsidR="00000000" w:rsidRDefault="00000000">
      <w:pPr>
        <w:spacing w:after="240"/>
      </w:pPr>
      <w:r>
        <w:t>81.</w:t>
      </w:r>
      <w:r>
        <w:tab/>
        <w:t>En ce qui concerne la prison préventive, aux termes de l’article 213, le juge procède officieusement, tous les trois mois, au réexamen de son bien</w:t>
      </w:r>
      <w:r>
        <w:noBreakHyphen/>
        <w:t>fondé, en décidant si elle doit être maintenue ou si elle doit être remplacée ou révoquée. Afin de se prononcer sur le remplacement, la révocation ou le maintien de la détention préventive, le juge, d’office ou sur requête du ministère public ou du prévenu, peut demander la rédaction d’un rapport social ou des renseignements auprès des services de réinsertion sociale, pourvu que le prévenu accepte cette réinsertion.</w:t>
      </w:r>
    </w:p>
    <w:p w:rsidR="00000000" w:rsidRDefault="00000000">
      <w:pPr>
        <w:spacing w:after="240"/>
      </w:pPr>
      <w:r>
        <w:t>82.</w:t>
      </w:r>
      <w:r>
        <w:tab/>
        <w:t>Les mesures de coercition s’éteignent immédiatement:</w:t>
      </w:r>
    </w:p>
    <w:p w:rsidR="00000000" w:rsidRDefault="00000000">
      <w:pPr>
        <w:spacing w:after="240"/>
      </w:pPr>
      <w:r>
        <w:tab/>
        <w:t>a)</w:t>
      </w:r>
      <w:r>
        <w:tab/>
        <w:t>Avec le classement de l’enquête, lorsque l’instruction n’est pas demandée;</w:t>
      </w:r>
    </w:p>
    <w:p w:rsidR="00000000" w:rsidRDefault="00000000">
      <w:pPr>
        <w:spacing w:after="240"/>
      </w:pPr>
      <w:r>
        <w:tab/>
        <w:t>b)</w:t>
      </w:r>
      <w:r>
        <w:tab/>
        <w:t>Avec l’acquisition de force de chose jugée de l’ordonnance qui ne reçoit pas l’affaire en jugement (</w:t>
      </w:r>
      <w:r>
        <w:rPr>
          <w:i/>
          <w:iCs/>
        </w:rPr>
        <w:t>despacho de não pronúncia</w:t>
      </w:r>
      <w:r>
        <w:t>);</w:t>
      </w:r>
    </w:p>
    <w:p w:rsidR="00000000" w:rsidRDefault="00000000">
      <w:pPr>
        <w:spacing w:after="240"/>
      </w:pPr>
      <w:r>
        <w:tab/>
        <w:t>c)</w:t>
      </w:r>
      <w:r>
        <w:tab/>
        <w:t>Avec l’acquisition de force de chose jugée de l’ordonnance qui ne reçoit pas l’accusation aux termes de l’article 311.2 du Code de procédure pénale (accusation manifestement mal fondée);</w:t>
      </w:r>
    </w:p>
    <w:p w:rsidR="00000000" w:rsidRDefault="00000000">
      <w:pPr>
        <w:spacing w:after="240"/>
      </w:pPr>
      <w:r>
        <w:tab/>
        <w:t>d)</w:t>
      </w:r>
      <w:r>
        <w:tab/>
        <w:t>Avec la décision absolutoire, même lorsqu’il a été interjeté recours; ou</w:t>
      </w:r>
    </w:p>
    <w:p w:rsidR="00000000" w:rsidRDefault="00000000">
      <w:pPr>
        <w:spacing w:after="240"/>
      </w:pPr>
      <w:r>
        <w:tab/>
        <w:t>e)</w:t>
      </w:r>
      <w:r>
        <w:tab/>
        <w:t>Avec l’acquisition de force de chose jugée de la décision de condamnation.</w:t>
      </w:r>
    </w:p>
    <w:p w:rsidR="00000000" w:rsidRDefault="00000000">
      <w:pPr>
        <w:spacing w:after="240"/>
      </w:pPr>
      <w:r>
        <w:t>83.</w:t>
      </w:r>
      <w:r>
        <w:tab/>
        <w:t>La mesure de prison préventive s’éteint, de même, immédiatement, lorsqu’il y a lieu à une décision condamnatoire encore qu’il en ait été interjeté recours, et la peine appliquée n’est pas supérieure à la prison déjà subie. Les délais de durée maximale de la prison préventive sont prévus à l’article 215 du Code de procédure pénale dont le paragraphe 1 se lit comme suit:</w:t>
      </w:r>
    </w:p>
    <w:p w:rsidR="00000000" w:rsidRDefault="00000000">
      <w:pPr>
        <w:spacing w:after="240"/>
      </w:pPr>
      <w:r>
        <w:tab/>
      </w:r>
      <w:r>
        <w:tab/>
        <w:t>«1.</w:t>
      </w:r>
      <w:r>
        <w:tab/>
        <w:t>La prison préventive s’éteint lorsque, depuis son début,</w:t>
      </w:r>
    </w:p>
    <w:p w:rsidR="00000000" w:rsidRDefault="00000000">
      <w:pPr>
        <w:spacing w:after="240"/>
        <w:ind w:left="567" w:firstLine="567"/>
      </w:pPr>
      <w:r>
        <w:t>a)</w:t>
      </w:r>
      <w:r>
        <w:tab/>
        <w:t>Six mois se sont passés sans qu’ait été précisée l’accusation;</w:t>
      </w:r>
    </w:p>
    <w:p w:rsidR="00000000" w:rsidRDefault="00000000">
      <w:pPr>
        <w:spacing w:after="240"/>
        <w:ind w:left="567" w:firstLine="567"/>
      </w:pPr>
      <w:r>
        <w:t>b)</w:t>
      </w:r>
      <w:r>
        <w:tab/>
        <w:t>Dix mois sans que, l’instruction ayant eu lieu, il y ait une décision en la matière;</w:t>
      </w:r>
    </w:p>
    <w:p w:rsidR="00000000" w:rsidRDefault="00000000">
      <w:pPr>
        <w:spacing w:after="240"/>
        <w:ind w:left="567" w:firstLine="567"/>
      </w:pPr>
      <w:r>
        <w:t>c)</w:t>
      </w:r>
      <w:r>
        <w:tab/>
        <w:t>Dix-huit mois sans qu’il y ait eu condamnation en première instance;</w:t>
      </w:r>
    </w:p>
    <w:p w:rsidR="00000000" w:rsidRDefault="00000000">
      <w:pPr>
        <w:spacing w:after="240"/>
        <w:ind w:left="567" w:firstLine="567"/>
      </w:pPr>
      <w:r>
        <w:t>d)</w:t>
      </w:r>
      <w:r>
        <w:tab/>
        <w:t>Deux ans sans qu’il y ait eu condamnation avec acquisition de la force de chose jugée.».</w:t>
      </w:r>
    </w:p>
    <w:p w:rsidR="00000000" w:rsidRDefault="00000000">
      <w:pPr>
        <w:spacing w:after="240"/>
      </w:pPr>
      <w:r>
        <w:t>84.</w:t>
      </w:r>
      <w:r>
        <w:tab/>
        <w:t>Ces délais, prévus dans le paragraphe 1 de l’article 215 cité ci</w:t>
      </w:r>
      <w:r>
        <w:noBreakHyphen/>
        <w:t>dessus, passent respectivement à 8 mois, 1 an, 2 ans et 30 mois dans les cas de terrorisme, de criminalité violente ou hautement organisée, ou bien lorsqu’il s’agit d’un crime passible d’une peine de prison dont le maximum est supérieur à huit ans, ou encore pour l’un des crimes énoncés au paragraphe 2 que nous citons ci</w:t>
      </w:r>
      <w:r>
        <w:noBreakHyphen/>
        <w:t>dessous en abrégé assorti de l’indication de l’article pertinent du Code pénal:</w:t>
      </w:r>
    </w:p>
    <w:p w:rsidR="00000000" w:rsidRDefault="00000000">
      <w:pPr>
        <w:spacing w:after="240"/>
        <w:ind w:firstLine="567"/>
      </w:pPr>
      <w:r>
        <w:t>a)</w:t>
      </w:r>
      <w:r>
        <w:tab/>
        <w:t>Association criminelle (art. 299); intelligences avec un gouvernement étranger, dans le but de contraindre le Portugal ou de compromettre son intégrité (art. 312); sabotage contre la défense nationale (art. 315); destruction d’un moyen de preuve d’intérêt national (art. 318.1); déloyauté diplomatique (art. 319); incitation à la guerre ou au changement violent de l’état de droit (art. 326); liaisons avec l’étranger dans le sens de subvertir l’état de droit (art. 331); usage de coercition contre des organes constitutionnels (art. 333);</w:t>
      </w:r>
    </w:p>
    <w:p w:rsidR="00000000" w:rsidRDefault="00000000">
      <w:pPr>
        <w:spacing w:after="240"/>
        <w:ind w:firstLine="567"/>
      </w:pPr>
      <w:r>
        <w:t>b)</w:t>
      </w:r>
      <w:r>
        <w:tab/>
        <w:t>Vol de voitures ou faux de documents y afférents, ainsi que des documents identifiant les véhicules;</w:t>
      </w:r>
    </w:p>
    <w:p w:rsidR="00000000" w:rsidRDefault="00000000">
      <w:pPr>
        <w:spacing w:after="240"/>
        <w:ind w:firstLine="567"/>
      </w:pPr>
      <w:r>
        <w:t>c)</w:t>
      </w:r>
      <w:r>
        <w:tab/>
        <w:t>Faux en monnaies, titres de crédit, valeurs fiscales, timbres et sceaux;</w:t>
      </w:r>
    </w:p>
    <w:p w:rsidR="00000000" w:rsidRDefault="00000000">
      <w:pPr>
        <w:spacing w:after="240"/>
      </w:pPr>
      <w:r>
        <w:tab/>
        <w:t>d)</w:t>
      </w:r>
      <w:r>
        <w:tab/>
        <w:t>Escroquerie, insolvabilité dolosive, administration dommageable du secteur public ou coopératif, faux, corruption, participation économique en affaires;</w:t>
      </w:r>
    </w:p>
    <w:p w:rsidR="00000000" w:rsidRDefault="00000000">
      <w:pPr>
        <w:spacing w:after="240"/>
      </w:pPr>
      <w:r>
        <w:tab/>
        <w:t>e)</w:t>
      </w:r>
      <w:r>
        <w:tab/>
        <w:t>Blanchiment de capitaux, de biens ou de produits provenant du crime;</w:t>
      </w:r>
    </w:p>
    <w:p w:rsidR="00000000" w:rsidRDefault="00000000">
      <w:pPr>
        <w:spacing w:after="240"/>
        <w:ind w:firstLine="567"/>
      </w:pPr>
      <w:r>
        <w:t>f)</w:t>
      </w:r>
      <w:r>
        <w:tab/>
        <w:t>Fraude dans l’obtention d’un subside, subvention ou crédit;</w:t>
      </w:r>
    </w:p>
    <w:p w:rsidR="00000000" w:rsidRDefault="00000000">
      <w:pPr>
        <w:spacing w:after="240"/>
        <w:ind w:firstLine="567"/>
      </w:pPr>
      <w:r>
        <w:t>g)</w:t>
      </w:r>
      <w:r>
        <w:tab/>
        <w:t>Tout crime compris dans une convention sur la sécurité de la navigation aérienne ou maritime.</w:t>
      </w:r>
    </w:p>
    <w:p w:rsidR="00000000" w:rsidRDefault="00000000">
      <w:pPr>
        <w:spacing w:after="240"/>
      </w:pPr>
      <w:r>
        <w:t>85.</w:t>
      </w:r>
      <w:r>
        <w:tab/>
        <w:t>Enfin, les paragraphes 3 et 4 de l’article 215 du Code de procédure pénale se lisent comme suit:</w:t>
      </w:r>
    </w:p>
    <w:p w:rsidR="00000000" w:rsidRDefault="00000000">
      <w:pPr>
        <w:spacing w:after="240"/>
        <w:ind w:left="567" w:firstLine="567"/>
      </w:pPr>
      <w:r>
        <w:t>«3.</w:t>
      </w:r>
      <w:r>
        <w:tab/>
        <w:t>Les délais prévus au paragraphe 1 peuvent être augmentés, respectivement à 12 mois, 16 mois, 3 ans et 4 ans lorsque la procédure se déroule par rapport à l’un des crimes mentionnés au paragraphe 2 et se révèle d’exceptionnelle complexité, en raison, notamment, du nombre de prévenus ou de victimes, ou du caractère hautement organisé du crime.</w:t>
      </w:r>
    </w:p>
    <w:p w:rsidR="00000000" w:rsidRDefault="00000000">
      <w:pPr>
        <w:spacing w:after="240"/>
        <w:ind w:left="567" w:firstLine="567"/>
      </w:pPr>
      <w:r>
        <w:t>4.</w:t>
      </w:r>
      <w:r>
        <w:tab/>
        <w:t xml:space="preserve">Enfin, les délais mentionnés aux alinéas </w:t>
      </w:r>
      <w:r>
        <w:rPr>
          <w:i/>
          <w:iCs/>
        </w:rPr>
        <w:t>c</w:t>
      </w:r>
      <w:r>
        <w:t xml:space="preserve"> et </w:t>
      </w:r>
      <w:r>
        <w:rPr>
          <w:i/>
          <w:iCs/>
        </w:rPr>
        <w:t>d</w:t>
      </w:r>
      <w:r>
        <w:t xml:space="preserve"> du paragraphe 1, ainsi que ceux mentionnés aux paragraphes 2 et 3, sont accrus de six mois en cas de recours à la Cour constitutionnelle ou au cas où la procédure pénale a été suspendue aux fins du jugement en un autre tribunal, d’une question préjudicielle.».</w:t>
      </w:r>
    </w:p>
    <w:p w:rsidR="00000000" w:rsidRDefault="00000000">
      <w:pPr>
        <w:spacing w:after="240"/>
      </w:pPr>
      <w:r>
        <w:t>86.</w:t>
      </w:r>
      <w:r>
        <w:tab/>
        <w:t>Il y a encore une cause de prolongement du délai de la prison préventive; elle est prévue dans l’article 216 du Code de procédure pénale qui est cité ci</w:t>
      </w:r>
      <w:r>
        <w:noBreakHyphen/>
        <w:t>dessous:</w:t>
      </w:r>
    </w:p>
    <w:p w:rsidR="00000000" w:rsidRDefault="00000000">
      <w:pPr>
        <w:spacing w:after="240"/>
        <w:ind w:left="567" w:firstLine="567"/>
      </w:pPr>
      <w:r>
        <w:t>«1.</w:t>
      </w:r>
      <w:r>
        <w:tab/>
        <w:t>L’écoulement de ces délais se suspend (son comptage cessant, puis reprenant à la fin de la suspension):</w:t>
      </w:r>
    </w:p>
    <w:p w:rsidR="00000000" w:rsidRDefault="00000000">
      <w:pPr>
        <w:spacing w:after="240"/>
        <w:ind w:left="567" w:firstLine="567"/>
      </w:pPr>
      <w:r>
        <w:t>a)</w:t>
      </w:r>
      <w:r>
        <w:tab/>
        <w:t>Lorsqu’une expertise dont le résultat peut être déterminant pour la décision d’accusation, pour l’ordonnance d’introduction du jugement (</w:t>
      </w:r>
      <w:r>
        <w:rPr>
          <w:i/>
          <w:iCs/>
        </w:rPr>
        <w:t>pronúncia</w:t>
      </w:r>
      <w:r>
        <w:t>) ou pour la décision finale, dès l’ordre de réalisation de l’examen au moment de la présentation du rapport;</w:t>
      </w:r>
    </w:p>
    <w:p w:rsidR="00000000" w:rsidRDefault="00000000">
      <w:pPr>
        <w:spacing w:after="240"/>
        <w:ind w:firstLine="567"/>
      </w:pPr>
      <w:r>
        <w:t>ou bien</w:t>
      </w:r>
    </w:p>
    <w:p w:rsidR="00000000" w:rsidRDefault="00000000">
      <w:pPr>
        <w:spacing w:after="240"/>
        <w:ind w:left="567" w:firstLine="567"/>
      </w:pPr>
      <w:r>
        <w:t>b)</w:t>
      </w:r>
      <w:r>
        <w:tab/>
        <w:t>En cas de maladie du prévenu, qui impose son internement en hôpital, si la présence de celui-ci est indispensable à la poursuite des investigations.</w:t>
      </w:r>
    </w:p>
    <w:p w:rsidR="00000000" w:rsidRDefault="00000000">
      <w:pPr>
        <w:spacing w:after="240"/>
        <w:ind w:left="567" w:firstLine="567"/>
      </w:pPr>
      <w:r>
        <w:t>2.</w:t>
      </w:r>
      <w:r>
        <w:tab/>
        <w:t xml:space="preserve">La suspension de l’alinéa </w:t>
      </w:r>
      <w:r>
        <w:rPr>
          <w:i/>
          <w:iCs/>
        </w:rPr>
        <w:t>a</w:t>
      </w:r>
      <w:r>
        <w:t xml:space="preserve"> du premier paragraphe ne peut en aucun cas être supérieure à trois mois.».</w:t>
      </w:r>
    </w:p>
    <w:p w:rsidR="00000000" w:rsidRDefault="00000000">
      <w:pPr>
        <w:spacing w:after="240"/>
      </w:pPr>
      <w:r>
        <w:t>87.</w:t>
      </w:r>
      <w:r>
        <w:tab/>
        <w:t>Aux termes de l’article 217, le prévenu soumis à la prison préventive est placé en liberté dès que la mesure s’éteint, sauf s’il doit être maintenu en prison pour un autre procès.</w:t>
      </w:r>
    </w:p>
    <w:p w:rsidR="00000000" w:rsidRDefault="00000000">
      <w:pPr>
        <w:spacing w:after="240"/>
      </w:pPr>
      <w:r>
        <w:t>88.</w:t>
      </w:r>
      <w:r>
        <w:tab/>
        <w:t>Ce système de prison préventive est critiqué, notamment en ce qui concerne la lenteur de la procédure qui s’ensuit et la durée de la soumission à la prison préventive. En outre, il peut y avoir un trop fort recours à la prison préventive: en effet, on estime que 25 % de l’ensemble de la population carcérale est formé de détenus préventifs.</w:t>
      </w:r>
    </w:p>
    <w:p w:rsidR="00000000" w:rsidRDefault="00000000">
      <w:pPr>
        <w:spacing w:after="240"/>
      </w:pPr>
      <w:r>
        <w:t>89.</w:t>
      </w:r>
      <w:r>
        <w:tab/>
        <w:t>Ces deux éléments problématiques se chevauchant, on peut légitimement craindre que des prévenus passent le temps de la peine qui leur serait appliquée en détention préventive et soient mis en liberté le jour de leur condamnation pour écoulement du temps de leur peine, sans avoir bénéficié des conditions générales des autres détenus.</w:t>
      </w:r>
    </w:p>
    <w:p w:rsidR="00000000" w:rsidRDefault="00000000">
      <w:pPr>
        <w:spacing w:after="240"/>
      </w:pPr>
      <w:r>
        <w:t>90.</w:t>
      </w:r>
      <w:r>
        <w:tab/>
        <w:t>On peut dire cependant que les juges se sentent parfois confrontés à des situations où il leur semble exister peu d’alternatives à la prison préventive, tant le danger de fuite ou de récidive semble grave, ce qui est le cas pour les infractions liées à la drogue, à son trafic et à sa consommation.</w:t>
      </w:r>
    </w:p>
    <w:p w:rsidR="00000000" w:rsidRDefault="00000000">
      <w:pPr>
        <w:spacing w:after="240"/>
      </w:pPr>
      <w:r>
        <w:t>91.</w:t>
      </w:r>
      <w:r>
        <w:tab/>
        <w:t>D’autre part, la conception du Code de procédure pénale sous-jacente à la question de la prison préventive est que celle-ci est préventive jusqu’à ce que la décision du cas soit définitive, ce qui renforce le principe de la présomption d’innocence: si la prison préventive était terminée à la première condamnation, même avec un recours, le nombre de détenus préventifs baisserait, la durée de la détention préventive diminuerait et les prévenus auraient le bénéfice des garanties des autres détenus, leurs procès continuant d’être en cours. Cela signifie que – sans que cela ne se résume à un simple jeu de mots – le problème de la détention préventive pourrait se résoudre, du moins partiellement, et aussi en ce qui concerne les délais, si sa qualification était changée. Cela, évidemment, ne résout pas tout, mais le Portugal s’en remet à la compréhension du Comité contre la torture pour ce qui est de ce problème concret.</w:t>
      </w:r>
    </w:p>
    <w:p w:rsidR="00000000" w:rsidRDefault="00000000">
      <w:pPr>
        <w:spacing w:after="240"/>
      </w:pPr>
      <w:r>
        <w:t>92.</w:t>
      </w:r>
      <w:r>
        <w:tab/>
        <w:t>Le tableau ci</w:t>
      </w:r>
      <w:r>
        <w:noBreakHyphen/>
        <w:t>dessous peut être utile pour une meilleure compréhension de la situation carcérale au Portugal.</w:t>
      </w:r>
    </w:p>
    <w:p w:rsidR="00000000" w:rsidRDefault="00000000">
      <w:pPr>
        <w:spacing w:after="240"/>
        <w:jc w:val="center"/>
        <w:rPr>
          <w:b/>
        </w:rPr>
      </w:pPr>
      <w:r>
        <w:rPr>
          <w:b/>
        </w:rPr>
        <w:t>Tableau 1.  Population carcérale</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29"/>
        <w:gridCol w:w="766"/>
        <w:gridCol w:w="601"/>
        <w:gridCol w:w="766"/>
        <w:gridCol w:w="601"/>
        <w:gridCol w:w="766"/>
        <w:gridCol w:w="601"/>
        <w:gridCol w:w="766"/>
        <w:gridCol w:w="601"/>
        <w:gridCol w:w="766"/>
        <w:gridCol w:w="601"/>
        <w:gridCol w:w="766"/>
        <w:gridCol w:w="601"/>
      </w:tblGrid>
      <w:tr w:rsidR="00000000">
        <w:trPr>
          <w:jc w:val="center"/>
        </w:trPr>
        <w:tc>
          <w:tcPr>
            <w:tcW w:w="1329" w:type="dxa"/>
          </w:tcPr>
          <w:p w:rsidR="00000000" w:rsidRDefault="00000000">
            <w:pPr>
              <w:keepNext/>
              <w:spacing w:before="60" w:after="60"/>
              <w:jc w:val="center"/>
              <w:rPr>
                <w:b/>
                <w:sz w:val="22"/>
              </w:rPr>
            </w:pPr>
            <w:r>
              <w:rPr>
                <w:b/>
                <w:sz w:val="22"/>
              </w:rPr>
              <w:t>Années</w:t>
            </w:r>
          </w:p>
        </w:tc>
        <w:tc>
          <w:tcPr>
            <w:tcW w:w="766" w:type="dxa"/>
          </w:tcPr>
          <w:p w:rsidR="00000000" w:rsidRDefault="00000000">
            <w:pPr>
              <w:keepNext/>
              <w:spacing w:before="60" w:after="60"/>
              <w:jc w:val="center"/>
              <w:rPr>
                <w:b/>
                <w:sz w:val="22"/>
              </w:rPr>
            </w:pPr>
            <w:r>
              <w:rPr>
                <w:b/>
                <w:sz w:val="22"/>
              </w:rPr>
              <w:t>1999</w:t>
            </w:r>
            <w:r>
              <w:rPr>
                <w:b/>
                <w:i/>
                <w:iCs/>
                <w:sz w:val="22"/>
                <w:vertAlign w:val="superscript"/>
              </w:rPr>
              <w:t>a</w:t>
            </w:r>
          </w:p>
        </w:tc>
        <w:tc>
          <w:tcPr>
            <w:tcW w:w="601" w:type="dxa"/>
          </w:tcPr>
          <w:p w:rsidR="00000000" w:rsidRDefault="00000000">
            <w:pPr>
              <w:keepNext/>
              <w:spacing w:before="60" w:after="60"/>
              <w:jc w:val="center"/>
              <w:rPr>
                <w:b/>
                <w:sz w:val="22"/>
              </w:rPr>
            </w:pPr>
            <w:r>
              <w:rPr>
                <w:b/>
                <w:sz w:val="22"/>
              </w:rPr>
              <w:t>%</w:t>
            </w:r>
          </w:p>
        </w:tc>
        <w:tc>
          <w:tcPr>
            <w:tcW w:w="766" w:type="dxa"/>
          </w:tcPr>
          <w:p w:rsidR="00000000" w:rsidRDefault="00000000">
            <w:pPr>
              <w:keepNext/>
              <w:spacing w:before="60" w:after="60"/>
              <w:jc w:val="center"/>
              <w:rPr>
                <w:b/>
                <w:sz w:val="22"/>
              </w:rPr>
            </w:pPr>
            <w:r>
              <w:rPr>
                <w:b/>
                <w:sz w:val="22"/>
              </w:rPr>
              <w:t>2000</w:t>
            </w:r>
          </w:p>
        </w:tc>
        <w:tc>
          <w:tcPr>
            <w:tcW w:w="601" w:type="dxa"/>
          </w:tcPr>
          <w:p w:rsidR="00000000" w:rsidRDefault="00000000">
            <w:pPr>
              <w:keepNext/>
              <w:spacing w:before="60" w:after="60"/>
              <w:jc w:val="center"/>
              <w:rPr>
                <w:b/>
                <w:sz w:val="22"/>
              </w:rPr>
            </w:pPr>
            <w:r>
              <w:rPr>
                <w:b/>
                <w:sz w:val="22"/>
              </w:rPr>
              <w:t>%</w:t>
            </w:r>
          </w:p>
        </w:tc>
        <w:tc>
          <w:tcPr>
            <w:tcW w:w="766" w:type="dxa"/>
          </w:tcPr>
          <w:p w:rsidR="00000000" w:rsidRDefault="00000000">
            <w:pPr>
              <w:keepNext/>
              <w:spacing w:before="60" w:after="60"/>
              <w:jc w:val="center"/>
              <w:rPr>
                <w:b/>
                <w:sz w:val="22"/>
              </w:rPr>
            </w:pPr>
            <w:r>
              <w:rPr>
                <w:b/>
                <w:sz w:val="22"/>
              </w:rPr>
              <w:t>2001</w:t>
            </w:r>
          </w:p>
        </w:tc>
        <w:tc>
          <w:tcPr>
            <w:tcW w:w="601" w:type="dxa"/>
          </w:tcPr>
          <w:p w:rsidR="00000000" w:rsidRDefault="00000000">
            <w:pPr>
              <w:keepNext/>
              <w:spacing w:before="60" w:after="60"/>
              <w:jc w:val="center"/>
              <w:rPr>
                <w:b/>
                <w:sz w:val="22"/>
              </w:rPr>
            </w:pPr>
            <w:r>
              <w:rPr>
                <w:b/>
                <w:sz w:val="22"/>
              </w:rPr>
              <w:t>%</w:t>
            </w:r>
          </w:p>
        </w:tc>
        <w:tc>
          <w:tcPr>
            <w:tcW w:w="766" w:type="dxa"/>
          </w:tcPr>
          <w:p w:rsidR="00000000" w:rsidRDefault="00000000">
            <w:pPr>
              <w:keepNext/>
              <w:spacing w:before="60" w:after="60"/>
              <w:jc w:val="center"/>
              <w:rPr>
                <w:b/>
                <w:sz w:val="22"/>
              </w:rPr>
            </w:pPr>
            <w:r>
              <w:rPr>
                <w:b/>
                <w:sz w:val="22"/>
              </w:rPr>
              <w:t>2002</w:t>
            </w:r>
          </w:p>
        </w:tc>
        <w:tc>
          <w:tcPr>
            <w:tcW w:w="601" w:type="dxa"/>
          </w:tcPr>
          <w:p w:rsidR="00000000" w:rsidRDefault="00000000">
            <w:pPr>
              <w:keepNext/>
              <w:spacing w:before="60" w:after="60"/>
              <w:jc w:val="center"/>
              <w:rPr>
                <w:b/>
                <w:sz w:val="22"/>
              </w:rPr>
            </w:pPr>
            <w:r>
              <w:rPr>
                <w:b/>
                <w:sz w:val="22"/>
              </w:rPr>
              <w:t>%</w:t>
            </w:r>
          </w:p>
        </w:tc>
        <w:tc>
          <w:tcPr>
            <w:tcW w:w="766" w:type="dxa"/>
          </w:tcPr>
          <w:p w:rsidR="00000000" w:rsidRDefault="00000000">
            <w:pPr>
              <w:keepNext/>
              <w:spacing w:before="60" w:after="60"/>
              <w:jc w:val="center"/>
              <w:rPr>
                <w:b/>
                <w:sz w:val="22"/>
              </w:rPr>
            </w:pPr>
            <w:r>
              <w:rPr>
                <w:b/>
                <w:sz w:val="22"/>
              </w:rPr>
              <w:t>2003</w:t>
            </w:r>
          </w:p>
        </w:tc>
        <w:tc>
          <w:tcPr>
            <w:tcW w:w="601" w:type="dxa"/>
          </w:tcPr>
          <w:p w:rsidR="00000000" w:rsidRDefault="00000000">
            <w:pPr>
              <w:keepNext/>
              <w:spacing w:before="60" w:after="60"/>
              <w:jc w:val="center"/>
              <w:rPr>
                <w:b/>
                <w:sz w:val="22"/>
              </w:rPr>
            </w:pPr>
            <w:r>
              <w:rPr>
                <w:b/>
                <w:sz w:val="22"/>
              </w:rPr>
              <w:t>%</w:t>
            </w:r>
          </w:p>
        </w:tc>
        <w:tc>
          <w:tcPr>
            <w:tcW w:w="766" w:type="dxa"/>
          </w:tcPr>
          <w:p w:rsidR="00000000" w:rsidRDefault="00000000">
            <w:pPr>
              <w:keepNext/>
              <w:spacing w:before="60" w:after="60"/>
              <w:jc w:val="center"/>
              <w:rPr>
                <w:b/>
                <w:sz w:val="22"/>
              </w:rPr>
            </w:pPr>
            <w:r>
              <w:rPr>
                <w:b/>
                <w:sz w:val="22"/>
              </w:rPr>
              <w:t>2004</w:t>
            </w:r>
            <w:r>
              <w:rPr>
                <w:b/>
                <w:i/>
                <w:iCs/>
                <w:sz w:val="22"/>
                <w:vertAlign w:val="superscript"/>
              </w:rPr>
              <w:t>b</w:t>
            </w:r>
          </w:p>
        </w:tc>
        <w:tc>
          <w:tcPr>
            <w:tcW w:w="601" w:type="dxa"/>
          </w:tcPr>
          <w:p w:rsidR="00000000" w:rsidRDefault="00000000">
            <w:pPr>
              <w:keepNext/>
              <w:spacing w:before="60" w:after="60"/>
              <w:jc w:val="center"/>
              <w:rPr>
                <w:b/>
                <w:sz w:val="22"/>
              </w:rPr>
            </w:pPr>
            <w:r>
              <w:rPr>
                <w:b/>
                <w:sz w:val="22"/>
              </w:rPr>
              <w:t>%</w:t>
            </w:r>
          </w:p>
        </w:tc>
      </w:tr>
      <w:tr w:rsidR="00000000">
        <w:trPr>
          <w:jc w:val="center"/>
        </w:trPr>
        <w:tc>
          <w:tcPr>
            <w:tcW w:w="1329" w:type="dxa"/>
          </w:tcPr>
          <w:p w:rsidR="00000000" w:rsidRDefault="00000000">
            <w:pPr>
              <w:keepNext/>
              <w:spacing w:before="60" w:after="60"/>
              <w:rPr>
                <w:bCs/>
                <w:sz w:val="22"/>
              </w:rPr>
            </w:pPr>
            <w:r>
              <w:rPr>
                <w:bCs/>
                <w:sz w:val="22"/>
              </w:rPr>
              <w:t>Préventifs</w:t>
            </w:r>
          </w:p>
        </w:tc>
        <w:tc>
          <w:tcPr>
            <w:tcW w:w="766" w:type="dxa"/>
          </w:tcPr>
          <w:p w:rsidR="00000000" w:rsidRDefault="00000000">
            <w:pPr>
              <w:keepNext/>
              <w:spacing w:before="60" w:after="60"/>
              <w:jc w:val="right"/>
              <w:rPr>
                <w:sz w:val="22"/>
              </w:rPr>
            </w:pPr>
            <w:r>
              <w:rPr>
                <w:sz w:val="22"/>
              </w:rPr>
              <w:t>4 052</w:t>
            </w:r>
          </w:p>
        </w:tc>
        <w:tc>
          <w:tcPr>
            <w:tcW w:w="601" w:type="dxa"/>
          </w:tcPr>
          <w:p w:rsidR="00000000" w:rsidRDefault="00000000">
            <w:pPr>
              <w:keepNext/>
              <w:spacing w:before="60" w:after="60"/>
              <w:jc w:val="right"/>
              <w:rPr>
                <w:sz w:val="22"/>
              </w:rPr>
            </w:pPr>
            <w:r>
              <w:rPr>
                <w:sz w:val="22"/>
              </w:rPr>
              <w:t>31,4</w:t>
            </w:r>
          </w:p>
        </w:tc>
        <w:tc>
          <w:tcPr>
            <w:tcW w:w="766" w:type="dxa"/>
          </w:tcPr>
          <w:p w:rsidR="00000000" w:rsidRDefault="00000000">
            <w:pPr>
              <w:keepNext/>
              <w:spacing w:before="60" w:after="60"/>
              <w:jc w:val="right"/>
              <w:rPr>
                <w:sz w:val="22"/>
              </w:rPr>
            </w:pPr>
            <w:r>
              <w:rPr>
                <w:sz w:val="22"/>
              </w:rPr>
              <w:t>3 854</w:t>
            </w:r>
          </w:p>
        </w:tc>
        <w:tc>
          <w:tcPr>
            <w:tcW w:w="601" w:type="dxa"/>
          </w:tcPr>
          <w:p w:rsidR="00000000" w:rsidRDefault="00000000">
            <w:pPr>
              <w:keepNext/>
              <w:spacing w:before="60" w:after="60"/>
              <w:jc w:val="right"/>
              <w:rPr>
                <w:sz w:val="22"/>
              </w:rPr>
            </w:pPr>
            <w:r>
              <w:rPr>
                <w:sz w:val="22"/>
              </w:rPr>
              <w:t>30,2</w:t>
            </w:r>
          </w:p>
        </w:tc>
        <w:tc>
          <w:tcPr>
            <w:tcW w:w="766" w:type="dxa"/>
          </w:tcPr>
          <w:p w:rsidR="00000000" w:rsidRDefault="00000000">
            <w:pPr>
              <w:keepNext/>
              <w:spacing w:before="60" w:after="60"/>
              <w:jc w:val="right"/>
              <w:rPr>
                <w:sz w:val="22"/>
              </w:rPr>
            </w:pPr>
            <w:r>
              <w:rPr>
                <w:sz w:val="22"/>
              </w:rPr>
              <w:t>3 690</w:t>
            </w:r>
          </w:p>
        </w:tc>
        <w:tc>
          <w:tcPr>
            <w:tcW w:w="601" w:type="dxa"/>
          </w:tcPr>
          <w:p w:rsidR="00000000" w:rsidRDefault="00000000">
            <w:pPr>
              <w:keepNext/>
              <w:spacing w:before="60" w:after="60"/>
              <w:jc w:val="right"/>
              <w:rPr>
                <w:sz w:val="22"/>
              </w:rPr>
            </w:pPr>
            <w:r>
              <w:rPr>
                <w:sz w:val="22"/>
              </w:rPr>
              <w:t>28,1</w:t>
            </w:r>
          </w:p>
        </w:tc>
        <w:tc>
          <w:tcPr>
            <w:tcW w:w="766" w:type="dxa"/>
          </w:tcPr>
          <w:p w:rsidR="00000000" w:rsidRDefault="00000000">
            <w:pPr>
              <w:keepNext/>
              <w:spacing w:before="60" w:after="60"/>
              <w:jc w:val="right"/>
              <w:rPr>
                <w:sz w:val="22"/>
              </w:rPr>
            </w:pPr>
            <w:r>
              <w:rPr>
                <w:sz w:val="22"/>
              </w:rPr>
              <w:t>4 219</w:t>
            </w:r>
          </w:p>
        </w:tc>
        <w:tc>
          <w:tcPr>
            <w:tcW w:w="601" w:type="dxa"/>
          </w:tcPr>
          <w:p w:rsidR="00000000" w:rsidRDefault="00000000">
            <w:pPr>
              <w:keepNext/>
              <w:spacing w:before="60" w:after="60"/>
              <w:jc w:val="right"/>
              <w:rPr>
                <w:sz w:val="22"/>
              </w:rPr>
            </w:pPr>
            <w:r>
              <w:rPr>
                <w:sz w:val="22"/>
              </w:rPr>
              <w:t>30,6</w:t>
            </w:r>
          </w:p>
        </w:tc>
        <w:tc>
          <w:tcPr>
            <w:tcW w:w="766" w:type="dxa"/>
          </w:tcPr>
          <w:p w:rsidR="00000000" w:rsidRDefault="00000000">
            <w:pPr>
              <w:keepNext/>
              <w:spacing w:before="60" w:after="60"/>
              <w:jc w:val="right"/>
              <w:rPr>
                <w:sz w:val="22"/>
              </w:rPr>
            </w:pPr>
            <w:r>
              <w:rPr>
                <w:sz w:val="22"/>
              </w:rPr>
              <w:t>3 492</w:t>
            </w:r>
          </w:p>
        </w:tc>
        <w:tc>
          <w:tcPr>
            <w:tcW w:w="601" w:type="dxa"/>
          </w:tcPr>
          <w:p w:rsidR="00000000" w:rsidRDefault="00000000">
            <w:pPr>
              <w:keepNext/>
              <w:spacing w:before="60" w:after="60"/>
              <w:jc w:val="right"/>
              <w:rPr>
                <w:sz w:val="22"/>
              </w:rPr>
            </w:pPr>
            <w:r>
              <w:rPr>
                <w:sz w:val="22"/>
              </w:rPr>
              <w:t>25,6</w:t>
            </w:r>
          </w:p>
        </w:tc>
        <w:tc>
          <w:tcPr>
            <w:tcW w:w="766" w:type="dxa"/>
          </w:tcPr>
          <w:p w:rsidR="00000000" w:rsidRDefault="00000000">
            <w:pPr>
              <w:keepNext/>
              <w:spacing w:before="60" w:after="60"/>
              <w:jc w:val="right"/>
              <w:rPr>
                <w:sz w:val="22"/>
              </w:rPr>
            </w:pPr>
            <w:r>
              <w:rPr>
                <w:sz w:val="22"/>
              </w:rPr>
              <w:t>3 497</w:t>
            </w:r>
          </w:p>
        </w:tc>
        <w:tc>
          <w:tcPr>
            <w:tcW w:w="601" w:type="dxa"/>
          </w:tcPr>
          <w:p w:rsidR="00000000" w:rsidRDefault="00000000">
            <w:pPr>
              <w:keepNext/>
              <w:spacing w:before="60" w:after="60"/>
              <w:jc w:val="right"/>
              <w:rPr>
                <w:sz w:val="22"/>
              </w:rPr>
            </w:pPr>
            <w:r>
              <w:rPr>
                <w:sz w:val="22"/>
              </w:rPr>
              <w:t>25,7</w:t>
            </w:r>
          </w:p>
        </w:tc>
      </w:tr>
      <w:tr w:rsidR="00000000">
        <w:trPr>
          <w:jc w:val="center"/>
        </w:trPr>
        <w:tc>
          <w:tcPr>
            <w:tcW w:w="1329" w:type="dxa"/>
          </w:tcPr>
          <w:p w:rsidR="00000000" w:rsidRDefault="00000000">
            <w:pPr>
              <w:keepNext/>
              <w:spacing w:before="60" w:after="60"/>
              <w:rPr>
                <w:bCs/>
                <w:sz w:val="22"/>
              </w:rPr>
            </w:pPr>
            <w:r>
              <w:rPr>
                <w:bCs/>
                <w:sz w:val="22"/>
              </w:rPr>
              <w:t>Condamnés</w:t>
            </w:r>
          </w:p>
        </w:tc>
        <w:tc>
          <w:tcPr>
            <w:tcW w:w="766" w:type="dxa"/>
          </w:tcPr>
          <w:p w:rsidR="00000000" w:rsidRDefault="00000000">
            <w:pPr>
              <w:keepNext/>
              <w:spacing w:before="60" w:after="60"/>
              <w:jc w:val="right"/>
              <w:rPr>
                <w:sz w:val="22"/>
              </w:rPr>
            </w:pPr>
            <w:r>
              <w:rPr>
                <w:sz w:val="22"/>
              </w:rPr>
              <w:t>8 855</w:t>
            </w:r>
          </w:p>
        </w:tc>
        <w:tc>
          <w:tcPr>
            <w:tcW w:w="601" w:type="dxa"/>
          </w:tcPr>
          <w:p w:rsidR="00000000" w:rsidRDefault="00000000">
            <w:pPr>
              <w:keepNext/>
              <w:spacing w:before="60" w:after="60"/>
              <w:jc w:val="right"/>
              <w:rPr>
                <w:sz w:val="22"/>
              </w:rPr>
            </w:pPr>
            <w:r>
              <w:rPr>
                <w:sz w:val="22"/>
              </w:rPr>
              <w:t>68,6</w:t>
            </w:r>
          </w:p>
        </w:tc>
        <w:tc>
          <w:tcPr>
            <w:tcW w:w="766" w:type="dxa"/>
          </w:tcPr>
          <w:p w:rsidR="00000000" w:rsidRDefault="00000000">
            <w:pPr>
              <w:keepNext/>
              <w:spacing w:before="60" w:after="60"/>
              <w:jc w:val="right"/>
              <w:rPr>
                <w:sz w:val="22"/>
              </w:rPr>
            </w:pPr>
            <w:r>
              <w:rPr>
                <w:sz w:val="22"/>
              </w:rPr>
              <w:t>8 917</w:t>
            </w:r>
          </w:p>
        </w:tc>
        <w:tc>
          <w:tcPr>
            <w:tcW w:w="601" w:type="dxa"/>
          </w:tcPr>
          <w:p w:rsidR="00000000" w:rsidRDefault="00000000">
            <w:pPr>
              <w:keepNext/>
              <w:spacing w:before="60" w:after="60"/>
              <w:jc w:val="right"/>
              <w:rPr>
                <w:sz w:val="22"/>
              </w:rPr>
            </w:pPr>
            <w:r>
              <w:rPr>
                <w:sz w:val="22"/>
              </w:rPr>
              <w:t>69,8</w:t>
            </w:r>
          </w:p>
        </w:tc>
        <w:tc>
          <w:tcPr>
            <w:tcW w:w="766" w:type="dxa"/>
          </w:tcPr>
          <w:p w:rsidR="00000000" w:rsidRDefault="00000000">
            <w:pPr>
              <w:keepNext/>
              <w:spacing w:before="60" w:after="60"/>
              <w:jc w:val="right"/>
              <w:rPr>
                <w:sz w:val="22"/>
              </w:rPr>
            </w:pPr>
            <w:r>
              <w:rPr>
                <w:sz w:val="22"/>
              </w:rPr>
              <w:t>9 422</w:t>
            </w:r>
          </w:p>
        </w:tc>
        <w:tc>
          <w:tcPr>
            <w:tcW w:w="601" w:type="dxa"/>
          </w:tcPr>
          <w:p w:rsidR="00000000" w:rsidRDefault="00000000">
            <w:pPr>
              <w:keepNext/>
              <w:spacing w:before="60" w:after="60"/>
              <w:jc w:val="right"/>
              <w:rPr>
                <w:sz w:val="22"/>
              </w:rPr>
            </w:pPr>
            <w:r>
              <w:rPr>
                <w:sz w:val="22"/>
              </w:rPr>
              <w:t>71,9</w:t>
            </w:r>
          </w:p>
        </w:tc>
        <w:tc>
          <w:tcPr>
            <w:tcW w:w="766" w:type="dxa"/>
          </w:tcPr>
          <w:p w:rsidR="00000000" w:rsidRDefault="00000000">
            <w:pPr>
              <w:keepNext/>
              <w:spacing w:before="60" w:after="60"/>
              <w:jc w:val="right"/>
              <w:rPr>
                <w:sz w:val="22"/>
              </w:rPr>
            </w:pPr>
            <w:r>
              <w:rPr>
                <w:sz w:val="22"/>
              </w:rPr>
              <w:t>9 553</w:t>
            </w:r>
          </w:p>
        </w:tc>
        <w:tc>
          <w:tcPr>
            <w:tcW w:w="601" w:type="dxa"/>
          </w:tcPr>
          <w:p w:rsidR="00000000" w:rsidRDefault="00000000">
            <w:pPr>
              <w:keepNext/>
              <w:spacing w:before="60" w:after="60"/>
              <w:jc w:val="right"/>
              <w:rPr>
                <w:sz w:val="22"/>
              </w:rPr>
            </w:pPr>
            <w:r>
              <w:rPr>
                <w:sz w:val="22"/>
              </w:rPr>
              <w:t>69,4</w:t>
            </w:r>
          </w:p>
        </w:tc>
        <w:tc>
          <w:tcPr>
            <w:tcW w:w="766" w:type="dxa"/>
          </w:tcPr>
          <w:p w:rsidR="00000000" w:rsidRDefault="00000000">
            <w:pPr>
              <w:keepNext/>
              <w:spacing w:before="60" w:after="60"/>
              <w:jc w:val="right"/>
              <w:rPr>
                <w:sz w:val="22"/>
              </w:rPr>
            </w:pPr>
            <w:r>
              <w:rPr>
                <w:sz w:val="22"/>
              </w:rPr>
              <w:t>10 143</w:t>
            </w:r>
          </w:p>
        </w:tc>
        <w:tc>
          <w:tcPr>
            <w:tcW w:w="601" w:type="dxa"/>
          </w:tcPr>
          <w:p w:rsidR="00000000" w:rsidRDefault="00000000">
            <w:pPr>
              <w:keepNext/>
              <w:spacing w:before="60" w:after="60"/>
              <w:jc w:val="right"/>
              <w:rPr>
                <w:sz w:val="22"/>
              </w:rPr>
            </w:pPr>
            <w:r>
              <w:rPr>
                <w:sz w:val="22"/>
              </w:rPr>
              <w:t>74,4</w:t>
            </w:r>
          </w:p>
        </w:tc>
        <w:tc>
          <w:tcPr>
            <w:tcW w:w="766" w:type="dxa"/>
          </w:tcPr>
          <w:p w:rsidR="00000000" w:rsidRDefault="00000000">
            <w:pPr>
              <w:keepNext/>
              <w:spacing w:before="60" w:after="60"/>
              <w:jc w:val="right"/>
              <w:rPr>
                <w:sz w:val="22"/>
              </w:rPr>
            </w:pPr>
            <w:r>
              <w:rPr>
                <w:sz w:val="22"/>
              </w:rPr>
              <w:t>10 123</w:t>
            </w:r>
          </w:p>
        </w:tc>
        <w:tc>
          <w:tcPr>
            <w:tcW w:w="601" w:type="dxa"/>
          </w:tcPr>
          <w:p w:rsidR="00000000" w:rsidRDefault="00000000">
            <w:pPr>
              <w:keepNext/>
              <w:spacing w:before="60" w:after="60"/>
              <w:jc w:val="right"/>
              <w:rPr>
                <w:sz w:val="22"/>
              </w:rPr>
            </w:pPr>
            <w:r>
              <w:rPr>
                <w:sz w:val="22"/>
              </w:rPr>
              <w:t>74,3</w:t>
            </w:r>
          </w:p>
        </w:tc>
      </w:tr>
      <w:tr w:rsidR="00000000">
        <w:trPr>
          <w:jc w:val="center"/>
        </w:trPr>
        <w:tc>
          <w:tcPr>
            <w:tcW w:w="1329" w:type="dxa"/>
          </w:tcPr>
          <w:p w:rsidR="00000000" w:rsidRDefault="00000000">
            <w:pPr>
              <w:spacing w:before="60" w:after="60"/>
              <w:rPr>
                <w:b/>
                <w:sz w:val="22"/>
              </w:rPr>
            </w:pPr>
            <w:r>
              <w:rPr>
                <w:b/>
                <w:sz w:val="22"/>
              </w:rPr>
              <w:t>Total</w:t>
            </w:r>
          </w:p>
        </w:tc>
        <w:tc>
          <w:tcPr>
            <w:tcW w:w="766" w:type="dxa"/>
          </w:tcPr>
          <w:p w:rsidR="00000000" w:rsidRDefault="00000000">
            <w:pPr>
              <w:spacing w:before="60" w:after="60"/>
              <w:jc w:val="right"/>
              <w:rPr>
                <w:sz w:val="22"/>
              </w:rPr>
            </w:pPr>
            <w:r>
              <w:rPr>
                <w:b/>
                <w:sz w:val="22"/>
              </w:rPr>
              <w:t>12 907</w:t>
            </w:r>
          </w:p>
        </w:tc>
        <w:tc>
          <w:tcPr>
            <w:tcW w:w="601" w:type="dxa"/>
          </w:tcPr>
          <w:p w:rsidR="00000000" w:rsidRDefault="00000000">
            <w:pPr>
              <w:spacing w:before="60" w:after="60"/>
              <w:jc w:val="center"/>
              <w:rPr>
                <w:sz w:val="22"/>
              </w:rPr>
            </w:pPr>
            <w:r>
              <w:rPr>
                <w:b/>
                <w:sz w:val="22"/>
              </w:rPr>
              <w:t>100</w:t>
            </w:r>
          </w:p>
        </w:tc>
        <w:tc>
          <w:tcPr>
            <w:tcW w:w="766" w:type="dxa"/>
          </w:tcPr>
          <w:p w:rsidR="00000000" w:rsidRDefault="00000000">
            <w:pPr>
              <w:spacing w:before="60" w:after="60"/>
              <w:jc w:val="right"/>
              <w:rPr>
                <w:b/>
                <w:sz w:val="22"/>
              </w:rPr>
            </w:pPr>
            <w:r>
              <w:rPr>
                <w:b/>
                <w:sz w:val="22"/>
              </w:rPr>
              <w:t>12 771</w:t>
            </w:r>
          </w:p>
        </w:tc>
        <w:tc>
          <w:tcPr>
            <w:tcW w:w="601" w:type="dxa"/>
          </w:tcPr>
          <w:p w:rsidR="00000000" w:rsidRDefault="00000000">
            <w:pPr>
              <w:spacing w:before="60" w:after="60"/>
              <w:jc w:val="center"/>
              <w:rPr>
                <w:sz w:val="22"/>
              </w:rPr>
            </w:pPr>
            <w:r>
              <w:rPr>
                <w:b/>
                <w:sz w:val="22"/>
              </w:rPr>
              <w:t>100</w:t>
            </w:r>
          </w:p>
        </w:tc>
        <w:tc>
          <w:tcPr>
            <w:tcW w:w="766" w:type="dxa"/>
          </w:tcPr>
          <w:p w:rsidR="00000000" w:rsidRDefault="00000000">
            <w:pPr>
              <w:spacing w:before="60" w:after="60"/>
              <w:jc w:val="right"/>
              <w:rPr>
                <w:sz w:val="22"/>
              </w:rPr>
            </w:pPr>
            <w:r>
              <w:rPr>
                <w:b/>
                <w:sz w:val="22"/>
              </w:rPr>
              <w:t>13 112</w:t>
            </w:r>
          </w:p>
        </w:tc>
        <w:tc>
          <w:tcPr>
            <w:tcW w:w="601" w:type="dxa"/>
          </w:tcPr>
          <w:p w:rsidR="00000000" w:rsidRDefault="00000000">
            <w:pPr>
              <w:spacing w:before="60" w:after="60"/>
              <w:jc w:val="center"/>
              <w:rPr>
                <w:sz w:val="22"/>
              </w:rPr>
            </w:pPr>
            <w:r>
              <w:rPr>
                <w:b/>
                <w:sz w:val="22"/>
              </w:rPr>
              <w:t>100</w:t>
            </w:r>
          </w:p>
        </w:tc>
        <w:tc>
          <w:tcPr>
            <w:tcW w:w="766" w:type="dxa"/>
          </w:tcPr>
          <w:p w:rsidR="00000000" w:rsidRDefault="00000000">
            <w:pPr>
              <w:spacing w:before="60" w:after="60"/>
              <w:jc w:val="right"/>
              <w:rPr>
                <w:sz w:val="22"/>
              </w:rPr>
            </w:pPr>
            <w:r>
              <w:rPr>
                <w:b/>
                <w:sz w:val="22"/>
              </w:rPr>
              <w:t>13 772</w:t>
            </w:r>
          </w:p>
        </w:tc>
        <w:tc>
          <w:tcPr>
            <w:tcW w:w="601" w:type="dxa"/>
          </w:tcPr>
          <w:p w:rsidR="00000000" w:rsidRDefault="00000000">
            <w:pPr>
              <w:spacing w:before="60" w:after="60"/>
              <w:jc w:val="center"/>
              <w:rPr>
                <w:b/>
                <w:sz w:val="22"/>
              </w:rPr>
            </w:pPr>
            <w:r>
              <w:rPr>
                <w:b/>
                <w:sz w:val="22"/>
              </w:rPr>
              <w:t>100</w:t>
            </w:r>
          </w:p>
        </w:tc>
        <w:tc>
          <w:tcPr>
            <w:tcW w:w="766" w:type="dxa"/>
          </w:tcPr>
          <w:p w:rsidR="00000000" w:rsidRDefault="00000000">
            <w:pPr>
              <w:spacing w:before="60" w:after="60"/>
              <w:jc w:val="right"/>
              <w:rPr>
                <w:sz w:val="22"/>
              </w:rPr>
            </w:pPr>
            <w:r>
              <w:rPr>
                <w:b/>
                <w:sz w:val="22"/>
              </w:rPr>
              <w:t>13 635</w:t>
            </w:r>
          </w:p>
        </w:tc>
        <w:tc>
          <w:tcPr>
            <w:tcW w:w="601" w:type="dxa"/>
          </w:tcPr>
          <w:p w:rsidR="00000000" w:rsidRDefault="00000000">
            <w:pPr>
              <w:spacing w:before="60" w:after="60"/>
              <w:jc w:val="center"/>
              <w:rPr>
                <w:sz w:val="22"/>
              </w:rPr>
            </w:pPr>
            <w:r>
              <w:rPr>
                <w:b/>
                <w:sz w:val="22"/>
              </w:rPr>
              <w:t>100</w:t>
            </w:r>
          </w:p>
        </w:tc>
        <w:tc>
          <w:tcPr>
            <w:tcW w:w="766" w:type="dxa"/>
          </w:tcPr>
          <w:p w:rsidR="00000000" w:rsidRDefault="00000000">
            <w:pPr>
              <w:spacing w:before="60" w:after="60"/>
              <w:jc w:val="right"/>
              <w:rPr>
                <w:sz w:val="22"/>
              </w:rPr>
            </w:pPr>
            <w:r>
              <w:rPr>
                <w:b/>
                <w:sz w:val="22"/>
              </w:rPr>
              <w:t>13 620</w:t>
            </w:r>
          </w:p>
        </w:tc>
        <w:tc>
          <w:tcPr>
            <w:tcW w:w="601" w:type="dxa"/>
          </w:tcPr>
          <w:p w:rsidR="00000000" w:rsidRDefault="00000000">
            <w:pPr>
              <w:spacing w:before="60" w:after="60"/>
              <w:jc w:val="center"/>
              <w:rPr>
                <w:sz w:val="22"/>
              </w:rPr>
            </w:pPr>
            <w:r>
              <w:rPr>
                <w:b/>
                <w:sz w:val="22"/>
              </w:rPr>
              <w:t>100</w:t>
            </w:r>
          </w:p>
        </w:tc>
      </w:tr>
    </w:tbl>
    <w:p w:rsidR="00000000" w:rsidRDefault="00000000">
      <w:pPr>
        <w:spacing w:before="120" w:after="240"/>
        <w:rPr>
          <w:sz w:val="22"/>
        </w:rPr>
      </w:pPr>
      <w:r>
        <w:rPr>
          <w:b/>
          <w:bCs/>
          <w:i/>
          <w:iCs/>
          <w:sz w:val="22"/>
          <w:vertAlign w:val="superscript"/>
        </w:rPr>
        <w:t>a</w:t>
      </w:r>
      <w:r>
        <w:rPr>
          <w:sz w:val="22"/>
        </w:rPr>
        <w:t xml:space="preserve"> En 1999, il y a eu une amnistie.</w:t>
      </w:r>
    </w:p>
    <w:p w:rsidR="00000000" w:rsidRDefault="00000000">
      <w:pPr>
        <w:spacing w:before="120" w:after="240"/>
        <w:rPr>
          <w:sz w:val="22"/>
        </w:rPr>
      </w:pPr>
      <w:r>
        <w:rPr>
          <w:b/>
          <w:bCs/>
          <w:i/>
          <w:iCs/>
          <w:sz w:val="22"/>
          <w:vertAlign w:val="superscript"/>
        </w:rPr>
        <w:t>b</w:t>
      </w:r>
      <w:r>
        <w:rPr>
          <w:sz w:val="22"/>
        </w:rPr>
        <w:t xml:space="preserve"> Les données pour 2004 vont jusqu’au 15 juin.</w:t>
      </w:r>
    </w:p>
    <w:p w:rsidR="00000000" w:rsidRDefault="00000000">
      <w:pPr>
        <w:spacing w:before="120" w:after="240"/>
        <w:rPr>
          <w:sz w:val="22"/>
        </w:rPr>
      </w:pPr>
      <w:r>
        <w:rPr>
          <w:sz w:val="22"/>
        </w:rPr>
        <w:tab/>
      </w:r>
      <w:r>
        <w:rPr>
          <w:i/>
          <w:iCs/>
          <w:sz w:val="22"/>
        </w:rPr>
        <w:t>Source</w:t>
      </w:r>
      <w:r>
        <w:rPr>
          <w:sz w:val="22"/>
        </w:rPr>
        <w:t>: Direction générale des services pénitentiaires, Direction des services du plan, de la documentation, des études et des rapports internationaux.</w:t>
      </w:r>
    </w:p>
    <w:p w:rsidR="00000000" w:rsidRDefault="00000000">
      <w:pPr>
        <w:spacing w:after="240"/>
        <w:jc w:val="center"/>
      </w:pPr>
      <w:r>
        <w:rPr>
          <w:b/>
          <w:bCs/>
        </w:rPr>
        <w:t>C.  La surveillance électronique</w:t>
      </w:r>
    </w:p>
    <w:p w:rsidR="00000000" w:rsidRDefault="00000000">
      <w:pPr>
        <w:spacing w:after="240"/>
      </w:pPr>
      <w:r>
        <w:t>93.</w:t>
      </w:r>
      <w:r>
        <w:tab/>
        <w:t xml:space="preserve">La surveillance électronique doit être mentionnée: c’est en effet une mesure de grand potentiel en ce qui concerne la recherche d’alternatives à la prison préventive. Elle s’applique aux personnes qui sont soumises au devoir de permanence dans leur domicile, aux termes de l’article 201 du Code de procédure pénale. Prévue par la loi </w:t>
      </w:r>
      <w:r>
        <w:rPr>
          <w:rFonts w:eastAsia="MS Mincho"/>
        </w:rPr>
        <w:t>n</w:t>
      </w:r>
      <w:r>
        <w:rPr>
          <w:rFonts w:eastAsia="MS Mincho"/>
          <w:vertAlign w:val="superscript"/>
        </w:rPr>
        <w:t>o</w:t>
      </w:r>
      <w:r>
        <w:t xml:space="preserve"> 122/99, du 20 août, elle dépend du consentement du prévenu et des personnes vivant avec lui ou qui peuvent être affectées par cette assignation à domicile. Le consentement du prévenu est donné par écrit, sauf si c’est le prévenu lui</w:t>
      </w:r>
      <w:r>
        <w:noBreakHyphen/>
        <w:t>même qui demande l’application de cette mesure; ce consentement est révocable en tout temps.</w:t>
      </w:r>
    </w:p>
    <w:p w:rsidR="00000000" w:rsidRDefault="00000000">
      <w:pPr>
        <w:spacing w:after="240"/>
      </w:pPr>
      <w:r>
        <w:t>94.</w:t>
      </w:r>
      <w:r>
        <w:tab/>
        <w:t>Lors de la phase de l’enquête, la surveillance électronique est décidée par ordonnance du juge sur requête du ministère public; suite à l’enquête, elle peut être décidée officieusement par le juge.</w:t>
      </w:r>
    </w:p>
    <w:p w:rsidR="00000000" w:rsidRDefault="00000000">
      <w:pPr>
        <w:spacing w:after="240"/>
      </w:pPr>
      <w:r>
        <w:t>95.</w:t>
      </w:r>
      <w:r>
        <w:tab/>
        <w:t>Aux termes de l’article 4, la surveillance électronique est exécutée par des moyens techniques qui permettent, dans le respect de la dignité du prévenu, de détecter à distance sa présence ou son absence en un certain lieu, pendant les périodes de temps fixées par le juge. Il revient à l’Institut de réinsertion sociale de procéder à l’exécution de la surveillance électronique. Il gère l’application de la mesure, tenant les institutions judiciaires informées de l’existence de moyens pour son exécution.</w:t>
      </w:r>
    </w:p>
    <w:p w:rsidR="00000000" w:rsidRDefault="00000000">
      <w:pPr>
        <w:spacing w:after="240"/>
      </w:pPr>
      <w:r>
        <w:t>96.</w:t>
      </w:r>
      <w:r>
        <w:tab/>
        <w:t>Tous les trois mois, le juge procède au réexamen des conditions dans lesquelles la surveillance électronique a été décidée et à l’évaluation de son exécution, maintenant, changeant ou révoquant sa décision (art. 7).</w:t>
      </w:r>
    </w:p>
    <w:p w:rsidR="00000000" w:rsidRDefault="00000000">
      <w:pPr>
        <w:spacing w:after="240"/>
      </w:pPr>
      <w:r>
        <w:t>97.</w:t>
      </w:r>
      <w:r>
        <w:tab/>
        <w:t>En 2002, on a procédé à l’application de 44 mesures de surveillance électronique; en 2003, l’Institut de réinsertion sociale a procédé à l’exécution de 142 cas, et 202 mesures sont en cours d’application (jusqu’en avril 2004).</w:t>
      </w:r>
    </w:p>
    <w:p w:rsidR="00000000" w:rsidRDefault="00000000">
      <w:pPr>
        <w:spacing w:after="240"/>
        <w:jc w:val="center"/>
        <w:rPr>
          <w:b/>
          <w:bCs/>
        </w:rPr>
      </w:pPr>
      <w:r>
        <w:rPr>
          <w:b/>
          <w:bCs/>
        </w:rPr>
        <w:t>D.  Le contrôle exercé sur les autorités chargées de la détention</w:t>
      </w:r>
    </w:p>
    <w:p w:rsidR="00000000" w:rsidRDefault="00000000">
      <w:pPr>
        <w:spacing w:after="240"/>
      </w:pPr>
      <w:r>
        <w:t>98.</w:t>
      </w:r>
      <w:r>
        <w:tab/>
        <w:t>Aborder ce thème signifie étudier tout d’abord la législation relative à la police puis celle qui concerne l’autorité chargée du contrôle des services de police, à savoir l’Inspection générale de l’administration de l’intérieur (IGAI).</w:t>
      </w:r>
    </w:p>
    <w:p w:rsidR="00000000" w:rsidRDefault="00000000">
      <w:pPr>
        <w:spacing w:after="240"/>
      </w:pPr>
      <w:r>
        <w:t>99.</w:t>
      </w:r>
      <w:r>
        <w:tab/>
        <w:t xml:space="preserve">La loi </w:t>
      </w:r>
      <w:r>
        <w:rPr>
          <w:rFonts w:eastAsia="MS Mincho"/>
        </w:rPr>
        <w:t>n</w:t>
      </w:r>
      <w:r>
        <w:rPr>
          <w:rFonts w:eastAsia="MS Mincho"/>
          <w:vertAlign w:val="superscript"/>
        </w:rPr>
        <w:t>o</w:t>
      </w:r>
      <w:r>
        <w:t xml:space="preserve"> 21/2000, du 10 août, relative à l’organisation de l’investigation criminelle définit les principes sur lesquels se fonde la répartition des compétences entre magistrature et police lors de l’enquête. Ainsi, l’investigation criminelle comprend l’ensemble des diligences qui, aux termes de la loi de procédure pénale, visent à vérifier l’existence d’un crime, à déterminer ses auteurs et leur responsabilité, à découvrir et recueillir la preuve dans le cadre de la procédure (art. 1). La direction de l’investigation revient à l’autorité judiciaire compétente à chaque phase du procès (art. 2). L’autorité judiciaire est assistée dans l’investigation par les organes de police criminelle; ceux-ci (art. 2, par. 3) communiquent les faits (lorsqu’ils ont connaissance de tout crime) au ministère public, dans les plus brefs délais, tout en initiant immédiatement l’investigation et pratiquant, dans tous les cas, les actes cautelaires nécessaires et urgents pour assurer les moyens de preuve (art. 270, par. 4 du Code de procédure pénale).</w:t>
      </w:r>
    </w:p>
    <w:p w:rsidR="00000000" w:rsidRDefault="00000000">
      <w:pPr>
        <w:spacing w:after="240"/>
      </w:pPr>
      <w:r>
        <w:t>100.</w:t>
      </w:r>
      <w:r>
        <w:tab/>
        <w:t>Les organes de la police criminelle agissent dans le procès sous la direction, et dans la dépendance fonctionnelle de l’autorité judiciaire compétente, sans préjudice de leur hiérarchie propre. Aux termes du paragraphe 7, les organes de la police criminelle donnent l’impulsion aux diligences légalement admissibles, l’autorité judiciaire pouvant à tout moment prendre le procès en main, contrôler son déroulement et sa légalité et déterminer tout type d’actes. Il y a ici une première mesure, de nature judiciaire, qui révèle ce contrôle systématique: la magistrature connaît les procès dont elle est le maître, contrôlant, de ce fait, avec une grande proximité, l’activité de la police.</w:t>
      </w:r>
    </w:p>
    <w:p w:rsidR="00000000" w:rsidRDefault="00000000">
      <w:pPr>
        <w:spacing w:after="240"/>
      </w:pPr>
      <w:r>
        <w:t>101.</w:t>
      </w:r>
      <w:r>
        <w:tab/>
        <w:t>Les organes de police criminelle sont – en termes de compétence générique – la police judiciaire, la Garde nationale républicaine, la police de sécurité publique. Sont organes spécifiques de police criminelle tous les organes auxquels la loi confère ce statut.</w:t>
      </w:r>
    </w:p>
    <w:p w:rsidR="00000000" w:rsidRDefault="00000000">
      <w:pPr>
        <w:spacing w:after="240"/>
        <w:jc w:val="center"/>
        <w:rPr>
          <w:i/>
          <w:iCs/>
        </w:rPr>
      </w:pPr>
      <w:r>
        <w:rPr>
          <w:i/>
          <w:iCs/>
        </w:rPr>
        <w:t>1.  La police judiciaire</w:t>
      </w:r>
    </w:p>
    <w:p w:rsidR="00000000" w:rsidRDefault="00000000">
      <w:pPr>
        <w:spacing w:after="240"/>
      </w:pPr>
      <w:r>
        <w:t>102.</w:t>
      </w:r>
      <w:r>
        <w:tab/>
        <w:t>Aux termes de l’article 4, la police judiciaire a une compétence réservée pour l’investigation des crimes suivants:</w:t>
      </w:r>
    </w:p>
    <w:p w:rsidR="00000000" w:rsidRDefault="00000000">
      <w:pPr>
        <w:spacing w:after="240"/>
        <w:ind w:firstLine="567"/>
      </w:pPr>
      <w:r>
        <w:t>a)</w:t>
      </w:r>
      <w:r>
        <w:tab/>
        <w:t>Homicide volontaire, l’auteur n’étant pas connu;</w:t>
      </w:r>
    </w:p>
    <w:p w:rsidR="00000000" w:rsidRDefault="00000000">
      <w:pPr>
        <w:spacing w:after="240"/>
        <w:ind w:firstLine="567"/>
      </w:pPr>
      <w:r>
        <w:t>b)</w:t>
      </w:r>
      <w:r>
        <w:tab/>
        <w:t>Crimes contre la liberté et contre l’autodétermination sexuelle, auxquels correspond une peine de cinq ans au maximum;</w:t>
      </w:r>
    </w:p>
    <w:p w:rsidR="00000000" w:rsidRDefault="00000000">
      <w:pPr>
        <w:spacing w:after="240"/>
      </w:pPr>
      <w:r>
        <w:tab/>
        <w:t>c)</w:t>
      </w:r>
      <w:r>
        <w:tab/>
        <w:t>Incendie, explosion, exposition de personnes à des substances radioactives et libération de gaz toxiques ou asphyxiants;</w:t>
      </w:r>
    </w:p>
    <w:p w:rsidR="00000000" w:rsidRDefault="00000000">
      <w:pPr>
        <w:spacing w:after="240"/>
        <w:ind w:firstLine="567"/>
      </w:pPr>
      <w:r>
        <w:t>d)</w:t>
      </w:r>
      <w:r>
        <w:tab/>
        <w:t>Pollution avec un danger commun;</w:t>
      </w:r>
    </w:p>
    <w:p w:rsidR="00000000" w:rsidRDefault="00000000">
      <w:pPr>
        <w:spacing w:after="240"/>
        <w:ind w:firstLine="567"/>
      </w:pPr>
      <w:r>
        <w:t>e)</w:t>
      </w:r>
      <w:r>
        <w:tab/>
        <w:t>Vol, dommage, contrefaçon ou recel de biens meubles de valeur scientifique, artistique ou historique ou pour le patrimoine culturel;</w:t>
      </w:r>
    </w:p>
    <w:p w:rsidR="00000000" w:rsidRDefault="00000000">
      <w:pPr>
        <w:spacing w:after="240"/>
        <w:ind w:firstLine="567"/>
      </w:pPr>
      <w:r>
        <w:t>f)</w:t>
      </w:r>
      <w:r>
        <w:tab/>
        <w:t>Faux permis de conduire et faux titres relatifs à des véhicules;</w:t>
      </w:r>
    </w:p>
    <w:p w:rsidR="00000000" w:rsidRDefault="00000000">
      <w:pPr>
        <w:spacing w:after="240"/>
        <w:ind w:firstLine="567"/>
      </w:pPr>
      <w:r>
        <w:t>g)</w:t>
      </w:r>
      <w:r>
        <w:tab/>
        <w:t>Trafic et maquillage de véhicules volés;</w:t>
      </w:r>
    </w:p>
    <w:p w:rsidR="00000000" w:rsidRDefault="00000000">
      <w:pPr>
        <w:spacing w:after="240"/>
        <w:ind w:firstLine="567"/>
      </w:pPr>
      <w:r>
        <w:t>h)</w:t>
      </w:r>
      <w:r>
        <w:tab/>
        <w:t>Crimes contre la paix et l’humanité;</w:t>
      </w:r>
    </w:p>
    <w:p w:rsidR="00000000" w:rsidRDefault="00000000">
      <w:pPr>
        <w:spacing w:after="240"/>
        <w:ind w:firstLine="567"/>
      </w:pPr>
      <w:r>
        <w:t>i)</w:t>
      </w:r>
      <w:r>
        <w:tab/>
        <w:t>Esclavage, séquestre et rapt ou prise d’otages;</w:t>
      </w:r>
    </w:p>
    <w:p w:rsidR="00000000" w:rsidRDefault="00000000">
      <w:pPr>
        <w:spacing w:after="240"/>
      </w:pPr>
      <w:r>
        <w:tab/>
        <w:t>j)</w:t>
      </w:r>
      <w:r>
        <w:tab/>
        <w:t>Terrorisme et participation à des organisations terroristes;</w:t>
      </w:r>
    </w:p>
    <w:p w:rsidR="00000000" w:rsidRDefault="00000000">
      <w:pPr>
        <w:spacing w:after="240"/>
        <w:ind w:firstLine="567"/>
      </w:pPr>
      <w:r>
        <w:t>k)</w:t>
      </w:r>
      <w:r>
        <w:tab/>
        <w:t>Crimes contre la sécurité de l’État, à l’exception des crimes relatifs au procès électoral;</w:t>
      </w:r>
    </w:p>
    <w:p w:rsidR="00000000" w:rsidRDefault="00000000">
      <w:pPr>
        <w:spacing w:after="240"/>
      </w:pPr>
      <w:r>
        <w:tab/>
        <w:t>l)</w:t>
      </w:r>
      <w:r>
        <w:tab/>
        <w:t>Participation à une mutinerie armée;</w:t>
      </w:r>
    </w:p>
    <w:p w:rsidR="00000000" w:rsidRDefault="00000000">
      <w:pPr>
        <w:spacing w:after="240"/>
      </w:pPr>
      <w:r>
        <w:tab/>
        <w:t>m)</w:t>
      </w:r>
      <w:r>
        <w:tab/>
        <w:t>Capture ou attentat à la sécurité d’un transport par air, eau, chemin de fer, ou route, auquel correspond, en abstrait, une peine égale ou supérieure à huit ans de prison;</w:t>
      </w:r>
    </w:p>
    <w:p w:rsidR="00000000" w:rsidRDefault="00000000">
      <w:pPr>
        <w:spacing w:after="240"/>
      </w:pPr>
      <w:r>
        <w:tab/>
        <w:t>n)</w:t>
      </w:r>
      <w:r>
        <w:tab/>
        <w:t>Crimes exécutés avec des bombes, des grenades, des matières ou des engins explosifs, des armes à feu et des objets piégés, des armes nucléaires, chimiques ou radioactives;</w:t>
      </w:r>
    </w:p>
    <w:p w:rsidR="00000000" w:rsidRDefault="00000000">
      <w:pPr>
        <w:spacing w:after="240"/>
        <w:ind w:firstLine="567"/>
      </w:pPr>
      <w:r>
        <w:t>o)</w:t>
      </w:r>
      <w:r>
        <w:tab/>
        <w:t>Vol dans les institutions de crédit, les perceptions et la poste;</w:t>
      </w:r>
    </w:p>
    <w:p w:rsidR="00000000" w:rsidRDefault="00000000">
      <w:pPr>
        <w:spacing w:after="240"/>
      </w:pPr>
      <w:r>
        <w:tab/>
        <w:t>p)</w:t>
      </w:r>
      <w:r>
        <w:tab/>
        <w:t>Participation à des associations criminelles;</w:t>
      </w:r>
    </w:p>
    <w:p w:rsidR="00000000" w:rsidRDefault="00000000">
      <w:pPr>
        <w:spacing w:after="240"/>
      </w:pPr>
      <w:r>
        <w:tab/>
        <w:t>q)</w:t>
      </w:r>
      <w:r>
        <w:tab/>
        <w:t xml:space="preserve">Crimes liés au trafic de stupéfiants et de substances psychotropes, stipulés dans les articles 21, 22, 23, 27 et 28 du décret-loi </w:t>
      </w:r>
      <w:r>
        <w:rPr>
          <w:rFonts w:eastAsia="MS Mincho"/>
        </w:rPr>
        <w:t>n</w:t>
      </w:r>
      <w:r>
        <w:rPr>
          <w:rFonts w:eastAsia="MS Mincho"/>
          <w:vertAlign w:val="superscript"/>
        </w:rPr>
        <w:t>o</w:t>
      </w:r>
      <w:r>
        <w:t xml:space="preserve"> 15/93, du 22 janvier, ainsi que tous les crimes prévus dans ce texte législatif dont la police judiciaire a connaissance;</w:t>
      </w:r>
    </w:p>
    <w:p w:rsidR="00000000" w:rsidRDefault="00000000">
      <w:pPr>
        <w:spacing w:after="240"/>
        <w:ind w:firstLine="567"/>
      </w:pPr>
      <w:r>
        <w:t>r)</w:t>
      </w:r>
      <w:r>
        <w:tab/>
        <w:t>Blanchiment de capitaux, d’autres biens ou de produits;</w:t>
      </w:r>
    </w:p>
    <w:p w:rsidR="00000000" w:rsidRDefault="00000000">
      <w:pPr>
        <w:spacing w:after="240"/>
        <w:ind w:firstLine="567"/>
      </w:pPr>
      <w:r>
        <w:t>s)</w:t>
      </w:r>
      <w:r>
        <w:tab/>
        <w:t>Corruption, abus de fonction, participation économique à une affaire et trafic d’influence;</w:t>
      </w:r>
    </w:p>
    <w:p w:rsidR="00000000" w:rsidRDefault="00000000">
      <w:pPr>
        <w:spacing w:after="240"/>
      </w:pPr>
      <w:r>
        <w:tab/>
        <w:t>t)</w:t>
      </w:r>
      <w:r>
        <w:tab/>
        <w:t>Malversation dans une unité du secteur public et coopératif;</w:t>
      </w:r>
    </w:p>
    <w:p w:rsidR="00000000" w:rsidRDefault="00000000">
      <w:pPr>
        <w:spacing w:after="240"/>
      </w:pPr>
      <w:r>
        <w:tab/>
        <w:t>u)</w:t>
      </w:r>
      <w:r>
        <w:tab/>
        <w:t>Fraude dans l’obtention d’une subvention ou son détournement, ainsi que la fraude dans l’obtention de crédit bonifié;</w:t>
      </w:r>
    </w:p>
    <w:p w:rsidR="00000000" w:rsidRDefault="00000000">
      <w:pPr>
        <w:spacing w:after="240"/>
      </w:pPr>
      <w:r>
        <w:tab/>
        <w:t>v)</w:t>
      </w:r>
      <w:r>
        <w:tab/>
        <w:t>Infractions économico-financières commises de façon organisée ou avec recours à la technologie informatique;</w:t>
      </w:r>
    </w:p>
    <w:p w:rsidR="00000000" w:rsidRDefault="00000000">
      <w:pPr>
        <w:spacing w:after="240"/>
      </w:pPr>
      <w:r>
        <w:tab/>
        <w:t>w)</w:t>
      </w:r>
      <w:r>
        <w:tab/>
        <w:t>Infractions économico-financières de dimension internationale ou transnationale;</w:t>
      </w:r>
    </w:p>
    <w:p w:rsidR="00000000" w:rsidRDefault="00000000">
      <w:pPr>
        <w:spacing w:after="240"/>
        <w:ind w:firstLine="567"/>
      </w:pPr>
      <w:r>
        <w:t>x)</w:t>
      </w:r>
      <w:r>
        <w:tab/>
        <w:t>Crimes informatiques;</w:t>
      </w:r>
    </w:p>
    <w:p w:rsidR="00000000" w:rsidRDefault="00000000">
      <w:pPr>
        <w:spacing w:after="240"/>
        <w:ind w:firstLine="567"/>
      </w:pPr>
      <w:r>
        <w:t>y)</w:t>
      </w:r>
      <w:r>
        <w:tab/>
        <w:t>Contrefaçon de monnaie, de titres de crédit, de valeurs fiscales, de sceaux et de valeurs correspondantes ou leur émission;</w:t>
      </w:r>
    </w:p>
    <w:p w:rsidR="00000000" w:rsidRDefault="00000000">
      <w:pPr>
        <w:spacing w:after="240"/>
        <w:ind w:firstLine="567"/>
      </w:pPr>
      <w:r>
        <w:t>z)</w:t>
      </w:r>
      <w:r>
        <w:tab/>
        <w:t>Crimes sur le marché des valeurs mobilières;</w:t>
      </w:r>
    </w:p>
    <w:p w:rsidR="00000000" w:rsidRDefault="00000000">
      <w:pPr>
        <w:spacing w:after="240"/>
        <w:ind w:firstLine="567"/>
      </w:pPr>
      <w:r>
        <w:t>aa)</w:t>
      </w:r>
      <w:r>
        <w:tab/>
        <w:t>Insolvabilité dolosive;</w:t>
      </w:r>
    </w:p>
    <w:p w:rsidR="00000000" w:rsidRDefault="00000000">
      <w:pPr>
        <w:spacing w:after="240"/>
      </w:pPr>
      <w:r>
        <w:tab/>
        <w:t>bb)</w:t>
      </w:r>
      <w:r>
        <w:tab/>
        <w:t>Abus de liberté de presse, commis au moyen des médias de diffusion nationale;</w:t>
      </w:r>
    </w:p>
    <w:p w:rsidR="00000000" w:rsidRDefault="00000000">
      <w:pPr>
        <w:spacing w:after="240"/>
      </w:pPr>
      <w:r>
        <w:tab/>
        <w:t>cc)</w:t>
      </w:r>
      <w:r>
        <w:tab/>
        <w:t xml:space="preserve">Complicité dans les crimes mentionnés dans les alinéas </w:t>
      </w:r>
      <w:r>
        <w:rPr>
          <w:i/>
          <w:iCs/>
        </w:rPr>
        <w:t>s</w:t>
      </w:r>
      <w:r>
        <w:t xml:space="preserve"> à </w:t>
      </w:r>
      <w:r>
        <w:rPr>
          <w:i/>
          <w:iCs/>
        </w:rPr>
        <w:t>z</w:t>
      </w:r>
      <w:r>
        <w:t xml:space="preserve"> ci</w:t>
      </w:r>
      <w:r>
        <w:noBreakHyphen/>
        <w:t>dessous;</w:t>
      </w:r>
    </w:p>
    <w:p w:rsidR="00000000" w:rsidRDefault="00000000">
      <w:pPr>
        <w:spacing w:after="240"/>
      </w:pPr>
      <w:r>
        <w:tab/>
        <w:t>dd)</w:t>
      </w:r>
      <w:r>
        <w:tab/>
        <w:t>Offenses, dans leurs fonctions ou du fait de leur exercice, au Président de la République, au Président du Parlement, au Premier Ministre, aux présidents des tribunaux supérieurs et au Procureur général de la République.</w:t>
      </w:r>
    </w:p>
    <w:p w:rsidR="00000000" w:rsidRDefault="00000000">
      <w:pPr>
        <w:spacing w:after="240"/>
      </w:pPr>
      <w:r>
        <w:t>103.</w:t>
      </w:r>
      <w:r>
        <w:tab/>
        <w:t xml:space="preserve">Aux termes de l’article 5 de la loi </w:t>
      </w:r>
      <w:r>
        <w:rPr>
          <w:rFonts w:eastAsia="MS Mincho"/>
        </w:rPr>
        <w:t>n</w:t>
      </w:r>
      <w:r>
        <w:rPr>
          <w:rFonts w:eastAsia="MS Mincho"/>
          <w:vertAlign w:val="superscript"/>
        </w:rPr>
        <w:t>o</w:t>
      </w:r>
      <w:r>
        <w:t xml:space="preserve"> 21/2000, le Procureur général de la République, moyennant demande du Directeur national de la police judiciaire, du commandant général de la Garde nationale républicaine, ou du Directeur national de la police de sécurité publique, peut déférer à l’une de ces polices l’investigation des crimes sous les alinéas </w:t>
      </w:r>
      <w:r>
        <w:rPr>
          <w:i/>
          <w:iCs/>
        </w:rPr>
        <w:t>b</w:t>
      </w:r>
      <w:r>
        <w:t xml:space="preserve"> à </w:t>
      </w:r>
      <w:r>
        <w:rPr>
          <w:i/>
          <w:iCs/>
        </w:rPr>
        <w:t>g</w:t>
      </w:r>
      <w:r>
        <w:t xml:space="preserve"> et </w:t>
      </w:r>
      <w:r>
        <w:rPr>
          <w:i/>
          <w:iCs/>
        </w:rPr>
        <w:t>aa</w:t>
      </w:r>
      <w:r>
        <w:t xml:space="preserve"> de l’article 4. Dans des cas d’importance relevante, le Procureur général peut déférer à la police judiciaire des crimes non prévus à l’article 4, qui, par leur importance, méritent l’investigation de la police judiciaire.</w:t>
      </w:r>
    </w:p>
    <w:p w:rsidR="00000000" w:rsidRDefault="00000000">
      <w:pPr>
        <w:spacing w:after="240"/>
      </w:pPr>
      <w:r>
        <w:t>104.</w:t>
      </w:r>
      <w:r>
        <w:tab/>
        <w:t>Il y a ici une articulation entre les polices ayant pour élément central le Procureur général de la République: lorsque la proximité de l’affaire ou sa simplicité permettent aux polices non judiciaires d’intervenir (dans les cas réservés normalement à la police judiciaire), cette intervention peut être décidée. Dans les cas complexes mais qui ne reviennent pas nécessairement à la police judiciaire, on peut appeler celle-ci à résoudre les questions qui se posent.</w:t>
      </w:r>
    </w:p>
    <w:p w:rsidR="00000000" w:rsidRDefault="00000000">
      <w:pPr>
        <w:spacing w:after="240"/>
      </w:pPr>
      <w:r>
        <w:t>105.</w:t>
      </w:r>
      <w:r>
        <w:tab/>
        <w:t>Aux termes de l’article 7, la coordination des différentes polices revient à un conseil coordinateur, composé des Ministres de la justice et de l’intérieur, du Directeur national de la police judiciaire, du commandant général de la Garde nationale républicaine et du Directeur national de la police de sécurité publique. Le Président du Conseil supérieur de la magistrature et le Procureur général de la République peuvent participer aux réunions chaque fois qu’ils le jugent convenable.</w:t>
      </w:r>
    </w:p>
    <w:p w:rsidR="00000000" w:rsidRDefault="00000000">
      <w:pPr>
        <w:spacing w:after="240"/>
      </w:pPr>
      <w:r>
        <w:t>106.</w:t>
      </w:r>
      <w:r>
        <w:tab/>
        <w:t xml:space="preserve">Le décret-loi </w:t>
      </w:r>
      <w:r>
        <w:rPr>
          <w:rFonts w:eastAsia="MS Mincho"/>
        </w:rPr>
        <w:t>n</w:t>
      </w:r>
      <w:r>
        <w:rPr>
          <w:rFonts w:eastAsia="MS Mincho"/>
          <w:vertAlign w:val="superscript"/>
        </w:rPr>
        <w:t>o</w:t>
      </w:r>
      <w:r>
        <w:t xml:space="preserve"> 275-A/2000, du 9 novembre, approuve la loi organique de la police judiciaire: il s’agit d’un corps supérieur de police criminelle, auxiliaire de l’administration de la justice, organisé de façon hiérarchique dans la dépendance du Ministre de la justice et contrôlé aux termes de la loi. La police judiciaire agit dans le procès sous la direction des autorités judiciaires et dans leur dépendance fonctionnelle, sans préjudice de sa propre organisation hiérarchique.</w:t>
      </w:r>
    </w:p>
    <w:p w:rsidR="00000000" w:rsidRDefault="00000000">
      <w:pPr>
        <w:spacing w:after="240"/>
      </w:pPr>
      <w:r>
        <w:t>107.</w:t>
      </w:r>
      <w:r>
        <w:tab/>
        <w:t>La police judiciaire a une double fonction: celle de coopérer avec les autorités judiciaires dans l’investigation et celle de développer et de promouvoir les actes de prévention et d’investigation de sa compétence ou qui lui sont désignés par les autorités judiciaires compétentes. La fonction de prévention comporte notamment la surveillance de tous les lieux et établissements susceptibles de souffrir des crimes, tels que le trafic de personnes, le blanchiment de capitaux et les crimes qui lui sont antérieurs, le trafic d’œuvres d’art, dont elle a à charge l’investigation lorsqu’ils sont commis (l’article 4 en donne une liste). Quant à la fonction d’investigation, elle concerne les crimes déjà commis (l’article 5 donne une liste semblable à celle qui est donnée par la loi sur l’investigation criminelle mentionnée ci</w:t>
      </w:r>
      <w:r>
        <w:noBreakHyphen/>
        <w:t>dessus) ainsi que les crimes dont l’investigation lui est demandée par les autorités judiciaires.</w:t>
      </w:r>
    </w:p>
    <w:p w:rsidR="00000000" w:rsidRDefault="00000000">
      <w:pPr>
        <w:spacing w:after="240"/>
      </w:pPr>
      <w:r>
        <w:t>108.</w:t>
      </w:r>
      <w:r>
        <w:tab/>
        <w:t>La police judiciaire assure également la liaison des organes et des autorités de police criminelle portugais avec les organisations internationales de coopération de police criminelle, notamment Interpol et Europol. Enfin, elle doit assurer les ressources dans les domaines de la centralisation, du traitement, de l’analyse et de la diffusion, sur le plan national, de l’information relative à la criminalité connue, de l’expertise technico-scientifique et de la formation spécifique adéquate aux attributions de prévention et de recherche criminelles nécessaires à son activité et qui appuient l’action des autres organes de police criminelle.</w:t>
      </w:r>
    </w:p>
    <w:p w:rsidR="00000000" w:rsidRDefault="00000000">
      <w:pPr>
        <w:spacing w:after="240"/>
      </w:pPr>
      <w:r>
        <w:t>109.</w:t>
      </w:r>
      <w:r>
        <w:tab/>
        <w:t>La police judiciaire est également soumise à un devoir de coopération avec toutes les entités avec lesquelles son travail se coordonne. Elle est en droit d’exiger la coopération de toute entité publique ou privée lorsqu’elle motive cette demande (art. 6). Ce devoir prend des contours très nets en ce qui concerne la collaboration des personnes et des entités qui exercent des fonctions de surveillance, de protection et de sécurité des personnes, des biens et des installations publics ou privés, auxquelles incombe un devoir particulier de collaborer avec la police judiciaire.</w:t>
      </w:r>
    </w:p>
    <w:p w:rsidR="00000000" w:rsidRDefault="00000000">
      <w:pPr>
        <w:spacing w:after="240"/>
      </w:pPr>
      <w:r>
        <w:t>110.</w:t>
      </w:r>
      <w:r>
        <w:tab/>
        <w:t>La police judiciaire dispose d’un système intégré d’information criminelle; elle a le droit d’accéder directement à l’information civile et criminelle des fichiers magnétiques d’identification civile et criminelle. Elle prête directement sa collaboration dans l’analyse des demandes de traitement automatique de l’information ayant un intérêt pour la prévention et la recherche criminelle, lorsque cela est effectué par l’Institut des technologies d’information de la justice. La police judiciaire peut accéder, aux termes des normes et des procédures applicables, à l’information d’intérêt criminel contenue dans les fichiers d’autres organismes nationaux et internationaux. L’article 10 de la loi organique prévoit le devoir de comparution de toute personne devant les organes de police judiciaire lorsque dûment notifiée à cet effet.</w:t>
      </w:r>
    </w:p>
    <w:p w:rsidR="00000000" w:rsidRDefault="00000000">
      <w:pPr>
        <w:spacing w:after="240"/>
        <w:jc w:val="center"/>
        <w:rPr>
          <w:i/>
          <w:iCs/>
        </w:rPr>
      </w:pPr>
      <w:r>
        <w:rPr>
          <w:i/>
          <w:iCs/>
        </w:rPr>
        <w:t>2.  Le Code déontologique de la Garde nationale républicaine</w:t>
      </w:r>
      <w:r>
        <w:rPr>
          <w:i/>
          <w:iCs/>
        </w:rPr>
        <w:br/>
        <w:t>et de la police de sécurité publique</w:t>
      </w:r>
    </w:p>
    <w:p w:rsidR="00000000" w:rsidRDefault="00000000">
      <w:pPr>
        <w:spacing w:after="240"/>
      </w:pPr>
      <w:r>
        <w:t>111.</w:t>
      </w:r>
      <w:r>
        <w:tab/>
        <w:t>Le Code déontologique, mesure d’autorégulation, est d’importance dans le cadre de la Convention contre la torture. En effet, prenant sa source dans l’initiative propre de la police − dans ce cas précis, de la Garde nationale républicaine et de la police de sécurité publique −, c’est un geste fort dans l’autocontrôle de l’usage de la force par la police elle-même.</w:t>
      </w:r>
    </w:p>
    <w:p w:rsidR="00000000" w:rsidRDefault="00000000">
      <w:pPr>
        <w:spacing w:after="240"/>
      </w:pPr>
      <w:r>
        <w:t>112.</w:t>
      </w:r>
      <w:r>
        <w:tab/>
        <w:t xml:space="preserve">Le Code déontologique a été publié au Journal officiel, par la résolution du Conseil des ministres </w:t>
      </w:r>
      <w:r>
        <w:rPr>
          <w:rFonts w:eastAsia="MS Mincho"/>
        </w:rPr>
        <w:t>n</w:t>
      </w:r>
      <w:r>
        <w:rPr>
          <w:rFonts w:eastAsia="MS Mincho"/>
          <w:vertAlign w:val="superscript"/>
        </w:rPr>
        <w:t>o</w:t>
      </w:r>
      <w:r>
        <w:t xml:space="preserve"> 37/2002, du 28 février; cette résolution prend note du Code déontologique, charge le Ministère de l’intérieur de procéder à une vaste diffusion et détermine que les cours de formation des membres des forces de police doivent inclure des éléments de déontologie. Le Code consacre des principes d’éthique professionnelle et de comportement qui sont communs à tous les membres des forces de sécurité, éthique qui est une condition indispensable pour un exercice crédible et efficace des services de police.</w:t>
      </w:r>
    </w:p>
    <w:p w:rsidR="00000000" w:rsidRDefault="00000000">
      <w:pPr>
        <w:spacing w:after="240"/>
      </w:pPr>
      <w:r>
        <w:t>113.</w:t>
      </w:r>
      <w:r>
        <w:tab/>
        <w:t>L’article 2, intitulé «Principes fondamentaux», se lit comme suit:</w:t>
      </w:r>
    </w:p>
    <w:p w:rsidR="00000000" w:rsidRDefault="00000000">
      <w:pPr>
        <w:spacing w:after="240"/>
        <w:ind w:left="567" w:firstLine="567"/>
      </w:pPr>
      <w:r>
        <w:t>«1.</w:t>
      </w:r>
      <w:r>
        <w:tab/>
        <w:t>Les membres des forces de sécurité exécutent les devoirs que la loi leur impose, servent l’intérêt public, défendent les institutions démocratiques, protègent toutes les personnes contre des actes illégaux et respectent les droits de l’homme.</w:t>
      </w:r>
    </w:p>
    <w:p w:rsidR="00000000" w:rsidRDefault="00000000">
      <w:pPr>
        <w:spacing w:after="240"/>
        <w:ind w:left="567" w:firstLine="567"/>
      </w:pPr>
      <w:r>
        <w:t>2.</w:t>
      </w:r>
      <w:r>
        <w:tab/>
        <w:t>En tant que fonctionnaires diligents dans l’exécution de la loi, les membres des forces de sécurité cultivent et promeuvent les valeurs de l’humanisme, de la justice, de l’intégrité, de l’honneur, de la dignité, de l’impartialité, de l’exemption, de la probité et de la solidarité.</w:t>
      </w:r>
    </w:p>
    <w:p w:rsidR="00000000" w:rsidRDefault="00000000">
      <w:pPr>
        <w:spacing w:after="240"/>
        <w:ind w:left="567" w:firstLine="567"/>
      </w:pPr>
      <w:r>
        <w:t>3.</w:t>
      </w:r>
      <w:r>
        <w:tab/>
        <w:t>Dans leur action, les membres des forces de sécurité doivent un respect absolu à la Constitution de la République portugaise, à la Déclaration universelle des droits de l’homme, à la Convention européenne des droits de l’homme, à la légalité communautaire, aux conventions internationales, à la loi et au présent Code.</w:t>
      </w:r>
    </w:p>
    <w:p w:rsidR="00000000" w:rsidRDefault="00000000">
      <w:pPr>
        <w:spacing w:after="240"/>
        <w:ind w:left="567" w:firstLine="567"/>
      </w:pPr>
      <w:r>
        <w:t>4.</w:t>
      </w:r>
      <w:r>
        <w:tab/>
        <w:t>Les membres des forces de sécurité qui agissent en accord avec les dispositions du présent Code ont droit à l’appui actif de la communauté qu’ils servent et à leur reconnaissance par l’État.».</w:t>
      </w:r>
    </w:p>
    <w:p w:rsidR="00000000" w:rsidRDefault="00000000">
      <w:pPr>
        <w:spacing w:after="240"/>
      </w:pPr>
      <w:r>
        <w:t>114.</w:t>
      </w:r>
      <w:r>
        <w:tab/>
        <w:t>L’article 3 du Code affirme le respect des droits fondamentaux de la personne humaine:</w:t>
      </w:r>
    </w:p>
    <w:p w:rsidR="00000000" w:rsidRDefault="00000000">
      <w:pPr>
        <w:spacing w:after="240"/>
        <w:ind w:left="567" w:firstLine="573"/>
      </w:pPr>
      <w:r>
        <w:t>«1.</w:t>
      </w:r>
      <w:r>
        <w:tab/>
        <w:t>Dans l’exécution de leur devoir, les membres des forces de sécurité promeuvent, respectent et protègent la dignité humaine, le droit à la vie, à la liberté, à la sécurité et à tous les droits fondamentaux de la personne humaine, quelle que soit sa nationalité ou son origine, sa condition sociale ou ses convictions politiques, religieuses ou philosophiques.</w:t>
      </w:r>
    </w:p>
    <w:p w:rsidR="00000000" w:rsidRDefault="00000000">
      <w:pPr>
        <w:spacing w:after="240"/>
        <w:ind w:left="567" w:firstLine="573"/>
      </w:pPr>
      <w:r>
        <w:t>2.</w:t>
      </w:r>
      <w:r>
        <w:tab/>
        <w:t>En particulier, ils ont le devoir, en aucune circonstance, de ne pas infliger, provoquer ou tolérer des actes cruels, inhumains ou dégradants.».</w:t>
      </w:r>
    </w:p>
    <w:p w:rsidR="00000000" w:rsidRDefault="00000000">
      <w:pPr>
        <w:spacing w:after="240"/>
      </w:pPr>
      <w:r>
        <w:t>115.</w:t>
      </w:r>
      <w:r>
        <w:tab/>
        <w:t>L’article 4 pose le principe du respect des droits fondamentaux de la personne détenue:</w:t>
      </w:r>
    </w:p>
    <w:p w:rsidR="00000000" w:rsidRDefault="00000000">
      <w:pPr>
        <w:spacing w:after="240"/>
        <w:ind w:left="567" w:firstLine="573"/>
      </w:pPr>
      <w:r>
        <w:t>«1.</w:t>
      </w:r>
      <w:r>
        <w:tab/>
        <w:t>Les membres des forces de sécurité ont le devoir spécial d’assurer le respect de la vie, de l’intégrité physique et psychique, de l’honneur et de la dignité des personnes sous leur garde ou sous leurs ordres.</w:t>
      </w:r>
    </w:p>
    <w:p w:rsidR="00000000" w:rsidRDefault="00000000">
      <w:pPr>
        <w:spacing w:after="240"/>
        <w:ind w:left="567" w:firstLine="567"/>
      </w:pPr>
      <w:r>
        <w:t>2.</w:t>
      </w:r>
      <w:r>
        <w:tab/>
        <w:t>Les membres des forces de sécurité doivent veiller à la santé de personnes qui se trouvent sous leur garde et prendre, immédiatement, toutes les mesures pour assurer la prestation des soins médicaux nécessaires.».</w:t>
      </w:r>
    </w:p>
    <w:p w:rsidR="00000000" w:rsidRDefault="00000000">
      <w:pPr>
        <w:spacing w:after="240"/>
      </w:pPr>
      <w:r>
        <w:t>116.</w:t>
      </w:r>
      <w:r>
        <w:tab/>
        <w:t>L’article 7 pose le principe de la correction dans l’action:</w:t>
      </w:r>
    </w:p>
    <w:p w:rsidR="00000000" w:rsidRDefault="00000000">
      <w:pPr>
        <w:spacing w:after="240"/>
        <w:ind w:left="567" w:firstLine="573"/>
      </w:pPr>
      <w:r>
        <w:t>«1.</w:t>
      </w:r>
      <w:r>
        <w:tab/>
        <w:t>Les membres des forces de sécurité doivent agir avec détermination, prudence, tolérance, sérénité, bon sens et autocontrôle dans la résolution des situations qui découlent de leur action professionnelle.</w:t>
      </w:r>
    </w:p>
    <w:p w:rsidR="00000000" w:rsidRDefault="00000000">
      <w:pPr>
        <w:spacing w:after="240"/>
        <w:ind w:left="567" w:firstLine="567"/>
      </w:pPr>
      <w:r>
        <w:t>2.</w:t>
      </w:r>
      <w:r>
        <w:tab/>
        <w:t>Les membres des forces de sécurité doivent se comporter de façon à préserver la confiance, la considération et le prestige inhérents à la fonction de la police, en traitant avec courtoisie tous les citoyens, nationaux, étrangers ou apatrides, promouvant la convivialité et donnant toute l’aide, l’information et les explications qui leurs sont sollicitées dans le domaine de leurs compétences.</w:t>
      </w:r>
    </w:p>
    <w:p w:rsidR="00000000" w:rsidRDefault="00000000">
      <w:pPr>
        <w:spacing w:after="240"/>
        <w:ind w:left="567" w:firstLine="573"/>
      </w:pPr>
      <w:r>
        <w:t>3.</w:t>
      </w:r>
      <w:r>
        <w:tab/>
        <w:t>Les membres des forces de sécurité exercent leur activité selon des critères de justice, d’objectivité, de transparence et de rigueur et agissent et décident promptement, faisant en sorte d’éviter des dommages dans le bien ou l’intérêt juridique à sauvegarder.».</w:t>
      </w:r>
    </w:p>
    <w:p w:rsidR="00000000" w:rsidRDefault="00000000">
      <w:pPr>
        <w:spacing w:after="240"/>
      </w:pPr>
      <w:r>
        <w:t>117.</w:t>
      </w:r>
      <w:r>
        <w:tab/>
        <w:t>Quant à l’article 8, il pose le principe de l’adéquation, de la nécessité et de la proportionnalité dans l’usage de la force:</w:t>
      </w:r>
    </w:p>
    <w:p w:rsidR="00000000" w:rsidRDefault="00000000">
      <w:pPr>
        <w:spacing w:after="240"/>
        <w:ind w:left="567" w:firstLine="567"/>
      </w:pPr>
      <w:r>
        <w:t>«1.</w:t>
      </w:r>
      <w:r>
        <w:tab/>
        <w:t>Les membres des forces de sécurité utilisent les moyens coercitifs adéquats pour faire respecter la légalité et l’ordre, la sécurité et la tranquillité publiques uniquement lorsque ceux-ci se montrent indispensables, nécessaires et suffisants à la bonne exécution de leurs fonctions et lorsque les moyens de persuasion et de dialogue sont épuisés.</w:t>
      </w:r>
    </w:p>
    <w:p w:rsidR="00000000" w:rsidRDefault="00000000">
      <w:pPr>
        <w:spacing w:after="240"/>
        <w:ind w:left="567" w:firstLine="567"/>
      </w:pPr>
      <w:r>
        <w:t>2.</w:t>
      </w:r>
      <w:r>
        <w:tab/>
        <w:t>Les membres des forces de sécurité évitent de recourir à l’usage de la force, sauf dans les cas prévus expressément par la loi, et lorsque celui-ci se montre légitime, strictement nécessaire, adéquat et proportionnel à l’objectif visé.</w:t>
      </w:r>
    </w:p>
    <w:p w:rsidR="00000000" w:rsidRDefault="00000000">
      <w:pPr>
        <w:spacing w:after="240"/>
        <w:ind w:left="567" w:firstLine="573"/>
      </w:pPr>
      <w:r>
        <w:t>3.</w:t>
      </w:r>
      <w:r>
        <w:tab/>
        <w:t>Ils ne doivent, en particulier, recourir à l’usage d’armes à feu, en tant que mesure extrême, que lorsque cela se révèle absolument nécessaire, adéquat, ou qu’un danger pour leur vie existe effectivement, ou pour celle de tiers, et dans tous les cas strictement énumérés par la loi.».</w:t>
      </w:r>
    </w:p>
    <w:p w:rsidR="00000000" w:rsidRDefault="00000000">
      <w:pPr>
        <w:spacing w:after="240"/>
      </w:pPr>
      <w:r>
        <w:t>118.</w:t>
      </w:r>
      <w:r>
        <w:tab/>
        <w:t>Le devoir d’obéissance est également prévu:</w:t>
      </w:r>
    </w:p>
    <w:p w:rsidR="00000000" w:rsidRDefault="00000000">
      <w:pPr>
        <w:spacing w:after="240"/>
        <w:ind w:left="567" w:firstLine="573"/>
      </w:pPr>
      <w:r>
        <w:t>«1.</w:t>
      </w:r>
      <w:r>
        <w:tab/>
        <w:t>Les membres des forces de sécurité exécutent promptement les ordres légitimes et légaux des supérieurs hiérarchiques.</w:t>
      </w:r>
    </w:p>
    <w:p w:rsidR="00000000" w:rsidRDefault="00000000">
      <w:pPr>
        <w:spacing w:after="240"/>
        <w:ind w:left="567" w:firstLine="573"/>
      </w:pPr>
      <w:r>
        <w:t>2.</w:t>
      </w:r>
      <w:r>
        <w:tab/>
        <w:t>L’obéissance que les membres des forces de sécurité doivent à leurs supérieurs ne les exempte pas de la responsabilité pour l’exécution de ces ordres qui constituent, manifestement des violations de la loi.</w:t>
      </w:r>
    </w:p>
    <w:p w:rsidR="00000000" w:rsidRDefault="00000000">
      <w:pPr>
        <w:spacing w:after="240"/>
        <w:ind w:left="567" w:firstLine="567"/>
      </w:pPr>
      <w:r>
        <w:t>3.</w:t>
      </w:r>
      <w:r>
        <w:tab/>
        <w:t>Aucune sanction disciplinaire ne peut être appliquée à un membre des forces de sécurité qui a refusé d’exécuter un ordre illégal et illégitime.».</w:t>
      </w:r>
    </w:p>
    <w:p w:rsidR="00000000" w:rsidRDefault="00000000">
      <w:pPr>
        <w:spacing w:after="240"/>
      </w:pPr>
      <w:r>
        <w:t>119.</w:t>
      </w:r>
      <w:r>
        <w:tab/>
        <w:t>Ce code pose ainsi des principes qui signifient que la police cherche d’elle</w:t>
      </w:r>
      <w:r>
        <w:noBreakHyphen/>
        <w:t>même à limiter son action et à éviter de tomber dans la perpétration d’actes de torture.</w:t>
      </w:r>
    </w:p>
    <w:p w:rsidR="00000000" w:rsidRDefault="00000000">
      <w:pPr>
        <w:keepNext/>
        <w:spacing w:after="240"/>
        <w:jc w:val="center"/>
        <w:rPr>
          <w:i/>
          <w:iCs/>
        </w:rPr>
      </w:pPr>
      <w:r>
        <w:rPr>
          <w:i/>
          <w:iCs/>
        </w:rPr>
        <w:t>3.  L’inspection générale de l’administration intérieure</w:t>
      </w:r>
    </w:p>
    <w:p w:rsidR="00000000" w:rsidRDefault="00000000">
      <w:pPr>
        <w:keepNext/>
        <w:spacing w:after="240"/>
      </w:pPr>
      <w:r>
        <w:t>120.</w:t>
      </w:r>
      <w:r>
        <w:tab/>
        <w:t>Tout ce qui précède révèle qu’il existe un contrôle systématique interne des forces et des autorités chargées de l’application de la loi et de l’appareil judiciaire. Il faut compléter cela par un exposé sur le contrôle extérieur à ces autorités, exercé par l’Inspection générale de l’administration intérieure (IGAI). En plus de ce qui est mentionné ci</w:t>
      </w:r>
      <w:r>
        <w:noBreakHyphen/>
        <w:t xml:space="preserve">dessous, on pourra se référer au site </w:t>
      </w:r>
      <w:hyperlink r:id="rId9" w:history="1">
        <w:r>
          <w:rPr>
            <w:rStyle w:val="Hyperlink"/>
          </w:rPr>
          <w:t>http://www.igai.pt</w:t>
        </w:r>
      </w:hyperlink>
      <w:r>
        <w:t xml:space="preserve">. Créée en 1995 par le décret-loi </w:t>
      </w:r>
      <w:r>
        <w:rPr>
          <w:rFonts w:eastAsia="MS Mincho"/>
        </w:rPr>
        <w:t>n</w:t>
      </w:r>
      <w:r>
        <w:rPr>
          <w:rFonts w:eastAsia="MS Mincho"/>
          <w:vertAlign w:val="superscript"/>
        </w:rPr>
        <w:t>o</w:t>
      </w:r>
      <w:r>
        <w:t xml:space="preserve"> 227/95, du 11 septembre, avec les changements introduits par les décrets-lois </w:t>
      </w:r>
      <w:r>
        <w:rPr>
          <w:rFonts w:eastAsia="MS Mincho"/>
        </w:rPr>
        <w:t>n</w:t>
      </w:r>
      <w:r>
        <w:rPr>
          <w:rFonts w:eastAsia="MS Mincho"/>
          <w:vertAlign w:val="superscript"/>
        </w:rPr>
        <w:t>os</w:t>
      </w:r>
      <w:r>
        <w:t xml:space="preserve"> 154/96 du 31 août, et 3/99 du 4 janvier, l’IGAI est placée sous la dépendance directe du Ministre de l’administration intérieure (art.1). Cela parce que les services et les forces de l’ordre ont été placés, dès 1987, par la loi </w:t>
      </w:r>
      <w:r>
        <w:rPr>
          <w:rFonts w:eastAsia="MS Mincho"/>
        </w:rPr>
        <w:t>n</w:t>
      </w:r>
      <w:r>
        <w:rPr>
          <w:rFonts w:eastAsia="MS Mincho"/>
          <w:vertAlign w:val="superscript"/>
        </w:rPr>
        <w:t>o</w:t>
      </w:r>
      <w:r>
        <w:t xml:space="preserve"> 20/87, du 12 juin, sous la direction de ce ministre. Elle veille à ce que toute activité de sécurité interne soit contrôlée afin d’éviter que ne se commettent des excès.</w:t>
      </w:r>
    </w:p>
    <w:p w:rsidR="00000000" w:rsidRDefault="00000000">
      <w:pPr>
        <w:spacing w:after="240"/>
      </w:pPr>
      <w:r>
        <w:t>a)</w:t>
      </w:r>
      <w:r>
        <w:tab/>
        <w:t>Les compétences de l’Inspection générale</w:t>
      </w:r>
    </w:p>
    <w:p w:rsidR="00000000" w:rsidRDefault="00000000">
      <w:pPr>
        <w:spacing w:after="240"/>
      </w:pPr>
      <w:r>
        <w:t>121.</w:t>
      </w:r>
      <w:r>
        <w:tab/>
        <w:t>Aux termes de l’article 2 du décret-loi, l’IGAI a son siège à Lisbonne et développe son activité d’inspection sur tout le territoire national. Son action comprend tous les services qui dépendent directement du Ministre de l’administration intérieure ou qui sont sous sa tutelle, les préfectures (</w:t>
      </w:r>
      <w:r>
        <w:rPr>
          <w:i/>
          <w:iCs/>
        </w:rPr>
        <w:t>Governos Civis</w:t>
      </w:r>
      <w:r>
        <w:t>), les forces de police (la Garde nationale républicaine – GNR −, la police de sécurité publique – PSP − et le Service des étrangers et des frontières – SEF) et les entités qui exercent des activités de sécurité privée. Son mandat comprend encore, en articulation avec les services compétents du Ministère des affaires étrangères, l’activité des services dépendants du Ministre de l’administration intérieure qui, aux termes des traités, conventions ou protocoles de coopération, est développée en dehors du territoire national.</w:t>
      </w:r>
    </w:p>
    <w:p w:rsidR="00000000" w:rsidRDefault="00000000">
      <w:pPr>
        <w:spacing w:after="240"/>
      </w:pPr>
      <w:r>
        <w:t>122.</w:t>
      </w:r>
      <w:r>
        <w:tab/>
        <w:t>En vertu de l’article 3, l’IGAI veille à l’exécution des lois et des règlements, en ayant en vue le bon fonctionnement des services placés sous la tutelle du Ministre, la défense des intérêts légitimes de citoyens, la sauvegarde de l’intérêt public et la réintégration de la légalité violée. En particulier, l’IGAI apprécie les plaintes présentées en raison d’éventuelles violations de la légalité ou en raison de l’irrégularité ou de la déficience du fonctionnement des services; elle effectue les enquêtes et des expertises déterminées par le Ministre de l’administration intérieure, instaure les procès administratifs, propose l’instruction de procès disciplinaires, communique aux organes compétents pour l’investigation criminelle les faits ayant la pertinence juridico</w:t>
      </w:r>
      <w:r>
        <w:noBreakHyphen/>
        <w:t>pénale dont elle a connaissance, et collabore avec ces entités dans l’obtention des preuves lorsque cela est demandé (al. </w:t>
      </w:r>
      <w:r>
        <w:rPr>
          <w:i/>
          <w:iCs/>
        </w:rPr>
        <w:t>d</w:t>
      </w:r>
      <w:r>
        <w:t xml:space="preserve"> à </w:t>
      </w:r>
      <w:r>
        <w:rPr>
          <w:i/>
          <w:iCs/>
        </w:rPr>
        <w:t>h</w:t>
      </w:r>
      <w:r>
        <w:t xml:space="preserve"> du paragraphe 2 de l’article 3).</w:t>
      </w:r>
    </w:p>
    <w:p w:rsidR="00000000" w:rsidRDefault="00000000">
      <w:pPr>
        <w:spacing w:after="240"/>
      </w:pPr>
      <w:r>
        <w:t>123.</w:t>
      </w:r>
      <w:r>
        <w:tab/>
        <w:t>Ainsi, dans le cadre de son activité d’inspection, de surveillance et d’investigation, il revient à l’Inspection, en particulier:</w:t>
      </w:r>
    </w:p>
    <w:p w:rsidR="00000000" w:rsidRDefault="00000000">
      <w:pPr>
        <w:spacing w:after="240"/>
        <w:ind w:firstLine="567"/>
      </w:pPr>
      <w:r>
        <w:t>a)</w:t>
      </w:r>
      <w:r>
        <w:tab/>
        <w:t>De réaliser des inspections ordinaires et d’utiliser des méthodes d’audit dans le but d’évaluer avec régularité l’efficience et l’efficacité des services placés sous la tutelle du Ministre, en accord avec le plan d’activités idoine;</w:t>
      </w:r>
    </w:p>
    <w:p w:rsidR="00000000" w:rsidRDefault="00000000">
      <w:pPr>
        <w:spacing w:after="240"/>
        <w:ind w:firstLine="567"/>
      </w:pPr>
      <w:r>
        <w:t>b)</w:t>
      </w:r>
      <w:r>
        <w:tab/>
        <w:t>De réaliser des inspections extraordinaires déterminées par ordre supérieur, avec les mêmes objectifs;</w:t>
      </w:r>
    </w:p>
    <w:p w:rsidR="00000000" w:rsidRDefault="00000000">
      <w:pPr>
        <w:spacing w:after="240"/>
        <w:ind w:firstLine="567"/>
      </w:pPr>
      <w:r>
        <w:t>c)</w:t>
      </w:r>
      <w:r>
        <w:tab/>
        <w:t>De contrôler, sans atteinte aux compétences du Conseil de sécurité privée, le fonctionnement des organisations qui développent des activités de sécurité privée, en cas de doute fondé sur la légalité de leur action;</w:t>
      </w:r>
    </w:p>
    <w:p w:rsidR="00000000" w:rsidRDefault="00000000">
      <w:pPr>
        <w:spacing w:after="240"/>
        <w:ind w:firstLine="567"/>
      </w:pPr>
      <w:r>
        <w:t>d)</w:t>
      </w:r>
      <w:r>
        <w:tab/>
        <w:t>D’apprécier les plaintes, les réclamations et les dénonciations présentées pour d’éventuelles violations de la légalité et, en général, les doutes relatifs à l’irrégularité ou la déficience du fonctionnement des services;</w:t>
      </w:r>
    </w:p>
    <w:p w:rsidR="00000000" w:rsidRDefault="00000000">
      <w:pPr>
        <w:spacing w:after="240"/>
        <w:ind w:firstLine="567"/>
      </w:pPr>
      <w:r>
        <w:t>e)</w:t>
      </w:r>
      <w:r>
        <w:tab/>
        <w:t>D’effectuer des enquêtes et des expertises supérieurement déterminées, nécessaires à l’exécution des compétences des services;</w:t>
      </w:r>
    </w:p>
    <w:p w:rsidR="00000000" w:rsidRDefault="00000000">
      <w:pPr>
        <w:spacing w:after="240"/>
      </w:pPr>
      <w:r>
        <w:tab/>
        <w:t>f)</w:t>
      </w:r>
      <w:r>
        <w:tab/>
        <w:t>De proposer l’instruction de procès disciplinaires et d’instruire ceux qui sont déterminés par le Ministre de l’intérieur;</w:t>
      </w:r>
    </w:p>
    <w:p w:rsidR="00000000" w:rsidRDefault="00000000">
      <w:pPr>
        <w:spacing w:after="240"/>
      </w:pPr>
      <w:r>
        <w:tab/>
        <w:t>g)</w:t>
      </w:r>
      <w:r>
        <w:tab/>
        <w:t>De communiquer aux organes compétents pour l’investigation criminelle les faits ayant une pertinence juridico-criminelle et de collaborer avec ces organes dans l’obtention des preuves, chaque fois que cela est demandé;</w:t>
      </w:r>
    </w:p>
    <w:p w:rsidR="00000000" w:rsidRDefault="00000000">
      <w:pPr>
        <w:spacing w:after="240"/>
        <w:ind w:firstLine="567"/>
      </w:pPr>
      <w:r>
        <w:t>h)</w:t>
      </w:r>
      <w:r>
        <w:tab/>
        <w:t>D’exercer d’autres compétences prévues dans la loi ou supérieurement déterminées, dans le cadre de ses attributions.</w:t>
      </w:r>
    </w:p>
    <w:p w:rsidR="00000000" w:rsidRDefault="00000000">
      <w:pPr>
        <w:spacing w:after="240"/>
      </w:pPr>
      <w:r>
        <w:t>124.</w:t>
      </w:r>
      <w:r>
        <w:tab/>
        <w:t xml:space="preserve">En vertu de l’article 3, paragraphe 3 du décret-loi </w:t>
      </w:r>
      <w:r>
        <w:rPr>
          <w:rFonts w:eastAsia="MS Mincho"/>
        </w:rPr>
        <w:t>n</w:t>
      </w:r>
      <w:r>
        <w:rPr>
          <w:rFonts w:eastAsia="MS Mincho"/>
          <w:vertAlign w:val="superscript"/>
        </w:rPr>
        <w:t>o</w:t>
      </w:r>
      <w:r>
        <w:t xml:space="preserve"> 227/95, l’IGAI est notamment chargée, d’une part de recueillir, analyser et interpréter les éléments nécessaires à la préparation des réponses aux demandes d’explications faites par les organisations nationales et internationales de défense et de protection des droits de l’homme, et d’autre part, de réaliser des études et émettre des avis sur toutes les matières relatives à ses attributions.</w:t>
      </w:r>
    </w:p>
    <w:p w:rsidR="00000000" w:rsidRDefault="00000000">
      <w:pPr>
        <w:spacing w:after="240"/>
      </w:pPr>
      <w:r>
        <w:t>125.</w:t>
      </w:r>
      <w:r>
        <w:tab/>
        <w:t>Aux termes de l’article 4, les principes fondamentaux qui régissent l’activité de l’IGAI sont:</w:t>
      </w:r>
    </w:p>
    <w:p w:rsidR="00000000" w:rsidRDefault="00000000">
      <w:pPr>
        <w:spacing w:after="240"/>
        <w:ind w:firstLine="567"/>
      </w:pPr>
      <w:r>
        <w:t>a)</w:t>
      </w:r>
      <w:r>
        <w:tab/>
        <w:t>L’exercice de ses compétences se fait aux termes de la loi et de la Constitution, en défense de la légalité démocratique et dans le respect rigoureux des droits fondamentaux des citoyens;</w:t>
      </w:r>
    </w:p>
    <w:p w:rsidR="00000000" w:rsidRDefault="00000000">
      <w:pPr>
        <w:spacing w:after="240"/>
        <w:ind w:firstLine="567"/>
      </w:pPr>
      <w:r>
        <w:t>b)</w:t>
      </w:r>
      <w:r>
        <w:tab/>
        <w:t>Dans l’exercice des fonctions d’investigation, notamment l’instruction des procès de plainte, d’enquête et disciplinaires, son action est assise sur le principe de la légalité et régie par des critères d’objectivité rigoureux;</w:t>
      </w:r>
    </w:p>
    <w:p w:rsidR="00000000" w:rsidRDefault="00000000">
      <w:pPr>
        <w:spacing w:after="240"/>
        <w:ind w:firstLine="567"/>
      </w:pPr>
      <w:r>
        <w:t>c)</w:t>
      </w:r>
      <w:r>
        <w:tab/>
        <w:t>L’IGAI ne peut s’insérer dans les activités opérationnelles des forces et services de sécurité; elle doit toutefois vérifier le mode par lequel ces activités se réalisent ainsi que les conséquences respectives chaque fois que cela est jugé convenable.</w:t>
      </w:r>
    </w:p>
    <w:p w:rsidR="00000000" w:rsidRDefault="00000000">
      <w:pPr>
        <w:spacing w:after="240"/>
      </w:pPr>
      <w:r>
        <w:t>126.</w:t>
      </w:r>
      <w:r>
        <w:tab/>
        <w:t>L’IGAI est formée par l’Inspecteur général, qui la dirige, le Service d’inspection et de contrôle (qui est chargé notamment des inspections et des procédures disciplinaires et qui comprend également une cellule d’appui technique, qui oriente son action et développe des matériaux de travail, notamment au niveau de la formation et de l’élaboration législative), le Département des affaires internes (qui a, entre autres fonctions, celle de vérifier le bon fonctionnement du Service et de recevoir les plaintes qui sont adressées contre d’éventuels abus de la part de fonctionnaires de l’IGAI), et la Section d’administration et d’appui général.</w:t>
      </w:r>
    </w:p>
    <w:p w:rsidR="00000000" w:rsidRDefault="00000000">
      <w:pPr>
        <w:spacing w:after="240"/>
      </w:pPr>
      <w:r>
        <w:t>127.</w:t>
      </w:r>
      <w:r>
        <w:tab/>
        <w:t>Deviennent inspecteurs les candidats ayant la préparation nécessaire à l’exercice de fonctions dans l’IGAI. Pour les échelons supérieurs de la carrière, des magistrats du siège et du parquet peuvent y accéder, pourvu qu’ils possèdent un certain nombre d’années d’expérience, ce qui renforce la qualité des services de l’IGAI (art. 21). Il n’y a pas de véritable carrière d’inspecteur, il y a la charge d’inspecteur, l’Inspecteur général choisissant les personnes (art. 19), ce qui signifie que la charge est éphémère, les inspecteurs se maintenant, étant intégrés ou partants, selon la qualité de leur action. Il en est de même pour l’Inspecteur général, les éléments du sommet de la hiérarchie de l’IGAI étant des magistrats. Ces critères relatifs au choix du personnel d’inspection renforcent la qualité de l’action de l’IGAI et contribuent à une meilleure action de celle-ci dans le cadre de la défense des droits fondamentaux.</w:t>
      </w:r>
    </w:p>
    <w:p w:rsidR="00000000" w:rsidRDefault="00000000">
      <w:pPr>
        <w:spacing w:after="240"/>
      </w:pPr>
      <w:r>
        <w:t>b)</w:t>
      </w:r>
      <w:r>
        <w:tab/>
        <w:t>Excès des forces de police: action des différentes institutions, dont l’IGAI</w:t>
      </w:r>
    </w:p>
    <w:p w:rsidR="00000000" w:rsidRDefault="00000000">
      <w:pPr>
        <w:spacing w:after="240"/>
      </w:pPr>
      <w:r>
        <w:t>128.</w:t>
      </w:r>
      <w:r>
        <w:tab/>
        <w:t xml:space="preserve">L’activité de l’IGAI peut être vérifiée par ses rapports qui, aux fins du présent texte, couvrent les années 1998, 1999, 2000, 2001, 2002 et 2003. Ainsi, l’activité de l’IGAI a conduit, en 1999, à l’approbation du règlement des conditions matérielles de détention dans les établissements de police, publié au Journal officiel, deuxième série, </w:t>
      </w:r>
      <w:r>
        <w:rPr>
          <w:rFonts w:eastAsia="MS Mincho"/>
        </w:rPr>
        <w:t>n</w:t>
      </w:r>
      <w:r>
        <w:rPr>
          <w:rFonts w:eastAsia="MS Mincho"/>
          <w:vertAlign w:val="superscript"/>
        </w:rPr>
        <w:t>o</w:t>
      </w:r>
      <w:r>
        <w:t> 102, du 3 mai 1999. Ce règlement introduit du fait de l’activité de l’IGAI découle de l’intervention du Ministère de l’Intérieur et vise à régir les conditions de détention dans les locaux des forces qui dépendent de ce Ministère. Aux fins de ce règlement, est détention toute privation de liberté pour une période inférieure à 48 heures, ainsi que la condition dans laquelle se trouve toute personne soumise au processus d’identification obligatoire.</w:t>
      </w:r>
    </w:p>
    <w:p w:rsidR="00000000" w:rsidRDefault="00000000">
      <w:pPr>
        <w:spacing w:after="240"/>
      </w:pPr>
      <w:r>
        <w:t>129.</w:t>
      </w:r>
      <w:r>
        <w:tab/>
        <w:t>Les locaux de détention doivent rassembler de bonnes conditions d’habitabilité, de lumière, d’isolement contre le froid et la chaleur excessifs, être aérés et posséder de bonnes conditions de sécurité. Les cellules doivent se situer, de préférence au rez-de-chaussée, proches des aires de permanence des fonctionnaires de police. Enfin, les locaux de détention doivent être proches du siège du tribunal de la circonscription judiciaire (</w:t>
      </w:r>
      <w:r>
        <w:rPr>
          <w:i/>
          <w:iCs/>
        </w:rPr>
        <w:t>comarca</w:t>
      </w:r>
      <w:r>
        <w:t>).</w:t>
      </w:r>
    </w:p>
    <w:p w:rsidR="00000000" w:rsidRDefault="00000000">
      <w:pPr>
        <w:spacing w:after="240"/>
      </w:pPr>
      <w:r>
        <w:t>130.</w:t>
      </w:r>
      <w:r>
        <w:tab/>
        <w:t>Le principe qui inspire ce règlement est que la personne détenue se trouve placée sous la dépendance de la police.</w:t>
      </w:r>
    </w:p>
    <w:p w:rsidR="00000000" w:rsidRDefault="00000000">
      <w:pPr>
        <w:spacing w:after="240"/>
      </w:pPr>
      <w:r>
        <w:t>131.</w:t>
      </w:r>
      <w:r>
        <w:tab/>
        <w:t>Les personnes soumises au procès d’identification ne peuvent être placées en cellule.</w:t>
      </w:r>
    </w:p>
    <w:p w:rsidR="00000000" w:rsidRDefault="00000000">
      <w:pPr>
        <w:spacing w:after="240"/>
      </w:pPr>
      <w:r>
        <w:t>132.</w:t>
      </w:r>
      <w:r>
        <w:tab/>
        <w:t>Toute personne détenue doit recevoir une brochure contenant l’énoncé de ses droits face à la situation présente. Un procès</w:t>
      </w:r>
      <w:r>
        <w:noBreakHyphen/>
        <w:t>verbal de détention est élaboré, un livre d’enregistrement des détenus et un bulletin individuel de détention existent dans chaque commissariat de police. On consigne dans le livre d’enregistrement l’identification de la personne détenue, le jour et l’heure de la détention et de la présentation à l’autorité judiciaire, l’endroit de la détention, l’identité des fonctionnaires ayant procédé à celle-ci, ainsi que la nature du fait qui a motivé la détention et des circonstances qui l’ont légalement fondé.</w:t>
      </w:r>
    </w:p>
    <w:p w:rsidR="00000000" w:rsidRDefault="00000000">
      <w:pPr>
        <w:spacing w:after="240"/>
      </w:pPr>
      <w:r>
        <w:t>133.</w:t>
      </w:r>
      <w:r>
        <w:tab/>
        <w:t>Le bulletin individuel du détenu contient la description de toutes les circonstances et mesures relatives au détenu, notamment le moment et la cause de la privation de la liberté, le moment de l’information sur ses droits, les marques de blessures, les contacts avec les membres de la famille, les amis, ou l’avocat, les incidents survenus lors de la détention, le moment de la présentation aux autorités judiciaires et celui de la libération du détenu. Ce bulletin est signé par les agents intervenants et par le détenu.</w:t>
      </w:r>
    </w:p>
    <w:p w:rsidR="00000000" w:rsidRDefault="00000000">
      <w:pPr>
        <w:spacing w:after="240"/>
      </w:pPr>
      <w:r>
        <w:t>134.</w:t>
      </w:r>
      <w:r>
        <w:tab/>
        <w:t xml:space="preserve">Outre ce règlement, il faut mentionner l’important arrêté du Ministre de l’administration intérieure </w:t>
      </w:r>
      <w:r>
        <w:rPr>
          <w:rFonts w:eastAsia="MS Mincho"/>
        </w:rPr>
        <w:t>n</w:t>
      </w:r>
      <w:r>
        <w:rPr>
          <w:rFonts w:eastAsia="MS Mincho"/>
          <w:vertAlign w:val="superscript"/>
        </w:rPr>
        <w:t>o</w:t>
      </w:r>
      <w:r>
        <w:t xml:space="preserve"> 8/MAI/98, du 17 janvier; il est reproduit ci</w:t>
      </w:r>
      <w:r>
        <w:noBreakHyphen/>
        <w:t>dessous:</w:t>
      </w:r>
    </w:p>
    <w:p w:rsidR="00000000" w:rsidRDefault="00000000">
      <w:pPr>
        <w:spacing w:after="240"/>
        <w:ind w:left="567" w:firstLine="567"/>
      </w:pPr>
      <w:r>
        <w:t>«Il ressort de renseignements parvenus à la connaissance du Ministère et vérifiés dans des postes de la GNR et des commissariats de la PSP que des agents de l’autorité refusent de recevoir les plaintes déposées par des citoyens sous des prétextes les plus variés, depuis l’invocation de ce qu’ils ne sont pas compétents, jusqu’à l’allégation de ce que la plainte ne conduira à rien et d’autres excuses.</w:t>
      </w:r>
    </w:p>
    <w:p w:rsidR="00000000" w:rsidRDefault="00000000">
      <w:pPr>
        <w:spacing w:after="240"/>
        <w:ind w:left="567" w:firstLine="567"/>
      </w:pPr>
      <w:r>
        <w:t>Un tel comportement met en cause l’image des forces de sécurité et trouve difficilement un appui légal. De ce fait, je détermine:</w:t>
      </w:r>
    </w:p>
    <w:p w:rsidR="00000000" w:rsidRDefault="00000000">
      <w:pPr>
        <w:spacing w:after="240"/>
        <w:ind w:left="567" w:firstLine="567"/>
      </w:pPr>
      <w:r>
        <w:t>1.</w:t>
      </w:r>
      <w:r>
        <w:tab/>
        <w:t>Que dans le cadre de la GNR et de la PSP, il faut toujours recevoir promptement les plaintes des citoyens, dans les postes et les commissariats respectifs, indépendamment de leur nature (criminelle ou non) et de la compétence de l’autorité pour les connaître.</w:t>
      </w:r>
    </w:p>
    <w:p w:rsidR="00000000" w:rsidRDefault="00000000">
      <w:pPr>
        <w:spacing w:after="240"/>
        <w:ind w:left="567" w:firstLine="567"/>
      </w:pPr>
      <w:r>
        <w:t>2.</w:t>
      </w:r>
      <w:r>
        <w:tab/>
        <w:t>Dans les cas où, la plainte reçue, on vérifie que la compétence pour la connaître appartient à une entité étrangère à la force de police, la plainte doit être rapidement envoyée à l’entité compétente, le plaignant en étant informé.</w:t>
      </w:r>
    </w:p>
    <w:p w:rsidR="00000000" w:rsidRDefault="00000000">
      <w:pPr>
        <w:spacing w:after="240"/>
        <w:ind w:firstLine="567"/>
      </w:pPr>
      <w:r>
        <w:t>À Messieurs les commandants généraux de la GNR et de la PSP.</w:t>
      </w:r>
    </w:p>
    <w:p w:rsidR="00000000" w:rsidRDefault="00000000">
      <w:pPr>
        <w:spacing w:after="240"/>
        <w:ind w:left="567"/>
      </w:pPr>
      <w:r>
        <w:t>Lisbonne, le 17 janvier 1998.</w:t>
      </w:r>
      <w:r>
        <w:br/>
        <w:t>Le Ministre de l’administration intérieure.».</w:t>
      </w:r>
    </w:p>
    <w:p w:rsidR="00000000" w:rsidRDefault="00000000">
      <w:pPr>
        <w:spacing w:after="240"/>
      </w:pPr>
      <w:r>
        <w:t>135.</w:t>
      </w:r>
      <w:r>
        <w:tab/>
        <w:t xml:space="preserve">Dans le même ordre d’idées, un autre élément d’importance est l’arrêté </w:t>
      </w:r>
      <w:r>
        <w:rPr>
          <w:rFonts w:eastAsia="MS Mincho"/>
        </w:rPr>
        <w:t>n</w:t>
      </w:r>
      <w:r>
        <w:rPr>
          <w:rFonts w:eastAsia="MS Mincho"/>
          <w:vertAlign w:val="superscript"/>
        </w:rPr>
        <w:t>o</w:t>
      </w:r>
      <w:r>
        <w:t xml:space="preserve"> 10 717/2000 (deuxième série), du 25 mai 2000, du Ministre de l’administration intérieure qui traite des rapports entre les détenus, la police et les avocats:</w:t>
      </w:r>
    </w:p>
    <w:p w:rsidR="00000000" w:rsidRDefault="00000000">
      <w:pPr>
        <w:spacing w:after="240"/>
        <w:ind w:firstLine="567"/>
      </w:pPr>
      <w:r>
        <w:t>a)</w:t>
      </w:r>
      <w:r>
        <w:tab/>
        <w:t>Le prévenu, détenu dans un établissement de police, a le droit de communiquer, oralement ou par écrit, avec son défenseur. Il doit être autorisé à communiquer téléphoniquement avec son défenseur, l’utilisation du téléphone de l’établissement de police devant lui être permise pour une période limitée, lorsqu’il n’existe pas de téléphone public dans les installations du poste ou du commissariat;</w:t>
      </w:r>
    </w:p>
    <w:p w:rsidR="00000000" w:rsidRDefault="00000000">
      <w:pPr>
        <w:spacing w:after="240"/>
        <w:ind w:firstLine="567"/>
      </w:pPr>
      <w:r>
        <w:t>b)</w:t>
      </w:r>
      <w:r>
        <w:tab/>
        <w:t>Les autorisations de visite peuvent être demandées et concédées verbalement;</w:t>
      </w:r>
    </w:p>
    <w:p w:rsidR="00000000" w:rsidRDefault="00000000">
      <w:pPr>
        <w:spacing w:after="240"/>
        <w:ind w:firstLine="567"/>
      </w:pPr>
      <w:r>
        <w:t>c)</w:t>
      </w:r>
      <w:r>
        <w:tab/>
        <w:t>La visite de l’avocat doit être autorisée par l’agent de l’autorité le plus gradé qui, sur le moment, se trouve dans le poste ou dans le commissariat, et peut avoir lieu à toute heure du jour ou de la nuit, immédiatement après la réalisation des diligences imposées par le cas concret et l’élaboration des actes correspondants;</w:t>
      </w:r>
    </w:p>
    <w:p w:rsidR="00000000" w:rsidRDefault="00000000">
      <w:pPr>
        <w:spacing w:after="240"/>
        <w:ind w:firstLine="567"/>
      </w:pPr>
      <w:r>
        <w:t>d)</w:t>
      </w:r>
      <w:r>
        <w:tab/>
        <w:t>Tant que les établissements de police ne sont pas dotés de salles propres à cette fin, on doit donner aux défenseurs toutes les facilités de contacter leurs clients, dans des conditions de dignité et de sécurité. Dans des circonstances exceptionnelles, notamment face au nombre élevé de détenus et au manque de conditions matérielles, il faut adopter les mesures imposées par le cas concret, sans préjudice des normes de sécurité et du bon ordre de l’établissement de police;</w:t>
      </w:r>
    </w:p>
    <w:p w:rsidR="00000000" w:rsidRDefault="00000000">
      <w:pPr>
        <w:spacing w:after="240"/>
        <w:ind w:firstLine="567"/>
      </w:pPr>
      <w:r>
        <w:t>e)</w:t>
      </w:r>
      <w:r>
        <w:tab/>
        <w:t>Aucun contrôle du contenu des textes écrits et autres documents dont le défenseur est porteur n’est effectué;</w:t>
      </w:r>
    </w:p>
    <w:p w:rsidR="00000000" w:rsidRDefault="00000000">
      <w:pPr>
        <w:spacing w:after="240"/>
        <w:ind w:firstLine="567"/>
      </w:pPr>
      <w:r>
        <w:t>f)</w:t>
      </w:r>
      <w:r>
        <w:tab/>
        <w:t>La visite du défenseur a lieu de sorte que les entretiens ne sont pas entendus par la personne chargée de la surveillance;</w:t>
      </w:r>
    </w:p>
    <w:p w:rsidR="00000000" w:rsidRDefault="00000000">
      <w:pPr>
        <w:spacing w:after="240"/>
        <w:ind w:firstLine="567"/>
      </w:pPr>
      <w:r>
        <w:t>g)</w:t>
      </w:r>
      <w:r>
        <w:tab/>
        <w:t>Les visites peuvent être interrompues pour des raisons manifestes de sécurité.</w:t>
      </w:r>
    </w:p>
    <w:p w:rsidR="00000000" w:rsidRDefault="00000000">
      <w:pPr>
        <w:spacing w:after="240"/>
      </w:pPr>
      <w:r>
        <w:t>c)</w:t>
      </w:r>
      <w:r>
        <w:tab/>
        <w:t>Traitement des plaintes et vérification des conditions des locaux de détention</w:t>
      </w:r>
    </w:p>
    <w:p w:rsidR="00000000" w:rsidRDefault="00000000">
      <w:pPr>
        <w:spacing w:after="240"/>
      </w:pPr>
      <w:r>
        <w:t>136.</w:t>
      </w:r>
      <w:r>
        <w:tab/>
        <w:t xml:space="preserve">Il faut mentionner ici, en premier lieu, le règlement </w:t>
      </w:r>
      <w:r>
        <w:rPr>
          <w:rFonts w:eastAsia="MS Mincho"/>
        </w:rPr>
        <w:t>n</w:t>
      </w:r>
      <w:r>
        <w:rPr>
          <w:rFonts w:eastAsia="MS Mincho"/>
          <w:vertAlign w:val="superscript"/>
        </w:rPr>
        <w:t>o</w:t>
      </w:r>
      <w:r>
        <w:t> 10/99 relatif aux mesures d’inspection et de contrôle adopté par arrêté du Ministre de l’administration intérieure du 29 avril 1999. En vertu de l’article premier, les plaintes et autres actes de nature analogue adressés à l’IGAI sont classés sans suite lorsque leurs auteurs ne sont pas identifiés ou lorsqu’ils manquent de fondement. Toutefois, s’ils dénoncent des actes de nature criminelle, leur contenu est immédiatement transmis au ministère public ou à la police judiciaire militaire. Le résultat de la première appréciation d’une plainte est immédiatement transmis à son auteur ainsi qu’aux entités directement intéressées.</w:t>
      </w:r>
    </w:p>
    <w:p w:rsidR="00000000" w:rsidRDefault="00000000">
      <w:pPr>
        <w:spacing w:after="240"/>
      </w:pPr>
      <w:r>
        <w:t>137.</w:t>
      </w:r>
      <w:r>
        <w:tab/>
        <w:t>Aux termes de l’article 2, chaque fois que l’action d’agents de sécurité ou de tout service du ressort de l’IGAI entraîne la violation de biens personnels, notamment le décès ou des atteintes graves à l’intégrité physique, ou qu’il existe des indices d’abus grave de l’autorité ou la lésion de valeurs patrimoniales élevées, les forces ou les services de sécurité doivent immédiatement informer, par télécopie, le Ministre de l’administration intérieure et attendre une décision quant à l’instruction des procès de nature disciplinaire.</w:t>
      </w:r>
    </w:p>
    <w:p w:rsidR="00000000" w:rsidRDefault="00000000">
      <w:pPr>
        <w:spacing w:after="240"/>
      </w:pPr>
      <w:r>
        <w:t>138.</w:t>
      </w:r>
      <w:r>
        <w:tab/>
        <w:t>Il revient à l’Inspecteur général de l’administration intérieure (art. 3) de déterminer les inspections ordinaires, les actions de contrôle et l’instauration des procédures de vérification qu’il juge nécessaires. Les inspections peuvent être générales, sectorielles ou thématiques et sont réalisées en accord avec le plan annuel d’activités ou lorsqu’elles sont déterminées par le Ministre de l’administration intérieure. Il revient à ce dernier de déterminer les inspections extraordinaires, les enquêtes et les procès disciplinaires, ainsi que les inspections atteignant tout un service</w:t>
      </w:r>
      <w:r>
        <w:rPr>
          <w:rStyle w:val="FootnoteReference"/>
        </w:rPr>
        <w:footnoteReference w:customMarkFollows="1" w:id="3"/>
        <w:t>1</w:t>
      </w:r>
      <w:r>
        <w:t>.</w:t>
      </w:r>
    </w:p>
    <w:p w:rsidR="00000000" w:rsidRDefault="00000000">
      <w:pPr>
        <w:spacing w:after="240"/>
      </w:pPr>
      <w:r>
        <w:t>139.</w:t>
      </w:r>
      <w:r>
        <w:tab/>
        <w:t>Aux termes de l’article 5, la décision de procéder à une action d’inspection ou à une vérification relative à un service est communiquée à l’entité visée. Les actions de contrôle, par contre, sont toujours réalisées sans communication préalable à l’entité visée. Celle-ci doit donner tout l’appui nécessaire aux inspecteurs.</w:t>
      </w:r>
    </w:p>
    <w:p w:rsidR="00000000" w:rsidRDefault="00000000">
      <w:pPr>
        <w:spacing w:after="240"/>
      </w:pPr>
      <w:r>
        <w:t>140.</w:t>
      </w:r>
      <w:r>
        <w:tab/>
        <w:t>Aux termes de l’article 8, les pouvoirs des inspecteurs sont d’avoir libre accès aux services, installations, établissements et locaux où s’exercent les activités soumises à l’activité d’inspection et de contrôle de l’IGAI. L’accès des inspecteurs aux installations et leur circulation dans les locaux où les forces de sécurité exercent leur activité se font moyennant une présentation préalable au responsable de rang hiérarchique le plus élevé qui se trouve dans le service et une communication effectuée le plus tôt possible, au chef de la force de sécurité en cause. Les inspecteurs ont un accès illimité à toute documentation, dressent les procès</w:t>
      </w:r>
      <w:r>
        <w:noBreakHyphen/>
        <w:t>verbaux correspondant aux infractions qu’ils vérifient et les communiquent immédiatement à l’Inspecteur général et au chef du service en cas d’infraction de nature criminelle. Les inspecteurs doivent effectuer toutes les diligences de preuve nécessaires à la vérification des faits, demandant notamment aux différentes entités publiques les éléments probatoires pertinents.</w:t>
      </w:r>
    </w:p>
    <w:p w:rsidR="00000000" w:rsidRDefault="00000000">
      <w:pPr>
        <w:spacing w:after="240"/>
      </w:pPr>
      <w:r>
        <w:t>141.</w:t>
      </w:r>
      <w:r>
        <w:tab/>
        <w:t>Dans le cadre d’une action d’inspection, un rapport est rédigé, qui est remis également au chef du service en question qui doit le commenter dans les 20 jours. Cela étant réalisé, un avis de l’Inspecteur général ou de la personne qui le remplace est transmis au Ministre pour l’adoption d’une décision.</w:t>
      </w:r>
    </w:p>
    <w:p w:rsidR="00000000" w:rsidRDefault="00000000">
      <w:pPr>
        <w:spacing w:after="240"/>
      </w:pPr>
      <w:r>
        <w:t>142.</w:t>
      </w:r>
      <w:r>
        <w:tab/>
        <w:t>En application de ce règlement et du règlement des conditions matérielles de détention dans les établissements de police, l’IGAI a conduit, en 1999, une action de vérification de procédures, vu que ce dernier règlement contient une partie relative aux caractéristiques physiques des lieux de détention (surface, disposition, illumination, matériaux, nettoyage, entretien), des normes relatives au traitement des détenus (logement, alimentation, information sur les droits, contacts avec le défenseur, avec des membres de la famille, assistance médicale) et des normes relatives aux procédures à adopter (enregistrement, bulletin, communications).</w:t>
      </w:r>
    </w:p>
    <w:p w:rsidR="00000000" w:rsidRDefault="00000000">
      <w:pPr>
        <w:spacing w:after="240"/>
      </w:pPr>
      <w:r>
        <w:t>143.</w:t>
      </w:r>
      <w:r>
        <w:tab/>
        <w:t>Cette action de vérification a eu un impact pédagogique et de divulgation de ces nouvelles règles et un volet de suivi, dans la partie relative aux déterminations et aux procédures antérieures. Par la même occasion, on a vérifié tous les locaux de détention dont on avait proposé la fermeture.</w:t>
      </w:r>
    </w:p>
    <w:p w:rsidR="00000000" w:rsidRDefault="00000000">
      <w:pPr>
        <w:spacing w:after="240"/>
      </w:pPr>
      <w:r>
        <w:t>144.</w:t>
      </w:r>
      <w:r>
        <w:tab/>
        <w:t>Lors de cette action, 70 locaux (27 de la PSP et 43 de la GNR) ont été visités sans préavis; la conclusion a été positive dans le sens d’une bonne exécution des déterminations antérieures sur l’enregistrement des détentions, un contact effectif du détenu avec son avocat et des membres de sa famille, une assistance clinique, en cas de besoin, au moyen de l’accompagnement du détenu vers un établissement hospitalier, et, enfin, l’enregistrement et la garde d’objets appréhendés et d’objets dangereux.</w:t>
      </w:r>
    </w:p>
    <w:p w:rsidR="00000000" w:rsidRDefault="00000000">
      <w:pPr>
        <w:spacing w:after="240"/>
      </w:pPr>
      <w:r>
        <w:t>145.</w:t>
      </w:r>
      <w:r>
        <w:tab/>
        <w:t>On a également vérifié le respect des nouvelles normes de procédure pénale sur la constitution de la qualité de prévenu, la désignation obligatoire d’un défenseur par les organes de police criminelle (dans les cas de mineurs, de non</w:t>
      </w:r>
      <w:r>
        <w:noBreakHyphen/>
        <w:t>imputabilité, etc.), et de la communication de ses droits au détenu. En ce qui concerne ces garanties, on a observé l’existence de panneaux affichés aux murs contenant l’ensemble des droits et des devoirs du prévenu, ainsi que de brochures d’information sur cette matière en quatre langues, portugais, français, espagnol et anglais. En ce qui concerne les nouvelles normes découlant du règlement des conditions de détention, on a vérifié qu’à cette occasion, elles étaient encore peu connues, l’équipe chargée de la vérification s’étant alors surtout occupée de leur diffusion et de leur explication.</w:t>
      </w:r>
    </w:p>
    <w:p w:rsidR="00000000" w:rsidRDefault="00000000">
      <w:pPr>
        <w:spacing w:after="240"/>
      </w:pPr>
      <w:r>
        <w:t>146.</w:t>
      </w:r>
      <w:r>
        <w:tab/>
        <w:t>Enfin, en ce qui concerne les locaux de détention pour lesquels on avait proposé la fermeture ou une intervention urgente du fait qu’ils ne remplissaient pas les conditions minimales, on a vérifié que seuls quatre locaux n’étaient pas satisfaisants dans les commissariats de la police de sécurité publique de Barcelos, de Vila Nova de Famalicão et de Beja, et dans le poste territorial de la Garde nationale républicaine de Lourinhã.</w:t>
      </w:r>
    </w:p>
    <w:p w:rsidR="00000000" w:rsidRDefault="00000000">
      <w:pPr>
        <w:spacing w:after="240"/>
      </w:pPr>
      <w:r>
        <w:t>147.</w:t>
      </w:r>
      <w:r>
        <w:tab/>
        <w:t>Il faut dire qu’en 1999, le Comité pour la prévention de la torture du Conseil de l’Europe avait visité plusieurs locaux de la police, vérifiant les éléments concernant les droits de l’homme, et qu’il avait noté une amélioration des conditions matérielles de détention et des procédures dans le domaine des détentions, ainsi que du traitement des détenus, par rapport à des visites antérieures (1992 et 1995); il avait aussi ayant souligné le rôle important joué par l’IGAI avec laquelle il a eu une réunion de travail sur sa demande.</w:t>
      </w:r>
    </w:p>
    <w:p w:rsidR="00000000" w:rsidRDefault="00000000">
      <w:pPr>
        <w:spacing w:after="240"/>
      </w:pPr>
      <w:r>
        <w:t>148.</w:t>
      </w:r>
      <w:r>
        <w:tab/>
        <w:t>En 2000, l’IGAI a procédé à des inspections sans préavis des locaux des forces de l’ordre et des forces de sécurité, à n’importe quelle heure et dans tout le pays. Ces actions visaient la connaissance de la situation «sur le moment», notamment en ce qui concerne les procédures, les conditions de détention, le traitement des détenus, l’accueil réservé au public, l’élaboration des pièces de procédure relatives à des faits, les présences, l’encadrement du commandement, tout cela rapporté au moment de la visite.</w:t>
      </w:r>
    </w:p>
    <w:p w:rsidR="00000000" w:rsidRDefault="00000000">
      <w:pPr>
        <w:spacing w:after="240"/>
      </w:pPr>
      <w:r>
        <w:t>149.</w:t>
      </w:r>
      <w:r>
        <w:tab/>
        <w:t xml:space="preserve">Le critère employé a été celui du choix des locaux situés en divers points du pays, y compris les régions autonomes (Açores et Madère) avec un nombre à peu près égal de locaux de chaque force de sécurité, de préférence dans des périodes difficiles, surtout les week-ends. On a ainsi procédé, en 2000, à un ensemble de six inspections, au moyen d’équipes constituées par deux inspecteurs, 62 locaux ayant été visités, dont 28 commissariats de la PSP et 34 postes de la GNR, situés à Madère, en Algarve et dans les districts de Santarém, Leiria, Coimbra, Braga, Guarda, Vila Real et Setúbal. </w:t>
      </w:r>
    </w:p>
    <w:p w:rsidR="00000000" w:rsidRDefault="00000000">
      <w:pPr>
        <w:spacing w:after="240"/>
      </w:pPr>
      <w:r>
        <w:t>150.</w:t>
      </w:r>
      <w:r>
        <w:tab/>
        <w:t>Lors de ces visites, on a observé les faits suivants:</w:t>
      </w:r>
    </w:p>
    <w:p w:rsidR="00000000" w:rsidRDefault="00000000">
      <w:pPr>
        <w:spacing w:after="240"/>
        <w:ind w:firstLine="567"/>
      </w:pPr>
      <w:r>
        <w:t>a)</w:t>
      </w:r>
      <w:r>
        <w:tab/>
        <w:t>Les équipes ont été bien reçues par les éléments des forces de sécurité et leurs responsables, présents dans les lieux visités, nonobstant la nature inopinée des visites;</w:t>
      </w:r>
    </w:p>
    <w:p w:rsidR="00000000" w:rsidRDefault="00000000">
      <w:pPr>
        <w:spacing w:after="240"/>
        <w:ind w:firstLine="567"/>
      </w:pPr>
      <w:r>
        <w:t>b)</w:t>
      </w:r>
      <w:r>
        <w:tab/>
        <w:t>La préoccupation remarquée dans l’exécution des normes en vigueur, notamment celles qui se rapportent aux procédures et aux conditions de détention et d’identification et la sensibilité manifestée en ce qui concerne les droits des citoyens. On a noté l’adoption par la GNR de nouveaux registres, contenant déjà des cases destinées aux divers éléments à consigner, et l’emploi par la PSP, dans les anciens registres, d’une colonne «Observations»;</w:t>
      </w:r>
    </w:p>
    <w:p w:rsidR="00000000" w:rsidRDefault="00000000">
      <w:pPr>
        <w:spacing w:after="240"/>
        <w:ind w:firstLine="567"/>
      </w:pPr>
      <w:r>
        <w:t>c)</w:t>
      </w:r>
      <w:r>
        <w:tab/>
        <w:t>Une grande sensibilité en ce qui concerne l’accueil fait au public et à la recherche de solutions à propos des cas qui méritent d’être traités en privé; parmi les locaux visités, deux postes au moins avaient des salles privées destinées à l’appui aux victimes;</w:t>
      </w:r>
    </w:p>
    <w:p w:rsidR="00000000" w:rsidRDefault="00000000">
      <w:pPr>
        <w:spacing w:after="240"/>
      </w:pPr>
      <w:r>
        <w:tab/>
        <w:t>d)</w:t>
      </w:r>
      <w:r>
        <w:tab/>
        <w:t>Les équipes n’ont pas rencontré de détenus ayant des marques de mauvais traitements ou se plaignant de mauvais traitements, bien que, dans certains locaux visités, elles aient rencontré des détenus;</w:t>
      </w:r>
    </w:p>
    <w:p w:rsidR="00000000" w:rsidRDefault="00000000">
      <w:pPr>
        <w:spacing w:after="240"/>
      </w:pPr>
      <w:r>
        <w:tab/>
        <w:t>e)</w:t>
      </w:r>
      <w:r>
        <w:tab/>
        <w:t>Les plaintes enregistrées dans les livres de réclamations qui existent dans tous les postes ne reflètent pas un manque d’intérêt ou de respect de la part des forces de l’ordre à propos  des exigences et des droits des citoyens; les plaintes portaient généralement sur des différends liés à des mesures et des procès</w:t>
      </w:r>
      <w:r>
        <w:noBreakHyphen/>
        <w:t>verbaux dans le cadre de la régulation du trafic automobile;</w:t>
      </w:r>
    </w:p>
    <w:p w:rsidR="00000000" w:rsidRDefault="00000000">
      <w:pPr>
        <w:spacing w:after="240"/>
        <w:ind w:firstLine="567"/>
      </w:pPr>
      <w:r>
        <w:t>f)</w:t>
      </w:r>
      <w:r>
        <w:tab/>
        <w:t>On a noté, cependant, certains cas de manque d’organisation administrative, d’incorrections ou de ratures non certifiées ou paraphées dans les inscriptions des livres;</w:t>
      </w:r>
    </w:p>
    <w:p w:rsidR="00000000" w:rsidRDefault="00000000">
      <w:pPr>
        <w:spacing w:after="240"/>
        <w:ind w:firstLine="567"/>
      </w:pPr>
      <w:r>
        <w:t>g)</w:t>
      </w:r>
      <w:r>
        <w:tab/>
        <w:t>Des déficiences de diverse nature dans le contrôle des procédures relatives au trafic automobile;</w:t>
      </w:r>
    </w:p>
    <w:p w:rsidR="00000000" w:rsidRDefault="00000000">
      <w:pPr>
        <w:spacing w:after="240"/>
        <w:ind w:firstLine="567"/>
      </w:pPr>
      <w:r>
        <w:t>h)</w:t>
      </w:r>
      <w:r>
        <w:tab/>
        <w:t>Un progrès louable dans l’élimination des boissons alcooliques dans les locaux et la sensibilité du commandement afin d’atteindre cet objectif;</w:t>
      </w:r>
    </w:p>
    <w:p w:rsidR="00000000" w:rsidRDefault="00000000">
      <w:pPr>
        <w:spacing w:after="240"/>
        <w:ind w:firstLine="567"/>
      </w:pPr>
      <w:r>
        <w:t>i)</w:t>
      </w:r>
      <w:r>
        <w:tab/>
        <w:t>Plusieurs locaux, cependant, avaient de mauvaises installations, certains d’entre eux étant en cours d’aménagement ou possédant déjà un projet pour des installations nouvelles.</w:t>
      </w:r>
    </w:p>
    <w:p w:rsidR="00000000" w:rsidRDefault="00000000">
      <w:pPr>
        <w:spacing w:after="240"/>
      </w:pPr>
      <w:r>
        <w:t>151.</w:t>
      </w:r>
      <w:r>
        <w:tab/>
        <w:t>On a vérifié que, d’une façon générale, les cellules étaient conformes aux exigences réglementaires, la fermeture de l’une d’elles ayant cependant été recommandée, des travaux urgents ayant eu lieu dans deux d’entre elles. On a également vérifié l’installation de filets de protection dans divers locaux visités.</w:t>
      </w:r>
    </w:p>
    <w:p w:rsidR="00000000" w:rsidRDefault="00000000">
      <w:pPr>
        <w:spacing w:after="240"/>
      </w:pPr>
      <w:r>
        <w:t>152.</w:t>
      </w:r>
      <w:r>
        <w:tab/>
        <w:t>Tout au long de 2001, l’IGAI a également procédé à des inspections sans préavis des locaux des forces de sécurité, à n’importe quelle heure et dans tout le pays. Ces actions visaient les mêmes objectifs que ceux qui sont énumérés au paragraphe 148 ci</w:t>
      </w:r>
      <w:r>
        <w:noBreakHyphen/>
        <w:t>dessus.</w:t>
      </w:r>
    </w:p>
    <w:p w:rsidR="00000000" w:rsidRDefault="00000000">
      <w:pPr>
        <w:spacing w:after="240"/>
      </w:pPr>
      <w:r>
        <w:t>153.</w:t>
      </w:r>
      <w:r>
        <w:tab/>
        <w:t>Le critère utilisé a été celui du choix de locaux situés en divers points du pays, y compris les régions autonomes (Açores et Madère), avec un nombre à peu près égal de locaux de chaque force de sécurité, de préférence lors des moments les plus difficiles, surtout les week-ends. On a ainsi procédé, tout au long de 2001, à un ensemble de sept inspections au moyen d’équipes constituées par deux inspecteurs, 97 locaux ayant été visités, dont 32 commissariats de la PSP et 25 postes de la GNR situés sur le continent (zones de commandement métropolitaines de Porto et de Lisbonne, des districts de Castelo Branco, de Portalegre, de Viseu, de Chaves et de Bragança) et 28 commissariats de la PSP et 12 unités de la Brigade fiscale intégrées dans les commandements et les détachements fiscaux de Ponta-Delgada, Angra do Heroísmo et Horta.</w:t>
      </w:r>
    </w:p>
    <w:p w:rsidR="00000000" w:rsidRDefault="00000000">
      <w:pPr>
        <w:spacing w:after="240"/>
      </w:pPr>
      <w:r>
        <w:t>154.</w:t>
      </w:r>
      <w:r>
        <w:tab/>
        <w:t>Tout comme en 2000, on a remarqué le bon accueil réservé aux équipes d’inspection et le souci de respecter les normes en vigueur qui ont trait aux procédures et aux conditions de détention et d’identification, ainsi que les droits des citoyens. Cette fois</w:t>
      </w:r>
      <w:r>
        <w:noBreakHyphen/>
        <w:t>ci encore, les équipes n’ont pas rencontré de détenus présentant des marques de mauvais traitements.</w:t>
      </w:r>
    </w:p>
    <w:p w:rsidR="00000000" w:rsidRDefault="00000000">
      <w:pPr>
        <w:spacing w:after="240"/>
      </w:pPr>
      <w:r>
        <w:t>155.</w:t>
      </w:r>
      <w:r>
        <w:tab/>
        <w:t>Par ailleurs, en 2001, la PSP a rédigé une note interne relative à l’adoption de diverses procédures en matière de détention qui concordent avec des propositions de l’IGAI; il faut notamment souligner l’adoption d’un nouveau modèle de registre des détentions, qui contient les différents éléments prévus dans le règlement sur les conditions de détention dans les établissements de police.</w:t>
      </w:r>
    </w:p>
    <w:p w:rsidR="00000000" w:rsidRDefault="00000000">
      <w:pPr>
        <w:spacing w:after="240"/>
      </w:pPr>
      <w:r>
        <w:t>156.</w:t>
      </w:r>
      <w:r>
        <w:tab/>
        <w:t>D’une façon générale, on a pu vérifier que les conditions d’accueil du public ne sont pas satisfaisantes. Pour les cas qui exigent une plus grande discrétion, la recherche et l’emploi d’un espace réservé (en général le bureau du commandant) étaient laissés aux soins et à la sensibilité des agents.</w:t>
      </w:r>
    </w:p>
    <w:p w:rsidR="00000000" w:rsidRDefault="00000000">
      <w:pPr>
        <w:spacing w:after="240"/>
      </w:pPr>
      <w:r>
        <w:t>157.</w:t>
      </w:r>
      <w:r>
        <w:tab/>
        <w:t>En ce qui concerne les conditions des zones de détention visitées, on a vérifié, d’une façon générale, l’existence de zones sans filet de protection et, en ce qui concerne les portes des cellules de la PSP, l’adoption d’un modèle de porte ayant des barres métalliques, non protégées. Ces deux points font cependant l’objet d’une intervention spécifique du Bureau d’études et de planification des installations avec un suivi de la part de l’IGAI. De plus, on a constaté d’autres lacunes dans l’emploi ou la fixation de matériaux (robinets non encastrés, carreaux de faïence coupants, pièces avec des arêtes qui peuvent se révéler dangereuses). Autre critique: certaines zones de détention sont situées dans des locaux différents de ceux des agents en service, rendant difficile une éventuelle demande d’aide. Enfin, il y a eu trois cas d’incompatibilité manifeste avec les prescriptions imposées: les cellules des commissariats de la PSP d’Elvas et des Olivais et celles du poste de la GNR de Castro d’Aire ont fait l’objet d’une proposition de fermeture.</w:t>
      </w:r>
    </w:p>
    <w:p w:rsidR="00000000" w:rsidRDefault="00000000">
      <w:pPr>
        <w:spacing w:after="240"/>
      </w:pPr>
      <w:r>
        <w:t>158.</w:t>
      </w:r>
      <w:r>
        <w:tab/>
        <w:t>La question des zones de détention centrales dans une préfecture s’est posée également dans le commandement métropolitain de Lisbonne. Ces zones sont mentionnées depuis longtemps, du fait qu’elles ne respectent pas les conditions de base malgré les améliorations qui ont été effectuées dans la mesure du possible. Les responsables estiment que la solution passe par la construction d’un nouveau local.</w:t>
      </w:r>
    </w:p>
    <w:p w:rsidR="00000000" w:rsidRDefault="00000000">
      <w:pPr>
        <w:spacing w:after="240"/>
      </w:pPr>
      <w:r>
        <w:t>159.</w:t>
      </w:r>
      <w:r>
        <w:tab/>
        <w:t>En 2002, les mêmes activités préventives d’inspection se sont déroulées dans les mêmes conditions en divers points du pays. Elles visaient les mêmes objectifs que ceux qui sont énumérés au paragraphe 148 ci</w:t>
      </w:r>
      <w:r>
        <w:noBreakHyphen/>
        <w:t>dessous.</w:t>
      </w:r>
    </w:p>
    <w:p w:rsidR="00000000" w:rsidRDefault="00000000">
      <w:pPr>
        <w:spacing w:after="240"/>
      </w:pPr>
      <w:r>
        <w:t>160.</w:t>
      </w:r>
      <w:r>
        <w:tab/>
        <w:t>Cette fois</w:t>
      </w:r>
      <w:r>
        <w:noBreakHyphen/>
        <w:t>ci, l’IGAI a choisi des locaux ou des unités qui n’avaient pas encore fait l’objet d’inspections inopinées ainsi que de nouveaux postes et de nouveaux commissariats. Quatre inspections ont donc été faites par des équipes constituées de deux inspecteurs: 63 locaux ont été visités, dont 23 postes de la GNR et 40 commissariats de la PSP, situés sur le continent (zones de Détachements territoriaux de Abrantes, Torres Novas, Matosinhos, Vila Nova de Gaia, Cantanhede, Beja, Vila Nova de Milfontes, Faro, Loulé, Albufeira et Silves; zones du Commandement métropolitain de Lisbonne et des Commandements de la police de Santarém, de Leiria, de Setúbal et de Beja).</w:t>
      </w:r>
    </w:p>
    <w:p w:rsidR="00000000" w:rsidRDefault="00000000">
      <w:pPr>
        <w:spacing w:after="240"/>
      </w:pPr>
      <w:r>
        <w:t>161.</w:t>
      </w:r>
      <w:r>
        <w:tab/>
        <w:t>Là encore, les aspects positifs ont été le bon accueil réservé aux équipes d’inspection par les forces de sécurité et les responsables présents dans les lieux visités, la bonne connaissance, dans l’ensemble, des normes en vigueur concernant les procédures et les conditions de détention et d’identification et le souci de les appliquer ainsi que la sensibilité manifestée quant au respect des droits des citoyens. En 2002 non plus, aucun détenu rencontré ne montrait des marques de mauvais traitements ni ne se plaignait de sévices quelconques.</w:t>
      </w:r>
    </w:p>
    <w:p w:rsidR="00000000" w:rsidRDefault="00000000">
      <w:pPr>
        <w:spacing w:after="240"/>
      </w:pPr>
      <w:r>
        <w:t>162.</w:t>
      </w:r>
      <w:r>
        <w:tab/>
        <w:t>En ce qui concerne les zones de détention, il faut dire qu’une inspection de l’IGAI ayant détecté un manque de conditions minimales de sécurité dans une zone de détention d’un poste territorial de la GNR à Quarteira, la hiérarchie a été informée, ce qui a conduit à l’interdiction immédiate de la zone, par décision interne. Les améliorations nécessaires ont été effectuées, assurant un niveau de sécurité satisfaisant.</w:t>
      </w:r>
    </w:p>
    <w:p w:rsidR="00000000" w:rsidRDefault="00000000">
      <w:pPr>
        <w:spacing w:after="240"/>
      </w:pPr>
      <w:r>
        <w:t>163.</w:t>
      </w:r>
      <w:r>
        <w:tab/>
        <w:t>Enfin, en 2003, année du dernier rapport de l’IGAI, des inspections identiques aux précédentes ont eu lieu. Il va sans dire que les objectifs étaient identiques à ceux qui sont énumérés au paragraphe 148 ci</w:t>
      </w:r>
      <w:r>
        <w:noBreakHyphen/>
        <w:t>dessus.</w:t>
      </w:r>
    </w:p>
    <w:p w:rsidR="00000000" w:rsidRDefault="00000000">
      <w:pPr>
        <w:spacing w:after="240"/>
      </w:pPr>
      <w:r>
        <w:t>164.</w:t>
      </w:r>
      <w:r>
        <w:tab/>
        <w:t>Les critères utilisés en 2003 ont certes consisté en un choix de locaux situés en divers points du pays mais avec la différence cette fois que quelques unités avaient déjà fait l’objet d’inspections de la part de l’IGAI. Ainsi, 10 inspections ont été faites par des équipes constituées de deux inspecteurs, 137 locaux ayant été visités dont 65 postes de la GNR et 72 commissariats de la PSP, situés sur tout le continent. Ont été inspectés les Groupes territoriaux de Sintra, d’Almada, de Setúbal, de Santarém et celui d’Évora; six Détachements territoriaux ont été visités: Miranda do Douro, Mirandela, Bragança, Póvoa do Lanhoso, Moncorvo et Matosinhos. Le Commandement métropolitain de Porto a été inspecté ainsi que les 11 Commandements de police situés dans les localités suivantes: Leiria, Santarém, Viana do Castelo, Portalegre, Castelo Branco, Guarda, Viseu, Vila Real, Bragança, Braga, Coimbra et Aveiro. Dans les archipels des Açores et de Madère, le Commandement équivalant à un Commandement de police de Horta, le Commandement équivalant à un Commandement de police de Ponta Delgada et le Commandement régional de Madère ont été contrôlés par l’IGAI.</w:t>
      </w:r>
    </w:p>
    <w:p w:rsidR="00000000" w:rsidRDefault="00000000">
      <w:pPr>
        <w:spacing w:after="240"/>
      </w:pPr>
      <w:r>
        <w:t>165.</w:t>
      </w:r>
      <w:r>
        <w:tab/>
        <w:t>Aucune situation de violation de droits fondamentaux des citoyens n’a été détectée notamment en ce qui concerne les détenus ou les personnes conduites aux postes et commissariats dans le but de la réalisation des procédures légales. D’une façon générale, il faut prendre acte du bon accueil réservé aux inspecteurs et de la collaboration des agents, tant en ce qui concerne le fait de montrer la documentation nécessaire aux contrôles, qu’en ce qui concerne les explications fournies.</w:t>
      </w:r>
    </w:p>
    <w:p w:rsidR="00000000" w:rsidRDefault="00000000">
      <w:pPr>
        <w:spacing w:after="240"/>
      </w:pPr>
      <w:r>
        <w:t>166.</w:t>
      </w:r>
      <w:r>
        <w:tab/>
        <w:t>La Direction nationale de la PSP a remis à l’IGAI une circulaire qu’elle a diffusée à tous les commandements et qui contient des normes de procédure relatives au déroulement, à l’enregistrement et aux archives de la procédure – notamment le registre des détenus, les archives des communications envoyées par télécopie à l’autorité judiciaire, le registre des individus conduits aux commissariats, le livre de réclamations, l’informatisation du registre des voitures volées, récupérées et à saisir, le registre des talons des alcootests, la gestion des contraventions et des infractions administratives, les archives des procédures relatives aux infractions administratives et autres registres adoptés. Ces normes satisfont les prescriptions de l’IGAI.</w:t>
      </w:r>
    </w:p>
    <w:p w:rsidR="00000000" w:rsidRDefault="00000000">
      <w:pPr>
        <w:spacing w:after="240"/>
      </w:pPr>
      <w:r>
        <w:t>167.</w:t>
      </w:r>
      <w:r>
        <w:tab/>
        <w:t>La Direction nationale de la PSP a soumis à l’appréciation de l’IGAI un modèle de procès</w:t>
      </w:r>
      <w:r>
        <w:noBreakHyphen/>
        <w:t xml:space="preserve">verbal d’identification. La procédure d’identification ayant soulevé quelques controverses, notamment en ce qui concerne la rédaction actuelle de l’article 250 du Code de procédure pénale et le texte de la loi </w:t>
      </w:r>
      <w:r>
        <w:rPr>
          <w:rFonts w:eastAsia="MS Mincho"/>
        </w:rPr>
        <w:t>n</w:t>
      </w:r>
      <w:r>
        <w:rPr>
          <w:rFonts w:eastAsia="MS Mincho"/>
          <w:vertAlign w:val="superscript"/>
        </w:rPr>
        <w:t>o</w:t>
      </w:r>
      <w:r>
        <w:t> 5/95, du 21 février, un avis a été émis, qui se trouve actuellement à l’étude.</w:t>
      </w:r>
    </w:p>
    <w:p w:rsidR="00000000" w:rsidRDefault="00000000">
      <w:pPr>
        <w:spacing w:after="240"/>
      </w:pPr>
      <w:r>
        <w:t>168.</w:t>
      </w:r>
      <w:r>
        <w:tab/>
        <w:t>Il y a également eu une inspection dans le Détachement fiscal de Sines ainsi qu’une action relative aux postes mixtes de frontière situés sur le territoire national, qui a fini par se restreindre au poste mixte de frontière du ressort du Service des étrangers et des frontières à Vilar Formoso.</w:t>
      </w:r>
    </w:p>
    <w:p w:rsidR="00000000" w:rsidRDefault="00000000">
      <w:pPr>
        <w:spacing w:after="240"/>
      </w:pPr>
      <w:r>
        <w:t>d)</w:t>
      </w:r>
      <w:r>
        <w:tab/>
        <w:t>Plaintes relatives aux forces de l’ordre</w:t>
      </w:r>
    </w:p>
    <w:p w:rsidR="00000000" w:rsidRDefault="00000000">
      <w:pPr>
        <w:spacing w:after="240"/>
      </w:pPr>
      <w:r>
        <w:t>169.</w:t>
      </w:r>
      <w:r>
        <w:tab/>
        <w:t>L’IGAI a également pour mission de traiter les plaintes. Elles sont réparties en deux catégories, A et B (avec B1, B2 et B3).</w:t>
      </w:r>
    </w:p>
    <w:p w:rsidR="00000000" w:rsidRDefault="00000000">
      <w:pPr>
        <w:spacing w:after="240"/>
        <w:ind w:firstLine="567"/>
      </w:pPr>
      <w:r>
        <w:t>a)</w:t>
      </w:r>
      <w:r>
        <w:tab/>
        <w:t xml:space="preserve">La catégorie A concerne les plaintes manifestement mal fondées ou hors de propos et les dénonciations anonymes. Dans ce cas, on décrète, </w:t>
      </w:r>
      <w:r>
        <w:rPr>
          <w:i/>
          <w:iCs/>
        </w:rPr>
        <w:t>in limine</w:t>
      </w:r>
      <w:r>
        <w:t>, la radiation du rôle de l’affaire en en informant le plaignant et en effectuant les communications nécessaires aux entités judiciaires (dans le cas des dénonciations anonymes ayant un intérêt criminel);</w:t>
      </w:r>
    </w:p>
    <w:p w:rsidR="00000000" w:rsidRDefault="00000000">
      <w:pPr>
        <w:spacing w:after="240"/>
      </w:pPr>
      <w:r>
        <w:tab/>
        <w:t>b)</w:t>
      </w:r>
      <w:r>
        <w:tab/>
        <w:t xml:space="preserve">La catégorie B (avec B1, B2 et B3) concerne les plaintes, les dénonciations ou les communications de situations pertinentes et apparemment fondées, de provenance connue. Dans ces cas, le traitement et l’intervention de l’IGAI dépendent de la gravité des valeurs atteintes. En effet, une intervention directe de l’IGAI en termes de recherche et d’instruction est réservée à des cas d’une gravité et d’une pertinence particulières, déterminées de façon générale dans l’article 2 du Règlement des actions d’inspections et de contrôle, approuvé par l’arrêté ministériel du 21 décembre 1998, publié au Journal officiel, deuxième série, </w:t>
      </w:r>
      <w:r>
        <w:rPr>
          <w:rFonts w:eastAsia="MS Mincho"/>
        </w:rPr>
        <w:t>n</w:t>
      </w:r>
      <w:r>
        <w:rPr>
          <w:rFonts w:eastAsia="MS Mincho"/>
          <w:vertAlign w:val="superscript"/>
        </w:rPr>
        <w:t>o</w:t>
      </w:r>
      <w:r>
        <w:t xml:space="preserve"> 106, du 7 mai 1999, c’est</w:t>
      </w:r>
      <w:r>
        <w:noBreakHyphen/>
        <w:t>à</w:t>
      </w:r>
      <w:r>
        <w:noBreakHyphen/>
        <w:t>dire «chaque fois que de l’action des agents de sécurité et des autres services […] résulte pour quelqu’un la violation de biens personnels, notamment le décès ou des atteintes graves à l’intégrité physique, ou qu’il existe des indices d’un grave abus de l’autorité ou la lésion de valeurs patrimoniales élevées». Dans les cas les plus graves (sous</w:t>
      </w:r>
      <w:r>
        <w:noBreakHyphen/>
        <w:t>catégorie B1), l’IGAI procède à une forme de contrôle direct, au moyen de l’instauration et de l’instruction de procès formels avec vérifications, enquêtes ou mesures disciplinaires. La sous</w:t>
      </w:r>
      <w:r>
        <w:noBreakHyphen/>
        <w:t>catégorie B2 concerne les cas de gravité moyenne ou les cas très graves, mais extérieurs au service; l’IGAI procède alors à une forme de contrôle indirect, au moyen de l’instauration d’un procès informel (le procès administratif), qui accompagne les procédures formelles instaurées par les commandements et les directions concernés, ainsi que des procédures de nature criminelle éventuellement instaurées. Enfin, dans les cas de peu de gravité, l’IGAI se borne à envoyer les communications reçues au responsable le plus élevé du service concerné et à informer l’auteur de la plainte de cette mesure.</w:t>
      </w:r>
    </w:p>
    <w:p w:rsidR="00000000" w:rsidRDefault="00000000">
      <w:pPr>
        <w:spacing w:after="240"/>
      </w:pPr>
      <w:r>
        <w:t>170.</w:t>
      </w:r>
      <w:r>
        <w:tab/>
        <w:t xml:space="preserve">L’IGAI présente les données relatives à ces plaintes dans des tableaux qui sont joints en </w:t>
      </w:r>
      <w:r>
        <w:rPr>
          <w:bCs/>
        </w:rPr>
        <w:t>annexe</w:t>
      </w:r>
      <w:r>
        <w:t xml:space="preserve"> et qui peuvent être consultés au secrétariat du Comité contre la torture.</w:t>
      </w:r>
    </w:p>
    <w:p w:rsidR="00000000" w:rsidRDefault="00000000">
      <w:pPr>
        <w:spacing w:after="240"/>
      </w:pPr>
      <w:r>
        <w:t>171.</w:t>
      </w:r>
      <w:r>
        <w:tab/>
        <w:t xml:space="preserve">Une grande partie des faits parvient à la connaissance de l’IGAI au moyen d’une communication effectuée par le ministère public, aux termes de la circulaire de l’Office du Procureur général de la République </w:t>
      </w:r>
      <w:r>
        <w:rPr>
          <w:rFonts w:eastAsia="MS Mincho"/>
        </w:rPr>
        <w:t>n</w:t>
      </w:r>
      <w:r>
        <w:rPr>
          <w:rFonts w:eastAsia="MS Mincho"/>
          <w:vertAlign w:val="superscript"/>
        </w:rPr>
        <w:t>o</w:t>
      </w:r>
      <w:r>
        <w:t xml:space="preserve"> 4/98 du 4 mai.</w:t>
      </w:r>
    </w:p>
    <w:p w:rsidR="00000000" w:rsidRDefault="00000000">
      <w:pPr>
        <w:spacing w:after="240"/>
      </w:pPr>
      <w:r>
        <w:t>e)</w:t>
      </w:r>
      <w:r>
        <w:tab/>
        <w:t>Réglementation de l’usage des armes à feu par la police</w:t>
      </w:r>
    </w:p>
    <w:p w:rsidR="00000000" w:rsidRDefault="00000000">
      <w:pPr>
        <w:spacing w:after="240"/>
      </w:pPr>
      <w:r>
        <w:t>172.</w:t>
      </w:r>
      <w:r>
        <w:tab/>
        <w:t xml:space="preserve">Le texte important ici est le décret-loi </w:t>
      </w:r>
      <w:r>
        <w:rPr>
          <w:rFonts w:eastAsia="MS Mincho"/>
        </w:rPr>
        <w:t>n</w:t>
      </w:r>
      <w:r>
        <w:rPr>
          <w:rFonts w:eastAsia="MS Mincho"/>
          <w:vertAlign w:val="superscript"/>
        </w:rPr>
        <w:t>o</w:t>
      </w:r>
      <w:r>
        <w:t xml:space="preserve"> 457/99, du 5 novembre, qui s’applique aux cas de recours aux armes à feu par la police. Sont «agents de police» toutes les entités et les personnes définies par le Code de procédure pénale en tant qu’organes et autorités de la police criminelle qui sont autorisés à utiliser une arme à feu en accord avec leur statut légal.</w:t>
      </w:r>
    </w:p>
    <w:p w:rsidR="00000000" w:rsidRDefault="00000000">
      <w:pPr>
        <w:spacing w:after="240"/>
      </w:pPr>
      <w:r>
        <w:t>173.</w:t>
      </w:r>
      <w:r>
        <w:tab/>
        <w:t>L’article 2 du décret-loi établit les principes de la nécessité et de la proportionnalité. Ainsi, le paragraphe 1 stipule que «le recours à une arme à feu n’est permis qu’en cas de besoin absolu, en tant que mesure extrême, lorsque d’autres moyens moins dangereux se révèlent inefficaces, et dès qu’il est proportionné aux circonstances». Au paragraphe 2 on lit que «dans ce cas, l’agent doit s’efforcer à réduire au minimum les lésions et les dommages et respecter et préserver la vie humaine».</w:t>
      </w:r>
    </w:p>
    <w:p w:rsidR="00000000" w:rsidRDefault="00000000">
      <w:pPr>
        <w:spacing w:after="240"/>
      </w:pPr>
      <w:r>
        <w:t>174.</w:t>
      </w:r>
      <w:r>
        <w:tab/>
        <w:t>Ce décret-loi suit expressément les textes internationaux qui régissent cette matière, en particulier le Code de conduite pour les responsables de l’application des lois adopté par l’Assemblée générale des Nations Unies, dans sa résolution 34/169 du 17 décembre 1979. L’article 3 du Code de conduite stipule que les responsables de l’application des lois peuvent recourir à la force seulement lorsque cela est strictement nécessaire et dans la mesure exigée par l’accomplissement de leurs fonctions.</w:t>
      </w:r>
    </w:p>
    <w:p w:rsidR="00000000" w:rsidRDefault="00000000">
      <w:pPr>
        <w:spacing w:after="240"/>
      </w:pPr>
      <w:r>
        <w:t>175.</w:t>
      </w:r>
      <w:r>
        <w:tab/>
        <w:t>Aux termes de l’article 3 du décret</w:t>
      </w:r>
      <w:r>
        <w:noBreakHyphen/>
        <w:t>loi, le recours à une arme à feu – dans le cadre des principes posés à l’article 2 qui viennent d’être cités − n’est permis que pour:</w:t>
      </w:r>
    </w:p>
    <w:p w:rsidR="00000000" w:rsidRDefault="00000000">
      <w:pPr>
        <w:spacing w:after="240"/>
        <w:ind w:firstLine="567"/>
      </w:pPr>
      <w:r>
        <w:t>a)</w:t>
      </w:r>
      <w:r>
        <w:tab/>
        <w:t>Écarter une agression actuelle et illicite dirigée contre l’agent de l’autorité ou contre des tiers;</w:t>
      </w:r>
    </w:p>
    <w:p w:rsidR="00000000" w:rsidRDefault="00000000">
      <w:pPr>
        <w:spacing w:after="240"/>
      </w:pPr>
      <w:r>
        <w:tab/>
        <w:t>b)</w:t>
      </w:r>
      <w:r>
        <w:tab/>
        <w:t>Effectuer la capture ou empêcher la fuite d’une personne suspecte d’avoir commis un crime passible d’une peine de prison supérieure à trois ans, ou qui fait usage ou dispose d’armes à feu, d’armes blanches ou d’engins ou de substances explosives, radioactives ou propres à la fabrication de gaz toxiques ou asphyxiants;</w:t>
      </w:r>
    </w:p>
    <w:p w:rsidR="00000000" w:rsidRDefault="00000000">
      <w:pPr>
        <w:spacing w:after="240"/>
      </w:pPr>
      <w:r>
        <w:tab/>
        <w:t>c)</w:t>
      </w:r>
      <w:r>
        <w:tab/>
        <w:t>Effectuer la détention d’une personne évadée ou destinataire d’un mandat de détention ou pour empêcher la fuite d’une personne régulièrement détenue;</w:t>
      </w:r>
    </w:p>
    <w:p w:rsidR="00000000" w:rsidRDefault="00000000">
      <w:pPr>
        <w:spacing w:after="240"/>
      </w:pPr>
      <w:r>
        <w:tab/>
        <w:t>d)</w:t>
      </w:r>
      <w:r>
        <w:tab/>
        <w:t>Libérer des otages ou des personnes enlevées ou séquestrées;</w:t>
      </w:r>
    </w:p>
    <w:p w:rsidR="00000000" w:rsidRDefault="00000000">
      <w:pPr>
        <w:spacing w:after="240"/>
      </w:pPr>
      <w:r>
        <w:tab/>
        <w:t>e)</w:t>
      </w:r>
      <w:r>
        <w:tab/>
        <w:t>Pour éviter ou empêcher un grave attentat contre des installations de l’État ou d’utilité publique ou sociale ou contre un aéronef, un navire, un train, un véhicule de transport en commun de passagers ou un véhicule de transport de marchandises dangereuses;</w:t>
      </w:r>
    </w:p>
    <w:p w:rsidR="00000000" w:rsidRDefault="00000000">
      <w:pPr>
        <w:spacing w:after="240"/>
      </w:pPr>
      <w:r>
        <w:tab/>
        <w:t>f)</w:t>
      </w:r>
      <w:r>
        <w:tab/>
        <w:t>Pour vaincre la résistance violente à l’exécution d’un service dans l’exercice de ses fonctions et maintenir l’autorité après avoir adressé aux résistants une sommation univoque dans le sens de l’obéissance et après avoir épuisé tous les autres moyens possibles pour le faire;</w:t>
      </w:r>
    </w:p>
    <w:p w:rsidR="00000000" w:rsidRDefault="00000000">
      <w:pPr>
        <w:spacing w:after="240"/>
        <w:ind w:firstLine="567"/>
      </w:pPr>
      <w:r>
        <w:t>g)</w:t>
      </w:r>
      <w:r>
        <w:tab/>
        <w:t>Pour l’abattage d’animaux qui mettent en danger des personnes ou des biens ou qui, étant grièvement blessés, ne peuvent être assistés avec succès;</w:t>
      </w:r>
    </w:p>
    <w:p w:rsidR="00000000" w:rsidRDefault="00000000">
      <w:pPr>
        <w:spacing w:after="240"/>
        <w:ind w:firstLine="567"/>
      </w:pPr>
      <w:r>
        <w:t>h)</w:t>
      </w:r>
      <w:r>
        <w:tab/>
        <w:t>Comme moyen d’alarme ou demande de secours, dans une situation d’urgence, lorsque d’autres moyens ne peuvent être utilisés avec la même finalité;</w:t>
      </w:r>
    </w:p>
    <w:p w:rsidR="00000000" w:rsidRDefault="00000000">
      <w:pPr>
        <w:spacing w:after="240"/>
        <w:ind w:firstLine="567"/>
      </w:pPr>
      <w:r>
        <w:t>i)</w:t>
      </w:r>
      <w:r>
        <w:tab/>
        <w:t>Lorsque le maintien de l’ordre public l’exige ou les supérieurs de l’agent le déterminent avec la même finalité.</w:t>
      </w:r>
    </w:p>
    <w:p w:rsidR="00000000" w:rsidRDefault="00000000">
      <w:pPr>
        <w:spacing w:after="240"/>
      </w:pPr>
      <w:r>
        <w:t>176.</w:t>
      </w:r>
      <w:r>
        <w:tab/>
        <w:t>Aux termes du paragraphe 2 de l’article 3 du décret</w:t>
      </w:r>
      <w:r>
        <w:noBreakHyphen/>
        <w:t>loi, le recours à des armes à feu contre des personnes n’est permis que lorsque, cumulativement, la finalité respective ne peut être atteinte qu’au moyen d’une arme à feu conformément au paragraphe 1, et lorsque se vérifie obligatoirement l’une des circonstances suivantes:</w:t>
      </w:r>
    </w:p>
    <w:p w:rsidR="00000000" w:rsidRDefault="00000000">
      <w:pPr>
        <w:spacing w:after="240"/>
      </w:pPr>
      <w:r>
        <w:tab/>
        <w:t>a)</w:t>
      </w:r>
      <w:r>
        <w:tab/>
        <w:t>Écarter l’agression actuelle illicite adressée contre l’agent ou des tiers, s’il y a danger imminent de mort ou atteinte grave à l’intégrité physique;</w:t>
      </w:r>
    </w:p>
    <w:p w:rsidR="00000000" w:rsidRDefault="00000000">
      <w:pPr>
        <w:spacing w:after="240"/>
      </w:pPr>
      <w:r>
        <w:tab/>
        <w:t>b)</w:t>
      </w:r>
      <w:r>
        <w:tab/>
        <w:t>Prévenir la perpétration d’un crime particulièrement grave qui menace des vies humaines;</w:t>
      </w:r>
    </w:p>
    <w:p w:rsidR="00000000" w:rsidRDefault="00000000">
      <w:pPr>
        <w:spacing w:after="240"/>
        <w:ind w:firstLine="567"/>
      </w:pPr>
      <w:r>
        <w:t>c)</w:t>
      </w:r>
      <w:r>
        <w:tab/>
        <w:t>Procéder à la détention d’une personne qui représente cette menace et qui résiste à l’autorité ou empêcher sa fuite;</w:t>
      </w:r>
    </w:p>
    <w:p w:rsidR="00000000" w:rsidRDefault="00000000">
      <w:pPr>
        <w:spacing w:after="240"/>
      </w:pPr>
      <w:r>
        <w:t>177.</w:t>
      </w:r>
      <w:r>
        <w:tab/>
        <w:t>Aux termes du paragraphe 3, lorsque l’usage de l’arme à feu n’est pas permis, personne ne peut être intimidé au moyen de l’usage d’une arme à feu. De plus, aux termes du paragraphe 4, le recours à une arme à feu n’est permis que s’il est improbable que, par delà la personne visée ou les personnes visées, aucune autre personne ne sera atteinte.</w:t>
      </w:r>
    </w:p>
    <w:p w:rsidR="00000000" w:rsidRDefault="00000000">
      <w:pPr>
        <w:spacing w:after="240"/>
      </w:pPr>
      <w:r>
        <w:t>178.</w:t>
      </w:r>
      <w:r>
        <w:tab/>
        <w:t>L’article 4 prévoit la sommation en ces termes:</w:t>
      </w:r>
    </w:p>
    <w:p w:rsidR="00000000" w:rsidRDefault="00000000">
      <w:pPr>
        <w:spacing w:after="240"/>
        <w:ind w:left="570" w:firstLine="564"/>
      </w:pPr>
      <w:r>
        <w:t>«1.</w:t>
      </w:r>
      <w:r>
        <w:tab/>
        <w:t>Le recours à une arme à feu doit être précédé d’une sommation clairement perceptible, chaque fois que la nature du service ou les circonstances le permettent.</w:t>
      </w:r>
    </w:p>
    <w:p w:rsidR="00000000" w:rsidRDefault="00000000">
      <w:pPr>
        <w:spacing w:after="240"/>
        <w:ind w:left="567" w:firstLine="573"/>
      </w:pPr>
      <w:r>
        <w:t>2.</w:t>
      </w:r>
      <w:r>
        <w:tab/>
        <w:t>La sommation peut consister en un coup de feu en l’air, pourvu que l’on puisse supposer que personne ne sera atteint et qu’une sommation ou un avis effectué d’une autre façon puisse ne pas être clair et immédiatement perceptible.</w:t>
      </w:r>
    </w:p>
    <w:p w:rsidR="00000000" w:rsidRDefault="00000000">
      <w:pPr>
        <w:spacing w:after="240"/>
      </w:pPr>
      <w:r>
        <w:tab/>
      </w:r>
      <w:r>
        <w:tab/>
        <w:t>3.</w:t>
      </w:r>
      <w:r>
        <w:tab/>
        <w:t>S’agissant d’un rassemblement de personnes, la sommation doit être répétée.».</w:t>
      </w:r>
    </w:p>
    <w:p w:rsidR="00000000" w:rsidRDefault="00000000">
      <w:pPr>
        <w:spacing w:after="240"/>
      </w:pPr>
      <w:r>
        <w:t>179.</w:t>
      </w:r>
      <w:r>
        <w:tab/>
        <w:t>Aux termes de l’article 5, le recours à une arme à feu est effectué en accord avec les instructions du commandant de la force, sauf si l’agent est isolé ou face à des circonstances qui l’empêchent absolument d’attendre les instructions. L’article 6 impose le devoir de secours: l’agent qui a utilisé une arme à feu est obligé de secourir les blessés dès que cela est possible.</w:t>
      </w:r>
    </w:p>
    <w:p w:rsidR="00000000" w:rsidRDefault="00000000">
      <w:pPr>
        <w:spacing w:after="240"/>
      </w:pPr>
      <w:r>
        <w:t>180.</w:t>
      </w:r>
      <w:r>
        <w:tab/>
        <w:t>L’article 7 impose le devoir de présenter un rapport. L’usage d’une arme à feu est immédiatement communiqué aux supérieurs hiérarchiques, suivi d’un rapport écrit. En cas de dommages personnels ou patrimoniaux, le supérieur hiérarchique informe le ministère public qui détermine s’il faut prendre une mesure et laquelle. Le supérieur note sa position sur la question, remettant le tout, par écrit, au ministère public. L’agent ou la force de police impliqué doit préserver l’endroit où les tirs ont été effectués afin d’empêcher que les vestiges s’effacent, et procéder à leur examen immédiat au cas où il craindrait leur changement ou leur disparition.</w:t>
      </w:r>
    </w:p>
    <w:p w:rsidR="00000000" w:rsidRDefault="00000000">
      <w:pPr>
        <w:spacing w:after="240"/>
      </w:pPr>
      <w:r>
        <w:t>181.</w:t>
      </w:r>
      <w:r>
        <w:tab/>
        <w:t>Lorsque l’usage d’une arme à feu forme l’élément d’un crime, on applique à toute règle de l’autorité et aux organes de la police criminelle les règles du Code de procédure pénale relatives aux moyens d’obtention de preuve et aux mesures de précaution et de police.</w:t>
      </w:r>
    </w:p>
    <w:p w:rsidR="00000000" w:rsidRDefault="00000000">
      <w:pPr>
        <w:spacing w:after="240"/>
      </w:pPr>
      <w:r>
        <w:t>182.</w:t>
      </w:r>
      <w:r>
        <w:tab/>
        <w:t>Ces règles, aux termes de l’article 8, s’appliquent, avec les adaptations nécessaires, aux explosifs.</w:t>
      </w:r>
    </w:p>
    <w:p w:rsidR="00000000" w:rsidRDefault="00000000">
      <w:pPr>
        <w:spacing w:after="240"/>
      </w:pPr>
      <w:r>
        <w:t>183.</w:t>
      </w:r>
      <w:r>
        <w:tab/>
        <w:t>Il faut noter, et cela a été présent dans les travaux préparatoires de ce décret-loi</w:t>
      </w:r>
      <w:r>
        <w:rPr>
          <w:rStyle w:val="FootnoteReference"/>
        </w:rPr>
        <w:footnoteReference w:customMarkFollows="1" w:id="4"/>
        <w:t>2</w:t>
      </w:r>
      <w:r>
        <w:t xml:space="preserve"> que le Gouvernement portugais a suivi à la lettre les recommandations contenues dans les textes internationaux, notamment le Code de conduite déjà mentionné ci</w:t>
      </w:r>
      <w:r>
        <w:noBreakHyphen/>
        <w:t>dessus, les Principes directeurs en vue d’une application efficace du Code de conduite pour les responsables de l’application des lois, et en particulier les principes de base sur le recours à la force et l’utilisation des armes à feu par les responsables de l’application des lois adoptés par le huitième Congrès des Nations Unies pour la prévention du crime et le traitement des délinquants (1990).</w:t>
      </w:r>
    </w:p>
    <w:p w:rsidR="00000000" w:rsidRDefault="00000000">
      <w:pPr>
        <w:spacing w:after="240"/>
      </w:pPr>
      <w:r>
        <w:t>184.</w:t>
      </w:r>
      <w:r>
        <w:tab/>
        <w:t>Il faut dire que tant la GNR que la PSP ont des règlements internes qui régissent l’usage de moyens coercitifs, en particulier d’armes à feu, par les agents de la police.</w:t>
      </w:r>
    </w:p>
    <w:p w:rsidR="00000000" w:rsidRDefault="00000000">
      <w:pPr>
        <w:spacing w:after="240"/>
      </w:pPr>
      <w:r>
        <w:t>185.</w:t>
      </w:r>
      <w:r>
        <w:tab/>
        <w:t>Il faut aussi ajouter qu’il est prescrit d’élaborer un rapport et de réaliser systématiquement une enquête lorsque l’usage d’une arme à feu par un agent de la police a entraîné un décès ou une lésion corporelle d’une personne. Des inspections systématiques, sans préavis, ont lieu à toute heure du jour ou de la nuit, dans les postes de police de tout le territoire continental et des îles dans le but notamment de vérifier la bonne exécution de la loi en ce qui concerne les détenus (enregistrement, communications au ministère public, conditions sanitaires, assistance médicale, etc.) ainsi que des lieux de détention, comme il vient d’être dit (il s’agit des visites organisées par l’IGAI). Il y a également diffusion d’affiches, en des lieux visibles de tous les postes, en diverses langues, ainsi que l’énumération des droits et des devoirs de tous les détenus; on vérifie aussi l’exécution des dispositions qui assurent au détenu le droit d’être assisté, en privé par un avocat, à bénéficier de soins médicaux et d’avoir un interprète. Enfin, on installe progressivement, en respectant les dispositions légales en matière de protection des données personnelles, des dispositifs de surveillance audio et vidéo, à l’intérieur et à l’extérieur des postes de police, dont les enregistrements sont écoutés et visionnés.</w:t>
      </w:r>
    </w:p>
    <w:p w:rsidR="00000000" w:rsidRDefault="00000000">
      <w:pPr>
        <w:spacing w:after="240"/>
      </w:pPr>
      <w:r>
        <w:t>186.</w:t>
      </w:r>
      <w:r>
        <w:tab/>
        <w:t>Les autorités encouragent systématiquement les meilleures pratiques en ce qui concerne la garantie des droits de l’homme et l’élimination des mauvais traitements par la police, au moyen des outils et matériels disponibles (formation initiale et permanente, tant théorique que pratique; organisation de séminaires, diffusion de divers textes et manuels provenant d’organisations internationales traitant par exemple de la formation dans le domaine des droits de l’homme et des droits de l’homme et l’application de la loi).</w:t>
      </w:r>
    </w:p>
    <w:p w:rsidR="00000000" w:rsidRDefault="00000000">
      <w:pPr>
        <w:spacing w:after="240"/>
      </w:pPr>
      <w:r>
        <w:t>187.</w:t>
      </w:r>
      <w:r>
        <w:tab/>
        <w:t>Toutes les institutions de formation des forces de police prévoient, dans leurs programmes, une formation aux droits de l’homme avec une forte incidence sur l’usage modéré des armes à feu. La formation est administrée à tous les niveaux: pour l’accès et pour la promotion; à des officiers et à des agents; de nature initiale et permanente, théorique et pratique, à dominante juridique, sociologique ou politique. La charge horaire de la formation varie entre 15 et 30 heures.</w:t>
      </w:r>
    </w:p>
    <w:p w:rsidR="00000000" w:rsidRDefault="00000000">
      <w:pPr>
        <w:spacing w:after="240"/>
      </w:pPr>
      <w:r>
        <w:t>188.</w:t>
      </w:r>
      <w:r>
        <w:tab/>
        <w:t>Le Service des étrangers et des frontières, tant dans le cadre de la formation initiale (administration d’un cours de 10 heures d’anthropologie culturelle, destiné à fournir des éléments de compréhension de la différence culturelle et à prévenir des attitudes racistes et xénophobes), que dans le cadre de la formation permanente (participation à des séminaires), a traité de l’interdiction de la torture, des mauvais traitements et de la discrimination raciale.</w:t>
      </w:r>
    </w:p>
    <w:p w:rsidR="00000000" w:rsidRDefault="00000000">
      <w:pPr>
        <w:spacing w:after="240"/>
      </w:pPr>
      <w:r>
        <w:t>189.</w:t>
      </w:r>
      <w:r>
        <w:tab/>
        <w:t xml:space="preserve">Le Conseil consultatif pour la formation des forces et des services de sécurité, créé par la résolution du Conseil des ministres </w:t>
      </w:r>
      <w:r>
        <w:rPr>
          <w:rFonts w:eastAsia="MS Mincho"/>
        </w:rPr>
        <w:t>n</w:t>
      </w:r>
      <w:r>
        <w:rPr>
          <w:rFonts w:eastAsia="MS Mincho"/>
          <w:vertAlign w:val="superscript"/>
        </w:rPr>
        <w:t>o</w:t>
      </w:r>
      <w:r>
        <w:t xml:space="preserve"> 78/98, du 7 juin, est un organe d’appui et de consultation du Ministre de l’administration intérieure auquel il revient de se prononcer sur toutes les matières en rapport avec la formation des forces et des services de sécurité. Dans le cadre de ses réalisations, il convient de mentionner la formation directe et à distance dans les domaines suivants: armes à feu, interdiction de la torture, mauvais traitements et discrimination raciale, immigration et minorités ethniques. Le Conseil consultatif a organisé, en partenariat avec le Haut</w:t>
      </w:r>
      <w:r>
        <w:noBreakHyphen/>
        <w:t>Commissaire à l’immigration et aux minorités ethniques, des rencontres sur la «Médiation policière auprès des minorités ethniques», auxquelles 400 membres de la police de sécurité publique et de la Garde nationale républicaine ont déjà participé.</w:t>
      </w:r>
    </w:p>
    <w:p w:rsidR="00000000" w:rsidRDefault="00000000">
      <w:pPr>
        <w:spacing w:after="240"/>
      </w:pPr>
      <w:r>
        <w:t>190.</w:t>
      </w:r>
      <w:r>
        <w:tab/>
        <w:t>La police de sécurité publique, dans le cadre de la formation continue, a lancé en 2003 une nouvelle modalité de formation permanente: un cours d’une durée approximative de 70 heures, déjà suivi par environ 7 000 policiers et agents, dans lequel est administrée une instruction au tir, aux techniques d’intervention policière et à l’emploi de moyens non létaux. Ce cours traite également des circonstances dans lesquelles les différents moyens coercitifs peuvent être employés.</w:t>
      </w:r>
    </w:p>
    <w:p w:rsidR="00000000" w:rsidRDefault="00000000">
      <w:pPr>
        <w:spacing w:after="240"/>
      </w:pPr>
      <w:r>
        <w:t>191.</w:t>
      </w:r>
      <w:r>
        <w:tab/>
        <w:t>La Garde nationale républicaine, elle, dans le cadre de la formation continue, traite de l’éthique professionnelle (notamment le module portant sur les droits fondamentaux) et de l’environnement social (notamment le module consacré aux immigrants et aux minorités ethniques).</w:t>
      </w:r>
    </w:p>
    <w:p w:rsidR="00000000" w:rsidRDefault="00000000">
      <w:pPr>
        <w:spacing w:after="240"/>
        <w:jc w:val="center"/>
        <w:rPr>
          <w:b/>
          <w:bCs/>
        </w:rPr>
      </w:pPr>
      <w:r>
        <w:rPr>
          <w:b/>
          <w:bCs/>
        </w:rPr>
        <w:t>E.  Abus commis par les forces de l’ordre: données</w:t>
      </w:r>
      <w:r>
        <w:rPr>
          <w:b/>
          <w:bCs/>
        </w:rPr>
        <w:br/>
        <w:t>du Procureur général de la République</w:t>
      </w:r>
    </w:p>
    <w:p w:rsidR="00000000" w:rsidRDefault="00000000">
      <w:pPr>
        <w:spacing w:after="240"/>
      </w:pPr>
      <w:r>
        <w:t>192.</w:t>
      </w:r>
      <w:r>
        <w:tab/>
        <w:t>Les données concernant l’IGAI viennent d’être présentées (par. 132, p. 50). Elles se trouvent dans les rapports de l’IGAI pour les années 1999, 2000, 2001, 2002 et 2003. Des chiffres détaillés concernant les plaintes déposées devant l’IGAI de 1998 à 2003 inclus figurent dans les annexes au présent rapport</w:t>
      </w:r>
      <w:r>
        <w:rPr>
          <w:rStyle w:val="FootnoteReference"/>
        </w:rPr>
        <w:footnoteReference w:customMarkFollows="1" w:id="5"/>
        <w:t>*</w:t>
      </w:r>
      <w:r>
        <w:t>. Il convient maintenant de mentionner, dans un souci d’exhaustivité, celles de l’Office du Procureur général de la République.</w:t>
      </w:r>
    </w:p>
    <w:p w:rsidR="00000000" w:rsidRDefault="00000000">
      <w:pPr>
        <w:spacing w:after="240"/>
        <w:rPr>
          <w:sz w:val="20"/>
        </w:rPr>
      </w:pPr>
      <w:r>
        <w:t>193.</w:t>
      </w:r>
      <w:r>
        <w:tab/>
        <w:t>Mais les données des deux institutions, dans la plupart des cas, ne coïncident pas: les chiffres de l’IGAI se rapportent aux forces de l’ordre qui dépendent du Ministère de l’intérieur, ceux de l’Office du Procureur général de la République se rapportent éventuellement à des forces de l’ordre qui sortent du domaine d’intervention du Ministère de l’intérieur. Par ailleurs, la violence familiale n’est pas présentée dans les tableaux figurant en annexe</w:t>
      </w:r>
      <w:r>
        <w:rPr>
          <w:b/>
          <w:bCs/>
          <w:vertAlign w:val="superscript"/>
        </w:rPr>
        <w:t>*</w:t>
      </w:r>
      <w:r>
        <w:t xml:space="preserve">: on a en effet estimé que cette violence n’entre pas dans le cadre des crimes commis dans l’exercice de l’autorité. Enfin, en ce qui concerne l’origine de la connaissance de ces faits, les données proviennent, pour la majeure partie des cas, des communications individuelles des magistrats qui en ont connaissance à l’Office du Procureur général de la République. L’IGAI, elle, a plusieurs sources différentes (dont le parquet, aux termes de la circulaire </w:t>
      </w:r>
      <w:r>
        <w:rPr>
          <w:rFonts w:eastAsia="MS Mincho"/>
        </w:rPr>
        <w:t>n</w:t>
      </w:r>
      <w:r>
        <w:rPr>
          <w:rFonts w:eastAsia="MS Mincho"/>
          <w:vertAlign w:val="superscript"/>
        </w:rPr>
        <w:t>o</w:t>
      </w:r>
      <w:r>
        <w:t xml:space="preserve"> 4/98 mentionnée) qui dépassent le domaine du parquet. D’éventuels retards dans les communications peuvent également entraîner un changement éventuel de la réalité des faits pour chaque année considérée, les données des années passées étant plus fiables parce que consolidées dans le temps. Quoiqu’il en soit, elles offrent une perspective intéressante qui mérite leur présentation, sans grand commentaire pour permettre une meilleure analyse par le Comité.</w:t>
      </w:r>
    </w:p>
    <w:p w:rsidR="00000000" w:rsidRDefault="00000000">
      <w:pPr>
        <w:spacing w:after="240"/>
        <w:jc w:val="center"/>
        <w:rPr>
          <w:b/>
          <w:bCs/>
        </w:rPr>
      </w:pPr>
      <w:r>
        <w:rPr>
          <w:b/>
          <w:bCs/>
        </w:rPr>
        <w:t>F.  Le droit de présenter une plainte</w:t>
      </w:r>
    </w:p>
    <w:p w:rsidR="00000000" w:rsidRDefault="00000000">
      <w:pPr>
        <w:spacing w:after="240"/>
      </w:pPr>
      <w:r>
        <w:t>194.</w:t>
      </w:r>
      <w:r>
        <w:tab/>
        <w:t xml:space="preserve">Le droit de présenter une plainte découle naturellement de tout ce qui a été déjà dit (voir les sections concernant la surveillance des conditions de détention et les plaintes et dénonciations traitées par l’IGAI, ainsi que les chiffres de l’Office du Procureur général de la République présentés en annexe). Tout service chargé de la sécurité intérieure peut faire l’objet d’une plainte; ce droit existe, en particulier, aux termes de l’article 3, alinéa </w:t>
      </w:r>
      <w:r>
        <w:rPr>
          <w:i/>
          <w:iCs/>
        </w:rPr>
        <w:t>d</w:t>
      </w:r>
      <w:r>
        <w:t xml:space="preserve"> du décret-loi </w:t>
      </w:r>
      <w:r>
        <w:rPr>
          <w:rFonts w:eastAsia="MS Mincho"/>
        </w:rPr>
        <w:t>n</w:t>
      </w:r>
      <w:r>
        <w:rPr>
          <w:rFonts w:eastAsia="MS Mincho"/>
          <w:vertAlign w:val="superscript"/>
        </w:rPr>
        <w:t>o </w:t>
      </w:r>
      <w:r>
        <w:t>227/95, du 11 septembre, qui crée l’Inspection générale de l’Administration de l’intérieur: il y est dit qu’il revient à l’IGAI d’apprécier les plaintes, les réclamations et les dénonciations présentées pour d’éventuelles violations de la légalité et, en général, à propos de doutes qui existent relatifs à l’irrégularité ou le mauvais fonctionnement des services (voir aussi la sous</w:t>
      </w:r>
      <w:r>
        <w:noBreakHyphen/>
        <w:t>section D.3 a) ci</w:t>
      </w:r>
      <w:r>
        <w:noBreakHyphen/>
        <w:t>dessus). Tout citoyen peut saisir l’IGAI d’une plainte, celle-ci déclenchant le processus d’inspection qui a été décrit plus haut.</w:t>
      </w:r>
    </w:p>
    <w:p w:rsidR="00000000" w:rsidRDefault="00000000">
      <w:pPr>
        <w:spacing w:after="240"/>
      </w:pPr>
      <w:r>
        <w:t>195.</w:t>
      </w:r>
      <w:r>
        <w:tab/>
        <w:t>Il y a, naturellement, aussi le droit de présenter une plainte au ministère public, au Procureur général de la République et au médiateur. Ceux-ci peuvent d’ailleurs déclencher, eux aussi, en raison de cette plainte, une action de l’IGAI. En vertu de la circulaire 4/98, qui ordonne à tout magistrat du parquet la communication d’un fait impliquant l’éventuelle responsabilité des forces de l’ordre, l’IGAI est saisie par le parquet de chacun de ces faits. Le médiateur peut également adresser des recommandations à l’administration publique. Le parquet peut également déclencher l’action pénale.</w:t>
      </w:r>
    </w:p>
    <w:p w:rsidR="00000000" w:rsidRDefault="00000000">
      <w:pPr>
        <w:spacing w:after="240"/>
      </w:pPr>
      <w:r>
        <w:t>196.</w:t>
      </w:r>
      <w:r>
        <w:tab/>
        <w:t>Il ne faut pas oublier non plus la possibilité de dépôt de plainte devant les organisations internationales, telles que le Comité des droits de l’homme, dans le cadre du mécanisme de plainte du Protocole facultatif au Pacte international relatif aux droits civils et politiques, le Comité pour la prévention de la torture du Conseil de l’Europe, ou la Cour européenne des droits de l’homme.</w:t>
      </w:r>
    </w:p>
    <w:p w:rsidR="00000000" w:rsidRDefault="00000000">
      <w:pPr>
        <w:spacing w:after="240"/>
      </w:pPr>
      <w:r>
        <w:t>197.</w:t>
      </w:r>
      <w:r>
        <w:tab/>
        <w:t>En ce qui concerne les chiffres relatifs aux plaintes et aux éventuels abus de la part des forces de police, nous renvoyons aux sections ci</w:t>
      </w:r>
      <w:r>
        <w:noBreakHyphen/>
        <w:t>dessus, où ces chiffres ont été présentés, ainsi qu’aux diverses annexes statistiques disponibles au secrétariat du Comité contre la torture.</w:t>
      </w:r>
    </w:p>
    <w:p w:rsidR="00000000" w:rsidRDefault="00000000">
      <w:pPr>
        <w:spacing w:after="240"/>
        <w:jc w:val="center"/>
        <w:rPr>
          <w:b/>
        </w:rPr>
      </w:pPr>
      <w:r>
        <w:rPr>
          <w:b/>
        </w:rPr>
        <w:t>IV.  LE SYSTÈME PÉNITENTIAIRE PORTUGAIS</w:t>
      </w:r>
    </w:p>
    <w:p w:rsidR="00000000" w:rsidRDefault="00000000">
      <w:pPr>
        <w:spacing w:after="240"/>
      </w:pPr>
      <w:r>
        <w:t>198.</w:t>
      </w:r>
      <w:r>
        <w:tab/>
        <w:t>Au chapitre IV, on traitera du système pénitentiaire portugais en cherchant à présenter l’articulation entre le système fondé sur l’activité de l’Institut de réinsertion sociale et le système pénitentiaire de forme traditionnelle. Le système pénitentiaire est composé de l’Institut de réinsertion sociale et des services qui sont chargés des mesures privatives de liberté.</w:t>
      </w:r>
    </w:p>
    <w:p w:rsidR="00000000" w:rsidRDefault="00000000">
      <w:pPr>
        <w:spacing w:after="240"/>
        <w:jc w:val="center"/>
        <w:rPr>
          <w:b/>
          <w:bCs/>
        </w:rPr>
      </w:pPr>
      <w:r>
        <w:rPr>
          <w:b/>
          <w:bCs/>
        </w:rPr>
        <w:t>A.  L’Institut de réinsertion sociale et les centres éducatifs</w:t>
      </w:r>
    </w:p>
    <w:p w:rsidR="00000000" w:rsidRDefault="00000000">
      <w:pPr>
        <w:spacing w:after="240"/>
      </w:pPr>
      <w:r>
        <w:t>199.</w:t>
      </w:r>
      <w:r>
        <w:tab/>
        <w:t xml:space="preserve">Le but essentiel de l’Institut est d’introduire dans le système pénitentiaire des mesures alternatives aux mesures privatives de liberté. Existant depuis longtemps, sa loi organique la plus récente date de 2001, ayant été introduite par le décret-loi </w:t>
      </w:r>
      <w:r>
        <w:rPr>
          <w:rFonts w:eastAsia="MS Mincho"/>
        </w:rPr>
        <w:t>n</w:t>
      </w:r>
      <w:r>
        <w:rPr>
          <w:rFonts w:eastAsia="MS Mincho"/>
          <w:vertAlign w:val="superscript"/>
        </w:rPr>
        <w:t>o</w:t>
      </w:r>
      <w:r>
        <w:t xml:space="preserve"> 204-A/2001, du 26 juillet. Aux termes de l’article 2, l’Institut est l’organe auxiliaire de l’administration de la justice responsable des politiques de prévention criminelle et de réinsertion sociale, notamment dans les domaines de la prévention de la délinquance juvénile, des mesures tutélaires éducatives et de la promotion de mesures pénales alternatives à la prison.</w:t>
      </w:r>
    </w:p>
    <w:p w:rsidR="00000000" w:rsidRDefault="00000000">
      <w:pPr>
        <w:spacing w:after="240"/>
      </w:pPr>
      <w:r>
        <w:t>200.</w:t>
      </w:r>
      <w:r>
        <w:tab/>
        <w:t>Les mesures de prévention criminelle auxquelles l’Institut participe visent à limiter la possibilité de commettre des crimes, en contribuant simultanément au développement social. Un autre objectif de l’Institut est d’assurer l’appui technique aux tribunaux dans le cadre de la juridiction de la famille.</w:t>
      </w:r>
    </w:p>
    <w:p w:rsidR="00000000" w:rsidRDefault="00000000">
      <w:pPr>
        <w:spacing w:after="240"/>
      </w:pPr>
      <w:r>
        <w:t>201.</w:t>
      </w:r>
      <w:r>
        <w:tab/>
        <w:t>Les attributions de l’Institut de réinsertion sociale sont les suivantes:</w:t>
      </w:r>
    </w:p>
    <w:p w:rsidR="00000000" w:rsidRDefault="00000000">
      <w:pPr>
        <w:spacing w:after="240"/>
        <w:ind w:firstLine="567"/>
      </w:pPr>
      <w:r>
        <w:t>a)</w:t>
      </w:r>
      <w:r>
        <w:tab/>
        <w:t>Contribuer à la définition de la politique criminelle, en particulier dans les domaines de la réintégration sociale des jeunes et des adultes et prévenir la délinquance;</w:t>
      </w:r>
    </w:p>
    <w:p w:rsidR="00000000" w:rsidRDefault="00000000">
      <w:pPr>
        <w:spacing w:after="240"/>
        <w:ind w:firstLine="567"/>
      </w:pPr>
      <w:r>
        <w:t>b)</w:t>
      </w:r>
      <w:r>
        <w:tab/>
        <w:t>Assurer, aux termes de la loi, l’appui technique aux tribunaux dans la prise de décisions dans le cadre des procès pénaux et tutélaires éducatifs et des procès tutélaires civils;</w:t>
      </w:r>
    </w:p>
    <w:p w:rsidR="00000000" w:rsidRDefault="00000000">
      <w:pPr>
        <w:spacing w:after="240"/>
        <w:ind w:firstLine="567"/>
      </w:pPr>
      <w:r>
        <w:t>c)</w:t>
      </w:r>
      <w:r>
        <w:tab/>
        <w:t>Assurer, aux termes de la loi, l’exécution de mesures tutélaires éducatives;</w:t>
      </w:r>
    </w:p>
    <w:p w:rsidR="00000000" w:rsidRDefault="00000000">
      <w:pPr>
        <w:spacing w:after="240"/>
        <w:ind w:firstLine="567"/>
      </w:pPr>
      <w:r>
        <w:t>d)</w:t>
      </w:r>
      <w:r>
        <w:tab/>
        <w:t>Assurer, aux termes de la loi, l’exécution de peines et de mesures alternatives à la peine de prison, y compris la liberté conditionnelle et le placement en liberté pour la preuve;</w:t>
      </w:r>
    </w:p>
    <w:p w:rsidR="00000000" w:rsidRDefault="00000000">
      <w:pPr>
        <w:spacing w:after="240"/>
        <w:ind w:firstLine="567"/>
      </w:pPr>
      <w:r>
        <w:t>e)</w:t>
      </w:r>
      <w:r>
        <w:tab/>
        <w:t>Participer à des programmes et des actions de prévention du crime, en particulier dans les domaines de la délinquance juvénile;</w:t>
      </w:r>
    </w:p>
    <w:p w:rsidR="00000000" w:rsidRDefault="00000000">
      <w:pPr>
        <w:spacing w:after="240"/>
        <w:ind w:firstLine="567"/>
      </w:pPr>
      <w:r>
        <w:t>f)</w:t>
      </w:r>
      <w:r>
        <w:tab/>
        <w:t>Assurer la gestion des centres éducatifs de mineurs et d’autres équipements et programmes pour l’appui à la réintégration sociale des jeunes et des adultes;</w:t>
      </w:r>
    </w:p>
    <w:p w:rsidR="00000000" w:rsidRDefault="00000000">
      <w:pPr>
        <w:spacing w:after="240"/>
        <w:ind w:firstLine="567"/>
      </w:pPr>
      <w:r>
        <w:t>g)</w:t>
      </w:r>
      <w:r>
        <w:tab/>
        <w:t>Promouvoir la formation spécialisée de ses fonctionnaires;</w:t>
      </w:r>
    </w:p>
    <w:p w:rsidR="00000000" w:rsidRDefault="00000000">
      <w:pPr>
        <w:spacing w:after="240"/>
        <w:ind w:firstLine="567"/>
      </w:pPr>
      <w:r>
        <w:t>h)</w:t>
      </w:r>
      <w:r>
        <w:tab/>
        <w:t>Assurer les rapports avec des entités similaires étrangères et des organisations internationales ayant des objectifs spécifiquement en rapport avec ses compétences, sans préjudice de l’articulation avec le Bureau pour les rapports internationaux, européens et de coopération du Ministère de la justice;</w:t>
      </w:r>
    </w:p>
    <w:p w:rsidR="00000000" w:rsidRDefault="00000000">
      <w:pPr>
        <w:spacing w:after="240"/>
        <w:ind w:firstLine="567"/>
      </w:pPr>
      <w:r>
        <w:t>i)</w:t>
      </w:r>
      <w:r>
        <w:tab/>
        <w:t>Contribuer, dans le cadre de ses objectifs et de ses attributions, à l’élaboration d’instruments de coopération judiciaire internationale et d’assurer les procédures résultant de conventions dans lesquelles l’Institut est une autorité centrale;</w:t>
      </w:r>
    </w:p>
    <w:p w:rsidR="00000000" w:rsidRDefault="00000000">
      <w:pPr>
        <w:spacing w:after="240"/>
        <w:ind w:firstLine="567"/>
      </w:pPr>
      <w:r>
        <w:t>j)</w:t>
      </w:r>
      <w:r>
        <w:tab/>
        <w:t>Contribuer à une plus grande participation de la communauté dans l’administration de la justice pénale et tutélaire éducative, notamment par la coopération avec d’autres institutions publiques et privées et avec des citoyens et des groupes de volontaires qui poursuivent des objectifs de prévention criminelle et de réinsertion sociale des jeunes et des adultes;</w:t>
      </w:r>
    </w:p>
    <w:p w:rsidR="00000000" w:rsidRDefault="00000000">
      <w:pPr>
        <w:spacing w:after="240"/>
        <w:ind w:firstLine="567"/>
      </w:pPr>
      <w:r>
        <w:t>k)</w:t>
      </w:r>
      <w:r>
        <w:tab/>
        <w:t>Poursuivre d’autres attributions qui lui sont confiées par la loi.</w:t>
      </w:r>
    </w:p>
    <w:p w:rsidR="00000000" w:rsidRDefault="00000000">
      <w:pPr>
        <w:spacing w:after="240"/>
      </w:pPr>
      <w:r>
        <w:t>202.</w:t>
      </w:r>
      <w:r>
        <w:tab/>
        <w:t>Entre autres organes, l’Institut compte un conseil supérieur de réinsertion sociale qui a pour finalité d’assurer, dans le cadre de la loi et des pouvoirs de surintendance et tutelle du Ministère de la justice, une réponse adéquate des services de l’Institut aux besoins des autres entités des systèmes pénal et tutélaire éducatif (art. 9). Les attributions du Conseil sont les suivantes:</w:t>
      </w:r>
    </w:p>
    <w:p w:rsidR="00000000" w:rsidRDefault="00000000">
      <w:pPr>
        <w:spacing w:after="240"/>
        <w:ind w:firstLine="567"/>
      </w:pPr>
      <w:r>
        <w:t>a)</w:t>
      </w:r>
      <w:r>
        <w:tab/>
        <w:t>Accompagner l’activité de l’Institut, notamment par le biais de l’appréciation des instruments de gestion prévisionnelle et d’évaluation de l’action entreprise;</w:t>
      </w:r>
    </w:p>
    <w:p w:rsidR="00000000" w:rsidRDefault="00000000">
      <w:pPr>
        <w:spacing w:after="240"/>
        <w:ind w:firstLine="567"/>
      </w:pPr>
      <w:r>
        <w:t>b)</w:t>
      </w:r>
      <w:r>
        <w:tab/>
        <w:t>Présenter des propositions qui ont pour but d’améliorer la réponse des services de l’Institut aux besoins des tribunaux, du ministère public et d’autres entités qui participent au système pénal et tutélaire;</w:t>
      </w:r>
    </w:p>
    <w:p w:rsidR="00000000" w:rsidRDefault="00000000">
      <w:pPr>
        <w:spacing w:after="240"/>
        <w:ind w:firstLine="567"/>
      </w:pPr>
      <w:r>
        <w:t>c)</w:t>
      </w:r>
      <w:r>
        <w:tab/>
        <w:t>Présenter des propositions relatives à l’activité développée par les services de l’Institut dans le cadre des mesures tutélaires civiles;</w:t>
      </w:r>
    </w:p>
    <w:p w:rsidR="00000000" w:rsidRDefault="00000000">
      <w:pPr>
        <w:spacing w:after="240"/>
        <w:ind w:firstLine="567"/>
      </w:pPr>
      <w:r>
        <w:t>d)</w:t>
      </w:r>
      <w:r>
        <w:tab/>
        <w:t>Se prononcer sur tout autre sujet qui, dans le cadre de ses attributions, lui est présenté par le Président.</w:t>
      </w:r>
    </w:p>
    <w:p w:rsidR="00000000" w:rsidRDefault="00000000">
      <w:pPr>
        <w:spacing w:after="240"/>
      </w:pPr>
      <w:r>
        <w:t>203.</w:t>
      </w:r>
      <w:r>
        <w:tab/>
        <w:t>La composition du Conseil est la suivante:</w:t>
      </w:r>
    </w:p>
    <w:p w:rsidR="00000000" w:rsidRDefault="00000000">
      <w:pPr>
        <w:spacing w:after="240"/>
        <w:ind w:firstLine="567"/>
      </w:pPr>
      <w:r>
        <w:t>a)</w:t>
      </w:r>
      <w:r>
        <w:tab/>
        <w:t>Un représentant du Ministère de la justice, qui préside;</w:t>
      </w:r>
    </w:p>
    <w:p w:rsidR="00000000" w:rsidRDefault="00000000">
      <w:pPr>
        <w:spacing w:after="240"/>
        <w:ind w:firstLine="567"/>
      </w:pPr>
      <w:r>
        <w:t>b)</w:t>
      </w:r>
      <w:r>
        <w:tab/>
        <w:t>Un magistrat du siège, désigné par le Conseil supérieur de la magistrature;</w:t>
      </w:r>
    </w:p>
    <w:p w:rsidR="00000000" w:rsidRDefault="00000000">
      <w:pPr>
        <w:spacing w:after="240"/>
        <w:ind w:firstLine="567"/>
      </w:pPr>
      <w:r>
        <w:t>c)</w:t>
      </w:r>
      <w:r>
        <w:tab/>
        <w:t>Un magistrat du ministère public, désigné par le Conseil supérieur du ministère public;</w:t>
      </w:r>
    </w:p>
    <w:p w:rsidR="00000000" w:rsidRDefault="00000000">
      <w:pPr>
        <w:spacing w:after="240"/>
        <w:ind w:firstLine="567"/>
      </w:pPr>
      <w:r>
        <w:t>d)</w:t>
      </w:r>
      <w:r>
        <w:tab/>
        <w:t>Un avocat, désigné par le barreau;</w:t>
      </w:r>
    </w:p>
    <w:p w:rsidR="00000000" w:rsidRDefault="00000000">
      <w:pPr>
        <w:spacing w:after="240"/>
        <w:ind w:firstLine="567"/>
      </w:pPr>
      <w:r>
        <w:t>e)</w:t>
      </w:r>
      <w:r>
        <w:tab/>
        <w:t>Un représentant de la police judiciaire, de niveau non inférieur à celui de Directeur national adjoint;</w:t>
      </w:r>
    </w:p>
    <w:p w:rsidR="00000000" w:rsidRDefault="00000000">
      <w:pPr>
        <w:spacing w:after="240"/>
        <w:ind w:firstLine="567"/>
      </w:pPr>
      <w:r>
        <w:t>f)</w:t>
      </w:r>
      <w:r>
        <w:tab/>
        <w:t>Un représentant de la police de sécurité publique, de niveau non inférieur à celui de surintendant en chef;</w:t>
      </w:r>
    </w:p>
    <w:p w:rsidR="00000000" w:rsidRDefault="00000000">
      <w:pPr>
        <w:spacing w:after="240"/>
        <w:ind w:firstLine="567"/>
      </w:pPr>
      <w:r>
        <w:t>g)</w:t>
      </w:r>
      <w:r>
        <w:tab/>
        <w:t>Un représentant de la Garde nationale républicaine de niveau non inférieur à celui de colonel;</w:t>
      </w:r>
    </w:p>
    <w:p w:rsidR="00000000" w:rsidRDefault="00000000">
      <w:pPr>
        <w:spacing w:after="240"/>
        <w:ind w:firstLine="567"/>
      </w:pPr>
      <w:r>
        <w:t>h)</w:t>
      </w:r>
      <w:r>
        <w:tab/>
        <w:t>Un représentant de la Direction générale des services pénitentiaires, de niveau non inférieur à celui de Sous-Directeur général;</w:t>
      </w:r>
    </w:p>
    <w:p w:rsidR="00000000" w:rsidRDefault="00000000">
      <w:pPr>
        <w:spacing w:after="240"/>
        <w:ind w:firstLine="567"/>
      </w:pPr>
      <w:r>
        <w:t>i)</w:t>
      </w:r>
      <w:r>
        <w:tab/>
        <w:t>Un représentant désigné par le membre du gouvernement responsable du domaine de la drogue et de la toxicodépendance;</w:t>
      </w:r>
    </w:p>
    <w:p w:rsidR="00000000" w:rsidRDefault="00000000">
      <w:pPr>
        <w:spacing w:after="240"/>
        <w:ind w:firstLine="567"/>
      </w:pPr>
      <w:r>
        <w:t>j)</w:t>
      </w:r>
      <w:r>
        <w:tab/>
        <w:t>Le président de l’Institut;</w:t>
      </w:r>
    </w:p>
    <w:p w:rsidR="00000000" w:rsidRDefault="00000000">
      <w:pPr>
        <w:spacing w:after="240"/>
        <w:ind w:firstLine="567"/>
      </w:pPr>
      <w:r>
        <w:t>k)</w:t>
      </w:r>
      <w:r>
        <w:tab/>
        <w:t>Deux à quatre dirigeants de l’Institut à désigner par leur Président.</w:t>
      </w:r>
    </w:p>
    <w:p w:rsidR="00000000" w:rsidRDefault="00000000">
      <w:pPr>
        <w:spacing w:after="240"/>
        <w:rPr>
          <w:b/>
          <w:bCs/>
        </w:rPr>
      </w:pPr>
      <w:r>
        <w:rPr>
          <w:b/>
          <w:bCs/>
        </w:rPr>
        <w:t>Les centres éducatifs</w:t>
      </w:r>
    </w:p>
    <w:p w:rsidR="00000000" w:rsidRDefault="00000000">
      <w:pPr>
        <w:spacing w:after="240"/>
      </w:pPr>
      <w:r>
        <w:t>204.</w:t>
      </w:r>
      <w:r>
        <w:tab/>
        <w:t>Les services de l’Institut de réinsertion sociale dans lesquels on place les jeunes ayant commis une infraction pénale sont appelés centres éducatifs. Au 30 avril 2004, leur occupation était la suivante:</w:t>
      </w:r>
    </w:p>
    <w:p w:rsidR="00000000" w:rsidRDefault="00000000">
      <w:pPr>
        <w:spacing w:after="240"/>
        <w:jc w:val="center"/>
        <w:rPr>
          <w:b/>
        </w:rPr>
      </w:pPr>
      <w:r>
        <w:rPr>
          <w:b/>
        </w:rPr>
        <w:t>Tableau 2.  Occupation des centres éducatifs</w:t>
      </w:r>
      <w:r>
        <w:rPr>
          <w:b/>
        </w:rPr>
        <w:br/>
        <w:t>(nombre de places par régime)</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840"/>
        <w:gridCol w:w="1320"/>
        <w:gridCol w:w="1320"/>
        <w:gridCol w:w="1560"/>
        <w:gridCol w:w="1320"/>
      </w:tblGrid>
      <w:tr w:rsidR="00000000">
        <w:trPr>
          <w:tblHeader/>
        </w:trPr>
        <w:tc>
          <w:tcPr>
            <w:tcW w:w="3840" w:type="dxa"/>
            <w:vAlign w:val="center"/>
          </w:tcPr>
          <w:p w:rsidR="00000000" w:rsidRDefault="00000000">
            <w:pPr>
              <w:spacing w:before="60" w:after="60"/>
              <w:jc w:val="center"/>
              <w:rPr>
                <w:b/>
                <w:szCs w:val="22"/>
              </w:rPr>
            </w:pPr>
            <w:r>
              <w:rPr>
                <w:b/>
                <w:szCs w:val="22"/>
              </w:rPr>
              <w:t>Centre éducatif</w:t>
            </w:r>
          </w:p>
        </w:tc>
        <w:tc>
          <w:tcPr>
            <w:tcW w:w="1320" w:type="dxa"/>
            <w:vAlign w:val="center"/>
          </w:tcPr>
          <w:p w:rsidR="00000000" w:rsidRDefault="00000000">
            <w:pPr>
              <w:spacing w:before="60" w:after="60"/>
              <w:jc w:val="center"/>
              <w:rPr>
                <w:b/>
                <w:szCs w:val="22"/>
              </w:rPr>
            </w:pPr>
            <w:r>
              <w:rPr>
                <w:b/>
                <w:szCs w:val="22"/>
              </w:rPr>
              <w:t>Total</w:t>
            </w:r>
          </w:p>
        </w:tc>
        <w:tc>
          <w:tcPr>
            <w:tcW w:w="1320" w:type="dxa"/>
            <w:vAlign w:val="center"/>
          </w:tcPr>
          <w:p w:rsidR="00000000" w:rsidRDefault="00000000">
            <w:pPr>
              <w:spacing w:before="60" w:after="60"/>
              <w:jc w:val="center"/>
              <w:rPr>
                <w:b/>
                <w:szCs w:val="22"/>
              </w:rPr>
            </w:pPr>
            <w:r>
              <w:rPr>
                <w:b/>
                <w:szCs w:val="22"/>
              </w:rPr>
              <w:t>Régime ouvert</w:t>
            </w:r>
          </w:p>
        </w:tc>
        <w:tc>
          <w:tcPr>
            <w:tcW w:w="1560" w:type="dxa"/>
            <w:vAlign w:val="center"/>
          </w:tcPr>
          <w:p w:rsidR="00000000" w:rsidRDefault="00000000">
            <w:pPr>
              <w:spacing w:before="60" w:after="60"/>
              <w:jc w:val="center"/>
              <w:rPr>
                <w:b/>
                <w:szCs w:val="22"/>
              </w:rPr>
            </w:pPr>
            <w:r>
              <w:rPr>
                <w:b/>
                <w:szCs w:val="22"/>
              </w:rPr>
              <w:t>Régime</w:t>
            </w:r>
            <w:r>
              <w:rPr>
                <w:b/>
                <w:szCs w:val="22"/>
              </w:rPr>
              <w:br/>
              <w:t>semi-ouvert</w:t>
            </w:r>
          </w:p>
        </w:tc>
        <w:tc>
          <w:tcPr>
            <w:tcW w:w="1320" w:type="dxa"/>
            <w:vAlign w:val="center"/>
          </w:tcPr>
          <w:p w:rsidR="00000000" w:rsidRDefault="00000000">
            <w:pPr>
              <w:spacing w:before="60" w:after="60"/>
              <w:jc w:val="center"/>
              <w:rPr>
                <w:b/>
                <w:szCs w:val="22"/>
              </w:rPr>
            </w:pPr>
            <w:r>
              <w:rPr>
                <w:b/>
                <w:szCs w:val="22"/>
              </w:rPr>
              <w:t>Régime fermé</w:t>
            </w:r>
          </w:p>
        </w:tc>
      </w:tr>
      <w:tr w:rsidR="00000000">
        <w:tc>
          <w:tcPr>
            <w:tcW w:w="3840" w:type="dxa"/>
          </w:tcPr>
          <w:p w:rsidR="00000000" w:rsidRDefault="00000000">
            <w:pPr>
              <w:spacing w:before="60" w:after="60"/>
            </w:pPr>
            <w:r>
              <w:t>Navarro de Paiva</w:t>
            </w:r>
          </w:p>
        </w:tc>
        <w:tc>
          <w:tcPr>
            <w:tcW w:w="132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p>
        </w:tc>
      </w:tr>
      <w:tr w:rsidR="00000000">
        <w:tc>
          <w:tcPr>
            <w:tcW w:w="3840" w:type="dxa"/>
          </w:tcPr>
          <w:p w:rsidR="00000000" w:rsidRDefault="00000000">
            <w:pPr>
              <w:spacing w:before="60" w:after="60"/>
            </w:pPr>
            <w:r>
              <w:t>Vila Fernando</w:t>
            </w:r>
          </w:p>
        </w:tc>
        <w:tc>
          <w:tcPr>
            <w:tcW w:w="1320" w:type="dxa"/>
            <w:vAlign w:val="bottom"/>
          </w:tcPr>
          <w:p w:rsidR="00000000" w:rsidRDefault="00000000">
            <w:pPr>
              <w:spacing w:before="60" w:after="60"/>
              <w:ind w:right="423"/>
              <w:jc w:val="right"/>
              <w:rPr>
                <w:szCs w:val="22"/>
              </w:rPr>
            </w:pPr>
            <w:r>
              <w:rPr>
                <w:szCs w:val="22"/>
              </w:rPr>
              <w:t>34</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r>
              <w:rPr>
                <w:szCs w:val="22"/>
              </w:rPr>
              <w:t>10</w:t>
            </w:r>
          </w:p>
        </w:tc>
      </w:tr>
      <w:tr w:rsidR="00000000">
        <w:tc>
          <w:tcPr>
            <w:tcW w:w="3840" w:type="dxa"/>
          </w:tcPr>
          <w:p w:rsidR="00000000" w:rsidRDefault="00000000">
            <w:pPr>
              <w:spacing w:before="60" w:after="60"/>
            </w:pPr>
            <w:r>
              <w:t>Padre António de Oliveira</w:t>
            </w:r>
          </w:p>
        </w:tc>
        <w:tc>
          <w:tcPr>
            <w:tcW w:w="1320" w:type="dxa"/>
            <w:vAlign w:val="bottom"/>
          </w:tcPr>
          <w:p w:rsidR="00000000" w:rsidRDefault="00000000">
            <w:pPr>
              <w:spacing w:before="60" w:after="60"/>
              <w:ind w:right="423"/>
              <w:jc w:val="right"/>
              <w:rPr>
                <w:szCs w:val="22"/>
              </w:rPr>
            </w:pPr>
            <w:r>
              <w:rPr>
                <w:szCs w:val="22"/>
              </w:rPr>
              <w:t>22</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12</w:t>
            </w:r>
          </w:p>
        </w:tc>
        <w:tc>
          <w:tcPr>
            <w:tcW w:w="1320" w:type="dxa"/>
            <w:vAlign w:val="bottom"/>
          </w:tcPr>
          <w:p w:rsidR="00000000" w:rsidRDefault="00000000">
            <w:pPr>
              <w:spacing w:before="60" w:after="60"/>
              <w:ind w:right="423"/>
              <w:jc w:val="right"/>
              <w:rPr>
                <w:szCs w:val="22"/>
              </w:rPr>
            </w:pPr>
            <w:r>
              <w:rPr>
                <w:szCs w:val="22"/>
              </w:rPr>
              <w:t>10</w:t>
            </w:r>
          </w:p>
        </w:tc>
      </w:tr>
      <w:tr w:rsidR="00000000">
        <w:tc>
          <w:tcPr>
            <w:tcW w:w="3840" w:type="dxa"/>
          </w:tcPr>
          <w:p w:rsidR="00000000" w:rsidRDefault="00000000">
            <w:pPr>
              <w:spacing w:before="60" w:after="60"/>
            </w:pPr>
            <w:r>
              <w:t>Bela Vista</w:t>
            </w:r>
          </w:p>
        </w:tc>
        <w:tc>
          <w:tcPr>
            <w:tcW w:w="1320" w:type="dxa"/>
            <w:vAlign w:val="bottom"/>
          </w:tcPr>
          <w:p w:rsidR="00000000" w:rsidRDefault="00000000">
            <w:pPr>
              <w:spacing w:before="60" w:after="60"/>
              <w:ind w:right="423"/>
              <w:jc w:val="right"/>
              <w:rPr>
                <w:szCs w:val="22"/>
              </w:rPr>
            </w:pPr>
            <w:r>
              <w:rPr>
                <w:szCs w:val="22"/>
              </w:rPr>
              <w:t>38</w:t>
            </w:r>
          </w:p>
        </w:tc>
        <w:tc>
          <w:tcPr>
            <w:tcW w:w="1320" w:type="dxa"/>
            <w:vAlign w:val="bottom"/>
          </w:tcPr>
          <w:p w:rsidR="00000000" w:rsidRDefault="00000000">
            <w:pPr>
              <w:spacing w:before="60" w:after="60"/>
              <w:ind w:right="423"/>
              <w:jc w:val="right"/>
              <w:rPr>
                <w:szCs w:val="22"/>
              </w:rPr>
            </w:pPr>
            <w:r>
              <w:rPr>
                <w:szCs w:val="22"/>
              </w:rPr>
              <w:t>14</w:t>
            </w:r>
          </w:p>
        </w:tc>
        <w:tc>
          <w:tcPr>
            <w:tcW w:w="156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p>
        </w:tc>
      </w:tr>
      <w:tr w:rsidR="00000000">
        <w:tc>
          <w:tcPr>
            <w:tcW w:w="3840" w:type="dxa"/>
          </w:tcPr>
          <w:p w:rsidR="00000000" w:rsidRDefault="00000000">
            <w:pPr>
              <w:spacing w:before="60" w:after="60"/>
            </w:pPr>
            <w:r>
              <w:t>Olivais</w:t>
            </w:r>
          </w:p>
        </w:tc>
        <w:tc>
          <w:tcPr>
            <w:tcW w:w="1320" w:type="dxa"/>
            <w:vAlign w:val="bottom"/>
          </w:tcPr>
          <w:p w:rsidR="00000000" w:rsidRDefault="00000000">
            <w:pPr>
              <w:spacing w:before="60" w:after="60"/>
              <w:ind w:right="423"/>
              <w:jc w:val="right"/>
              <w:rPr>
                <w:szCs w:val="22"/>
              </w:rPr>
            </w:pPr>
            <w:r>
              <w:rPr>
                <w:szCs w:val="22"/>
              </w:rPr>
              <w:t>32</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r>
              <w:rPr>
                <w:szCs w:val="22"/>
              </w:rPr>
              <w:t>8</w:t>
            </w:r>
          </w:p>
        </w:tc>
      </w:tr>
      <w:tr w:rsidR="00000000">
        <w:tc>
          <w:tcPr>
            <w:tcW w:w="3840" w:type="dxa"/>
          </w:tcPr>
          <w:p w:rsidR="00000000" w:rsidRDefault="00000000">
            <w:pPr>
              <w:spacing w:before="60" w:after="60"/>
            </w:pPr>
            <w:r>
              <w:t>Mondego</w:t>
            </w:r>
          </w:p>
        </w:tc>
        <w:tc>
          <w:tcPr>
            <w:tcW w:w="1320" w:type="dxa"/>
            <w:vAlign w:val="bottom"/>
          </w:tcPr>
          <w:p w:rsidR="00000000" w:rsidRDefault="00000000">
            <w:pPr>
              <w:spacing w:before="60" w:after="60"/>
              <w:ind w:right="423"/>
              <w:jc w:val="right"/>
              <w:rPr>
                <w:szCs w:val="22"/>
              </w:rPr>
            </w:pPr>
            <w:r>
              <w:rPr>
                <w:szCs w:val="22"/>
              </w:rPr>
              <w:t>28</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22</w:t>
            </w:r>
          </w:p>
        </w:tc>
        <w:tc>
          <w:tcPr>
            <w:tcW w:w="1320" w:type="dxa"/>
            <w:vAlign w:val="bottom"/>
          </w:tcPr>
          <w:p w:rsidR="00000000" w:rsidRDefault="00000000">
            <w:pPr>
              <w:spacing w:before="60" w:after="60"/>
              <w:ind w:right="423"/>
              <w:jc w:val="right"/>
              <w:rPr>
                <w:szCs w:val="22"/>
              </w:rPr>
            </w:pPr>
            <w:r>
              <w:rPr>
                <w:szCs w:val="22"/>
              </w:rPr>
              <w:t>6</w:t>
            </w:r>
          </w:p>
        </w:tc>
      </w:tr>
      <w:tr w:rsidR="00000000">
        <w:tc>
          <w:tcPr>
            <w:tcW w:w="3840" w:type="dxa"/>
          </w:tcPr>
          <w:p w:rsidR="00000000" w:rsidRDefault="00000000">
            <w:pPr>
              <w:spacing w:before="60" w:after="60"/>
            </w:pPr>
            <w:r>
              <w:t>S. Fiel</w:t>
            </w:r>
          </w:p>
        </w:tc>
        <w:tc>
          <w:tcPr>
            <w:tcW w:w="1320" w:type="dxa"/>
            <w:vAlign w:val="bottom"/>
          </w:tcPr>
          <w:p w:rsidR="00000000" w:rsidRDefault="00000000">
            <w:pPr>
              <w:spacing w:before="60" w:after="60"/>
              <w:ind w:right="423"/>
              <w:jc w:val="right"/>
              <w:rPr>
                <w:szCs w:val="22"/>
              </w:rPr>
            </w:pPr>
            <w:r>
              <w:rPr>
                <w:szCs w:val="22"/>
              </w:rPr>
              <w:t>22</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22</w:t>
            </w:r>
          </w:p>
        </w:tc>
        <w:tc>
          <w:tcPr>
            <w:tcW w:w="1320" w:type="dxa"/>
            <w:vAlign w:val="bottom"/>
          </w:tcPr>
          <w:p w:rsidR="00000000" w:rsidRDefault="00000000">
            <w:pPr>
              <w:spacing w:before="60" w:after="60"/>
              <w:ind w:right="423"/>
              <w:jc w:val="right"/>
              <w:rPr>
                <w:szCs w:val="22"/>
              </w:rPr>
            </w:pPr>
          </w:p>
        </w:tc>
      </w:tr>
      <w:tr w:rsidR="00000000">
        <w:tc>
          <w:tcPr>
            <w:tcW w:w="3840" w:type="dxa"/>
          </w:tcPr>
          <w:p w:rsidR="00000000" w:rsidRDefault="00000000">
            <w:pPr>
              <w:spacing w:before="60" w:after="60"/>
            </w:pPr>
            <w:r>
              <w:t>Alberto Souto</w:t>
            </w:r>
          </w:p>
        </w:tc>
        <w:tc>
          <w:tcPr>
            <w:tcW w:w="1320" w:type="dxa"/>
            <w:vAlign w:val="bottom"/>
          </w:tcPr>
          <w:p w:rsidR="00000000" w:rsidRDefault="00000000">
            <w:pPr>
              <w:spacing w:before="60" w:after="60"/>
              <w:ind w:right="423"/>
              <w:jc w:val="right"/>
              <w:rPr>
                <w:szCs w:val="22"/>
              </w:rPr>
            </w:pPr>
            <w:r>
              <w:rPr>
                <w:szCs w:val="22"/>
              </w:rPr>
              <w:t>26</w:t>
            </w:r>
          </w:p>
        </w:tc>
        <w:tc>
          <w:tcPr>
            <w:tcW w:w="1320" w:type="dxa"/>
            <w:vAlign w:val="bottom"/>
          </w:tcPr>
          <w:p w:rsidR="00000000" w:rsidRDefault="00000000">
            <w:pPr>
              <w:spacing w:before="60" w:after="60"/>
              <w:ind w:right="423"/>
              <w:jc w:val="right"/>
              <w:rPr>
                <w:szCs w:val="22"/>
              </w:rPr>
            </w:pPr>
            <w:r>
              <w:rPr>
                <w:szCs w:val="22"/>
              </w:rPr>
              <w:t>14</w:t>
            </w:r>
          </w:p>
        </w:tc>
        <w:tc>
          <w:tcPr>
            <w:tcW w:w="1560" w:type="dxa"/>
            <w:vAlign w:val="bottom"/>
          </w:tcPr>
          <w:p w:rsidR="00000000" w:rsidRDefault="00000000">
            <w:pPr>
              <w:spacing w:before="60" w:after="60"/>
              <w:ind w:right="423"/>
              <w:jc w:val="right"/>
              <w:rPr>
                <w:szCs w:val="22"/>
              </w:rPr>
            </w:pPr>
            <w:r>
              <w:rPr>
                <w:szCs w:val="22"/>
              </w:rPr>
              <w:t>12</w:t>
            </w:r>
          </w:p>
        </w:tc>
        <w:tc>
          <w:tcPr>
            <w:tcW w:w="1320" w:type="dxa"/>
            <w:vAlign w:val="bottom"/>
          </w:tcPr>
          <w:p w:rsidR="00000000" w:rsidRDefault="00000000">
            <w:pPr>
              <w:spacing w:before="60" w:after="60"/>
              <w:ind w:right="423"/>
              <w:jc w:val="right"/>
              <w:rPr>
                <w:szCs w:val="22"/>
              </w:rPr>
            </w:pPr>
          </w:p>
        </w:tc>
      </w:tr>
      <w:tr w:rsidR="00000000">
        <w:tc>
          <w:tcPr>
            <w:tcW w:w="3840" w:type="dxa"/>
          </w:tcPr>
          <w:p w:rsidR="00000000" w:rsidRDefault="00000000">
            <w:pPr>
              <w:spacing w:before="60" w:after="60"/>
            </w:pPr>
            <w:r>
              <w:t>Santo António</w:t>
            </w:r>
          </w:p>
        </w:tc>
        <w:tc>
          <w:tcPr>
            <w:tcW w:w="1320" w:type="dxa"/>
            <w:vAlign w:val="bottom"/>
          </w:tcPr>
          <w:p w:rsidR="00000000" w:rsidRDefault="00000000">
            <w:pPr>
              <w:spacing w:before="60" w:after="60"/>
              <w:ind w:right="423"/>
              <w:jc w:val="right"/>
              <w:rPr>
                <w:szCs w:val="22"/>
              </w:rPr>
            </w:pPr>
            <w:r>
              <w:rPr>
                <w:szCs w:val="22"/>
              </w:rPr>
              <w:t>34</w:t>
            </w:r>
          </w:p>
        </w:tc>
        <w:tc>
          <w:tcPr>
            <w:tcW w:w="1320" w:type="dxa"/>
            <w:vAlign w:val="bottom"/>
          </w:tcPr>
          <w:p w:rsidR="00000000" w:rsidRDefault="00000000">
            <w:pPr>
              <w:spacing w:before="60" w:after="60"/>
              <w:ind w:right="423"/>
              <w:jc w:val="right"/>
              <w:rPr>
                <w:szCs w:val="22"/>
              </w:rPr>
            </w:pPr>
          </w:p>
        </w:tc>
        <w:tc>
          <w:tcPr>
            <w:tcW w:w="1560" w:type="dxa"/>
            <w:vAlign w:val="bottom"/>
          </w:tcPr>
          <w:p w:rsidR="00000000" w:rsidRDefault="00000000">
            <w:pPr>
              <w:spacing w:before="60" w:after="60"/>
              <w:ind w:right="423"/>
              <w:jc w:val="right"/>
              <w:rPr>
                <w:szCs w:val="22"/>
              </w:rPr>
            </w:pPr>
            <w:r>
              <w:rPr>
                <w:szCs w:val="22"/>
              </w:rPr>
              <w:t>24</w:t>
            </w:r>
          </w:p>
        </w:tc>
        <w:tc>
          <w:tcPr>
            <w:tcW w:w="1320" w:type="dxa"/>
            <w:vAlign w:val="bottom"/>
          </w:tcPr>
          <w:p w:rsidR="00000000" w:rsidRDefault="00000000">
            <w:pPr>
              <w:spacing w:before="60" w:after="60"/>
              <w:ind w:right="423"/>
              <w:jc w:val="right"/>
              <w:rPr>
                <w:szCs w:val="22"/>
              </w:rPr>
            </w:pPr>
            <w:r>
              <w:rPr>
                <w:szCs w:val="22"/>
              </w:rPr>
              <w:t>10</w:t>
            </w:r>
          </w:p>
        </w:tc>
      </w:tr>
      <w:tr w:rsidR="00000000">
        <w:tc>
          <w:tcPr>
            <w:tcW w:w="3840" w:type="dxa"/>
            <w:tcBorders>
              <w:bottom w:val="single" w:sz="4" w:space="0" w:color="auto"/>
            </w:tcBorders>
          </w:tcPr>
          <w:p w:rsidR="00000000" w:rsidRDefault="00000000">
            <w:pPr>
              <w:spacing w:before="60" w:after="60"/>
            </w:pPr>
            <w:r>
              <w:t>Santa Clara</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38</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14</w:t>
            </w:r>
          </w:p>
        </w:tc>
        <w:tc>
          <w:tcPr>
            <w:tcW w:w="1560" w:type="dxa"/>
            <w:tcBorders>
              <w:bottom w:val="single" w:sz="4" w:space="0" w:color="auto"/>
            </w:tcBorders>
            <w:vAlign w:val="bottom"/>
          </w:tcPr>
          <w:p w:rsidR="00000000" w:rsidRDefault="00000000">
            <w:pPr>
              <w:spacing w:before="60" w:after="60"/>
              <w:ind w:right="423"/>
              <w:jc w:val="right"/>
              <w:rPr>
                <w:szCs w:val="22"/>
              </w:rPr>
            </w:pPr>
            <w:r>
              <w:rPr>
                <w:szCs w:val="22"/>
              </w:rPr>
              <w:t>24</w:t>
            </w:r>
          </w:p>
        </w:tc>
        <w:tc>
          <w:tcPr>
            <w:tcW w:w="1320" w:type="dxa"/>
            <w:tcBorders>
              <w:bottom w:val="single" w:sz="4" w:space="0" w:color="auto"/>
            </w:tcBorders>
            <w:vAlign w:val="bottom"/>
          </w:tcPr>
          <w:p w:rsidR="00000000" w:rsidRDefault="00000000">
            <w:pPr>
              <w:spacing w:before="60" w:after="60"/>
              <w:ind w:right="423"/>
              <w:jc w:val="right"/>
              <w:rPr>
                <w:szCs w:val="22"/>
              </w:rPr>
            </w:pPr>
          </w:p>
        </w:tc>
      </w:tr>
      <w:tr w:rsidR="00000000">
        <w:tc>
          <w:tcPr>
            <w:tcW w:w="3840" w:type="dxa"/>
          </w:tcPr>
          <w:p w:rsidR="00000000" w:rsidRDefault="00000000">
            <w:pPr>
              <w:spacing w:before="60" w:after="60"/>
            </w:pPr>
            <w:r>
              <w:t>Nombre de personnes de sexe masculin</w:t>
            </w:r>
          </w:p>
        </w:tc>
        <w:tc>
          <w:tcPr>
            <w:tcW w:w="1320" w:type="dxa"/>
            <w:vAlign w:val="bottom"/>
          </w:tcPr>
          <w:p w:rsidR="00000000" w:rsidRDefault="00000000">
            <w:pPr>
              <w:spacing w:before="60" w:after="60"/>
              <w:ind w:right="423"/>
              <w:jc w:val="right"/>
              <w:rPr>
                <w:szCs w:val="22"/>
              </w:rPr>
            </w:pPr>
            <w:r>
              <w:rPr>
                <w:szCs w:val="22"/>
              </w:rPr>
              <w:t>298</w:t>
            </w:r>
          </w:p>
        </w:tc>
        <w:tc>
          <w:tcPr>
            <w:tcW w:w="1320" w:type="dxa"/>
            <w:vAlign w:val="bottom"/>
          </w:tcPr>
          <w:p w:rsidR="00000000" w:rsidRDefault="00000000">
            <w:pPr>
              <w:spacing w:before="60" w:after="60"/>
              <w:ind w:right="423"/>
              <w:jc w:val="right"/>
              <w:rPr>
                <w:szCs w:val="22"/>
              </w:rPr>
            </w:pPr>
            <w:r>
              <w:rPr>
                <w:szCs w:val="22"/>
              </w:rPr>
              <w:t>42</w:t>
            </w:r>
          </w:p>
        </w:tc>
        <w:tc>
          <w:tcPr>
            <w:tcW w:w="1560" w:type="dxa"/>
            <w:vAlign w:val="bottom"/>
          </w:tcPr>
          <w:p w:rsidR="00000000" w:rsidRDefault="00000000">
            <w:pPr>
              <w:spacing w:before="60" w:after="60"/>
              <w:ind w:right="423"/>
              <w:jc w:val="right"/>
              <w:rPr>
                <w:szCs w:val="22"/>
              </w:rPr>
            </w:pPr>
            <w:r>
              <w:rPr>
                <w:szCs w:val="22"/>
              </w:rPr>
              <w:t>212</w:t>
            </w:r>
          </w:p>
        </w:tc>
        <w:tc>
          <w:tcPr>
            <w:tcW w:w="1320" w:type="dxa"/>
            <w:vAlign w:val="bottom"/>
          </w:tcPr>
          <w:p w:rsidR="00000000" w:rsidRDefault="00000000">
            <w:pPr>
              <w:spacing w:before="60" w:after="60"/>
              <w:ind w:right="423"/>
              <w:jc w:val="right"/>
              <w:rPr>
                <w:szCs w:val="22"/>
              </w:rPr>
            </w:pPr>
            <w:r>
              <w:rPr>
                <w:szCs w:val="22"/>
              </w:rPr>
              <w:t>44</w:t>
            </w:r>
          </w:p>
        </w:tc>
      </w:tr>
      <w:tr w:rsidR="00000000">
        <w:tc>
          <w:tcPr>
            <w:tcW w:w="3840" w:type="dxa"/>
          </w:tcPr>
          <w:p w:rsidR="00000000" w:rsidRDefault="00000000">
            <w:pPr>
              <w:spacing w:before="60" w:after="60"/>
            </w:pPr>
            <w:r>
              <w:t>S. Bernardino</w:t>
            </w:r>
          </w:p>
        </w:tc>
        <w:tc>
          <w:tcPr>
            <w:tcW w:w="1320" w:type="dxa"/>
            <w:vAlign w:val="bottom"/>
          </w:tcPr>
          <w:p w:rsidR="00000000" w:rsidRDefault="00000000">
            <w:pPr>
              <w:spacing w:before="60" w:after="60"/>
              <w:ind w:right="423"/>
              <w:jc w:val="right"/>
              <w:rPr>
                <w:szCs w:val="22"/>
              </w:rPr>
            </w:pPr>
            <w:r>
              <w:rPr>
                <w:szCs w:val="22"/>
              </w:rPr>
              <w:t>15</w:t>
            </w:r>
          </w:p>
        </w:tc>
        <w:tc>
          <w:tcPr>
            <w:tcW w:w="1320" w:type="dxa"/>
            <w:vAlign w:val="bottom"/>
          </w:tcPr>
          <w:p w:rsidR="00000000" w:rsidRDefault="00000000">
            <w:pPr>
              <w:spacing w:before="60" w:after="60"/>
              <w:ind w:right="423"/>
              <w:jc w:val="right"/>
              <w:rPr>
                <w:szCs w:val="22"/>
              </w:rPr>
            </w:pPr>
            <w:r>
              <w:rPr>
                <w:szCs w:val="22"/>
              </w:rPr>
              <w:t>3</w:t>
            </w:r>
          </w:p>
        </w:tc>
        <w:tc>
          <w:tcPr>
            <w:tcW w:w="1560" w:type="dxa"/>
            <w:vAlign w:val="bottom"/>
          </w:tcPr>
          <w:p w:rsidR="00000000" w:rsidRDefault="00000000">
            <w:pPr>
              <w:spacing w:before="60" w:after="60"/>
              <w:ind w:right="423"/>
              <w:jc w:val="right"/>
              <w:rPr>
                <w:szCs w:val="22"/>
              </w:rPr>
            </w:pPr>
            <w:r>
              <w:rPr>
                <w:szCs w:val="22"/>
              </w:rPr>
              <w:t>10</w:t>
            </w:r>
          </w:p>
        </w:tc>
        <w:tc>
          <w:tcPr>
            <w:tcW w:w="1320" w:type="dxa"/>
            <w:vAlign w:val="bottom"/>
          </w:tcPr>
          <w:p w:rsidR="00000000" w:rsidRDefault="00000000">
            <w:pPr>
              <w:spacing w:before="60" w:after="60"/>
              <w:ind w:right="423"/>
              <w:jc w:val="right"/>
              <w:rPr>
                <w:szCs w:val="22"/>
              </w:rPr>
            </w:pPr>
            <w:r>
              <w:rPr>
                <w:szCs w:val="22"/>
              </w:rPr>
              <w:t>2</w:t>
            </w:r>
          </w:p>
        </w:tc>
      </w:tr>
      <w:tr w:rsidR="00000000">
        <w:tc>
          <w:tcPr>
            <w:tcW w:w="3840" w:type="dxa"/>
            <w:tcBorders>
              <w:bottom w:val="single" w:sz="4" w:space="0" w:color="auto"/>
            </w:tcBorders>
          </w:tcPr>
          <w:p w:rsidR="00000000" w:rsidRDefault="00000000">
            <w:pPr>
              <w:spacing w:before="60" w:after="60"/>
            </w:pPr>
            <w:r>
              <w:t>S. José</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15</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5</w:t>
            </w:r>
          </w:p>
        </w:tc>
        <w:tc>
          <w:tcPr>
            <w:tcW w:w="1560" w:type="dxa"/>
            <w:tcBorders>
              <w:bottom w:val="single" w:sz="4" w:space="0" w:color="auto"/>
            </w:tcBorders>
            <w:vAlign w:val="bottom"/>
          </w:tcPr>
          <w:p w:rsidR="00000000" w:rsidRDefault="00000000">
            <w:pPr>
              <w:spacing w:before="60" w:after="60"/>
              <w:ind w:right="423"/>
              <w:jc w:val="right"/>
              <w:rPr>
                <w:szCs w:val="22"/>
              </w:rPr>
            </w:pPr>
            <w:r>
              <w:rPr>
                <w:szCs w:val="22"/>
              </w:rPr>
              <w:t>10</w:t>
            </w:r>
          </w:p>
        </w:tc>
        <w:tc>
          <w:tcPr>
            <w:tcW w:w="1320" w:type="dxa"/>
            <w:tcBorders>
              <w:bottom w:val="single" w:sz="4" w:space="0" w:color="auto"/>
            </w:tcBorders>
            <w:vAlign w:val="bottom"/>
          </w:tcPr>
          <w:p w:rsidR="00000000" w:rsidRDefault="00000000">
            <w:pPr>
              <w:spacing w:before="60" w:after="60"/>
              <w:ind w:right="423"/>
              <w:jc w:val="right"/>
              <w:rPr>
                <w:szCs w:val="22"/>
              </w:rPr>
            </w:pPr>
          </w:p>
        </w:tc>
      </w:tr>
      <w:tr w:rsidR="00000000">
        <w:tc>
          <w:tcPr>
            <w:tcW w:w="3840" w:type="dxa"/>
            <w:tcBorders>
              <w:bottom w:val="single" w:sz="4" w:space="0" w:color="auto"/>
            </w:tcBorders>
          </w:tcPr>
          <w:p w:rsidR="00000000" w:rsidRDefault="00000000">
            <w:pPr>
              <w:spacing w:before="60" w:after="60"/>
            </w:pPr>
            <w:r>
              <w:t>Nombre de personnes du sexe féminin</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30</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8</w:t>
            </w:r>
          </w:p>
        </w:tc>
        <w:tc>
          <w:tcPr>
            <w:tcW w:w="1560" w:type="dxa"/>
            <w:tcBorders>
              <w:bottom w:val="single" w:sz="4" w:space="0" w:color="auto"/>
            </w:tcBorders>
            <w:vAlign w:val="bottom"/>
          </w:tcPr>
          <w:p w:rsidR="00000000" w:rsidRDefault="00000000">
            <w:pPr>
              <w:spacing w:before="60" w:after="60"/>
              <w:ind w:right="423"/>
              <w:jc w:val="right"/>
              <w:rPr>
                <w:szCs w:val="22"/>
              </w:rPr>
            </w:pPr>
            <w:r>
              <w:rPr>
                <w:szCs w:val="22"/>
              </w:rPr>
              <w:t>20</w:t>
            </w:r>
          </w:p>
        </w:tc>
        <w:tc>
          <w:tcPr>
            <w:tcW w:w="1320" w:type="dxa"/>
            <w:tcBorders>
              <w:bottom w:val="single" w:sz="4" w:space="0" w:color="auto"/>
            </w:tcBorders>
            <w:vAlign w:val="bottom"/>
          </w:tcPr>
          <w:p w:rsidR="00000000" w:rsidRDefault="00000000">
            <w:pPr>
              <w:spacing w:before="60" w:after="60"/>
              <w:ind w:right="423"/>
              <w:jc w:val="right"/>
              <w:rPr>
                <w:szCs w:val="22"/>
              </w:rPr>
            </w:pPr>
            <w:r>
              <w:rPr>
                <w:szCs w:val="22"/>
              </w:rPr>
              <w:t>2</w:t>
            </w:r>
          </w:p>
        </w:tc>
      </w:tr>
      <w:tr w:rsidR="00000000">
        <w:tc>
          <w:tcPr>
            <w:tcW w:w="3840" w:type="dxa"/>
          </w:tcPr>
          <w:p w:rsidR="00000000" w:rsidRDefault="00000000">
            <w:pPr>
              <w:spacing w:before="60" w:after="60"/>
              <w:rPr>
                <w:szCs w:val="22"/>
              </w:rPr>
            </w:pPr>
            <w:r>
              <w:rPr>
                <w:b/>
                <w:szCs w:val="22"/>
              </w:rPr>
              <w:t>Total</w:t>
            </w:r>
          </w:p>
        </w:tc>
        <w:tc>
          <w:tcPr>
            <w:tcW w:w="1320" w:type="dxa"/>
            <w:vAlign w:val="bottom"/>
          </w:tcPr>
          <w:p w:rsidR="00000000" w:rsidRDefault="00000000">
            <w:pPr>
              <w:spacing w:before="60" w:after="60"/>
              <w:ind w:right="423"/>
              <w:jc w:val="right"/>
              <w:rPr>
                <w:b/>
                <w:szCs w:val="22"/>
              </w:rPr>
            </w:pPr>
            <w:r>
              <w:rPr>
                <w:b/>
                <w:szCs w:val="22"/>
              </w:rPr>
              <w:t>328</w:t>
            </w:r>
          </w:p>
        </w:tc>
        <w:tc>
          <w:tcPr>
            <w:tcW w:w="1320" w:type="dxa"/>
            <w:vAlign w:val="bottom"/>
          </w:tcPr>
          <w:p w:rsidR="00000000" w:rsidRDefault="00000000">
            <w:pPr>
              <w:spacing w:before="60" w:after="60"/>
              <w:ind w:right="423"/>
              <w:jc w:val="right"/>
              <w:rPr>
                <w:b/>
                <w:szCs w:val="22"/>
              </w:rPr>
            </w:pPr>
            <w:r>
              <w:rPr>
                <w:b/>
                <w:szCs w:val="22"/>
              </w:rPr>
              <w:t>50</w:t>
            </w:r>
          </w:p>
        </w:tc>
        <w:tc>
          <w:tcPr>
            <w:tcW w:w="1560" w:type="dxa"/>
            <w:vAlign w:val="bottom"/>
          </w:tcPr>
          <w:p w:rsidR="00000000" w:rsidRDefault="00000000">
            <w:pPr>
              <w:spacing w:before="60" w:after="60"/>
              <w:ind w:right="423"/>
              <w:jc w:val="right"/>
              <w:rPr>
                <w:b/>
                <w:szCs w:val="22"/>
              </w:rPr>
            </w:pPr>
            <w:r>
              <w:rPr>
                <w:b/>
                <w:szCs w:val="22"/>
              </w:rPr>
              <w:t>232</w:t>
            </w:r>
          </w:p>
        </w:tc>
        <w:tc>
          <w:tcPr>
            <w:tcW w:w="1320" w:type="dxa"/>
            <w:vAlign w:val="bottom"/>
          </w:tcPr>
          <w:p w:rsidR="00000000" w:rsidRDefault="00000000">
            <w:pPr>
              <w:spacing w:before="60" w:after="60"/>
              <w:ind w:right="423"/>
              <w:jc w:val="right"/>
              <w:rPr>
                <w:b/>
                <w:szCs w:val="22"/>
              </w:rPr>
            </w:pPr>
            <w:r>
              <w:rPr>
                <w:b/>
                <w:szCs w:val="22"/>
              </w:rPr>
              <w:t>46</w:t>
            </w:r>
          </w:p>
        </w:tc>
      </w:tr>
    </w:tbl>
    <w:p w:rsidR="00000000" w:rsidRDefault="00000000">
      <w:pPr>
        <w:spacing w:after="240"/>
      </w:pPr>
      <w:r>
        <w:br/>
        <w:t>205.</w:t>
      </w:r>
      <w:r>
        <w:tab/>
        <w:t>Dans les centres éducatifs toutes les places existantes sont occupées; dans des cas précis, il y a eu suroccupation. L’Institut de réinsertion sociale gère au mieux les places existantes, car il arrive que certains jeunes, dans l’attente d’une décision d’internement, ne sont pas immédiatement conduits aux centres mentionnés. Une suroccupation est donc prévisible à court terme.</w:t>
      </w:r>
    </w:p>
    <w:p w:rsidR="00000000" w:rsidRDefault="00000000">
      <w:pPr>
        <w:spacing w:after="240"/>
        <w:jc w:val="center"/>
        <w:rPr>
          <w:b/>
        </w:rPr>
      </w:pPr>
      <w:r>
        <w:rPr>
          <w:b/>
        </w:rPr>
        <w:t>Tableau 3.  Mineurs ou jeunes internés en collège d’accueil d’éducation et de formation et en unité résidentielle autonome</w:t>
      </w:r>
      <w:r>
        <w:rPr>
          <w:b/>
          <w:vertAlign w:val="superscript"/>
        </w:rPr>
        <w:t>a</w:t>
      </w:r>
      <w:r>
        <w:rPr>
          <w:b/>
        </w:rPr>
        <w:t xml:space="preserve"> par situation juridique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2"/>
        <w:gridCol w:w="2268"/>
        <w:gridCol w:w="2268"/>
      </w:tblGrid>
      <w:tr w:rsidR="00000000">
        <w:trPr>
          <w:jc w:val="center"/>
        </w:trPr>
        <w:tc>
          <w:tcPr>
            <w:tcW w:w="4722" w:type="dxa"/>
            <w:vAlign w:val="center"/>
          </w:tcPr>
          <w:p w:rsidR="00000000" w:rsidRDefault="00000000">
            <w:pPr>
              <w:spacing w:before="60" w:after="60"/>
              <w:jc w:val="center"/>
              <w:rPr>
                <w:b/>
                <w:szCs w:val="22"/>
              </w:rPr>
            </w:pPr>
            <w:r>
              <w:rPr>
                <w:b/>
                <w:szCs w:val="22"/>
              </w:rPr>
              <w:t>Décision d’internement</w:t>
            </w:r>
          </w:p>
        </w:tc>
        <w:tc>
          <w:tcPr>
            <w:tcW w:w="2268" w:type="dxa"/>
            <w:vAlign w:val="center"/>
          </w:tcPr>
          <w:p w:rsidR="00000000" w:rsidRDefault="00000000">
            <w:pPr>
              <w:spacing w:before="60" w:after="60"/>
              <w:jc w:val="center"/>
              <w:rPr>
                <w:b/>
                <w:szCs w:val="22"/>
              </w:rPr>
            </w:pPr>
            <w:r>
              <w:rPr>
                <w:b/>
                <w:szCs w:val="22"/>
              </w:rPr>
              <w:t>31 décembre 1999</w:t>
            </w:r>
          </w:p>
        </w:tc>
        <w:tc>
          <w:tcPr>
            <w:tcW w:w="2268" w:type="dxa"/>
            <w:vAlign w:val="center"/>
          </w:tcPr>
          <w:p w:rsidR="00000000" w:rsidRDefault="00000000">
            <w:pPr>
              <w:spacing w:before="60" w:after="60"/>
              <w:jc w:val="center"/>
              <w:rPr>
                <w:b/>
                <w:szCs w:val="22"/>
              </w:rPr>
            </w:pPr>
            <w:r>
              <w:rPr>
                <w:b/>
                <w:szCs w:val="22"/>
              </w:rPr>
              <w:t>31 décembre 2000</w:t>
            </w:r>
          </w:p>
        </w:tc>
      </w:tr>
      <w:tr w:rsidR="00000000">
        <w:trPr>
          <w:jc w:val="center"/>
        </w:trPr>
        <w:tc>
          <w:tcPr>
            <w:tcW w:w="4722" w:type="dxa"/>
            <w:vAlign w:val="center"/>
          </w:tcPr>
          <w:p w:rsidR="00000000" w:rsidRDefault="00000000">
            <w:pPr>
              <w:spacing w:before="60" w:after="60"/>
              <w:rPr>
                <w:szCs w:val="22"/>
              </w:rPr>
            </w:pPr>
            <w:r>
              <w:rPr>
                <w:szCs w:val="22"/>
              </w:rPr>
              <w:t>Confiance à la garde des collèges</w:t>
            </w:r>
          </w:p>
        </w:tc>
        <w:tc>
          <w:tcPr>
            <w:tcW w:w="2268" w:type="dxa"/>
            <w:vAlign w:val="center"/>
          </w:tcPr>
          <w:p w:rsidR="00000000" w:rsidRDefault="00000000">
            <w:pPr>
              <w:spacing w:before="60" w:after="60"/>
              <w:ind w:right="691"/>
              <w:jc w:val="right"/>
              <w:rPr>
                <w:szCs w:val="22"/>
              </w:rPr>
            </w:pPr>
            <w:r>
              <w:rPr>
                <w:szCs w:val="22"/>
              </w:rPr>
              <w:t>5</w:t>
            </w:r>
          </w:p>
        </w:tc>
        <w:tc>
          <w:tcPr>
            <w:tcW w:w="2268" w:type="dxa"/>
            <w:vAlign w:val="center"/>
          </w:tcPr>
          <w:p w:rsidR="00000000" w:rsidRDefault="00000000">
            <w:pPr>
              <w:spacing w:before="60" w:after="60"/>
              <w:ind w:right="691"/>
              <w:jc w:val="right"/>
              <w:rPr>
                <w:szCs w:val="22"/>
              </w:rPr>
            </w:pPr>
            <w:r>
              <w:rPr>
                <w:szCs w:val="22"/>
              </w:rPr>
              <w:t>2</w:t>
            </w:r>
          </w:p>
        </w:tc>
      </w:tr>
      <w:tr w:rsidR="00000000">
        <w:trPr>
          <w:jc w:val="center"/>
        </w:trPr>
        <w:tc>
          <w:tcPr>
            <w:tcW w:w="4722" w:type="dxa"/>
            <w:vAlign w:val="center"/>
          </w:tcPr>
          <w:p w:rsidR="00000000" w:rsidRDefault="00000000">
            <w:pPr>
              <w:spacing w:before="60" w:after="60"/>
              <w:rPr>
                <w:szCs w:val="22"/>
              </w:rPr>
            </w:pPr>
            <w:r>
              <w:rPr>
                <w:szCs w:val="22"/>
              </w:rPr>
              <w:t>Internement pour observation</w:t>
            </w:r>
          </w:p>
        </w:tc>
        <w:tc>
          <w:tcPr>
            <w:tcW w:w="2268" w:type="dxa"/>
            <w:vAlign w:val="center"/>
          </w:tcPr>
          <w:p w:rsidR="00000000" w:rsidRDefault="00000000">
            <w:pPr>
              <w:spacing w:before="60" w:after="60"/>
              <w:ind w:right="691"/>
              <w:jc w:val="right"/>
              <w:rPr>
                <w:szCs w:val="22"/>
              </w:rPr>
            </w:pPr>
            <w:r>
              <w:rPr>
                <w:szCs w:val="22"/>
              </w:rPr>
              <w:t>155</w:t>
            </w:r>
          </w:p>
        </w:tc>
        <w:tc>
          <w:tcPr>
            <w:tcW w:w="2268" w:type="dxa"/>
            <w:vAlign w:val="center"/>
          </w:tcPr>
          <w:p w:rsidR="00000000" w:rsidRDefault="00000000">
            <w:pPr>
              <w:spacing w:before="60" w:after="60"/>
              <w:ind w:right="691"/>
              <w:jc w:val="right"/>
              <w:rPr>
                <w:szCs w:val="22"/>
              </w:rPr>
            </w:pPr>
            <w:r>
              <w:rPr>
                <w:szCs w:val="22"/>
              </w:rPr>
              <w:t>81</w:t>
            </w:r>
          </w:p>
        </w:tc>
      </w:tr>
      <w:tr w:rsidR="00000000">
        <w:trPr>
          <w:jc w:val="center"/>
        </w:trPr>
        <w:tc>
          <w:tcPr>
            <w:tcW w:w="4722" w:type="dxa"/>
            <w:vAlign w:val="center"/>
          </w:tcPr>
          <w:p w:rsidR="00000000" w:rsidRDefault="00000000">
            <w:pPr>
              <w:spacing w:before="60" w:after="60"/>
              <w:rPr>
                <w:szCs w:val="22"/>
              </w:rPr>
            </w:pPr>
            <w:r>
              <w:rPr>
                <w:szCs w:val="22"/>
              </w:rPr>
              <w:t>Observation conclue – attente de la décision</w:t>
            </w:r>
          </w:p>
        </w:tc>
        <w:tc>
          <w:tcPr>
            <w:tcW w:w="2268" w:type="dxa"/>
            <w:vAlign w:val="center"/>
          </w:tcPr>
          <w:p w:rsidR="00000000" w:rsidRDefault="00000000">
            <w:pPr>
              <w:spacing w:before="60" w:after="60"/>
              <w:ind w:right="691"/>
              <w:jc w:val="right"/>
              <w:rPr>
                <w:szCs w:val="22"/>
              </w:rPr>
            </w:pPr>
            <w:r>
              <w:rPr>
                <w:szCs w:val="22"/>
              </w:rPr>
              <w:t>129</w:t>
            </w:r>
          </w:p>
        </w:tc>
        <w:tc>
          <w:tcPr>
            <w:tcW w:w="2268" w:type="dxa"/>
            <w:vAlign w:val="center"/>
          </w:tcPr>
          <w:p w:rsidR="00000000" w:rsidRDefault="00000000">
            <w:pPr>
              <w:spacing w:before="60" w:after="60"/>
              <w:ind w:right="691"/>
              <w:jc w:val="right"/>
              <w:rPr>
                <w:szCs w:val="22"/>
              </w:rPr>
            </w:pPr>
            <w:r>
              <w:rPr>
                <w:szCs w:val="22"/>
              </w:rPr>
              <w:t>211</w:t>
            </w:r>
          </w:p>
        </w:tc>
      </w:tr>
      <w:tr w:rsidR="00000000">
        <w:trPr>
          <w:jc w:val="center"/>
        </w:trPr>
        <w:tc>
          <w:tcPr>
            <w:tcW w:w="4722" w:type="dxa"/>
            <w:vAlign w:val="center"/>
          </w:tcPr>
          <w:p w:rsidR="00000000" w:rsidRDefault="00000000">
            <w:pPr>
              <w:spacing w:before="60" w:after="60"/>
              <w:rPr>
                <w:szCs w:val="22"/>
              </w:rPr>
            </w:pPr>
            <w:r>
              <w:rPr>
                <w:szCs w:val="22"/>
              </w:rPr>
              <w:t>Exécution de la mesure tutélaire d’internement</w:t>
            </w:r>
          </w:p>
        </w:tc>
        <w:tc>
          <w:tcPr>
            <w:tcW w:w="2268" w:type="dxa"/>
            <w:vAlign w:val="center"/>
          </w:tcPr>
          <w:p w:rsidR="00000000" w:rsidRDefault="00000000">
            <w:pPr>
              <w:spacing w:before="60" w:after="60"/>
              <w:ind w:right="691"/>
              <w:jc w:val="right"/>
              <w:rPr>
                <w:szCs w:val="22"/>
              </w:rPr>
            </w:pPr>
            <w:r>
              <w:rPr>
                <w:szCs w:val="22"/>
              </w:rPr>
              <w:t>397</w:t>
            </w:r>
          </w:p>
        </w:tc>
        <w:tc>
          <w:tcPr>
            <w:tcW w:w="2268" w:type="dxa"/>
            <w:vAlign w:val="center"/>
          </w:tcPr>
          <w:p w:rsidR="00000000" w:rsidRDefault="00000000">
            <w:pPr>
              <w:spacing w:before="60" w:after="60"/>
              <w:ind w:right="691"/>
              <w:jc w:val="right"/>
              <w:rPr>
                <w:szCs w:val="22"/>
              </w:rPr>
            </w:pPr>
            <w:r>
              <w:rPr>
                <w:szCs w:val="22"/>
              </w:rPr>
              <w:t>296</w:t>
            </w:r>
          </w:p>
        </w:tc>
      </w:tr>
      <w:tr w:rsidR="00000000">
        <w:trPr>
          <w:jc w:val="center"/>
        </w:trPr>
        <w:tc>
          <w:tcPr>
            <w:tcW w:w="4722" w:type="dxa"/>
            <w:vAlign w:val="center"/>
          </w:tcPr>
          <w:p w:rsidR="00000000" w:rsidRDefault="00000000">
            <w:pPr>
              <w:spacing w:before="60" w:after="60"/>
              <w:rPr>
                <w:szCs w:val="22"/>
              </w:rPr>
            </w:pPr>
            <w:r>
              <w:rPr>
                <w:szCs w:val="22"/>
              </w:rPr>
              <w:t>Autres mesures tutélaires</w:t>
            </w:r>
          </w:p>
        </w:tc>
        <w:tc>
          <w:tcPr>
            <w:tcW w:w="2268" w:type="dxa"/>
            <w:vAlign w:val="center"/>
          </w:tcPr>
          <w:p w:rsidR="00000000" w:rsidRDefault="00000000">
            <w:pPr>
              <w:spacing w:before="60" w:after="60"/>
              <w:ind w:right="691"/>
              <w:jc w:val="right"/>
              <w:rPr>
                <w:szCs w:val="22"/>
              </w:rPr>
            </w:pPr>
            <w:r>
              <w:rPr>
                <w:szCs w:val="22"/>
              </w:rPr>
              <w:t>40</w:t>
            </w:r>
          </w:p>
        </w:tc>
        <w:tc>
          <w:tcPr>
            <w:tcW w:w="2268" w:type="dxa"/>
            <w:vAlign w:val="center"/>
          </w:tcPr>
          <w:p w:rsidR="00000000" w:rsidRDefault="00000000">
            <w:pPr>
              <w:spacing w:before="60" w:after="60"/>
              <w:ind w:right="691"/>
              <w:jc w:val="right"/>
              <w:rPr>
                <w:szCs w:val="22"/>
              </w:rPr>
            </w:pPr>
            <w:r>
              <w:rPr>
                <w:szCs w:val="22"/>
              </w:rPr>
              <w:t>25</w:t>
            </w:r>
          </w:p>
        </w:tc>
      </w:tr>
      <w:tr w:rsidR="00000000">
        <w:trPr>
          <w:jc w:val="center"/>
        </w:trPr>
        <w:tc>
          <w:tcPr>
            <w:tcW w:w="4722" w:type="dxa"/>
            <w:tcBorders>
              <w:bottom w:val="single" w:sz="4" w:space="0" w:color="auto"/>
            </w:tcBorders>
            <w:vAlign w:val="center"/>
          </w:tcPr>
          <w:p w:rsidR="00000000" w:rsidRDefault="00000000">
            <w:pPr>
              <w:spacing w:before="60" w:after="60"/>
              <w:rPr>
                <w:szCs w:val="22"/>
              </w:rPr>
            </w:pPr>
            <w:r>
              <w:rPr>
                <w:szCs w:val="22"/>
              </w:rPr>
              <w:t>Autorisation administrative de confiance</w:t>
            </w:r>
          </w:p>
        </w:tc>
        <w:tc>
          <w:tcPr>
            <w:tcW w:w="2268" w:type="dxa"/>
            <w:tcBorders>
              <w:bottom w:val="single" w:sz="4" w:space="0" w:color="auto"/>
            </w:tcBorders>
            <w:vAlign w:val="center"/>
          </w:tcPr>
          <w:p w:rsidR="00000000" w:rsidRDefault="00000000">
            <w:pPr>
              <w:spacing w:before="60" w:after="60"/>
              <w:ind w:right="691"/>
              <w:jc w:val="right"/>
              <w:rPr>
                <w:szCs w:val="22"/>
              </w:rPr>
            </w:pPr>
            <w:r>
              <w:rPr>
                <w:szCs w:val="22"/>
              </w:rPr>
              <w:t>28</w:t>
            </w:r>
          </w:p>
        </w:tc>
        <w:tc>
          <w:tcPr>
            <w:tcW w:w="2268" w:type="dxa"/>
            <w:tcBorders>
              <w:bottom w:val="single" w:sz="4" w:space="0" w:color="auto"/>
            </w:tcBorders>
            <w:vAlign w:val="center"/>
          </w:tcPr>
          <w:p w:rsidR="00000000" w:rsidRDefault="00000000">
            <w:pPr>
              <w:spacing w:before="60" w:after="60"/>
              <w:ind w:right="691"/>
              <w:jc w:val="right"/>
              <w:rPr>
                <w:szCs w:val="22"/>
              </w:rPr>
            </w:pPr>
            <w:r>
              <w:rPr>
                <w:szCs w:val="22"/>
              </w:rPr>
              <w:t>19</w:t>
            </w:r>
          </w:p>
        </w:tc>
      </w:tr>
      <w:tr w:rsidR="00000000">
        <w:trPr>
          <w:jc w:val="center"/>
        </w:trPr>
        <w:tc>
          <w:tcPr>
            <w:tcW w:w="4722" w:type="dxa"/>
            <w:tcBorders>
              <w:bottom w:val="single" w:sz="4" w:space="0" w:color="auto"/>
            </w:tcBorders>
            <w:vAlign w:val="center"/>
          </w:tcPr>
          <w:p w:rsidR="00000000" w:rsidRDefault="00000000">
            <w:pPr>
              <w:spacing w:before="60" w:after="60"/>
              <w:rPr>
                <w:b/>
                <w:szCs w:val="22"/>
              </w:rPr>
            </w:pPr>
            <w:r>
              <w:rPr>
                <w:b/>
                <w:szCs w:val="22"/>
              </w:rPr>
              <w:t>Total</w:t>
            </w:r>
          </w:p>
        </w:tc>
        <w:tc>
          <w:tcPr>
            <w:tcW w:w="2268" w:type="dxa"/>
            <w:tcBorders>
              <w:bottom w:val="single" w:sz="4" w:space="0" w:color="auto"/>
            </w:tcBorders>
            <w:vAlign w:val="center"/>
          </w:tcPr>
          <w:p w:rsidR="00000000" w:rsidRDefault="00000000">
            <w:pPr>
              <w:spacing w:before="60" w:after="60"/>
              <w:ind w:right="691"/>
              <w:jc w:val="right"/>
              <w:rPr>
                <w:b/>
                <w:szCs w:val="22"/>
              </w:rPr>
            </w:pPr>
            <w:r>
              <w:rPr>
                <w:b/>
                <w:szCs w:val="22"/>
              </w:rPr>
              <w:t>754</w:t>
            </w:r>
          </w:p>
        </w:tc>
        <w:tc>
          <w:tcPr>
            <w:tcW w:w="2268" w:type="dxa"/>
            <w:tcBorders>
              <w:bottom w:val="single" w:sz="4" w:space="0" w:color="auto"/>
            </w:tcBorders>
            <w:vAlign w:val="center"/>
          </w:tcPr>
          <w:p w:rsidR="00000000" w:rsidRDefault="00000000">
            <w:pPr>
              <w:spacing w:before="60" w:after="60"/>
              <w:ind w:right="691"/>
              <w:jc w:val="right"/>
              <w:rPr>
                <w:b/>
                <w:szCs w:val="22"/>
              </w:rPr>
            </w:pPr>
            <w:r>
              <w:rPr>
                <w:b/>
                <w:szCs w:val="22"/>
              </w:rPr>
              <w:t>634</w:t>
            </w:r>
          </w:p>
        </w:tc>
      </w:tr>
    </w:tbl>
    <w:p w:rsidR="00000000" w:rsidRDefault="00000000">
      <w:pPr>
        <w:spacing w:after="240"/>
        <w:rPr>
          <w:b/>
        </w:rPr>
      </w:pPr>
      <w:r>
        <w:rPr>
          <w:b/>
        </w:rPr>
        <w:br/>
      </w:r>
      <w:r>
        <w:rPr>
          <w:b/>
          <w:bCs/>
          <w:vertAlign w:val="superscript"/>
        </w:rPr>
        <w:t>a</w:t>
      </w:r>
      <w:r>
        <w:t xml:space="preserve"> Désignation des centres éducatifs actuels avant l’entrée en vigueur de l’actuelle loi tutélaire éducative, à partir du 1</w:t>
      </w:r>
      <w:r>
        <w:rPr>
          <w:vertAlign w:val="superscript"/>
        </w:rPr>
        <w:t>er</w:t>
      </w:r>
      <w:r>
        <w:t xml:space="preserve"> janvier 2001. </w:t>
      </w:r>
      <w:r>
        <w:rPr>
          <w:lang w:val="es-ES"/>
        </w:rPr>
        <w:t>Les données de ce tableau se rapportent donc aux années 1999 et 2000.</w:t>
      </w:r>
    </w:p>
    <w:p w:rsidR="00000000" w:rsidRDefault="00000000">
      <w:pPr>
        <w:keepNext/>
        <w:spacing w:after="240"/>
        <w:jc w:val="center"/>
        <w:rPr>
          <w:b/>
        </w:rPr>
      </w:pPr>
      <w:r>
        <w:rPr>
          <w:b/>
        </w:rPr>
        <w:t>Tableau 4.  Mineurs internés en Centre éducatif par situation juridique</w:t>
      </w: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427"/>
        <w:gridCol w:w="1519"/>
        <w:gridCol w:w="1520"/>
        <w:gridCol w:w="1520"/>
        <w:gridCol w:w="1386"/>
      </w:tblGrid>
      <w:tr w:rsidR="00000000">
        <w:trPr>
          <w:jc w:val="center"/>
        </w:trPr>
        <w:tc>
          <w:tcPr>
            <w:tcW w:w="3248" w:type="dxa"/>
            <w:vAlign w:val="center"/>
          </w:tcPr>
          <w:p w:rsidR="00000000" w:rsidRDefault="00000000">
            <w:pPr>
              <w:keepNext/>
              <w:spacing w:before="60" w:after="60"/>
              <w:jc w:val="center"/>
              <w:rPr>
                <w:b/>
                <w:szCs w:val="22"/>
              </w:rPr>
            </w:pPr>
            <w:r>
              <w:rPr>
                <w:b/>
                <w:szCs w:val="22"/>
              </w:rPr>
              <w:t>Décision d’internement</w:t>
            </w:r>
          </w:p>
        </w:tc>
        <w:tc>
          <w:tcPr>
            <w:tcW w:w="1440" w:type="dxa"/>
            <w:vAlign w:val="center"/>
          </w:tcPr>
          <w:p w:rsidR="00000000" w:rsidRDefault="00000000">
            <w:pPr>
              <w:keepNext/>
              <w:spacing w:before="60" w:after="60"/>
              <w:jc w:val="center"/>
              <w:rPr>
                <w:b/>
              </w:rPr>
            </w:pPr>
            <w:r>
              <w:rPr>
                <w:b/>
              </w:rPr>
              <w:t>31 décembre 2001</w:t>
            </w:r>
          </w:p>
        </w:tc>
        <w:tc>
          <w:tcPr>
            <w:tcW w:w="1440" w:type="dxa"/>
            <w:vAlign w:val="center"/>
          </w:tcPr>
          <w:p w:rsidR="00000000" w:rsidRDefault="00000000">
            <w:pPr>
              <w:keepNext/>
              <w:spacing w:before="60" w:after="60"/>
              <w:jc w:val="center"/>
              <w:rPr>
                <w:b/>
              </w:rPr>
            </w:pPr>
            <w:r>
              <w:rPr>
                <w:b/>
              </w:rPr>
              <w:t>31 décembre 2002</w:t>
            </w:r>
          </w:p>
        </w:tc>
        <w:tc>
          <w:tcPr>
            <w:tcW w:w="1440" w:type="dxa"/>
            <w:vAlign w:val="center"/>
          </w:tcPr>
          <w:p w:rsidR="00000000" w:rsidRDefault="00000000">
            <w:pPr>
              <w:keepNext/>
              <w:spacing w:before="60" w:after="60"/>
              <w:jc w:val="center"/>
              <w:rPr>
                <w:b/>
              </w:rPr>
            </w:pPr>
            <w:r>
              <w:rPr>
                <w:b/>
              </w:rPr>
              <w:t>31 décembre 2003</w:t>
            </w:r>
          </w:p>
        </w:tc>
        <w:tc>
          <w:tcPr>
            <w:tcW w:w="1313" w:type="dxa"/>
            <w:vAlign w:val="center"/>
          </w:tcPr>
          <w:p w:rsidR="00000000" w:rsidRDefault="00000000">
            <w:pPr>
              <w:keepNext/>
              <w:spacing w:before="60" w:after="60"/>
              <w:jc w:val="center"/>
              <w:rPr>
                <w:b/>
              </w:rPr>
            </w:pPr>
            <w:r>
              <w:rPr>
                <w:b/>
              </w:rPr>
              <w:t>30 avril</w:t>
            </w:r>
            <w:r>
              <w:rPr>
                <w:b/>
              </w:rPr>
              <w:br/>
              <w:t>2004</w:t>
            </w:r>
          </w:p>
        </w:tc>
      </w:tr>
      <w:tr w:rsidR="00000000">
        <w:trPr>
          <w:jc w:val="center"/>
        </w:trPr>
        <w:tc>
          <w:tcPr>
            <w:tcW w:w="3248" w:type="dxa"/>
            <w:vAlign w:val="center"/>
          </w:tcPr>
          <w:p w:rsidR="00000000" w:rsidRDefault="00000000">
            <w:pPr>
              <w:keepNext/>
              <w:spacing w:before="60" w:after="60"/>
              <w:rPr>
                <w:szCs w:val="22"/>
              </w:rPr>
            </w:pPr>
            <w:r>
              <w:rPr>
                <w:szCs w:val="22"/>
              </w:rPr>
              <w:t>Internement pour expertise relative à la personnalité/ Régime semi</w:t>
            </w:r>
            <w:r>
              <w:rPr>
                <w:szCs w:val="22"/>
              </w:rPr>
              <w:noBreakHyphen/>
              <w:t>ouvert</w:t>
            </w:r>
          </w:p>
        </w:tc>
        <w:tc>
          <w:tcPr>
            <w:tcW w:w="1440" w:type="dxa"/>
            <w:vAlign w:val="bottom"/>
          </w:tcPr>
          <w:p w:rsidR="00000000" w:rsidRDefault="00000000">
            <w:pPr>
              <w:keepNext/>
              <w:spacing w:before="60" w:after="60"/>
              <w:ind w:right="590"/>
              <w:jc w:val="right"/>
              <w:rPr>
                <w:szCs w:val="22"/>
              </w:rPr>
            </w:pPr>
            <w:r>
              <w:rPr>
                <w:szCs w:val="22"/>
              </w:rPr>
              <w:t>2</w:t>
            </w:r>
          </w:p>
        </w:tc>
        <w:tc>
          <w:tcPr>
            <w:tcW w:w="1440" w:type="dxa"/>
            <w:vAlign w:val="bottom"/>
          </w:tcPr>
          <w:p w:rsidR="00000000" w:rsidRDefault="00000000">
            <w:pPr>
              <w:keepNext/>
              <w:spacing w:before="60" w:after="60"/>
              <w:ind w:right="590"/>
              <w:jc w:val="right"/>
              <w:rPr>
                <w:szCs w:val="22"/>
              </w:rPr>
            </w:pPr>
            <w:r>
              <w:rPr>
                <w:szCs w:val="22"/>
              </w:rPr>
              <w:t>4</w:t>
            </w:r>
          </w:p>
        </w:tc>
        <w:tc>
          <w:tcPr>
            <w:tcW w:w="1440" w:type="dxa"/>
            <w:vAlign w:val="bottom"/>
          </w:tcPr>
          <w:p w:rsidR="00000000" w:rsidRDefault="00000000">
            <w:pPr>
              <w:keepNext/>
              <w:spacing w:before="60" w:after="60"/>
              <w:ind w:right="590"/>
              <w:jc w:val="right"/>
              <w:rPr>
                <w:szCs w:val="22"/>
              </w:rPr>
            </w:pPr>
            <w:r>
              <w:rPr>
                <w:szCs w:val="22"/>
              </w:rPr>
              <w:t>2</w:t>
            </w:r>
          </w:p>
        </w:tc>
        <w:tc>
          <w:tcPr>
            <w:tcW w:w="1313" w:type="dxa"/>
            <w:vAlign w:val="bottom"/>
          </w:tcPr>
          <w:p w:rsidR="00000000" w:rsidRDefault="00000000">
            <w:pPr>
              <w:keepNext/>
              <w:spacing w:before="60" w:after="60"/>
              <w:ind w:right="590"/>
              <w:jc w:val="right"/>
              <w:rPr>
                <w:szCs w:val="22"/>
              </w:rPr>
            </w:pPr>
            <w:r>
              <w:rPr>
                <w:szCs w:val="22"/>
              </w:rPr>
              <w:t>1</w:t>
            </w:r>
          </w:p>
        </w:tc>
      </w:tr>
      <w:tr w:rsidR="00000000">
        <w:trPr>
          <w:jc w:val="center"/>
        </w:trPr>
        <w:tc>
          <w:tcPr>
            <w:tcW w:w="3248" w:type="dxa"/>
            <w:vAlign w:val="center"/>
          </w:tcPr>
          <w:p w:rsidR="00000000" w:rsidRDefault="00000000">
            <w:pPr>
              <w:spacing w:before="60" w:after="60"/>
              <w:rPr>
                <w:szCs w:val="22"/>
              </w:rPr>
            </w:pPr>
            <w:r>
              <w:rPr>
                <w:szCs w:val="22"/>
              </w:rPr>
              <w:t>Internement pour expertise relative à la personnalité/ Régime fermé</w:t>
            </w:r>
          </w:p>
        </w:tc>
        <w:tc>
          <w:tcPr>
            <w:tcW w:w="1440" w:type="dxa"/>
            <w:vAlign w:val="bottom"/>
          </w:tcPr>
          <w:p w:rsidR="00000000" w:rsidRDefault="00000000">
            <w:pPr>
              <w:spacing w:before="60" w:after="60"/>
              <w:ind w:right="590"/>
              <w:jc w:val="right"/>
              <w:rPr>
                <w:szCs w:val="22"/>
              </w:rPr>
            </w:pPr>
            <w:r>
              <w:rPr>
                <w:szCs w:val="22"/>
              </w:rPr>
              <w:t>2</w:t>
            </w:r>
          </w:p>
        </w:tc>
        <w:tc>
          <w:tcPr>
            <w:tcW w:w="1440" w:type="dxa"/>
            <w:vAlign w:val="bottom"/>
          </w:tcPr>
          <w:p w:rsidR="00000000" w:rsidRDefault="00000000">
            <w:pPr>
              <w:spacing w:before="60" w:after="60"/>
              <w:ind w:right="590"/>
              <w:jc w:val="right"/>
              <w:rPr>
                <w:szCs w:val="22"/>
              </w:rPr>
            </w:pPr>
            <w:r>
              <w:rPr>
                <w:szCs w:val="22"/>
              </w:rPr>
              <w:t>1</w:t>
            </w:r>
          </w:p>
        </w:tc>
        <w:tc>
          <w:tcPr>
            <w:tcW w:w="1440" w:type="dxa"/>
            <w:vAlign w:val="bottom"/>
          </w:tcPr>
          <w:p w:rsidR="00000000" w:rsidRDefault="00000000">
            <w:pPr>
              <w:spacing w:before="60" w:after="60"/>
              <w:ind w:right="590"/>
              <w:jc w:val="right"/>
              <w:rPr>
                <w:szCs w:val="22"/>
              </w:rPr>
            </w:pPr>
          </w:p>
        </w:tc>
        <w:tc>
          <w:tcPr>
            <w:tcW w:w="1313" w:type="dxa"/>
            <w:vAlign w:val="bottom"/>
          </w:tcPr>
          <w:p w:rsidR="00000000" w:rsidRDefault="00000000">
            <w:pPr>
              <w:spacing w:before="60" w:after="60"/>
              <w:ind w:right="590"/>
              <w:jc w:val="right"/>
              <w:rPr>
                <w:szCs w:val="22"/>
              </w:rPr>
            </w:pPr>
          </w:p>
        </w:tc>
      </w:tr>
      <w:tr w:rsidR="00000000">
        <w:trPr>
          <w:jc w:val="center"/>
        </w:trPr>
        <w:tc>
          <w:tcPr>
            <w:tcW w:w="3248" w:type="dxa"/>
            <w:vAlign w:val="center"/>
          </w:tcPr>
          <w:p w:rsidR="00000000" w:rsidRDefault="00000000">
            <w:pPr>
              <w:spacing w:before="60" w:after="60"/>
              <w:rPr>
                <w:szCs w:val="22"/>
              </w:rPr>
            </w:pPr>
            <w:r>
              <w:rPr>
                <w:szCs w:val="22"/>
              </w:rPr>
              <w:t>Mesure de précaution de garde/Régime semi-ouvert</w:t>
            </w:r>
          </w:p>
        </w:tc>
        <w:tc>
          <w:tcPr>
            <w:tcW w:w="1440" w:type="dxa"/>
            <w:vAlign w:val="bottom"/>
          </w:tcPr>
          <w:p w:rsidR="00000000" w:rsidRDefault="00000000">
            <w:pPr>
              <w:spacing w:before="60" w:after="60"/>
              <w:ind w:right="590"/>
              <w:jc w:val="right"/>
              <w:rPr>
                <w:szCs w:val="22"/>
              </w:rPr>
            </w:pPr>
            <w:r>
              <w:rPr>
                <w:szCs w:val="22"/>
              </w:rPr>
              <w:t>9</w:t>
            </w:r>
          </w:p>
        </w:tc>
        <w:tc>
          <w:tcPr>
            <w:tcW w:w="1440" w:type="dxa"/>
            <w:vAlign w:val="bottom"/>
          </w:tcPr>
          <w:p w:rsidR="00000000" w:rsidRDefault="00000000">
            <w:pPr>
              <w:spacing w:before="60" w:after="60"/>
              <w:ind w:right="590"/>
              <w:jc w:val="right"/>
              <w:rPr>
                <w:szCs w:val="22"/>
              </w:rPr>
            </w:pPr>
            <w:r>
              <w:rPr>
                <w:szCs w:val="22"/>
              </w:rPr>
              <w:t>27</w:t>
            </w:r>
          </w:p>
        </w:tc>
        <w:tc>
          <w:tcPr>
            <w:tcW w:w="1440" w:type="dxa"/>
            <w:vAlign w:val="bottom"/>
          </w:tcPr>
          <w:p w:rsidR="00000000" w:rsidRDefault="00000000">
            <w:pPr>
              <w:spacing w:before="60" w:after="60"/>
              <w:ind w:right="590"/>
              <w:jc w:val="right"/>
              <w:rPr>
                <w:szCs w:val="22"/>
              </w:rPr>
            </w:pPr>
            <w:r>
              <w:rPr>
                <w:szCs w:val="22"/>
              </w:rPr>
              <w:t>36</w:t>
            </w:r>
          </w:p>
        </w:tc>
        <w:tc>
          <w:tcPr>
            <w:tcW w:w="1313" w:type="dxa"/>
            <w:vAlign w:val="bottom"/>
          </w:tcPr>
          <w:p w:rsidR="00000000" w:rsidRDefault="00000000">
            <w:pPr>
              <w:spacing w:before="60" w:after="60"/>
              <w:ind w:right="590"/>
              <w:jc w:val="right"/>
              <w:rPr>
                <w:szCs w:val="22"/>
              </w:rPr>
            </w:pPr>
            <w:r>
              <w:rPr>
                <w:szCs w:val="22"/>
              </w:rPr>
              <w:t>28</w:t>
            </w:r>
          </w:p>
        </w:tc>
      </w:tr>
      <w:tr w:rsidR="00000000">
        <w:trPr>
          <w:jc w:val="center"/>
        </w:trPr>
        <w:tc>
          <w:tcPr>
            <w:tcW w:w="3248" w:type="dxa"/>
            <w:vAlign w:val="center"/>
          </w:tcPr>
          <w:p w:rsidR="00000000" w:rsidRDefault="00000000">
            <w:pPr>
              <w:spacing w:before="60" w:after="60"/>
              <w:rPr>
                <w:szCs w:val="22"/>
              </w:rPr>
            </w:pPr>
            <w:r>
              <w:rPr>
                <w:szCs w:val="22"/>
              </w:rPr>
              <w:t>Mesure de précaution de garde/Régime fermé</w:t>
            </w:r>
          </w:p>
        </w:tc>
        <w:tc>
          <w:tcPr>
            <w:tcW w:w="1440" w:type="dxa"/>
            <w:vAlign w:val="bottom"/>
          </w:tcPr>
          <w:p w:rsidR="00000000" w:rsidRDefault="00000000">
            <w:pPr>
              <w:spacing w:before="60" w:after="60"/>
              <w:ind w:right="590"/>
              <w:jc w:val="right"/>
              <w:rPr>
                <w:szCs w:val="22"/>
              </w:rPr>
            </w:pPr>
            <w:r>
              <w:rPr>
                <w:szCs w:val="22"/>
              </w:rPr>
              <w:t>17</w:t>
            </w:r>
          </w:p>
        </w:tc>
        <w:tc>
          <w:tcPr>
            <w:tcW w:w="1440" w:type="dxa"/>
            <w:vAlign w:val="bottom"/>
          </w:tcPr>
          <w:p w:rsidR="00000000" w:rsidRDefault="00000000">
            <w:pPr>
              <w:spacing w:before="60" w:after="60"/>
              <w:ind w:right="590"/>
              <w:jc w:val="right"/>
              <w:rPr>
                <w:szCs w:val="22"/>
              </w:rPr>
            </w:pPr>
            <w:r>
              <w:rPr>
                <w:szCs w:val="22"/>
              </w:rPr>
              <w:t>17</w:t>
            </w:r>
          </w:p>
        </w:tc>
        <w:tc>
          <w:tcPr>
            <w:tcW w:w="1440" w:type="dxa"/>
            <w:vAlign w:val="bottom"/>
          </w:tcPr>
          <w:p w:rsidR="00000000" w:rsidRDefault="00000000">
            <w:pPr>
              <w:spacing w:before="60" w:after="60"/>
              <w:ind w:right="590"/>
              <w:jc w:val="right"/>
              <w:rPr>
                <w:szCs w:val="22"/>
              </w:rPr>
            </w:pPr>
            <w:r>
              <w:rPr>
                <w:szCs w:val="22"/>
              </w:rPr>
              <w:t>5</w:t>
            </w:r>
          </w:p>
        </w:tc>
        <w:tc>
          <w:tcPr>
            <w:tcW w:w="1313" w:type="dxa"/>
            <w:vAlign w:val="bottom"/>
          </w:tcPr>
          <w:p w:rsidR="00000000" w:rsidRDefault="00000000">
            <w:pPr>
              <w:spacing w:before="60" w:after="60"/>
              <w:ind w:right="590"/>
              <w:jc w:val="right"/>
              <w:rPr>
                <w:szCs w:val="22"/>
              </w:rPr>
            </w:pPr>
            <w:r>
              <w:rPr>
                <w:szCs w:val="22"/>
              </w:rPr>
              <w:t>10</w:t>
            </w:r>
          </w:p>
        </w:tc>
      </w:tr>
      <w:tr w:rsidR="00000000">
        <w:trPr>
          <w:jc w:val="center"/>
        </w:trPr>
        <w:tc>
          <w:tcPr>
            <w:tcW w:w="3248" w:type="dxa"/>
            <w:vAlign w:val="center"/>
          </w:tcPr>
          <w:p w:rsidR="00000000" w:rsidRDefault="00000000">
            <w:pPr>
              <w:spacing w:before="60" w:after="60"/>
              <w:rPr>
                <w:szCs w:val="22"/>
              </w:rPr>
            </w:pPr>
            <w:r>
              <w:rPr>
                <w:szCs w:val="22"/>
              </w:rPr>
              <w:t>Mesure tutélaire d’internement /Régime ouvert</w:t>
            </w:r>
          </w:p>
        </w:tc>
        <w:tc>
          <w:tcPr>
            <w:tcW w:w="1440" w:type="dxa"/>
            <w:vAlign w:val="bottom"/>
          </w:tcPr>
          <w:p w:rsidR="00000000" w:rsidRDefault="00000000">
            <w:pPr>
              <w:spacing w:before="60" w:after="60"/>
              <w:ind w:right="590"/>
              <w:jc w:val="right"/>
              <w:rPr>
                <w:szCs w:val="22"/>
              </w:rPr>
            </w:pPr>
            <w:r>
              <w:rPr>
                <w:szCs w:val="22"/>
              </w:rPr>
              <w:t>22</w:t>
            </w:r>
          </w:p>
        </w:tc>
        <w:tc>
          <w:tcPr>
            <w:tcW w:w="1440" w:type="dxa"/>
            <w:vAlign w:val="bottom"/>
          </w:tcPr>
          <w:p w:rsidR="00000000" w:rsidRDefault="00000000">
            <w:pPr>
              <w:spacing w:before="60" w:after="60"/>
              <w:ind w:right="590"/>
              <w:jc w:val="right"/>
              <w:rPr>
                <w:szCs w:val="22"/>
              </w:rPr>
            </w:pPr>
            <w:r>
              <w:rPr>
                <w:szCs w:val="22"/>
              </w:rPr>
              <w:t>26</w:t>
            </w:r>
          </w:p>
        </w:tc>
        <w:tc>
          <w:tcPr>
            <w:tcW w:w="1440" w:type="dxa"/>
            <w:vAlign w:val="bottom"/>
          </w:tcPr>
          <w:p w:rsidR="00000000" w:rsidRDefault="00000000">
            <w:pPr>
              <w:spacing w:before="60" w:after="60"/>
              <w:ind w:right="590"/>
              <w:jc w:val="right"/>
              <w:rPr>
                <w:szCs w:val="22"/>
              </w:rPr>
            </w:pPr>
            <w:r>
              <w:rPr>
                <w:szCs w:val="22"/>
              </w:rPr>
              <w:t>32</w:t>
            </w:r>
          </w:p>
        </w:tc>
        <w:tc>
          <w:tcPr>
            <w:tcW w:w="1313" w:type="dxa"/>
            <w:vAlign w:val="bottom"/>
          </w:tcPr>
          <w:p w:rsidR="00000000" w:rsidRDefault="00000000">
            <w:pPr>
              <w:spacing w:before="60" w:after="60"/>
              <w:ind w:right="590"/>
              <w:jc w:val="right"/>
              <w:rPr>
                <w:szCs w:val="22"/>
              </w:rPr>
            </w:pPr>
            <w:r>
              <w:rPr>
                <w:szCs w:val="22"/>
              </w:rPr>
              <w:t>42</w:t>
            </w:r>
          </w:p>
        </w:tc>
      </w:tr>
      <w:tr w:rsidR="00000000">
        <w:trPr>
          <w:jc w:val="center"/>
        </w:trPr>
        <w:tc>
          <w:tcPr>
            <w:tcW w:w="3248" w:type="dxa"/>
            <w:vAlign w:val="center"/>
          </w:tcPr>
          <w:p w:rsidR="00000000" w:rsidRDefault="00000000">
            <w:pPr>
              <w:spacing w:before="60" w:after="60"/>
              <w:rPr>
                <w:szCs w:val="22"/>
              </w:rPr>
            </w:pPr>
            <w:r>
              <w:rPr>
                <w:szCs w:val="22"/>
              </w:rPr>
              <w:t>Mesure tutélaire d’internement/Régime semi</w:t>
            </w:r>
            <w:r>
              <w:rPr>
                <w:szCs w:val="22"/>
              </w:rPr>
              <w:noBreakHyphen/>
              <w:t>ouvert</w:t>
            </w:r>
          </w:p>
        </w:tc>
        <w:tc>
          <w:tcPr>
            <w:tcW w:w="1440" w:type="dxa"/>
            <w:vAlign w:val="bottom"/>
          </w:tcPr>
          <w:p w:rsidR="00000000" w:rsidRDefault="00000000">
            <w:pPr>
              <w:spacing w:before="60" w:after="60"/>
              <w:ind w:right="590"/>
              <w:jc w:val="right"/>
              <w:rPr>
                <w:szCs w:val="22"/>
              </w:rPr>
            </w:pPr>
            <w:r>
              <w:rPr>
                <w:szCs w:val="22"/>
              </w:rPr>
              <w:t>127</w:t>
            </w:r>
          </w:p>
        </w:tc>
        <w:tc>
          <w:tcPr>
            <w:tcW w:w="1440" w:type="dxa"/>
            <w:vAlign w:val="bottom"/>
          </w:tcPr>
          <w:p w:rsidR="00000000" w:rsidRDefault="00000000">
            <w:pPr>
              <w:spacing w:before="60" w:after="60"/>
              <w:ind w:right="590"/>
              <w:jc w:val="right"/>
              <w:rPr>
                <w:szCs w:val="22"/>
              </w:rPr>
            </w:pPr>
            <w:r>
              <w:rPr>
                <w:szCs w:val="22"/>
              </w:rPr>
              <w:t>112</w:t>
            </w:r>
          </w:p>
        </w:tc>
        <w:tc>
          <w:tcPr>
            <w:tcW w:w="1440" w:type="dxa"/>
            <w:vAlign w:val="bottom"/>
          </w:tcPr>
          <w:p w:rsidR="00000000" w:rsidRDefault="00000000">
            <w:pPr>
              <w:spacing w:before="60" w:after="60"/>
              <w:ind w:right="590"/>
              <w:jc w:val="right"/>
              <w:rPr>
                <w:szCs w:val="22"/>
              </w:rPr>
            </w:pPr>
            <w:r>
              <w:rPr>
                <w:szCs w:val="22"/>
              </w:rPr>
              <w:t>172</w:t>
            </w:r>
          </w:p>
        </w:tc>
        <w:tc>
          <w:tcPr>
            <w:tcW w:w="1313" w:type="dxa"/>
            <w:vAlign w:val="bottom"/>
          </w:tcPr>
          <w:p w:rsidR="00000000" w:rsidRDefault="00000000">
            <w:pPr>
              <w:spacing w:before="60" w:after="60"/>
              <w:ind w:right="590"/>
              <w:jc w:val="right"/>
              <w:rPr>
                <w:szCs w:val="22"/>
              </w:rPr>
            </w:pPr>
            <w:r>
              <w:rPr>
                <w:szCs w:val="22"/>
              </w:rPr>
              <w:t>188</w:t>
            </w:r>
          </w:p>
        </w:tc>
      </w:tr>
      <w:tr w:rsidR="00000000">
        <w:trPr>
          <w:jc w:val="center"/>
        </w:trPr>
        <w:tc>
          <w:tcPr>
            <w:tcW w:w="3248" w:type="dxa"/>
            <w:vAlign w:val="center"/>
          </w:tcPr>
          <w:p w:rsidR="00000000" w:rsidRDefault="00000000">
            <w:pPr>
              <w:spacing w:before="60" w:after="60"/>
              <w:rPr>
                <w:szCs w:val="22"/>
              </w:rPr>
            </w:pPr>
            <w:r>
              <w:rPr>
                <w:szCs w:val="22"/>
              </w:rPr>
              <w:t>Mesure tutélaire d’internement/Régime fermé</w:t>
            </w:r>
          </w:p>
        </w:tc>
        <w:tc>
          <w:tcPr>
            <w:tcW w:w="1440" w:type="dxa"/>
            <w:vAlign w:val="bottom"/>
          </w:tcPr>
          <w:p w:rsidR="00000000" w:rsidRDefault="00000000">
            <w:pPr>
              <w:spacing w:before="60" w:after="60"/>
              <w:ind w:right="590"/>
              <w:jc w:val="right"/>
              <w:rPr>
                <w:szCs w:val="22"/>
              </w:rPr>
            </w:pPr>
            <w:r>
              <w:rPr>
                <w:szCs w:val="22"/>
              </w:rPr>
              <w:t>14</w:t>
            </w:r>
          </w:p>
        </w:tc>
        <w:tc>
          <w:tcPr>
            <w:tcW w:w="1440" w:type="dxa"/>
            <w:vAlign w:val="bottom"/>
          </w:tcPr>
          <w:p w:rsidR="00000000" w:rsidRDefault="00000000">
            <w:pPr>
              <w:spacing w:before="60" w:after="60"/>
              <w:ind w:right="590"/>
              <w:jc w:val="right"/>
              <w:rPr>
                <w:szCs w:val="22"/>
              </w:rPr>
            </w:pPr>
            <w:r>
              <w:rPr>
                <w:szCs w:val="22"/>
              </w:rPr>
              <w:t>33</w:t>
            </w:r>
          </w:p>
        </w:tc>
        <w:tc>
          <w:tcPr>
            <w:tcW w:w="1440" w:type="dxa"/>
            <w:vAlign w:val="bottom"/>
          </w:tcPr>
          <w:p w:rsidR="00000000" w:rsidRDefault="00000000">
            <w:pPr>
              <w:spacing w:before="60" w:after="60"/>
              <w:ind w:right="590"/>
              <w:jc w:val="right"/>
              <w:rPr>
                <w:szCs w:val="22"/>
              </w:rPr>
            </w:pPr>
            <w:r>
              <w:rPr>
                <w:szCs w:val="22"/>
              </w:rPr>
              <w:t>36</w:t>
            </w:r>
          </w:p>
        </w:tc>
        <w:tc>
          <w:tcPr>
            <w:tcW w:w="1313" w:type="dxa"/>
            <w:vAlign w:val="bottom"/>
          </w:tcPr>
          <w:p w:rsidR="00000000" w:rsidRDefault="00000000">
            <w:pPr>
              <w:spacing w:before="60" w:after="60"/>
              <w:ind w:right="590"/>
              <w:jc w:val="right"/>
              <w:rPr>
                <w:szCs w:val="22"/>
              </w:rPr>
            </w:pPr>
            <w:r>
              <w:rPr>
                <w:szCs w:val="22"/>
              </w:rPr>
              <w:t>36</w:t>
            </w:r>
          </w:p>
        </w:tc>
      </w:tr>
      <w:tr w:rsidR="00000000">
        <w:trPr>
          <w:jc w:val="center"/>
        </w:trPr>
        <w:tc>
          <w:tcPr>
            <w:tcW w:w="3248" w:type="dxa"/>
            <w:vAlign w:val="center"/>
          </w:tcPr>
          <w:p w:rsidR="00000000" w:rsidRDefault="00000000">
            <w:pPr>
              <w:spacing w:before="60" w:after="60"/>
              <w:rPr>
                <w:szCs w:val="22"/>
              </w:rPr>
            </w:pPr>
            <w:r>
              <w:rPr>
                <w:szCs w:val="22"/>
              </w:rPr>
              <w:t>Internement en fin de semaine</w:t>
            </w:r>
          </w:p>
        </w:tc>
        <w:tc>
          <w:tcPr>
            <w:tcW w:w="1440" w:type="dxa"/>
            <w:vAlign w:val="bottom"/>
          </w:tcPr>
          <w:p w:rsidR="00000000" w:rsidRDefault="00000000">
            <w:pPr>
              <w:spacing w:before="60" w:after="60"/>
              <w:ind w:right="590"/>
              <w:jc w:val="right"/>
              <w:rPr>
                <w:szCs w:val="22"/>
              </w:rPr>
            </w:pPr>
          </w:p>
        </w:tc>
        <w:tc>
          <w:tcPr>
            <w:tcW w:w="1440" w:type="dxa"/>
            <w:vAlign w:val="bottom"/>
          </w:tcPr>
          <w:p w:rsidR="00000000" w:rsidRDefault="00000000">
            <w:pPr>
              <w:spacing w:before="60" w:after="60"/>
              <w:ind w:right="590"/>
              <w:jc w:val="right"/>
              <w:rPr>
                <w:szCs w:val="22"/>
              </w:rPr>
            </w:pPr>
            <w:r>
              <w:rPr>
                <w:szCs w:val="22"/>
              </w:rPr>
              <w:t>2</w:t>
            </w:r>
          </w:p>
        </w:tc>
        <w:tc>
          <w:tcPr>
            <w:tcW w:w="1440" w:type="dxa"/>
            <w:vAlign w:val="bottom"/>
          </w:tcPr>
          <w:p w:rsidR="00000000" w:rsidRDefault="00000000">
            <w:pPr>
              <w:spacing w:before="60" w:after="60"/>
              <w:ind w:right="590"/>
              <w:jc w:val="right"/>
              <w:rPr>
                <w:szCs w:val="22"/>
              </w:rPr>
            </w:pPr>
            <w:r>
              <w:rPr>
                <w:szCs w:val="22"/>
              </w:rPr>
              <w:t>9</w:t>
            </w:r>
          </w:p>
        </w:tc>
        <w:tc>
          <w:tcPr>
            <w:tcW w:w="1313" w:type="dxa"/>
            <w:vAlign w:val="bottom"/>
          </w:tcPr>
          <w:p w:rsidR="00000000" w:rsidRDefault="00000000">
            <w:pPr>
              <w:spacing w:before="60" w:after="60"/>
              <w:ind w:right="590"/>
              <w:jc w:val="right"/>
              <w:rPr>
                <w:szCs w:val="22"/>
              </w:rPr>
            </w:pPr>
            <w:r>
              <w:rPr>
                <w:szCs w:val="22"/>
              </w:rPr>
              <w:t>7</w:t>
            </w:r>
          </w:p>
        </w:tc>
      </w:tr>
      <w:tr w:rsidR="00000000">
        <w:trPr>
          <w:jc w:val="center"/>
        </w:trPr>
        <w:tc>
          <w:tcPr>
            <w:tcW w:w="3248" w:type="dxa"/>
            <w:vAlign w:val="center"/>
          </w:tcPr>
          <w:p w:rsidR="00000000" w:rsidRDefault="00000000">
            <w:pPr>
              <w:spacing w:before="60" w:after="60"/>
              <w:rPr>
                <w:szCs w:val="22"/>
              </w:rPr>
            </w:pPr>
            <w:r>
              <w:rPr>
                <w:szCs w:val="22"/>
              </w:rPr>
              <w:t>Attente de placement en institution privée de solidarité sociale</w:t>
            </w:r>
          </w:p>
        </w:tc>
        <w:tc>
          <w:tcPr>
            <w:tcW w:w="1440" w:type="dxa"/>
            <w:vAlign w:val="bottom"/>
          </w:tcPr>
          <w:p w:rsidR="00000000" w:rsidRDefault="00000000">
            <w:pPr>
              <w:spacing w:before="60" w:after="60"/>
              <w:ind w:right="590"/>
              <w:jc w:val="right"/>
              <w:rPr>
                <w:szCs w:val="22"/>
              </w:rPr>
            </w:pPr>
            <w:r>
              <w:rPr>
                <w:szCs w:val="22"/>
              </w:rPr>
              <w:t>26</w:t>
            </w:r>
          </w:p>
        </w:tc>
        <w:tc>
          <w:tcPr>
            <w:tcW w:w="1440" w:type="dxa"/>
            <w:vAlign w:val="bottom"/>
          </w:tcPr>
          <w:p w:rsidR="00000000" w:rsidRDefault="00000000">
            <w:pPr>
              <w:spacing w:before="60" w:after="60"/>
              <w:ind w:right="590"/>
              <w:jc w:val="right"/>
              <w:rPr>
                <w:szCs w:val="22"/>
              </w:rPr>
            </w:pPr>
            <w:r>
              <w:rPr>
                <w:szCs w:val="22"/>
              </w:rPr>
              <w:t>4</w:t>
            </w:r>
          </w:p>
        </w:tc>
        <w:tc>
          <w:tcPr>
            <w:tcW w:w="1440" w:type="dxa"/>
            <w:vAlign w:val="bottom"/>
          </w:tcPr>
          <w:p w:rsidR="00000000" w:rsidRDefault="00000000">
            <w:pPr>
              <w:spacing w:before="60" w:after="60"/>
              <w:ind w:right="590"/>
              <w:jc w:val="right"/>
              <w:rPr>
                <w:szCs w:val="22"/>
              </w:rPr>
            </w:pPr>
            <w:r>
              <w:rPr>
                <w:szCs w:val="22"/>
              </w:rPr>
              <w:t>2</w:t>
            </w:r>
          </w:p>
        </w:tc>
        <w:tc>
          <w:tcPr>
            <w:tcW w:w="1313" w:type="dxa"/>
            <w:vAlign w:val="bottom"/>
          </w:tcPr>
          <w:p w:rsidR="00000000" w:rsidRDefault="00000000">
            <w:pPr>
              <w:spacing w:before="60" w:after="60"/>
              <w:ind w:right="590"/>
              <w:jc w:val="right"/>
              <w:rPr>
                <w:szCs w:val="22"/>
              </w:rPr>
            </w:pPr>
            <w:r>
              <w:rPr>
                <w:szCs w:val="22"/>
              </w:rPr>
              <w:t>1</w:t>
            </w:r>
          </w:p>
        </w:tc>
      </w:tr>
      <w:tr w:rsidR="00000000">
        <w:trPr>
          <w:jc w:val="center"/>
        </w:trPr>
        <w:tc>
          <w:tcPr>
            <w:tcW w:w="3248" w:type="dxa"/>
            <w:vAlign w:val="center"/>
          </w:tcPr>
          <w:p w:rsidR="00000000" w:rsidRDefault="00000000">
            <w:pPr>
              <w:spacing w:before="60" w:after="60"/>
              <w:rPr>
                <w:b/>
                <w:szCs w:val="22"/>
              </w:rPr>
            </w:pPr>
            <w:r>
              <w:rPr>
                <w:b/>
                <w:szCs w:val="22"/>
              </w:rPr>
              <w:t>Total</w:t>
            </w:r>
          </w:p>
        </w:tc>
        <w:tc>
          <w:tcPr>
            <w:tcW w:w="1440" w:type="dxa"/>
            <w:vAlign w:val="bottom"/>
          </w:tcPr>
          <w:p w:rsidR="00000000" w:rsidRDefault="00000000">
            <w:pPr>
              <w:spacing w:before="60" w:after="60"/>
              <w:ind w:right="590"/>
              <w:jc w:val="right"/>
              <w:rPr>
                <w:b/>
                <w:szCs w:val="22"/>
              </w:rPr>
            </w:pPr>
            <w:r>
              <w:rPr>
                <w:b/>
                <w:szCs w:val="22"/>
              </w:rPr>
              <w:t>219</w:t>
            </w:r>
          </w:p>
        </w:tc>
        <w:tc>
          <w:tcPr>
            <w:tcW w:w="1440" w:type="dxa"/>
            <w:vAlign w:val="bottom"/>
          </w:tcPr>
          <w:p w:rsidR="00000000" w:rsidRDefault="00000000">
            <w:pPr>
              <w:spacing w:before="60" w:after="60"/>
              <w:ind w:right="590"/>
              <w:jc w:val="right"/>
              <w:rPr>
                <w:b/>
                <w:szCs w:val="22"/>
              </w:rPr>
            </w:pPr>
            <w:r>
              <w:rPr>
                <w:b/>
                <w:szCs w:val="22"/>
              </w:rPr>
              <w:t>226</w:t>
            </w:r>
          </w:p>
        </w:tc>
        <w:tc>
          <w:tcPr>
            <w:tcW w:w="1440" w:type="dxa"/>
            <w:vAlign w:val="bottom"/>
          </w:tcPr>
          <w:p w:rsidR="00000000" w:rsidRDefault="00000000">
            <w:pPr>
              <w:spacing w:before="60" w:after="60"/>
              <w:ind w:right="590"/>
              <w:jc w:val="right"/>
              <w:rPr>
                <w:b/>
                <w:szCs w:val="22"/>
              </w:rPr>
            </w:pPr>
            <w:r>
              <w:rPr>
                <w:b/>
                <w:szCs w:val="22"/>
              </w:rPr>
              <w:t>294</w:t>
            </w:r>
          </w:p>
        </w:tc>
        <w:tc>
          <w:tcPr>
            <w:tcW w:w="1313" w:type="dxa"/>
            <w:vAlign w:val="bottom"/>
          </w:tcPr>
          <w:p w:rsidR="00000000" w:rsidRDefault="00000000">
            <w:pPr>
              <w:spacing w:before="60" w:after="60"/>
              <w:ind w:right="590"/>
              <w:jc w:val="right"/>
              <w:rPr>
                <w:b/>
                <w:szCs w:val="22"/>
              </w:rPr>
            </w:pPr>
            <w:r>
              <w:rPr>
                <w:b/>
                <w:szCs w:val="22"/>
              </w:rPr>
              <w:t>313</w:t>
            </w:r>
          </w:p>
        </w:tc>
      </w:tr>
    </w:tbl>
    <w:p w:rsidR="00000000" w:rsidRDefault="00000000">
      <w:pPr>
        <w:spacing w:after="240"/>
      </w:pPr>
    </w:p>
    <w:p w:rsidR="00000000" w:rsidRDefault="00000000">
      <w:pPr>
        <w:spacing w:after="240"/>
        <w:jc w:val="center"/>
        <w:rPr>
          <w:b/>
          <w:bCs/>
        </w:rPr>
      </w:pPr>
      <w:r>
        <w:rPr>
          <w:b/>
          <w:bCs/>
        </w:rPr>
        <w:t>B.  Les services chargés de l’exécution des mesures privatives de liberté</w:t>
      </w:r>
    </w:p>
    <w:p w:rsidR="00000000" w:rsidRDefault="00000000">
      <w:pPr>
        <w:spacing w:after="240"/>
      </w:pPr>
      <w:r>
        <w:t>206.</w:t>
      </w:r>
      <w:r>
        <w:tab/>
        <w:t xml:space="preserve">Ces services sont régis par le décret-loi </w:t>
      </w:r>
      <w:r>
        <w:rPr>
          <w:rFonts w:eastAsia="MS Mincho"/>
        </w:rPr>
        <w:t>n</w:t>
      </w:r>
      <w:r>
        <w:rPr>
          <w:rFonts w:eastAsia="MS Mincho"/>
          <w:vertAlign w:val="superscript"/>
        </w:rPr>
        <w:t>o</w:t>
      </w:r>
      <w:r>
        <w:t xml:space="preserve"> 265/79, du 1</w:t>
      </w:r>
      <w:r>
        <w:rPr>
          <w:vertAlign w:val="superscript"/>
        </w:rPr>
        <w:t>er</w:t>
      </w:r>
      <w:r>
        <w:t xml:space="preserve"> août, qui pose immédiatement, comme finalité de l’exécution des peines, la nécessité d’orienter les détenus de façon à les réintégrer dans la société, en les préparant pour, à l’avenir, être à même de conduire sa vie de façon socialement responsable, sans qu’ils commettent de crimes (art. 2). L’exécution des mesures privatives de liberté sert également la défense de la société, en prévenant la perpétration d’autres faits criminels (art. 2).</w:t>
      </w:r>
    </w:p>
    <w:p w:rsidR="00000000" w:rsidRDefault="00000000">
      <w:pPr>
        <w:spacing w:after="240"/>
      </w:pPr>
      <w:r>
        <w:t>207.</w:t>
      </w:r>
      <w:r>
        <w:tab/>
        <w:t>Aux termes de l’article 4, le détenu garde la jouissance de ses droits fondamentaux, à l’exception des limites résultant de la condamnation, ainsi que celles qui sont imposées au nom de l’ordre et de la sécurité dans l’établissement. Il doit avoir droit à un travail rémunéré, aux bénéfices de la sécurité sociale, ainsi que l’accès à la culture et au développement intégral de sa personnalité.</w:t>
      </w:r>
    </w:p>
    <w:p w:rsidR="00000000" w:rsidRDefault="00000000">
      <w:pPr>
        <w:spacing w:after="240"/>
      </w:pPr>
      <w:r>
        <w:t>208.</w:t>
      </w:r>
      <w:r>
        <w:tab/>
        <w:t>L’article 5 pose le principe de la coresponsabilité des détenus pour les affaires d’intérêt général qui, par leurs spécificités et particularités – ou en tenant compte des finalités de l’exécution – peuvent susciter une collaboration adéquate.</w:t>
      </w:r>
    </w:p>
    <w:p w:rsidR="00000000" w:rsidRDefault="00000000">
      <w:pPr>
        <w:spacing w:after="240"/>
      </w:pPr>
      <w:r>
        <w:t>209.</w:t>
      </w:r>
      <w:r>
        <w:tab/>
        <w:t>Il existe, dans chaque établissement, un registre, dont le modèle est approuvé par la Direction générale des services pénitentiaires, qui contient, pour chaque détenu selon son ordre d’entrée:</w:t>
      </w:r>
    </w:p>
    <w:p w:rsidR="00000000" w:rsidRDefault="00000000">
      <w:pPr>
        <w:spacing w:after="240"/>
        <w:ind w:firstLine="567"/>
      </w:pPr>
      <w:r>
        <w:t>a)</w:t>
      </w:r>
      <w:r>
        <w:tab/>
        <w:t>Le nom complet, la filiation, le lieu et la date de naissance, l’état civil, l’adresse, les qualifications, la profession et tout autre élément lié à son identification;</w:t>
      </w:r>
    </w:p>
    <w:p w:rsidR="00000000" w:rsidRDefault="00000000">
      <w:pPr>
        <w:spacing w:after="240"/>
        <w:ind w:firstLine="567"/>
      </w:pPr>
      <w:r>
        <w:t>b)</w:t>
      </w:r>
      <w:r>
        <w:tab/>
        <w:t>Le jour et l’heure de l’entrée;</w:t>
      </w:r>
    </w:p>
    <w:p w:rsidR="00000000" w:rsidRDefault="00000000">
      <w:pPr>
        <w:spacing w:after="240"/>
        <w:ind w:firstLine="567"/>
      </w:pPr>
      <w:r>
        <w:t>c)</w:t>
      </w:r>
      <w:r>
        <w:tab/>
        <w:t>L’entité qui a ordonné l’internement;</w:t>
      </w:r>
    </w:p>
    <w:p w:rsidR="00000000" w:rsidRDefault="00000000">
      <w:pPr>
        <w:spacing w:after="240"/>
        <w:ind w:firstLine="567"/>
      </w:pPr>
      <w:r>
        <w:t>d)</w:t>
      </w:r>
      <w:r>
        <w:tab/>
        <w:t>Le motif de l’internement;</w:t>
      </w:r>
    </w:p>
    <w:p w:rsidR="00000000" w:rsidRDefault="00000000">
      <w:pPr>
        <w:spacing w:after="240"/>
        <w:ind w:firstLine="567"/>
      </w:pPr>
      <w:r>
        <w:t>e)</w:t>
      </w:r>
      <w:r>
        <w:tab/>
        <w:t>La personne qui l’a accompagné;</w:t>
      </w:r>
    </w:p>
    <w:p w:rsidR="00000000" w:rsidRDefault="00000000">
      <w:pPr>
        <w:spacing w:after="240"/>
        <w:ind w:firstLine="567"/>
      </w:pPr>
      <w:r>
        <w:t>f)</w:t>
      </w:r>
      <w:r>
        <w:tab/>
        <w:t>Une liste détaillée des choses qui ont été saisies ou retirées.</w:t>
      </w:r>
    </w:p>
    <w:p w:rsidR="00000000" w:rsidRDefault="00000000">
      <w:pPr>
        <w:spacing w:after="240"/>
      </w:pPr>
      <w:r>
        <w:t>210.</w:t>
      </w:r>
      <w:r>
        <w:tab/>
        <w:t>L’internement d’un détenu ne peut être réalisé que s’il obéit aux règles suivantes et dans les cas suivants:</w:t>
      </w:r>
    </w:p>
    <w:p w:rsidR="00000000" w:rsidRDefault="00000000">
      <w:pPr>
        <w:spacing w:after="240"/>
        <w:ind w:firstLine="567"/>
      </w:pPr>
      <w:r>
        <w:t>a)</w:t>
      </w:r>
      <w:r>
        <w:tab/>
        <w:t>Décision écrite du juge, du parquet ou des autorités de police judiciaire, aux termes de la loi procédurale;</w:t>
      </w:r>
    </w:p>
    <w:p w:rsidR="00000000" w:rsidRDefault="00000000">
      <w:pPr>
        <w:spacing w:after="240"/>
        <w:ind w:firstLine="567"/>
      </w:pPr>
      <w:r>
        <w:t>b)</w:t>
      </w:r>
      <w:r>
        <w:tab/>
        <w:t>Présentation volontaire;</w:t>
      </w:r>
    </w:p>
    <w:p w:rsidR="00000000" w:rsidRDefault="00000000">
      <w:pPr>
        <w:spacing w:after="240"/>
        <w:ind w:firstLine="567"/>
      </w:pPr>
      <w:r>
        <w:t>c)</w:t>
      </w:r>
      <w:r>
        <w:tab/>
        <w:t>Transfert ordonné par la Direction générale des services pénitentiaires;</w:t>
      </w:r>
    </w:p>
    <w:p w:rsidR="00000000" w:rsidRDefault="00000000">
      <w:pPr>
        <w:spacing w:after="240"/>
        <w:ind w:firstLine="567"/>
      </w:pPr>
      <w:r>
        <w:t>d)</w:t>
      </w:r>
      <w:r>
        <w:tab/>
        <w:t>Transfert vers un autre établissement;</w:t>
      </w:r>
    </w:p>
    <w:p w:rsidR="00000000" w:rsidRDefault="00000000">
      <w:pPr>
        <w:spacing w:after="240"/>
        <w:ind w:firstLine="567"/>
      </w:pPr>
      <w:r>
        <w:t>e)</w:t>
      </w:r>
      <w:r>
        <w:tab/>
        <w:t>Nouvelle capture.</w:t>
      </w:r>
    </w:p>
    <w:p w:rsidR="00000000" w:rsidRDefault="00000000">
      <w:pPr>
        <w:spacing w:after="240"/>
      </w:pPr>
      <w:r>
        <w:t xml:space="preserve">Les mandats d’arrêt auxquels l’alinéa </w:t>
      </w:r>
      <w:r>
        <w:rPr>
          <w:i/>
          <w:iCs/>
        </w:rPr>
        <w:t>a</w:t>
      </w:r>
      <w:r>
        <w:t xml:space="preserve"> se rapporte sont émis en trois exemplaires, l’un d’eux appartenant à l’établissement, ils sont datés et signés par les autorités compétentes et doivent contenir l’identité de la personne qui est détenue et les raisons de l’emprisonnement.</w:t>
      </w:r>
    </w:p>
    <w:p w:rsidR="00000000" w:rsidRDefault="00000000">
      <w:pPr>
        <w:spacing w:after="240"/>
      </w:pPr>
      <w:r>
        <w:t>211.</w:t>
      </w:r>
      <w:r>
        <w:tab/>
        <w:t>Lorsque l’internement se fait sur mandat d’arrêt du ministère public et des entités de la police judiciaire et que le détenu n’est pas présenté devant un juge dans le délai légal par l’autorité qui a ordonné l’arrestation, le directeur de l’établissement ordonne la libération du détenu, en informant le Procureur de la République auprès de la cour d’appel compétente et la Direction générale des services pénitentiaires.</w:t>
      </w:r>
    </w:p>
    <w:p w:rsidR="00000000" w:rsidRDefault="00000000">
      <w:pPr>
        <w:spacing w:after="240"/>
      </w:pPr>
      <w:r>
        <w:t>212.</w:t>
      </w:r>
      <w:r>
        <w:tab/>
        <w:t>Lorsque quelqu’un qui déclare avoir commis un crime se présente, ou contre lequel existe un ordre de détention, il est détenu, le procès verbal de la détention étant rédigé en présence de deux témoins. Quand il s’agit d’un prévenu, il est présenté à l’autorité judiciaire dans un délai de 24 heures; s’il s’agit d’un condamné, la Direction générale des services pénitentiaires en est immédiatement informée, le Directeur de l’établissement devant éclaircir la situation pénale du détenu. Les internements en transfert se font sur la base d’un document en double exemplaire dûment authentifié.</w:t>
      </w:r>
    </w:p>
    <w:p w:rsidR="00000000" w:rsidRDefault="00000000">
      <w:pPr>
        <w:spacing w:after="240"/>
      </w:pPr>
      <w:r>
        <w:t>213.</w:t>
      </w:r>
      <w:r>
        <w:tab/>
        <w:t>Suite à l’entrée en prison, lorsque la peine privative de liberté est supérieure à six mois, ou dans le cas d’une peine relativement indéterminée, on observe la personnalité et le milieu social, économique et familial du détenu. L’observation a pour objet de vérifier toutes les circonstances et les éléments nécessaires à une planification du traitement, pendant l’exécution de la mesure privative de liberté, et à la réinsertion sociale du détenu, suite à sa remise en liberté (art. 8). À partir de cette observation, on élabore un plan individuel de réadaptation. Tant que ce plan n’est pas défini, les détenus sont provisoirement répartis selon les établissements, en prenant notamment en compte leur sexe, leur âge, leur état de santé physique et mentale, leur vie antérieure et leur situation (art. 10). Lorsque le détenu n’a pas été déclaré irresponsable, mais que l’on estime que du fait de l’anomalie dont il souffre, le régime des établissements communs lui serait préjudiciable, ou qu’il perturberait sérieusement ce régime, le tribunal peut ordonner son internement en un établissement destiné à des personnes irresponsables, pour le temps correspondant à la durée de la peine. Cet internement ne peut avoir lieu qu’avec le consentement du détenu.</w:t>
      </w:r>
    </w:p>
    <w:p w:rsidR="00000000" w:rsidRDefault="00000000">
      <w:pPr>
        <w:spacing w:after="240"/>
      </w:pPr>
      <w:r>
        <w:t>214.</w:t>
      </w:r>
      <w:r>
        <w:tab/>
        <w:t>L’article 11 pose les critères d’affectation à un établissement. Il faut tenir compte, dans cette affectation, du sexe, de l’âge, de la situation juridique (prévenu, condamné, délinquant primaire, récidiviste), de la durée de la peine à exécuter, de son état de santé physique et mentale, des besoins particuliers de son traitement, de la proximité de la résidence de la famille, ainsi que des raisons de sécurité, d’ordre scolaire et professionnel qui peuvent être pertinentes pour sa réinsertion sociale. Lors de l’affectation d’un détenu à un établissement, il faut encore tenir compte des possibilités de réaliser un programme de traitement commun et du besoin d’éviter des influences nocives.</w:t>
      </w:r>
    </w:p>
    <w:p w:rsidR="00000000" w:rsidRDefault="00000000">
      <w:pPr>
        <w:spacing w:after="240"/>
      </w:pPr>
      <w:r>
        <w:t>215.</w:t>
      </w:r>
      <w:r>
        <w:tab/>
        <w:t>Aux termes de l’article 12, la séparation complète des détenus, en fonction du sexe, de l’âge et de la situation juridique en des établissements séparés est garantie, ou, lorsque cela n’est pas possible, en des sections séparées à l’intérieur de l’établissement. Il faut promouvoir la séparation entre les détenus primaires et les récidivistes. On considère comme récidivistes, à cette fin, les détenus qui ont déjà fait l’objet d’une mesure privative de liberté. Des exceptions à ces dispositions sont admises, dans le but de rendre possible la participation du détenu à des mesures de traitement, dans un autre établissement ou une autre section, qui sont considérées indispensables à sa réinsertion sociale.</w:t>
      </w:r>
    </w:p>
    <w:p w:rsidR="00000000" w:rsidRDefault="00000000">
      <w:pPr>
        <w:spacing w:after="240"/>
      </w:pPr>
      <w:r>
        <w:t>216.</w:t>
      </w:r>
      <w:r>
        <w:tab/>
        <w:t>Aux termes de l’article 13, le détenu peut être transféré dans un établissement différent de celui qui a été prévu dans le plan individuel de réadaptation, lorsque l’on favorise de cette façon son traitement ou sa réinsertion sociale, lorsque l’organisation de l’exécution l’exige ou lorsque des motifs importants le déterminent. Il revient à la Direction générale des services pénitentiaires d’ordonner ces transferts.</w:t>
      </w:r>
    </w:p>
    <w:p w:rsidR="00000000" w:rsidRDefault="00000000">
      <w:pPr>
        <w:spacing w:after="240"/>
      </w:pPr>
      <w:r>
        <w:t>217.</w:t>
      </w:r>
      <w:r>
        <w:tab/>
        <w:t>L’article 14 prévoit l’existence d’établissements ouverts et fermés. Le détenu peut être interné, avec son consentement, dans un établissement ou une section de régime ouvert lorsqu’il n’y a pas lieu de craindre qu’il se soustraira à l’exécution de la peine ou qu’il profitera des possibilités que ce régime lui donne pour commettre des faits de délinquance. Le détenu peut être interné dans un établissement de régime fermé, ou y revenir, lorsque cela se révèle nécessaire à son traitement ou chaque fois que, par son comportement, il montre qu’il ne satisfait pas aux exigences du régime ouvert.</w:t>
      </w:r>
    </w:p>
    <w:p w:rsidR="00000000" w:rsidRDefault="00000000">
      <w:pPr>
        <w:spacing w:after="240"/>
      </w:pPr>
      <w:r>
        <w:t>218.</w:t>
      </w:r>
      <w:r>
        <w:tab/>
        <w:t>Les articles 15 et 16 prévoient les mesures de préparation à la mise en liberté et le moment de la mise en liberté. La loi, du reste, ne s’arrête pas ici, concrétisant amplement les mesures qui viennent d’être décrites.</w:t>
      </w:r>
    </w:p>
    <w:p w:rsidR="00000000" w:rsidRDefault="00000000">
      <w:pPr>
        <w:spacing w:after="240"/>
      </w:pPr>
      <w:r>
        <w:t>219.</w:t>
      </w:r>
      <w:r>
        <w:tab/>
        <w:t xml:space="preserve">Il est important de mentionner la loi </w:t>
      </w:r>
      <w:r>
        <w:rPr>
          <w:rFonts w:eastAsia="MS Mincho"/>
        </w:rPr>
        <w:t>n</w:t>
      </w:r>
      <w:r>
        <w:rPr>
          <w:rFonts w:eastAsia="MS Mincho"/>
          <w:vertAlign w:val="superscript"/>
        </w:rPr>
        <w:t>o</w:t>
      </w:r>
      <w:r>
        <w:t xml:space="preserve"> 170/99, du 18 septembre, qui adopte des mesures de lutte contre la propagation de maladies infectieuses en milieu pénitentiaire. Les détenus maintiennent leur condition de bénéficiaires du Service national de santé, une articulation adéquate devant être établie à cet effet entre les services pénitentiaires et le Service national de santé. Aux termes de l’article 2, les établissements pénitentiaires garantissent à tous les détenus, de façon systématique, la réalisation gratuite de test de dépistage de maladies infectieuses, tant à l’entrée dans l’établissement que lors du séjour en prison, de façon périodique. Les résultats des tests sont confidentiels et sont transmis au détenu par le personnel médical, de sorte à permettre un accompagnement spécialisé et adéquat. L’information relative à la situation clinique des détenus ne peut, en aucune circonstance, mettre en cause le devoir de confidentialité et doit se limiter aux situations dans lesquelles la sécurité et la santé de tierces personnes peuvent être en danger (art. 3).</w:t>
      </w:r>
    </w:p>
    <w:p w:rsidR="00000000" w:rsidRDefault="00000000">
      <w:pPr>
        <w:spacing w:after="240"/>
      </w:pPr>
      <w:r>
        <w:t>220.</w:t>
      </w:r>
      <w:r>
        <w:tab/>
        <w:t>Aux termes de l’article 4, les détenus atteints ont accès à toutes les formes de traitement, d’accompagnement et de conseils administrés aux citoyens en général, avec la possibilité de consulter des services de santé spécialisés, selon les procédures établies et à établir entre les services pénitentiaires et les administrations régionales de santé respectives, une fois garanties toutes les mesures de sécurité. Les détenus atteints doivent également être accompagnés aux niveaux psychologique et psychiatrique.</w:t>
      </w:r>
    </w:p>
    <w:p w:rsidR="00000000" w:rsidRDefault="00000000">
      <w:pPr>
        <w:spacing w:after="240"/>
      </w:pPr>
      <w:r>
        <w:t>221.</w:t>
      </w:r>
      <w:r>
        <w:tab/>
        <w:t>Enfin, les établissements pénitentiaires doivent adopter toutes les mesures de prévention générale, tant par rapport aux détenus que par rapport au personnel pénitentiaire, notamment les normes d’hygiène, de sécurité et de santé au travail. Des programmes gratuits de vaccination font partie de ces mesures, ainsi que la distribution gratuite de préservatifs.</w:t>
      </w:r>
    </w:p>
    <w:p w:rsidR="00000000" w:rsidRDefault="00000000">
      <w:pPr>
        <w:spacing w:after="240"/>
      </w:pPr>
      <w:r>
        <w:t>222.</w:t>
      </w:r>
      <w:r>
        <w:tab/>
        <w:t>Aux termes de l’article 6, aucune forme de ségrégation ou de discrimination des détenus infectés n’est permise. Lorsque des mesures restrictives sont nécessaires, du fait de la sauvegarde de la santé des autres détenus et du personnel pénitentiaire, ce qui doit toujours être médicalement fondé, l’internement en hôpital prévaut, au détriment du traitement en milieu pénitentiaire, une fois toutes les mesures de sécurité garanties.</w:t>
      </w:r>
    </w:p>
    <w:p w:rsidR="00000000" w:rsidRDefault="00000000">
      <w:pPr>
        <w:spacing w:after="240"/>
        <w:jc w:val="center"/>
        <w:rPr>
          <w:b/>
          <w:bCs/>
        </w:rPr>
      </w:pPr>
      <w:r>
        <w:rPr>
          <w:b/>
          <w:bCs/>
        </w:rPr>
        <w:t>C.  Données statistiques</w:t>
      </w:r>
    </w:p>
    <w:p w:rsidR="00000000" w:rsidRDefault="00000000">
      <w:pPr>
        <w:spacing w:after="240"/>
      </w:pPr>
      <w:r>
        <w:t>223.</w:t>
      </w:r>
      <w:r>
        <w:tab/>
        <w:t>On trouvera dans les tableaux ci</w:t>
      </w:r>
      <w:r>
        <w:noBreakHyphen/>
        <w:t>dessous des chiffres relatifs aux services pénitentiaires, à la population carcérale par établissement, aux taux d’occupation de ceux-ci, au nombre de détenus, aux suicides dans les prisons, aux cas de maladies infectieuses contagieuses ainsi que des chiffres relatifs à la consommation de drogues (ainsi qu’à leur traitement). Ces chiffres ont pour source la Direction du service du plan, de la documentation, des études et des rapports internationaux de la Direction générale des services pénitentiaires.</w:t>
      </w:r>
    </w:p>
    <w:p w:rsidR="00000000" w:rsidRDefault="00000000">
      <w:pPr>
        <w:keepNext/>
        <w:spacing w:after="180"/>
        <w:jc w:val="center"/>
        <w:rPr>
          <w:b/>
        </w:rPr>
      </w:pPr>
      <w:r>
        <w:rPr>
          <w:b/>
        </w:rPr>
        <w:t>Tableau 5-A.  Population carcérale par établissement, occupation et taux d’occupation</w:t>
      </w:r>
      <w:r>
        <w:rPr>
          <w:b/>
        </w:rPr>
        <w:br/>
        <w:t>(au 31 décembre de 1999 et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741"/>
        <w:gridCol w:w="1102"/>
        <w:gridCol w:w="1149"/>
        <w:gridCol w:w="1371"/>
        <w:gridCol w:w="1080"/>
        <w:gridCol w:w="1236"/>
        <w:gridCol w:w="1580"/>
      </w:tblGrid>
      <w:tr w:rsidR="00000000">
        <w:trPr>
          <w:cantSplit/>
          <w:jc w:val="center"/>
        </w:trPr>
        <w:tc>
          <w:tcPr>
            <w:tcW w:w="1741" w:type="dxa"/>
            <w:vMerge w:val="restart"/>
            <w:vAlign w:val="center"/>
          </w:tcPr>
          <w:p w:rsidR="00000000" w:rsidRDefault="00000000">
            <w:pPr>
              <w:keepNext/>
              <w:spacing w:before="40" w:after="40" w:line="216" w:lineRule="auto"/>
              <w:jc w:val="center"/>
              <w:rPr>
                <w:sz w:val="22"/>
                <w:szCs w:val="22"/>
              </w:rPr>
            </w:pPr>
            <w:r>
              <w:rPr>
                <w:b/>
                <w:sz w:val="22"/>
                <w:szCs w:val="22"/>
              </w:rPr>
              <w:t>Établissements</w:t>
            </w:r>
          </w:p>
        </w:tc>
        <w:tc>
          <w:tcPr>
            <w:tcW w:w="3622" w:type="dxa"/>
            <w:gridSpan w:val="3"/>
            <w:vAlign w:val="center"/>
          </w:tcPr>
          <w:p w:rsidR="00000000" w:rsidRDefault="00000000">
            <w:pPr>
              <w:keepNext/>
              <w:spacing w:before="40" w:after="40" w:line="216" w:lineRule="auto"/>
              <w:jc w:val="center"/>
              <w:rPr>
                <w:b/>
                <w:sz w:val="22"/>
                <w:szCs w:val="22"/>
              </w:rPr>
            </w:pPr>
            <w:r>
              <w:rPr>
                <w:b/>
                <w:sz w:val="22"/>
                <w:szCs w:val="22"/>
              </w:rPr>
              <w:t>1999</w:t>
            </w:r>
          </w:p>
        </w:tc>
        <w:tc>
          <w:tcPr>
            <w:tcW w:w="3896" w:type="dxa"/>
            <w:gridSpan w:val="3"/>
            <w:vAlign w:val="center"/>
          </w:tcPr>
          <w:p w:rsidR="00000000" w:rsidRDefault="00000000">
            <w:pPr>
              <w:keepNext/>
              <w:spacing w:before="40" w:after="40" w:line="216" w:lineRule="auto"/>
              <w:jc w:val="center"/>
              <w:rPr>
                <w:sz w:val="22"/>
                <w:szCs w:val="22"/>
              </w:rPr>
            </w:pPr>
            <w:r>
              <w:rPr>
                <w:b/>
                <w:sz w:val="22"/>
                <w:szCs w:val="22"/>
              </w:rPr>
              <w:t>2000</w:t>
            </w:r>
          </w:p>
        </w:tc>
      </w:tr>
      <w:tr w:rsidR="00000000">
        <w:trPr>
          <w:cantSplit/>
          <w:jc w:val="center"/>
        </w:trPr>
        <w:tc>
          <w:tcPr>
            <w:tcW w:w="1741" w:type="dxa"/>
            <w:vMerge/>
            <w:vAlign w:val="center"/>
          </w:tcPr>
          <w:p w:rsidR="00000000" w:rsidRDefault="00000000">
            <w:pPr>
              <w:keepNext/>
              <w:spacing w:before="40" w:after="40" w:line="216" w:lineRule="auto"/>
              <w:jc w:val="center"/>
              <w:rPr>
                <w:b/>
                <w:sz w:val="22"/>
              </w:rPr>
            </w:pPr>
          </w:p>
        </w:tc>
        <w:tc>
          <w:tcPr>
            <w:tcW w:w="1102" w:type="dxa"/>
            <w:vAlign w:val="center"/>
          </w:tcPr>
          <w:p w:rsidR="00000000" w:rsidRDefault="00000000">
            <w:pPr>
              <w:keepNext/>
              <w:spacing w:before="40" w:after="40" w:line="216" w:lineRule="auto"/>
              <w:jc w:val="center"/>
              <w:rPr>
                <w:b/>
                <w:sz w:val="22"/>
              </w:rPr>
            </w:pPr>
            <w:r>
              <w:rPr>
                <w:b/>
                <w:sz w:val="22"/>
              </w:rPr>
              <w:t xml:space="preserve">Nombre </w:t>
            </w:r>
            <w:r>
              <w:rPr>
                <w:b/>
                <w:sz w:val="22"/>
              </w:rPr>
              <w:br/>
              <w:t>de détenus</w:t>
            </w:r>
          </w:p>
        </w:tc>
        <w:tc>
          <w:tcPr>
            <w:tcW w:w="1149" w:type="dxa"/>
            <w:vAlign w:val="center"/>
          </w:tcPr>
          <w:p w:rsidR="00000000" w:rsidRDefault="00000000">
            <w:pPr>
              <w:keepNext/>
              <w:spacing w:before="40" w:after="40" w:line="216" w:lineRule="auto"/>
              <w:jc w:val="center"/>
              <w:rPr>
                <w:b/>
                <w:sz w:val="22"/>
              </w:rPr>
            </w:pPr>
            <w:r>
              <w:rPr>
                <w:b/>
                <w:sz w:val="22"/>
              </w:rPr>
              <w:t>Occupation</w:t>
            </w:r>
          </w:p>
        </w:tc>
        <w:tc>
          <w:tcPr>
            <w:tcW w:w="1371" w:type="dxa"/>
            <w:vAlign w:val="center"/>
          </w:tcPr>
          <w:p w:rsidR="00000000" w:rsidRDefault="00000000">
            <w:pPr>
              <w:keepNext/>
              <w:spacing w:before="40" w:after="40" w:line="216" w:lineRule="auto"/>
              <w:jc w:val="center"/>
              <w:rPr>
                <w:b/>
                <w:sz w:val="22"/>
              </w:rPr>
            </w:pPr>
            <w:r>
              <w:rPr>
                <w:b/>
                <w:sz w:val="22"/>
              </w:rPr>
              <w:t>Taux d’occupation en %</w:t>
            </w:r>
          </w:p>
        </w:tc>
        <w:tc>
          <w:tcPr>
            <w:tcW w:w="1080" w:type="dxa"/>
            <w:vAlign w:val="center"/>
          </w:tcPr>
          <w:p w:rsidR="00000000" w:rsidRDefault="00000000">
            <w:pPr>
              <w:keepNext/>
              <w:spacing w:before="40" w:after="40" w:line="216" w:lineRule="auto"/>
              <w:jc w:val="center"/>
              <w:rPr>
                <w:b/>
                <w:sz w:val="22"/>
              </w:rPr>
            </w:pPr>
            <w:r>
              <w:rPr>
                <w:b/>
                <w:sz w:val="22"/>
              </w:rPr>
              <w:t>Nombre de détenus</w:t>
            </w:r>
          </w:p>
        </w:tc>
        <w:tc>
          <w:tcPr>
            <w:tcW w:w="1236" w:type="dxa"/>
            <w:vAlign w:val="center"/>
          </w:tcPr>
          <w:p w:rsidR="00000000" w:rsidRDefault="00000000">
            <w:pPr>
              <w:keepNext/>
              <w:spacing w:before="40" w:after="40" w:line="216" w:lineRule="auto"/>
              <w:jc w:val="center"/>
              <w:rPr>
                <w:b/>
                <w:sz w:val="22"/>
              </w:rPr>
            </w:pPr>
            <w:r>
              <w:rPr>
                <w:b/>
                <w:sz w:val="22"/>
              </w:rPr>
              <w:t>Occupation</w:t>
            </w:r>
          </w:p>
        </w:tc>
        <w:tc>
          <w:tcPr>
            <w:tcW w:w="1580" w:type="dxa"/>
            <w:vAlign w:val="center"/>
          </w:tcPr>
          <w:p w:rsidR="00000000" w:rsidRDefault="00000000">
            <w:pPr>
              <w:keepNext/>
              <w:spacing w:before="40" w:after="40" w:line="216" w:lineRule="auto"/>
              <w:jc w:val="center"/>
              <w:rPr>
                <w:b/>
                <w:sz w:val="22"/>
              </w:rPr>
            </w:pPr>
            <w:r>
              <w:rPr>
                <w:b/>
                <w:sz w:val="22"/>
              </w:rPr>
              <w:t>Taux d’occupation</w:t>
            </w:r>
            <w:r>
              <w:rPr>
                <w:b/>
                <w:sz w:val="22"/>
              </w:rPr>
              <w:br/>
              <w:t>en %</w:t>
            </w:r>
          </w:p>
        </w:tc>
      </w:tr>
      <w:tr w:rsidR="00000000">
        <w:trPr>
          <w:jc w:val="center"/>
        </w:trPr>
        <w:tc>
          <w:tcPr>
            <w:tcW w:w="1741" w:type="dxa"/>
            <w:vAlign w:val="center"/>
          </w:tcPr>
          <w:p w:rsidR="00000000" w:rsidRDefault="00000000">
            <w:pPr>
              <w:keepNext/>
              <w:spacing w:before="40" w:after="40" w:line="216" w:lineRule="auto"/>
              <w:rPr>
                <w:b/>
                <w:bCs/>
                <w:sz w:val="22"/>
                <w:szCs w:val="22"/>
              </w:rPr>
            </w:pPr>
            <w:r>
              <w:rPr>
                <w:b/>
                <w:bCs/>
                <w:sz w:val="22"/>
                <w:szCs w:val="22"/>
              </w:rPr>
              <w:t>Établissements centraux</w:t>
            </w:r>
          </w:p>
        </w:tc>
        <w:tc>
          <w:tcPr>
            <w:tcW w:w="1102" w:type="dxa"/>
            <w:vAlign w:val="bottom"/>
          </w:tcPr>
          <w:p w:rsidR="00000000" w:rsidRDefault="00000000">
            <w:pPr>
              <w:keepNext/>
              <w:spacing w:before="40" w:after="40" w:line="216" w:lineRule="auto"/>
              <w:ind w:right="223"/>
              <w:jc w:val="right"/>
              <w:rPr>
                <w:sz w:val="22"/>
                <w:szCs w:val="22"/>
              </w:rPr>
            </w:pPr>
          </w:p>
        </w:tc>
        <w:tc>
          <w:tcPr>
            <w:tcW w:w="1149" w:type="dxa"/>
            <w:vAlign w:val="bottom"/>
          </w:tcPr>
          <w:p w:rsidR="00000000" w:rsidRDefault="00000000">
            <w:pPr>
              <w:keepNext/>
              <w:spacing w:before="40" w:after="40" w:line="216" w:lineRule="auto"/>
              <w:ind w:right="223"/>
              <w:jc w:val="right"/>
              <w:rPr>
                <w:sz w:val="22"/>
                <w:szCs w:val="22"/>
              </w:rPr>
            </w:pPr>
          </w:p>
        </w:tc>
        <w:tc>
          <w:tcPr>
            <w:tcW w:w="1371" w:type="dxa"/>
            <w:vAlign w:val="bottom"/>
          </w:tcPr>
          <w:p w:rsidR="00000000" w:rsidRDefault="00000000">
            <w:pPr>
              <w:keepNext/>
              <w:spacing w:before="40" w:after="40" w:line="216" w:lineRule="auto"/>
              <w:ind w:right="223"/>
              <w:jc w:val="right"/>
              <w:rPr>
                <w:sz w:val="22"/>
                <w:szCs w:val="22"/>
              </w:rPr>
            </w:pPr>
          </w:p>
        </w:tc>
        <w:tc>
          <w:tcPr>
            <w:tcW w:w="1080" w:type="dxa"/>
            <w:vAlign w:val="bottom"/>
          </w:tcPr>
          <w:p w:rsidR="00000000" w:rsidRDefault="00000000">
            <w:pPr>
              <w:keepNext/>
              <w:spacing w:before="40" w:after="40" w:line="216" w:lineRule="auto"/>
              <w:ind w:right="223"/>
              <w:jc w:val="right"/>
              <w:rPr>
                <w:sz w:val="22"/>
                <w:szCs w:val="22"/>
              </w:rPr>
            </w:pPr>
          </w:p>
        </w:tc>
        <w:tc>
          <w:tcPr>
            <w:tcW w:w="1236" w:type="dxa"/>
            <w:vAlign w:val="bottom"/>
          </w:tcPr>
          <w:p w:rsidR="00000000" w:rsidRDefault="00000000">
            <w:pPr>
              <w:keepNext/>
              <w:spacing w:before="40" w:after="40" w:line="216" w:lineRule="auto"/>
              <w:ind w:right="223"/>
              <w:jc w:val="right"/>
              <w:rPr>
                <w:sz w:val="22"/>
                <w:szCs w:val="22"/>
              </w:rPr>
            </w:pPr>
          </w:p>
        </w:tc>
        <w:tc>
          <w:tcPr>
            <w:tcW w:w="1580" w:type="dxa"/>
            <w:vAlign w:val="bottom"/>
          </w:tcPr>
          <w:p w:rsidR="00000000" w:rsidRDefault="00000000">
            <w:pPr>
              <w:keepNext/>
              <w:spacing w:before="40" w:after="40" w:line="216" w:lineRule="auto"/>
              <w:ind w:right="223"/>
              <w:jc w:val="right"/>
              <w:rPr>
                <w:sz w:val="22"/>
                <w:szCs w:val="22"/>
              </w:rPr>
            </w:pP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Alcoentre</w:t>
            </w:r>
          </w:p>
        </w:tc>
        <w:tc>
          <w:tcPr>
            <w:tcW w:w="1102" w:type="dxa"/>
            <w:vAlign w:val="bottom"/>
          </w:tcPr>
          <w:p w:rsidR="00000000" w:rsidRDefault="00000000">
            <w:pPr>
              <w:spacing w:before="40" w:after="40" w:line="216" w:lineRule="auto"/>
              <w:ind w:right="223"/>
              <w:jc w:val="right"/>
              <w:rPr>
                <w:sz w:val="22"/>
                <w:szCs w:val="22"/>
              </w:rPr>
            </w:pPr>
            <w:r>
              <w:rPr>
                <w:sz w:val="22"/>
                <w:szCs w:val="22"/>
              </w:rPr>
              <w:t>704</w:t>
            </w:r>
          </w:p>
        </w:tc>
        <w:tc>
          <w:tcPr>
            <w:tcW w:w="1149" w:type="dxa"/>
            <w:vAlign w:val="bottom"/>
          </w:tcPr>
          <w:p w:rsidR="00000000" w:rsidRDefault="00000000">
            <w:pPr>
              <w:spacing w:before="40" w:after="40" w:line="216" w:lineRule="auto"/>
              <w:ind w:right="223"/>
              <w:jc w:val="right"/>
              <w:rPr>
                <w:sz w:val="22"/>
                <w:szCs w:val="22"/>
              </w:rPr>
            </w:pPr>
            <w:r>
              <w:rPr>
                <w:sz w:val="22"/>
                <w:szCs w:val="22"/>
              </w:rPr>
              <w:t>663</w:t>
            </w:r>
          </w:p>
        </w:tc>
        <w:tc>
          <w:tcPr>
            <w:tcW w:w="1371" w:type="dxa"/>
            <w:vAlign w:val="bottom"/>
          </w:tcPr>
          <w:p w:rsidR="00000000" w:rsidRDefault="00000000">
            <w:pPr>
              <w:spacing w:before="40" w:after="40" w:line="216" w:lineRule="auto"/>
              <w:ind w:right="223"/>
              <w:jc w:val="right"/>
              <w:rPr>
                <w:sz w:val="22"/>
                <w:szCs w:val="22"/>
              </w:rPr>
            </w:pPr>
            <w:r>
              <w:rPr>
                <w:sz w:val="22"/>
                <w:szCs w:val="22"/>
              </w:rPr>
              <w:t>106,2</w:t>
            </w:r>
          </w:p>
        </w:tc>
        <w:tc>
          <w:tcPr>
            <w:tcW w:w="1080" w:type="dxa"/>
            <w:vAlign w:val="bottom"/>
          </w:tcPr>
          <w:p w:rsidR="00000000" w:rsidRDefault="00000000">
            <w:pPr>
              <w:spacing w:before="40" w:after="40" w:line="216" w:lineRule="auto"/>
              <w:ind w:right="223"/>
              <w:jc w:val="right"/>
              <w:rPr>
                <w:sz w:val="22"/>
                <w:szCs w:val="22"/>
              </w:rPr>
            </w:pPr>
            <w:r>
              <w:rPr>
                <w:sz w:val="22"/>
                <w:szCs w:val="22"/>
              </w:rPr>
              <w:t>717</w:t>
            </w:r>
          </w:p>
        </w:tc>
        <w:tc>
          <w:tcPr>
            <w:tcW w:w="1236" w:type="dxa"/>
            <w:vAlign w:val="bottom"/>
          </w:tcPr>
          <w:p w:rsidR="00000000" w:rsidRDefault="00000000">
            <w:pPr>
              <w:spacing w:before="40" w:after="40" w:line="216" w:lineRule="auto"/>
              <w:ind w:right="223"/>
              <w:jc w:val="right"/>
              <w:rPr>
                <w:sz w:val="22"/>
                <w:szCs w:val="22"/>
              </w:rPr>
            </w:pPr>
            <w:r>
              <w:rPr>
                <w:sz w:val="22"/>
                <w:szCs w:val="22"/>
              </w:rPr>
              <w:t>663</w:t>
            </w:r>
          </w:p>
        </w:tc>
        <w:tc>
          <w:tcPr>
            <w:tcW w:w="1580" w:type="dxa"/>
            <w:vAlign w:val="bottom"/>
          </w:tcPr>
          <w:p w:rsidR="00000000" w:rsidRDefault="00000000">
            <w:pPr>
              <w:spacing w:before="40" w:after="40" w:line="216" w:lineRule="auto"/>
              <w:ind w:right="223"/>
              <w:jc w:val="right"/>
              <w:rPr>
                <w:sz w:val="22"/>
                <w:szCs w:val="22"/>
              </w:rPr>
            </w:pPr>
            <w:r>
              <w:rPr>
                <w:sz w:val="22"/>
                <w:szCs w:val="22"/>
              </w:rPr>
              <w:t>108,1</w:t>
            </w:r>
          </w:p>
        </w:tc>
      </w:tr>
      <w:tr w:rsidR="00000000">
        <w:trPr>
          <w:jc w:val="center"/>
        </w:trPr>
        <w:tc>
          <w:tcPr>
            <w:tcW w:w="1741" w:type="dxa"/>
            <w:vAlign w:val="center"/>
          </w:tcPr>
          <w:p w:rsidR="00000000" w:rsidRDefault="00000000">
            <w:pPr>
              <w:spacing w:before="40" w:after="40" w:line="216" w:lineRule="auto"/>
              <w:rPr>
                <w:sz w:val="22"/>
                <w:szCs w:val="22"/>
                <w:lang w:val="en-GB"/>
              </w:rPr>
            </w:pPr>
            <w:r>
              <w:rPr>
                <w:sz w:val="22"/>
                <w:szCs w:val="22"/>
                <w:lang w:val="en-GB"/>
              </w:rPr>
              <w:t>Carregueira</w:t>
            </w:r>
            <w:r>
              <w:rPr>
                <w:b/>
                <w:bCs/>
                <w:sz w:val="22"/>
                <w:szCs w:val="22"/>
                <w:vertAlign w:val="superscript"/>
                <w:lang w:val="en-GB"/>
              </w:rPr>
              <w:t>a</w:t>
            </w:r>
          </w:p>
        </w:tc>
        <w:tc>
          <w:tcPr>
            <w:tcW w:w="1102"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c>
          <w:tcPr>
            <w:tcW w:w="1149"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c>
          <w:tcPr>
            <w:tcW w:w="1371"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c>
          <w:tcPr>
            <w:tcW w:w="1080"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c>
          <w:tcPr>
            <w:tcW w:w="1236"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c>
          <w:tcPr>
            <w:tcW w:w="1580" w:type="dxa"/>
            <w:vAlign w:val="bottom"/>
          </w:tcPr>
          <w:p w:rsidR="00000000" w:rsidRDefault="00000000">
            <w:pPr>
              <w:spacing w:before="40" w:after="40" w:line="216" w:lineRule="auto"/>
              <w:ind w:right="223"/>
              <w:jc w:val="right"/>
              <w:rPr>
                <w:sz w:val="22"/>
                <w:szCs w:val="22"/>
                <w:lang w:val="en-GB"/>
              </w:rPr>
            </w:pPr>
            <w:r>
              <w:rPr>
                <w:sz w:val="22"/>
                <w:szCs w:val="22"/>
                <w:lang w:val="en-GB"/>
              </w:rPr>
              <w:t>-</w:t>
            </w:r>
          </w:p>
        </w:tc>
      </w:tr>
      <w:tr w:rsidR="00000000">
        <w:trPr>
          <w:jc w:val="center"/>
        </w:trPr>
        <w:tc>
          <w:tcPr>
            <w:tcW w:w="1741" w:type="dxa"/>
            <w:vAlign w:val="center"/>
          </w:tcPr>
          <w:p w:rsidR="00000000" w:rsidRDefault="00000000">
            <w:pPr>
              <w:spacing w:before="40" w:after="40" w:line="216" w:lineRule="auto"/>
              <w:rPr>
                <w:sz w:val="22"/>
                <w:szCs w:val="22"/>
                <w:lang w:val="en-GB"/>
              </w:rPr>
            </w:pPr>
            <w:r>
              <w:rPr>
                <w:sz w:val="22"/>
                <w:szCs w:val="22"/>
                <w:lang w:val="en-GB"/>
              </w:rPr>
              <w:t>Castelo Branco</w:t>
            </w:r>
          </w:p>
        </w:tc>
        <w:tc>
          <w:tcPr>
            <w:tcW w:w="1102" w:type="dxa"/>
            <w:vAlign w:val="bottom"/>
          </w:tcPr>
          <w:p w:rsidR="00000000" w:rsidRDefault="00000000">
            <w:pPr>
              <w:spacing w:before="40" w:after="40" w:line="216" w:lineRule="auto"/>
              <w:ind w:right="223"/>
              <w:jc w:val="right"/>
              <w:rPr>
                <w:sz w:val="22"/>
                <w:szCs w:val="22"/>
              </w:rPr>
            </w:pPr>
            <w:r>
              <w:rPr>
                <w:sz w:val="22"/>
                <w:szCs w:val="22"/>
              </w:rPr>
              <w:t>98</w:t>
            </w:r>
          </w:p>
        </w:tc>
        <w:tc>
          <w:tcPr>
            <w:tcW w:w="1149" w:type="dxa"/>
            <w:vAlign w:val="bottom"/>
          </w:tcPr>
          <w:p w:rsidR="00000000" w:rsidRDefault="00000000">
            <w:pPr>
              <w:spacing w:before="40" w:after="40" w:line="216" w:lineRule="auto"/>
              <w:ind w:right="223"/>
              <w:jc w:val="right"/>
              <w:rPr>
                <w:sz w:val="22"/>
                <w:szCs w:val="22"/>
              </w:rPr>
            </w:pPr>
            <w:r>
              <w:rPr>
                <w:sz w:val="22"/>
                <w:szCs w:val="22"/>
              </w:rPr>
              <w:t>164</w:t>
            </w:r>
          </w:p>
        </w:tc>
        <w:tc>
          <w:tcPr>
            <w:tcW w:w="1371" w:type="dxa"/>
            <w:vAlign w:val="bottom"/>
          </w:tcPr>
          <w:p w:rsidR="00000000" w:rsidRDefault="00000000">
            <w:pPr>
              <w:spacing w:before="40" w:after="40" w:line="216" w:lineRule="auto"/>
              <w:ind w:right="223"/>
              <w:jc w:val="right"/>
              <w:rPr>
                <w:sz w:val="22"/>
                <w:szCs w:val="22"/>
              </w:rPr>
            </w:pPr>
            <w:r>
              <w:rPr>
                <w:sz w:val="22"/>
                <w:szCs w:val="22"/>
              </w:rPr>
              <w:t>59,8</w:t>
            </w:r>
          </w:p>
        </w:tc>
        <w:tc>
          <w:tcPr>
            <w:tcW w:w="1080" w:type="dxa"/>
            <w:vAlign w:val="bottom"/>
          </w:tcPr>
          <w:p w:rsidR="00000000" w:rsidRDefault="00000000">
            <w:pPr>
              <w:spacing w:before="40" w:after="40" w:line="216" w:lineRule="auto"/>
              <w:ind w:right="223"/>
              <w:jc w:val="right"/>
              <w:rPr>
                <w:sz w:val="22"/>
                <w:szCs w:val="22"/>
              </w:rPr>
            </w:pPr>
            <w:r>
              <w:rPr>
                <w:sz w:val="22"/>
                <w:szCs w:val="22"/>
              </w:rPr>
              <w:t>105</w:t>
            </w:r>
          </w:p>
        </w:tc>
        <w:tc>
          <w:tcPr>
            <w:tcW w:w="1236" w:type="dxa"/>
            <w:vAlign w:val="bottom"/>
          </w:tcPr>
          <w:p w:rsidR="00000000" w:rsidRDefault="00000000">
            <w:pPr>
              <w:spacing w:before="40" w:after="40" w:line="216" w:lineRule="auto"/>
              <w:ind w:right="223"/>
              <w:jc w:val="right"/>
              <w:rPr>
                <w:sz w:val="22"/>
                <w:szCs w:val="22"/>
              </w:rPr>
            </w:pPr>
            <w:r>
              <w:rPr>
                <w:sz w:val="22"/>
                <w:szCs w:val="22"/>
              </w:rPr>
              <w:t>168</w:t>
            </w:r>
          </w:p>
        </w:tc>
        <w:tc>
          <w:tcPr>
            <w:tcW w:w="1580" w:type="dxa"/>
            <w:vAlign w:val="bottom"/>
          </w:tcPr>
          <w:p w:rsidR="00000000" w:rsidRDefault="00000000">
            <w:pPr>
              <w:spacing w:before="40" w:after="40" w:line="216" w:lineRule="auto"/>
              <w:ind w:right="223"/>
              <w:jc w:val="right"/>
              <w:rPr>
                <w:sz w:val="22"/>
                <w:szCs w:val="22"/>
              </w:rPr>
            </w:pPr>
            <w:r>
              <w:rPr>
                <w:sz w:val="22"/>
                <w:szCs w:val="22"/>
              </w:rPr>
              <w:t>62,5</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Caxias</w:t>
            </w:r>
          </w:p>
        </w:tc>
        <w:tc>
          <w:tcPr>
            <w:tcW w:w="1102" w:type="dxa"/>
            <w:vAlign w:val="bottom"/>
          </w:tcPr>
          <w:p w:rsidR="00000000" w:rsidRDefault="00000000">
            <w:pPr>
              <w:spacing w:before="40" w:after="40" w:line="216" w:lineRule="auto"/>
              <w:ind w:right="223"/>
              <w:jc w:val="right"/>
              <w:rPr>
                <w:sz w:val="22"/>
                <w:szCs w:val="22"/>
              </w:rPr>
            </w:pPr>
            <w:r>
              <w:rPr>
                <w:sz w:val="22"/>
                <w:szCs w:val="22"/>
              </w:rPr>
              <w:t>741</w:t>
            </w:r>
          </w:p>
        </w:tc>
        <w:tc>
          <w:tcPr>
            <w:tcW w:w="1149" w:type="dxa"/>
            <w:vAlign w:val="bottom"/>
          </w:tcPr>
          <w:p w:rsidR="00000000" w:rsidRDefault="00000000">
            <w:pPr>
              <w:spacing w:before="40" w:after="40" w:line="216" w:lineRule="auto"/>
              <w:ind w:right="223"/>
              <w:jc w:val="right"/>
              <w:rPr>
                <w:sz w:val="22"/>
                <w:szCs w:val="22"/>
              </w:rPr>
            </w:pPr>
            <w:r>
              <w:rPr>
                <w:sz w:val="22"/>
                <w:szCs w:val="22"/>
              </w:rPr>
              <w:t>474</w:t>
            </w:r>
          </w:p>
        </w:tc>
        <w:tc>
          <w:tcPr>
            <w:tcW w:w="1371" w:type="dxa"/>
            <w:vAlign w:val="bottom"/>
          </w:tcPr>
          <w:p w:rsidR="00000000" w:rsidRDefault="00000000">
            <w:pPr>
              <w:spacing w:before="40" w:after="40" w:line="216" w:lineRule="auto"/>
              <w:ind w:right="223"/>
              <w:jc w:val="right"/>
              <w:rPr>
                <w:sz w:val="22"/>
                <w:szCs w:val="22"/>
              </w:rPr>
            </w:pPr>
            <w:r>
              <w:rPr>
                <w:sz w:val="22"/>
                <w:szCs w:val="22"/>
              </w:rPr>
              <w:t>156,3</w:t>
            </w:r>
          </w:p>
        </w:tc>
        <w:tc>
          <w:tcPr>
            <w:tcW w:w="1080" w:type="dxa"/>
            <w:vAlign w:val="bottom"/>
          </w:tcPr>
          <w:p w:rsidR="00000000" w:rsidRDefault="00000000">
            <w:pPr>
              <w:spacing w:before="40" w:after="40" w:line="216" w:lineRule="auto"/>
              <w:ind w:right="223"/>
              <w:jc w:val="right"/>
              <w:rPr>
                <w:sz w:val="22"/>
                <w:szCs w:val="22"/>
              </w:rPr>
            </w:pPr>
            <w:r>
              <w:rPr>
                <w:sz w:val="22"/>
                <w:szCs w:val="22"/>
              </w:rPr>
              <w:t>658</w:t>
            </w:r>
          </w:p>
        </w:tc>
        <w:tc>
          <w:tcPr>
            <w:tcW w:w="1236" w:type="dxa"/>
            <w:vAlign w:val="bottom"/>
          </w:tcPr>
          <w:p w:rsidR="00000000" w:rsidRDefault="00000000">
            <w:pPr>
              <w:spacing w:before="40" w:after="40" w:line="216" w:lineRule="auto"/>
              <w:ind w:right="223"/>
              <w:jc w:val="right"/>
              <w:rPr>
                <w:sz w:val="22"/>
                <w:szCs w:val="22"/>
              </w:rPr>
            </w:pPr>
            <w:r>
              <w:rPr>
                <w:sz w:val="22"/>
                <w:szCs w:val="22"/>
              </w:rPr>
              <w:t>474</w:t>
            </w:r>
          </w:p>
        </w:tc>
        <w:tc>
          <w:tcPr>
            <w:tcW w:w="1580" w:type="dxa"/>
            <w:vAlign w:val="bottom"/>
          </w:tcPr>
          <w:p w:rsidR="00000000" w:rsidRDefault="00000000">
            <w:pPr>
              <w:spacing w:before="40" w:after="40" w:line="216" w:lineRule="auto"/>
              <w:ind w:right="223"/>
              <w:jc w:val="right"/>
              <w:rPr>
                <w:sz w:val="22"/>
                <w:szCs w:val="22"/>
              </w:rPr>
            </w:pPr>
            <w:r>
              <w:rPr>
                <w:sz w:val="22"/>
                <w:szCs w:val="22"/>
              </w:rPr>
              <w:t>138,8</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Coimbra</w:t>
            </w:r>
          </w:p>
        </w:tc>
        <w:tc>
          <w:tcPr>
            <w:tcW w:w="1102" w:type="dxa"/>
            <w:vAlign w:val="bottom"/>
          </w:tcPr>
          <w:p w:rsidR="00000000" w:rsidRDefault="00000000">
            <w:pPr>
              <w:spacing w:before="40" w:after="40" w:line="216" w:lineRule="auto"/>
              <w:ind w:right="223"/>
              <w:jc w:val="right"/>
              <w:rPr>
                <w:sz w:val="22"/>
                <w:szCs w:val="22"/>
              </w:rPr>
            </w:pPr>
            <w:r>
              <w:rPr>
                <w:sz w:val="22"/>
                <w:szCs w:val="22"/>
              </w:rPr>
              <w:t>450</w:t>
            </w:r>
          </w:p>
        </w:tc>
        <w:tc>
          <w:tcPr>
            <w:tcW w:w="1149" w:type="dxa"/>
            <w:vAlign w:val="bottom"/>
          </w:tcPr>
          <w:p w:rsidR="00000000" w:rsidRDefault="00000000">
            <w:pPr>
              <w:spacing w:before="40" w:after="40" w:line="216" w:lineRule="auto"/>
              <w:ind w:right="223"/>
              <w:jc w:val="right"/>
              <w:rPr>
                <w:sz w:val="22"/>
                <w:szCs w:val="22"/>
              </w:rPr>
            </w:pPr>
            <w:r>
              <w:rPr>
                <w:sz w:val="22"/>
                <w:szCs w:val="22"/>
              </w:rPr>
              <w:t>421</w:t>
            </w:r>
          </w:p>
        </w:tc>
        <w:tc>
          <w:tcPr>
            <w:tcW w:w="1371" w:type="dxa"/>
            <w:vAlign w:val="bottom"/>
          </w:tcPr>
          <w:p w:rsidR="00000000" w:rsidRDefault="00000000">
            <w:pPr>
              <w:spacing w:before="40" w:after="40" w:line="216" w:lineRule="auto"/>
              <w:ind w:right="223"/>
              <w:jc w:val="right"/>
              <w:rPr>
                <w:sz w:val="22"/>
                <w:szCs w:val="22"/>
              </w:rPr>
            </w:pPr>
            <w:r>
              <w:rPr>
                <w:sz w:val="22"/>
                <w:szCs w:val="22"/>
              </w:rPr>
              <w:t>106,9</w:t>
            </w:r>
          </w:p>
        </w:tc>
        <w:tc>
          <w:tcPr>
            <w:tcW w:w="1080" w:type="dxa"/>
            <w:vAlign w:val="bottom"/>
          </w:tcPr>
          <w:p w:rsidR="00000000" w:rsidRDefault="00000000">
            <w:pPr>
              <w:spacing w:before="40" w:after="40" w:line="216" w:lineRule="auto"/>
              <w:ind w:right="223"/>
              <w:jc w:val="right"/>
              <w:rPr>
                <w:sz w:val="22"/>
                <w:szCs w:val="22"/>
              </w:rPr>
            </w:pPr>
            <w:r>
              <w:rPr>
                <w:sz w:val="22"/>
                <w:szCs w:val="22"/>
              </w:rPr>
              <w:t>461</w:t>
            </w:r>
          </w:p>
        </w:tc>
        <w:tc>
          <w:tcPr>
            <w:tcW w:w="1236" w:type="dxa"/>
            <w:vAlign w:val="bottom"/>
          </w:tcPr>
          <w:p w:rsidR="00000000" w:rsidRDefault="00000000">
            <w:pPr>
              <w:spacing w:before="40" w:after="40" w:line="216" w:lineRule="auto"/>
              <w:ind w:right="223"/>
              <w:jc w:val="right"/>
              <w:rPr>
                <w:sz w:val="22"/>
                <w:szCs w:val="22"/>
              </w:rPr>
            </w:pPr>
            <w:r>
              <w:rPr>
                <w:sz w:val="22"/>
                <w:szCs w:val="22"/>
              </w:rPr>
              <w:t>421</w:t>
            </w:r>
          </w:p>
        </w:tc>
        <w:tc>
          <w:tcPr>
            <w:tcW w:w="1580" w:type="dxa"/>
            <w:vAlign w:val="bottom"/>
          </w:tcPr>
          <w:p w:rsidR="00000000" w:rsidRDefault="00000000">
            <w:pPr>
              <w:spacing w:before="40" w:after="40" w:line="216" w:lineRule="auto"/>
              <w:ind w:right="223"/>
              <w:jc w:val="right"/>
              <w:rPr>
                <w:sz w:val="22"/>
                <w:szCs w:val="22"/>
              </w:rPr>
            </w:pPr>
            <w:r>
              <w:rPr>
                <w:sz w:val="22"/>
                <w:szCs w:val="22"/>
              </w:rPr>
              <w:t>109,5</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Funchal</w:t>
            </w:r>
          </w:p>
        </w:tc>
        <w:tc>
          <w:tcPr>
            <w:tcW w:w="1102" w:type="dxa"/>
            <w:vAlign w:val="bottom"/>
          </w:tcPr>
          <w:p w:rsidR="00000000" w:rsidRDefault="00000000">
            <w:pPr>
              <w:spacing w:before="40" w:after="40" w:line="216" w:lineRule="auto"/>
              <w:ind w:right="223"/>
              <w:jc w:val="right"/>
              <w:rPr>
                <w:sz w:val="22"/>
                <w:szCs w:val="22"/>
              </w:rPr>
            </w:pPr>
            <w:r>
              <w:rPr>
                <w:sz w:val="22"/>
                <w:szCs w:val="22"/>
              </w:rPr>
              <w:t>280</w:t>
            </w:r>
          </w:p>
        </w:tc>
        <w:tc>
          <w:tcPr>
            <w:tcW w:w="1149" w:type="dxa"/>
            <w:vAlign w:val="bottom"/>
          </w:tcPr>
          <w:p w:rsidR="00000000" w:rsidRDefault="00000000">
            <w:pPr>
              <w:spacing w:before="40" w:after="40" w:line="216" w:lineRule="auto"/>
              <w:ind w:right="223"/>
              <w:jc w:val="right"/>
              <w:rPr>
                <w:sz w:val="22"/>
                <w:szCs w:val="22"/>
              </w:rPr>
            </w:pPr>
            <w:r>
              <w:rPr>
                <w:sz w:val="22"/>
                <w:szCs w:val="22"/>
              </w:rPr>
              <w:t>349</w:t>
            </w:r>
          </w:p>
        </w:tc>
        <w:tc>
          <w:tcPr>
            <w:tcW w:w="1371" w:type="dxa"/>
            <w:vAlign w:val="bottom"/>
          </w:tcPr>
          <w:p w:rsidR="00000000" w:rsidRDefault="00000000">
            <w:pPr>
              <w:spacing w:before="40" w:after="40" w:line="216" w:lineRule="auto"/>
              <w:ind w:right="223"/>
              <w:jc w:val="right"/>
              <w:rPr>
                <w:sz w:val="22"/>
                <w:szCs w:val="22"/>
              </w:rPr>
            </w:pPr>
            <w:r>
              <w:rPr>
                <w:sz w:val="22"/>
                <w:szCs w:val="22"/>
              </w:rPr>
              <w:t>80,2</w:t>
            </w:r>
          </w:p>
        </w:tc>
        <w:tc>
          <w:tcPr>
            <w:tcW w:w="1080" w:type="dxa"/>
            <w:vAlign w:val="bottom"/>
          </w:tcPr>
          <w:p w:rsidR="00000000" w:rsidRDefault="00000000">
            <w:pPr>
              <w:spacing w:before="40" w:after="40" w:line="216" w:lineRule="auto"/>
              <w:ind w:right="223"/>
              <w:jc w:val="right"/>
              <w:rPr>
                <w:sz w:val="22"/>
                <w:szCs w:val="22"/>
              </w:rPr>
            </w:pPr>
            <w:r>
              <w:rPr>
                <w:sz w:val="22"/>
                <w:szCs w:val="22"/>
              </w:rPr>
              <w:t>317</w:t>
            </w:r>
          </w:p>
        </w:tc>
        <w:tc>
          <w:tcPr>
            <w:tcW w:w="1236" w:type="dxa"/>
            <w:vAlign w:val="bottom"/>
          </w:tcPr>
          <w:p w:rsidR="00000000" w:rsidRDefault="00000000">
            <w:pPr>
              <w:spacing w:before="40" w:after="40" w:line="216" w:lineRule="auto"/>
              <w:ind w:right="223"/>
              <w:jc w:val="right"/>
              <w:rPr>
                <w:sz w:val="22"/>
                <w:szCs w:val="22"/>
              </w:rPr>
            </w:pPr>
            <w:r>
              <w:rPr>
                <w:sz w:val="22"/>
                <w:szCs w:val="22"/>
              </w:rPr>
              <w:t>349</w:t>
            </w:r>
          </w:p>
        </w:tc>
        <w:tc>
          <w:tcPr>
            <w:tcW w:w="1580" w:type="dxa"/>
            <w:vAlign w:val="bottom"/>
          </w:tcPr>
          <w:p w:rsidR="00000000" w:rsidRDefault="00000000">
            <w:pPr>
              <w:spacing w:before="40" w:after="40" w:line="216" w:lineRule="auto"/>
              <w:ind w:right="223"/>
              <w:jc w:val="right"/>
              <w:rPr>
                <w:sz w:val="22"/>
                <w:szCs w:val="22"/>
              </w:rPr>
            </w:pPr>
            <w:r>
              <w:rPr>
                <w:sz w:val="22"/>
                <w:szCs w:val="22"/>
              </w:rPr>
              <w:t>90,8</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Izeda</w:t>
            </w:r>
          </w:p>
        </w:tc>
        <w:tc>
          <w:tcPr>
            <w:tcW w:w="1102" w:type="dxa"/>
            <w:vAlign w:val="bottom"/>
          </w:tcPr>
          <w:p w:rsidR="00000000" w:rsidRDefault="00000000">
            <w:pPr>
              <w:spacing w:before="40" w:after="40" w:line="216" w:lineRule="auto"/>
              <w:ind w:right="223"/>
              <w:jc w:val="right"/>
              <w:rPr>
                <w:sz w:val="22"/>
                <w:szCs w:val="22"/>
              </w:rPr>
            </w:pPr>
            <w:r>
              <w:rPr>
                <w:sz w:val="22"/>
                <w:szCs w:val="22"/>
              </w:rPr>
              <w:t>280</w:t>
            </w:r>
          </w:p>
        </w:tc>
        <w:tc>
          <w:tcPr>
            <w:tcW w:w="1149" w:type="dxa"/>
            <w:vAlign w:val="bottom"/>
          </w:tcPr>
          <w:p w:rsidR="00000000" w:rsidRDefault="00000000">
            <w:pPr>
              <w:spacing w:before="40" w:after="40" w:line="216" w:lineRule="auto"/>
              <w:ind w:right="223"/>
              <w:jc w:val="right"/>
              <w:rPr>
                <w:sz w:val="22"/>
                <w:szCs w:val="22"/>
              </w:rPr>
            </w:pPr>
            <w:r>
              <w:rPr>
                <w:sz w:val="22"/>
                <w:szCs w:val="22"/>
              </w:rPr>
              <w:t>289</w:t>
            </w:r>
          </w:p>
        </w:tc>
        <w:tc>
          <w:tcPr>
            <w:tcW w:w="1371" w:type="dxa"/>
            <w:vAlign w:val="bottom"/>
          </w:tcPr>
          <w:p w:rsidR="00000000" w:rsidRDefault="00000000">
            <w:pPr>
              <w:spacing w:before="40" w:after="40" w:line="216" w:lineRule="auto"/>
              <w:ind w:right="223"/>
              <w:jc w:val="right"/>
              <w:rPr>
                <w:sz w:val="22"/>
                <w:szCs w:val="22"/>
              </w:rPr>
            </w:pPr>
            <w:r>
              <w:rPr>
                <w:sz w:val="22"/>
                <w:szCs w:val="22"/>
              </w:rPr>
              <w:t>96,9</w:t>
            </w:r>
          </w:p>
        </w:tc>
        <w:tc>
          <w:tcPr>
            <w:tcW w:w="1080" w:type="dxa"/>
            <w:vAlign w:val="bottom"/>
          </w:tcPr>
          <w:p w:rsidR="00000000" w:rsidRDefault="00000000">
            <w:pPr>
              <w:spacing w:before="40" w:after="40" w:line="216" w:lineRule="auto"/>
              <w:ind w:right="223"/>
              <w:jc w:val="right"/>
              <w:rPr>
                <w:sz w:val="22"/>
                <w:szCs w:val="22"/>
              </w:rPr>
            </w:pPr>
            <w:r>
              <w:rPr>
                <w:sz w:val="22"/>
                <w:szCs w:val="22"/>
              </w:rPr>
              <w:t>296</w:t>
            </w:r>
          </w:p>
        </w:tc>
        <w:tc>
          <w:tcPr>
            <w:tcW w:w="1236" w:type="dxa"/>
            <w:vAlign w:val="bottom"/>
          </w:tcPr>
          <w:p w:rsidR="00000000" w:rsidRDefault="00000000">
            <w:pPr>
              <w:spacing w:before="40" w:after="40" w:line="216" w:lineRule="auto"/>
              <w:ind w:right="223"/>
              <w:jc w:val="right"/>
              <w:rPr>
                <w:sz w:val="22"/>
                <w:szCs w:val="22"/>
              </w:rPr>
            </w:pPr>
            <w:r>
              <w:rPr>
                <w:sz w:val="22"/>
                <w:szCs w:val="22"/>
              </w:rPr>
              <w:t>289</w:t>
            </w:r>
          </w:p>
        </w:tc>
        <w:tc>
          <w:tcPr>
            <w:tcW w:w="1580" w:type="dxa"/>
            <w:vAlign w:val="bottom"/>
          </w:tcPr>
          <w:p w:rsidR="00000000" w:rsidRDefault="00000000">
            <w:pPr>
              <w:spacing w:before="40" w:after="40" w:line="216" w:lineRule="auto"/>
              <w:ind w:right="223"/>
              <w:jc w:val="right"/>
              <w:rPr>
                <w:sz w:val="22"/>
                <w:szCs w:val="22"/>
              </w:rPr>
            </w:pPr>
            <w:r>
              <w:rPr>
                <w:sz w:val="22"/>
                <w:szCs w:val="22"/>
              </w:rPr>
              <w:t>102,4</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Linhó</w:t>
            </w:r>
          </w:p>
        </w:tc>
        <w:tc>
          <w:tcPr>
            <w:tcW w:w="1102" w:type="dxa"/>
            <w:vAlign w:val="bottom"/>
          </w:tcPr>
          <w:p w:rsidR="00000000" w:rsidRDefault="00000000">
            <w:pPr>
              <w:spacing w:before="40" w:after="40" w:line="216" w:lineRule="auto"/>
              <w:ind w:right="223"/>
              <w:jc w:val="right"/>
              <w:rPr>
                <w:sz w:val="22"/>
                <w:szCs w:val="22"/>
              </w:rPr>
            </w:pPr>
            <w:r>
              <w:rPr>
                <w:sz w:val="22"/>
                <w:szCs w:val="22"/>
              </w:rPr>
              <w:t>626</w:t>
            </w:r>
          </w:p>
        </w:tc>
        <w:tc>
          <w:tcPr>
            <w:tcW w:w="1149" w:type="dxa"/>
            <w:vAlign w:val="bottom"/>
          </w:tcPr>
          <w:p w:rsidR="00000000" w:rsidRDefault="00000000">
            <w:pPr>
              <w:spacing w:before="40" w:after="40" w:line="216" w:lineRule="auto"/>
              <w:ind w:right="223"/>
              <w:jc w:val="right"/>
              <w:rPr>
                <w:sz w:val="22"/>
                <w:szCs w:val="22"/>
              </w:rPr>
            </w:pPr>
            <w:r>
              <w:rPr>
                <w:sz w:val="22"/>
                <w:szCs w:val="22"/>
              </w:rPr>
              <w:t>568</w:t>
            </w:r>
          </w:p>
        </w:tc>
        <w:tc>
          <w:tcPr>
            <w:tcW w:w="1371" w:type="dxa"/>
            <w:vAlign w:val="bottom"/>
          </w:tcPr>
          <w:p w:rsidR="00000000" w:rsidRDefault="00000000">
            <w:pPr>
              <w:spacing w:before="40" w:after="40" w:line="216" w:lineRule="auto"/>
              <w:ind w:right="223"/>
              <w:jc w:val="right"/>
              <w:rPr>
                <w:sz w:val="22"/>
                <w:szCs w:val="22"/>
              </w:rPr>
            </w:pPr>
            <w:r>
              <w:rPr>
                <w:sz w:val="22"/>
                <w:szCs w:val="22"/>
              </w:rPr>
              <w:t>110,2</w:t>
            </w:r>
          </w:p>
        </w:tc>
        <w:tc>
          <w:tcPr>
            <w:tcW w:w="1080" w:type="dxa"/>
            <w:vAlign w:val="bottom"/>
          </w:tcPr>
          <w:p w:rsidR="00000000" w:rsidRDefault="00000000">
            <w:pPr>
              <w:spacing w:before="40" w:after="40" w:line="216" w:lineRule="auto"/>
              <w:ind w:right="223"/>
              <w:jc w:val="right"/>
              <w:rPr>
                <w:sz w:val="22"/>
                <w:szCs w:val="22"/>
              </w:rPr>
            </w:pPr>
            <w:r>
              <w:rPr>
                <w:sz w:val="22"/>
                <w:szCs w:val="22"/>
              </w:rPr>
              <w:t>585</w:t>
            </w:r>
          </w:p>
        </w:tc>
        <w:tc>
          <w:tcPr>
            <w:tcW w:w="1236" w:type="dxa"/>
            <w:vAlign w:val="bottom"/>
          </w:tcPr>
          <w:p w:rsidR="00000000" w:rsidRDefault="00000000">
            <w:pPr>
              <w:spacing w:before="40" w:after="40" w:line="216" w:lineRule="auto"/>
              <w:ind w:right="223"/>
              <w:jc w:val="right"/>
              <w:rPr>
                <w:sz w:val="22"/>
                <w:szCs w:val="22"/>
              </w:rPr>
            </w:pPr>
            <w:r>
              <w:rPr>
                <w:sz w:val="22"/>
                <w:szCs w:val="22"/>
              </w:rPr>
              <w:t>584</w:t>
            </w:r>
          </w:p>
        </w:tc>
        <w:tc>
          <w:tcPr>
            <w:tcW w:w="1580" w:type="dxa"/>
            <w:vAlign w:val="bottom"/>
          </w:tcPr>
          <w:p w:rsidR="00000000" w:rsidRDefault="00000000">
            <w:pPr>
              <w:spacing w:before="40" w:after="40" w:line="216" w:lineRule="auto"/>
              <w:ind w:right="223"/>
              <w:jc w:val="right"/>
              <w:rPr>
                <w:sz w:val="22"/>
                <w:szCs w:val="22"/>
              </w:rPr>
            </w:pPr>
            <w:r>
              <w:rPr>
                <w:sz w:val="22"/>
                <w:szCs w:val="22"/>
              </w:rPr>
              <w:t>100,2</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Lisboa</w:t>
            </w:r>
          </w:p>
        </w:tc>
        <w:tc>
          <w:tcPr>
            <w:tcW w:w="1102" w:type="dxa"/>
            <w:vAlign w:val="bottom"/>
          </w:tcPr>
          <w:p w:rsidR="00000000" w:rsidRDefault="00000000">
            <w:pPr>
              <w:spacing w:before="40" w:after="40" w:line="216" w:lineRule="auto"/>
              <w:ind w:right="223"/>
              <w:jc w:val="right"/>
              <w:rPr>
                <w:sz w:val="22"/>
                <w:szCs w:val="22"/>
              </w:rPr>
            </w:pPr>
            <w:r>
              <w:rPr>
                <w:sz w:val="22"/>
                <w:szCs w:val="22"/>
              </w:rPr>
              <w:t>883</w:t>
            </w:r>
          </w:p>
        </w:tc>
        <w:tc>
          <w:tcPr>
            <w:tcW w:w="1149" w:type="dxa"/>
            <w:vAlign w:val="bottom"/>
          </w:tcPr>
          <w:p w:rsidR="00000000" w:rsidRDefault="00000000">
            <w:pPr>
              <w:spacing w:before="40" w:after="40" w:line="216" w:lineRule="auto"/>
              <w:ind w:right="223"/>
              <w:jc w:val="right"/>
              <w:rPr>
                <w:sz w:val="22"/>
                <w:szCs w:val="22"/>
              </w:rPr>
            </w:pPr>
            <w:r>
              <w:rPr>
                <w:sz w:val="22"/>
                <w:szCs w:val="22"/>
              </w:rPr>
              <w:t>852</w:t>
            </w:r>
          </w:p>
        </w:tc>
        <w:tc>
          <w:tcPr>
            <w:tcW w:w="1371" w:type="dxa"/>
            <w:vAlign w:val="bottom"/>
          </w:tcPr>
          <w:p w:rsidR="00000000" w:rsidRDefault="00000000">
            <w:pPr>
              <w:spacing w:before="40" w:after="40" w:line="216" w:lineRule="auto"/>
              <w:ind w:right="223"/>
              <w:jc w:val="right"/>
              <w:rPr>
                <w:sz w:val="22"/>
                <w:szCs w:val="22"/>
              </w:rPr>
            </w:pPr>
            <w:r>
              <w:rPr>
                <w:sz w:val="22"/>
                <w:szCs w:val="22"/>
              </w:rPr>
              <w:t>103,6</w:t>
            </w:r>
          </w:p>
        </w:tc>
        <w:tc>
          <w:tcPr>
            <w:tcW w:w="1080" w:type="dxa"/>
            <w:vAlign w:val="bottom"/>
          </w:tcPr>
          <w:p w:rsidR="00000000" w:rsidRDefault="00000000">
            <w:pPr>
              <w:spacing w:before="40" w:after="40" w:line="216" w:lineRule="auto"/>
              <w:ind w:right="223"/>
              <w:jc w:val="right"/>
              <w:rPr>
                <w:sz w:val="22"/>
                <w:szCs w:val="22"/>
              </w:rPr>
            </w:pPr>
            <w:r>
              <w:rPr>
                <w:sz w:val="22"/>
                <w:szCs w:val="22"/>
              </w:rPr>
              <w:t>1 054</w:t>
            </w:r>
          </w:p>
        </w:tc>
        <w:tc>
          <w:tcPr>
            <w:tcW w:w="1236" w:type="dxa"/>
            <w:vAlign w:val="bottom"/>
          </w:tcPr>
          <w:p w:rsidR="00000000" w:rsidRDefault="00000000">
            <w:pPr>
              <w:spacing w:before="40" w:after="40" w:line="216" w:lineRule="auto"/>
              <w:ind w:right="223"/>
              <w:jc w:val="right"/>
              <w:rPr>
                <w:sz w:val="22"/>
                <w:szCs w:val="22"/>
              </w:rPr>
            </w:pPr>
            <w:r>
              <w:rPr>
                <w:sz w:val="22"/>
                <w:szCs w:val="22"/>
              </w:rPr>
              <w:t>887</w:t>
            </w:r>
          </w:p>
        </w:tc>
        <w:tc>
          <w:tcPr>
            <w:tcW w:w="1580" w:type="dxa"/>
            <w:vAlign w:val="bottom"/>
          </w:tcPr>
          <w:p w:rsidR="00000000" w:rsidRDefault="00000000">
            <w:pPr>
              <w:spacing w:before="40" w:after="40" w:line="216" w:lineRule="auto"/>
              <w:ind w:right="223"/>
              <w:jc w:val="right"/>
              <w:rPr>
                <w:sz w:val="22"/>
                <w:szCs w:val="22"/>
              </w:rPr>
            </w:pPr>
            <w:r>
              <w:rPr>
                <w:sz w:val="22"/>
                <w:szCs w:val="22"/>
              </w:rPr>
              <w:t>118,8</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Monsanto</w:t>
            </w:r>
          </w:p>
        </w:tc>
        <w:tc>
          <w:tcPr>
            <w:tcW w:w="1102" w:type="dxa"/>
            <w:vAlign w:val="bottom"/>
          </w:tcPr>
          <w:p w:rsidR="00000000" w:rsidRDefault="00000000">
            <w:pPr>
              <w:spacing w:before="40" w:after="40" w:line="216" w:lineRule="auto"/>
              <w:ind w:right="223"/>
              <w:jc w:val="right"/>
              <w:rPr>
                <w:sz w:val="22"/>
                <w:szCs w:val="22"/>
              </w:rPr>
            </w:pPr>
            <w:r>
              <w:rPr>
                <w:sz w:val="22"/>
                <w:szCs w:val="22"/>
              </w:rPr>
              <w:t>85</w:t>
            </w:r>
          </w:p>
        </w:tc>
        <w:tc>
          <w:tcPr>
            <w:tcW w:w="1149" w:type="dxa"/>
            <w:vAlign w:val="bottom"/>
          </w:tcPr>
          <w:p w:rsidR="00000000" w:rsidRDefault="00000000">
            <w:pPr>
              <w:spacing w:before="40" w:after="40" w:line="216" w:lineRule="auto"/>
              <w:ind w:right="223"/>
              <w:jc w:val="right"/>
              <w:rPr>
                <w:sz w:val="22"/>
                <w:szCs w:val="22"/>
              </w:rPr>
            </w:pPr>
            <w:r>
              <w:rPr>
                <w:sz w:val="22"/>
                <w:szCs w:val="22"/>
              </w:rPr>
              <w:t>166</w:t>
            </w:r>
          </w:p>
        </w:tc>
        <w:tc>
          <w:tcPr>
            <w:tcW w:w="1371" w:type="dxa"/>
            <w:vAlign w:val="bottom"/>
          </w:tcPr>
          <w:p w:rsidR="00000000" w:rsidRDefault="00000000">
            <w:pPr>
              <w:spacing w:before="40" w:after="40" w:line="216" w:lineRule="auto"/>
              <w:ind w:right="223"/>
              <w:jc w:val="right"/>
              <w:rPr>
                <w:sz w:val="22"/>
                <w:szCs w:val="22"/>
              </w:rPr>
            </w:pPr>
            <w:r>
              <w:rPr>
                <w:sz w:val="22"/>
                <w:szCs w:val="22"/>
              </w:rPr>
              <w:t>51,2</w:t>
            </w:r>
          </w:p>
        </w:tc>
        <w:tc>
          <w:tcPr>
            <w:tcW w:w="1080" w:type="dxa"/>
            <w:vAlign w:val="bottom"/>
          </w:tcPr>
          <w:p w:rsidR="00000000" w:rsidRDefault="00000000">
            <w:pPr>
              <w:spacing w:before="40" w:after="40" w:line="216" w:lineRule="auto"/>
              <w:ind w:right="223"/>
              <w:jc w:val="right"/>
              <w:rPr>
                <w:sz w:val="22"/>
                <w:szCs w:val="22"/>
              </w:rPr>
            </w:pPr>
            <w:r>
              <w:rPr>
                <w:sz w:val="22"/>
                <w:szCs w:val="22"/>
              </w:rPr>
              <w:t>175</w:t>
            </w:r>
          </w:p>
        </w:tc>
        <w:tc>
          <w:tcPr>
            <w:tcW w:w="1236" w:type="dxa"/>
            <w:vAlign w:val="bottom"/>
          </w:tcPr>
          <w:p w:rsidR="00000000" w:rsidRDefault="00000000">
            <w:pPr>
              <w:spacing w:before="40" w:after="40" w:line="216" w:lineRule="auto"/>
              <w:ind w:right="223"/>
              <w:jc w:val="right"/>
              <w:rPr>
                <w:sz w:val="22"/>
                <w:szCs w:val="22"/>
              </w:rPr>
            </w:pPr>
            <w:r>
              <w:rPr>
                <w:sz w:val="22"/>
                <w:szCs w:val="22"/>
              </w:rPr>
              <w:t>166</w:t>
            </w:r>
          </w:p>
        </w:tc>
        <w:tc>
          <w:tcPr>
            <w:tcW w:w="1580" w:type="dxa"/>
            <w:vAlign w:val="bottom"/>
          </w:tcPr>
          <w:p w:rsidR="00000000" w:rsidRDefault="00000000">
            <w:pPr>
              <w:spacing w:before="40" w:after="40" w:line="216" w:lineRule="auto"/>
              <w:ind w:right="223"/>
              <w:jc w:val="right"/>
              <w:rPr>
                <w:sz w:val="22"/>
                <w:szCs w:val="22"/>
              </w:rPr>
            </w:pPr>
            <w:r>
              <w:rPr>
                <w:sz w:val="22"/>
                <w:szCs w:val="22"/>
              </w:rPr>
              <w:t>105,4</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P. Ferreira</w:t>
            </w:r>
          </w:p>
        </w:tc>
        <w:tc>
          <w:tcPr>
            <w:tcW w:w="1102" w:type="dxa"/>
            <w:vAlign w:val="bottom"/>
          </w:tcPr>
          <w:p w:rsidR="00000000" w:rsidRDefault="00000000">
            <w:pPr>
              <w:spacing w:before="40" w:after="40" w:line="216" w:lineRule="auto"/>
              <w:ind w:right="223"/>
              <w:jc w:val="right"/>
              <w:rPr>
                <w:sz w:val="22"/>
                <w:szCs w:val="22"/>
              </w:rPr>
            </w:pPr>
            <w:r>
              <w:rPr>
                <w:sz w:val="22"/>
                <w:szCs w:val="22"/>
              </w:rPr>
              <w:t>684</w:t>
            </w:r>
          </w:p>
        </w:tc>
        <w:tc>
          <w:tcPr>
            <w:tcW w:w="1149" w:type="dxa"/>
            <w:vAlign w:val="bottom"/>
          </w:tcPr>
          <w:p w:rsidR="00000000" w:rsidRDefault="00000000">
            <w:pPr>
              <w:spacing w:before="40" w:after="40" w:line="216" w:lineRule="auto"/>
              <w:ind w:right="223"/>
              <w:jc w:val="right"/>
              <w:rPr>
                <w:sz w:val="22"/>
                <w:szCs w:val="22"/>
              </w:rPr>
            </w:pPr>
            <w:r>
              <w:rPr>
                <w:sz w:val="22"/>
                <w:szCs w:val="22"/>
              </w:rPr>
              <w:t>570</w:t>
            </w:r>
          </w:p>
        </w:tc>
        <w:tc>
          <w:tcPr>
            <w:tcW w:w="1371" w:type="dxa"/>
            <w:vAlign w:val="bottom"/>
          </w:tcPr>
          <w:p w:rsidR="00000000" w:rsidRDefault="00000000">
            <w:pPr>
              <w:spacing w:before="40" w:after="40" w:line="216" w:lineRule="auto"/>
              <w:ind w:right="223"/>
              <w:jc w:val="right"/>
              <w:rPr>
                <w:sz w:val="22"/>
                <w:szCs w:val="22"/>
              </w:rPr>
            </w:pPr>
            <w:r>
              <w:rPr>
                <w:sz w:val="22"/>
                <w:szCs w:val="22"/>
              </w:rPr>
              <w:t>120,0</w:t>
            </w:r>
          </w:p>
        </w:tc>
        <w:tc>
          <w:tcPr>
            <w:tcW w:w="1080" w:type="dxa"/>
            <w:vAlign w:val="bottom"/>
          </w:tcPr>
          <w:p w:rsidR="00000000" w:rsidRDefault="00000000">
            <w:pPr>
              <w:spacing w:before="40" w:after="40" w:line="216" w:lineRule="auto"/>
              <w:ind w:right="223"/>
              <w:jc w:val="right"/>
              <w:rPr>
                <w:sz w:val="22"/>
                <w:szCs w:val="22"/>
              </w:rPr>
            </w:pPr>
            <w:r>
              <w:rPr>
                <w:sz w:val="22"/>
                <w:szCs w:val="22"/>
              </w:rPr>
              <w:t>669</w:t>
            </w:r>
          </w:p>
        </w:tc>
        <w:tc>
          <w:tcPr>
            <w:tcW w:w="1236" w:type="dxa"/>
            <w:vAlign w:val="bottom"/>
          </w:tcPr>
          <w:p w:rsidR="00000000" w:rsidRDefault="00000000">
            <w:pPr>
              <w:spacing w:before="40" w:after="40" w:line="216" w:lineRule="auto"/>
              <w:ind w:right="223"/>
              <w:jc w:val="right"/>
              <w:rPr>
                <w:sz w:val="22"/>
                <w:szCs w:val="22"/>
              </w:rPr>
            </w:pPr>
            <w:r>
              <w:rPr>
                <w:sz w:val="22"/>
                <w:szCs w:val="22"/>
              </w:rPr>
              <w:t>570</w:t>
            </w:r>
          </w:p>
        </w:tc>
        <w:tc>
          <w:tcPr>
            <w:tcW w:w="1580" w:type="dxa"/>
            <w:vAlign w:val="bottom"/>
          </w:tcPr>
          <w:p w:rsidR="00000000" w:rsidRDefault="00000000">
            <w:pPr>
              <w:spacing w:before="40" w:after="40" w:line="216" w:lineRule="auto"/>
              <w:ind w:right="223"/>
              <w:jc w:val="right"/>
              <w:rPr>
                <w:sz w:val="22"/>
                <w:szCs w:val="22"/>
              </w:rPr>
            </w:pPr>
            <w:r>
              <w:rPr>
                <w:sz w:val="22"/>
                <w:szCs w:val="22"/>
              </w:rPr>
              <w:t>117,4</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P. da Cruz</w:t>
            </w:r>
          </w:p>
        </w:tc>
        <w:tc>
          <w:tcPr>
            <w:tcW w:w="1102" w:type="dxa"/>
            <w:vAlign w:val="bottom"/>
          </w:tcPr>
          <w:p w:rsidR="00000000" w:rsidRDefault="00000000">
            <w:pPr>
              <w:spacing w:before="40" w:after="40" w:line="216" w:lineRule="auto"/>
              <w:ind w:right="223"/>
              <w:jc w:val="right"/>
              <w:rPr>
                <w:sz w:val="22"/>
                <w:szCs w:val="22"/>
              </w:rPr>
            </w:pPr>
            <w:r>
              <w:rPr>
                <w:sz w:val="22"/>
                <w:szCs w:val="22"/>
              </w:rPr>
              <w:t>792</w:t>
            </w:r>
          </w:p>
        </w:tc>
        <w:tc>
          <w:tcPr>
            <w:tcW w:w="1149" w:type="dxa"/>
            <w:vAlign w:val="bottom"/>
          </w:tcPr>
          <w:p w:rsidR="00000000" w:rsidRDefault="00000000">
            <w:pPr>
              <w:spacing w:before="40" w:after="40" w:line="216" w:lineRule="auto"/>
              <w:ind w:right="223"/>
              <w:jc w:val="right"/>
              <w:rPr>
                <w:sz w:val="22"/>
                <w:szCs w:val="22"/>
              </w:rPr>
            </w:pPr>
            <w:r>
              <w:rPr>
                <w:sz w:val="22"/>
                <w:szCs w:val="22"/>
              </w:rPr>
              <w:t>737</w:t>
            </w:r>
          </w:p>
        </w:tc>
        <w:tc>
          <w:tcPr>
            <w:tcW w:w="1371" w:type="dxa"/>
            <w:vAlign w:val="bottom"/>
          </w:tcPr>
          <w:p w:rsidR="00000000" w:rsidRDefault="00000000">
            <w:pPr>
              <w:spacing w:before="40" w:after="40" w:line="216" w:lineRule="auto"/>
              <w:ind w:right="223"/>
              <w:jc w:val="right"/>
              <w:rPr>
                <w:sz w:val="22"/>
                <w:szCs w:val="22"/>
              </w:rPr>
            </w:pPr>
            <w:r>
              <w:rPr>
                <w:sz w:val="22"/>
                <w:szCs w:val="22"/>
              </w:rPr>
              <w:t>107,5</w:t>
            </w:r>
          </w:p>
        </w:tc>
        <w:tc>
          <w:tcPr>
            <w:tcW w:w="1080" w:type="dxa"/>
            <w:vAlign w:val="bottom"/>
          </w:tcPr>
          <w:p w:rsidR="00000000" w:rsidRDefault="00000000">
            <w:pPr>
              <w:spacing w:before="40" w:after="40" w:line="216" w:lineRule="auto"/>
              <w:ind w:right="223"/>
              <w:jc w:val="right"/>
              <w:rPr>
                <w:sz w:val="22"/>
                <w:szCs w:val="22"/>
              </w:rPr>
            </w:pPr>
            <w:r>
              <w:rPr>
                <w:sz w:val="22"/>
                <w:szCs w:val="22"/>
              </w:rPr>
              <w:t>744</w:t>
            </w:r>
          </w:p>
        </w:tc>
        <w:tc>
          <w:tcPr>
            <w:tcW w:w="1236" w:type="dxa"/>
            <w:vAlign w:val="bottom"/>
          </w:tcPr>
          <w:p w:rsidR="00000000" w:rsidRDefault="00000000">
            <w:pPr>
              <w:spacing w:before="40" w:after="40" w:line="216" w:lineRule="auto"/>
              <w:ind w:right="223"/>
              <w:jc w:val="right"/>
              <w:rPr>
                <w:sz w:val="22"/>
                <w:szCs w:val="22"/>
              </w:rPr>
            </w:pPr>
            <w:r>
              <w:rPr>
                <w:sz w:val="22"/>
                <w:szCs w:val="22"/>
              </w:rPr>
              <w:t>737</w:t>
            </w:r>
          </w:p>
        </w:tc>
        <w:tc>
          <w:tcPr>
            <w:tcW w:w="1580" w:type="dxa"/>
            <w:vAlign w:val="bottom"/>
          </w:tcPr>
          <w:p w:rsidR="00000000" w:rsidRDefault="00000000">
            <w:pPr>
              <w:spacing w:before="40" w:after="40" w:line="216" w:lineRule="auto"/>
              <w:ind w:right="223"/>
              <w:jc w:val="right"/>
              <w:rPr>
                <w:sz w:val="22"/>
                <w:szCs w:val="22"/>
              </w:rPr>
            </w:pPr>
            <w:r>
              <w:rPr>
                <w:sz w:val="22"/>
                <w:szCs w:val="22"/>
              </w:rPr>
              <w:t>100,9</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Porto</w:t>
            </w:r>
          </w:p>
        </w:tc>
        <w:tc>
          <w:tcPr>
            <w:tcW w:w="1102" w:type="dxa"/>
            <w:vAlign w:val="bottom"/>
          </w:tcPr>
          <w:p w:rsidR="00000000" w:rsidRDefault="00000000">
            <w:pPr>
              <w:spacing w:before="40" w:after="40" w:line="216" w:lineRule="auto"/>
              <w:ind w:right="223"/>
              <w:jc w:val="right"/>
              <w:rPr>
                <w:sz w:val="22"/>
                <w:szCs w:val="22"/>
              </w:rPr>
            </w:pPr>
            <w:r>
              <w:rPr>
                <w:sz w:val="22"/>
                <w:szCs w:val="22"/>
              </w:rPr>
              <w:t>1 035</w:t>
            </w:r>
          </w:p>
        </w:tc>
        <w:tc>
          <w:tcPr>
            <w:tcW w:w="1149" w:type="dxa"/>
            <w:vAlign w:val="bottom"/>
          </w:tcPr>
          <w:p w:rsidR="00000000" w:rsidRDefault="00000000">
            <w:pPr>
              <w:spacing w:before="40" w:after="40" w:line="216" w:lineRule="auto"/>
              <w:ind w:right="223"/>
              <w:jc w:val="right"/>
              <w:rPr>
                <w:sz w:val="22"/>
                <w:szCs w:val="22"/>
              </w:rPr>
            </w:pPr>
            <w:r>
              <w:rPr>
                <w:sz w:val="22"/>
                <w:szCs w:val="22"/>
              </w:rPr>
              <w:t>720</w:t>
            </w:r>
          </w:p>
        </w:tc>
        <w:tc>
          <w:tcPr>
            <w:tcW w:w="1371" w:type="dxa"/>
            <w:vAlign w:val="bottom"/>
          </w:tcPr>
          <w:p w:rsidR="00000000" w:rsidRDefault="00000000">
            <w:pPr>
              <w:spacing w:before="40" w:after="40" w:line="216" w:lineRule="auto"/>
              <w:ind w:right="223"/>
              <w:jc w:val="right"/>
              <w:rPr>
                <w:sz w:val="22"/>
                <w:szCs w:val="22"/>
              </w:rPr>
            </w:pPr>
            <w:r>
              <w:rPr>
                <w:sz w:val="22"/>
                <w:szCs w:val="22"/>
              </w:rPr>
              <w:t>143,8</w:t>
            </w:r>
          </w:p>
        </w:tc>
        <w:tc>
          <w:tcPr>
            <w:tcW w:w="1080" w:type="dxa"/>
            <w:vAlign w:val="bottom"/>
          </w:tcPr>
          <w:p w:rsidR="00000000" w:rsidRDefault="00000000">
            <w:pPr>
              <w:spacing w:before="40" w:after="40" w:line="216" w:lineRule="auto"/>
              <w:ind w:right="223"/>
              <w:jc w:val="right"/>
              <w:rPr>
                <w:sz w:val="22"/>
                <w:szCs w:val="22"/>
              </w:rPr>
            </w:pPr>
            <w:r>
              <w:rPr>
                <w:sz w:val="22"/>
                <w:szCs w:val="22"/>
              </w:rPr>
              <w:t>1 036</w:t>
            </w:r>
          </w:p>
        </w:tc>
        <w:tc>
          <w:tcPr>
            <w:tcW w:w="1236" w:type="dxa"/>
            <w:vAlign w:val="bottom"/>
          </w:tcPr>
          <w:p w:rsidR="00000000" w:rsidRDefault="00000000">
            <w:pPr>
              <w:spacing w:before="40" w:after="40" w:line="216" w:lineRule="auto"/>
              <w:ind w:right="223"/>
              <w:jc w:val="right"/>
              <w:rPr>
                <w:sz w:val="22"/>
                <w:szCs w:val="22"/>
              </w:rPr>
            </w:pPr>
            <w:r>
              <w:rPr>
                <w:sz w:val="22"/>
                <w:szCs w:val="22"/>
              </w:rPr>
              <w:t>720</w:t>
            </w:r>
          </w:p>
        </w:tc>
        <w:tc>
          <w:tcPr>
            <w:tcW w:w="1580" w:type="dxa"/>
            <w:vAlign w:val="bottom"/>
          </w:tcPr>
          <w:p w:rsidR="00000000" w:rsidRDefault="00000000">
            <w:pPr>
              <w:spacing w:before="40" w:after="40" w:line="216" w:lineRule="auto"/>
              <w:ind w:right="223"/>
              <w:jc w:val="right"/>
              <w:rPr>
                <w:sz w:val="22"/>
                <w:szCs w:val="22"/>
              </w:rPr>
            </w:pPr>
            <w:r>
              <w:rPr>
                <w:sz w:val="22"/>
                <w:szCs w:val="22"/>
              </w:rPr>
              <w:t>143,9</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Santarém</w:t>
            </w:r>
            <w:r>
              <w:rPr>
                <w:b/>
                <w:bCs/>
                <w:sz w:val="22"/>
                <w:szCs w:val="22"/>
                <w:vertAlign w:val="superscript"/>
              </w:rPr>
              <w:t>a</w:t>
            </w:r>
          </w:p>
        </w:tc>
        <w:tc>
          <w:tcPr>
            <w:tcW w:w="1102" w:type="dxa"/>
            <w:vAlign w:val="bottom"/>
          </w:tcPr>
          <w:p w:rsidR="00000000" w:rsidRDefault="00000000">
            <w:pPr>
              <w:spacing w:before="40" w:after="40" w:line="216" w:lineRule="auto"/>
              <w:ind w:right="223"/>
              <w:jc w:val="right"/>
              <w:rPr>
                <w:sz w:val="22"/>
                <w:szCs w:val="22"/>
              </w:rPr>
            </w:pPr>
            <w:r>
              <w:rPr>
                <w:sz w:val="22"/>
                <w:szCs w:val="22"/>
              </w:rPr>
              <w:t>-</w:t>
            </w:r>
          </w:p>
        </w:tc>
        <w:tc>
          <w:tcPr>
            <w:tcW w:w="1149" w:type="dxa"/>
            <w:vAlign w:val="bottom"/>
          </w:tcPr>
          <w:p w:rsidR="00000000" w:rsidRDefault="00000000">
            <w:pPr>
              <w:spacing w:before="40" w:after="40" w:line="216" w:lineRule="auto"/>
              <w:ind w:right="223"/>
              <w:jc w:val="right"/>
              <w:rPr>
                <w:sz w:val="22"/>
                <w:szCs w:val="22"/>
              </w:rPr>
            </w:pPr>
            <w:r>
              <w:rPr>
                <w:sz w:val="22"/>
                <w:szCs w:val="22"/>
              </w:rPr>
              <w:t>-</w:t>
            </w:r>
          </w:p>
        </w:tc>
        <w:tc>
          <w:tcPr>
            <w:tcW w:w="1371" w:type="dxa"/>
            <w:vAlign w:val="bottom"/>
          </w:tcPr>
          <w:p w:rsidR="00000000" w:rsidRDefault="00000000">
            <w:pPr>
              <w:spacing w:before="40" w:after="40" w:line="216" w:lineRule="auto"/>
              <w:ind w:right="223"/>
              <w:jc w:val="right"/>
              <w:rPr>
                <w:sz w:val="22"/>
                <w:szCs w:val="22"/>
              </w:rPr>
            </w:pPr>
            <w:r>
              <w:rPr>
                <w:sz w:val="22"/>
                <w:szCs w:val="22"/>
              </w:rPr>
              <w:t>-</w:t>
            </w:r>
          </w:p>
        </w:tc>
        <w:tc>
          <w:tcPr>
            <w:tcW w:w="1080" w:type="dxa"/>
            <w:vAlign w:val="bottom"/>
          </w:tcPr>
          <w:p w:rsidR="00000000" w:rsidRDefault="00000000">
            <w:pPr>
              <w:spacing w:before="40" w:after="40" w:line="216" w:lineRule="auto"/>
              <w:ind w:right="223"/>
              <w:jc w:val="right"/>
              <w:rPr>
                <w:sz w:val="22"/>
                <w:szCs w:val="22"/>
              </w:rPr>
            </w:pPr>
            <w:r>
              <w:rPr>
                <w:sz w:val="22"/>
                <w:szCs w:val="22"/>
              </w:rPr>
              <w:t>22</w:t>
            </w:r>
          </w:p>
        </w:tc>
        <w:tc>
          <w:tcPr>
            <w:tcW w:w="1236" w:type="dxa"/>
            <w:vAlign w:val="bottom"/>
          </w:tcPr>
          <w:p w:rsidR="00000000" w:rsidRDefault="00000000">
            <w:pPr>
              <w:spacing w:before="40" w:after="40" w:line="216" w:lineRule="auto"/>
              <w:ind w:right="223"/>
              <w:jc w:val="right"/>
              <w:rPr>
                <w:sz w:val="22"/>
                <w:szCs w:val="22"/>
              </w:rPr>
            </w:pPr>
            <w:r>
              <w:rPr>
                <w:sz w:val="22"/>
                <w:szCs w:val="22"/>
              </w:rPr>
              <w:t>36</w:t>
            </w:r>
          </w:p>
        </w:tc>
        <w:tc>
          <w:tcPr>
            <w:tcW w:w="1580" w:type="dxa"/>
            <w:vAlign w:val="bottom"/>
          </w:tcPr>
          <w:p w:rsidR="00000000" w:rsidRDefault="00000000">
            <w:pPr>
              <w:spacing w:before="40" w:after="40" w:line="216" w:lineRule="auto"/>
              <w:ind w:right="223"/>
              <w:jc w:val="right"/>
              <w:rPr>
                <w:sz w:val="22"/>
                <w:szCs w:val="22"/>
              </w:rPr>
            </w:pPr>
            <w:r>
              <w:rPr>
                <w:sz w:val="22"/>
                <w:szCs w:val="22"/>
              </w:rPr>
              <w:t>61,1</w:t>
            </w:r>
          </w:p>
        </w:tc>
      </w:tr>
      <w:tr w:rsidR="00000000">
        <w:trPr>
          <w:jc w:val="center"/>
        </w:trPr>
        <w:tc>
          <w:tcPr>
            <w:tcW w:w="1741" w:type="dxa"/>
            <w:vAlign w:val="center"/>
          </w:tcPr>
          <w:p w:rsidR="00000000" w:rsidRDefault="00000000">
            <w:pPr>
              <w:spacing w:before="40" w:after="40" w:line="216" w:lineRule="auto"/>
              <w:rPr>
                <w:sz w:val="22"/>
                <w:szCs w:val="22"/>
                <w:lang w:val="en-GB"/>
              </w:rPr>
            </w:pPr>
            <w:r>
              <w:rPr>
                <w:sz w:val="22"/>
                <w:szCs w:val="22"/>
                <w:lang w:val="en-GB"/>
              </w:rPr>
              <w:t>S.C. do Bispo</w:t>
            </w:r>
          </w:p>
        </w:tc>
        <w:tc>
          <w:tcPr>
            <w:tcW w:w="1102" w:type="dxa"/>
            <w:vAlign w:val="bottom"/>
          </w:tcPr>
          <w:p w:rsidR="00000000" w:rsidRDefault="00000000">
            <w:pPr>
              <w:spacing w:before="40" w:after="40" w:line="216" w:lineRule="auto"/>
              <w:ind w:right="223"/>
              <w:jc w:val="right"/>
              <w:rPr>
                <w:sz w:val="22"/>
                <w:szCs w:val="22"/>
              </w:rPr>
            </w:pPr>
            <w:r>
              <w:rPr>
                <w:sz w:val="22"/>
                <w:szCs w:val="22"/>
              </w:rPr>
              <w:t>399</w:t>
            </w:r>
          </w:p>
        </w:tc>
        <w:tc>
          <w:tcPr>
            <w:tcW w:w="1149" w:type="dxa"/>
            <w:vAlign w:val="bottom"/>
          </w:tcPr>
          <w:p w:rsidR="00000000" w:rsidRDefault="00000000">
            <w:pPr>
              <w:spacing w:before="40" w:after="40" w:line="216" w:lineRule="auto"/>
              <w:ind w:right="223"/>
              <w:jc w:val="right"/>
              <w:rPr>
                <w:sz w:val="22"/>
                <w:szCs w:val="22"/>
              </w:rPr>
            </w:pPr>
            <w:r>
              <w:rPr>
                <w:sz w:val="22"/>
                <w:szCs w:val="22"/>
              </w:rPr>
              <w:t>342</w:t>
            </w:r>
          </w:p>
        </w:tc>
        <w:tc>
          <w:tcPr>
            <w:tcW w:w="1371" w:type="dxa"/>
            <w:vAlign w:val="bottom"/>
          </w:tcPr>
          <w:p w:rsidR="00000000" w:rsidRDefault="00000000">
            <w:pPr>
              <w:spacing w:before="40" w:after="40" w:line="216" w:lineRule="auto"/>
              <w:ind w:right="223"/>
              <w:jc w:val="right"/>
              <w:rPr>
                <w:sz w:val="22"/>
                <w:szCs w:val="22"/>
              </w:rPr>
            </w:pPr>
            <w:r>
              <w:rPr>
                <w:sz w:val="22"/>
                <w:szCs w:val="22"/>
              </w:rPr>
              <w:t>116,7</w:t>
            </w:r>
          </w:p>
        </w:tc>
        <w:tc>
          <w:tcPr>
            <w:tcW w:w="1080" w:type="dxa"/>
            <w:vAlign w:val="bottom"/>
          </w:tcPr>
          <w:p w:rsidR="00000000" w:rsidRDefault="00000000">
            <w:pPr>
              <w:spacing w:before="40" w:after="40" w:line="216" w:lineRule="auto"/>
              <w:ind w:right="223"/>
              <w:jc w:val="right"/>
              <w:rPr>
                <w:sz w:val="22"/>
                <w:szCs w:val="22"/>
              </w:rPr>
            </w:pPr>
            <w:r>
              <w:rPr>
                <w:sz w:val="22"/>
                <w:szCs w:val="22"/>
              </w:rPr>
              <w:t>384</w:t>
            </w:r>
          </w:p>
        </w:tc>
        <w:tc>
          <w:tcPr>
            <w:tcW w:w="1236" w:type="dxa"/>
            <w:vAlign w:val="bottom"/>
          </w:tcPr>
          <w:p w:rsidR="00000000" w:rsidRDefault="00000000">
            <w:pPr>
              <w:spacing w:before="40" w:after="40" w:line="216" w:lineRule="auto"/>
              <w:ind w:right="223"/>
              <w:jc w:val="right"/>
              <w:rPr>
                <w:sz w:val="22"/>
                <w:szCs w:val="22"/>
              </w:rPr>
            </w:pPr>
            <w:r>
              <w:rPr>
                <w:sz w:val="22"/>
                <w:szCs w:val="22"/>
              </w:rPr>
              <w:t>342</w:t>
            </w:r>
          </w:p>
        </w:tc>
        <w:tc>
          <w:tcPr>
            <w:tcW w:w="1580" w:type="dxa"/>
            <w:vAlign w:val="bottom"/>
          </w:tcPr>
          <w:p w:rsidR="00000000" w:rsidRDefault="00000000">
            <w:pPr>
              <w:spacing w:before="40" w:after="40" w:line="216" w:lineRule="auto"/>
              <w:ind w:right="223"/>
              <w:jc w:val="right"/>
              <w:rPr>
                <w:sz w:val="22"/>
                <w:szCs w:val="22"/>
              </w:rPr>
            </w:pPr>
            <w:r>
              <w:rPr>
                <w:sz w:val="22"/>
                <w:szCs w:val="22"/>
              </w:rPr>
              <w:t>112,3</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Sintra</w:t>
            </w:r>
          </w:p>
        </w:tc>
        <w:tc>
          <w:tcPr>
            <w:tcW w:w="1102" w:type="dxa"/>
            <w:vAlign w:val="bottom"/>
          </w:tcPr>
          <w:p w:rsidR="00000000" w:rsidRDefault="00000000">
            <w:pPr>
              <w:spacing w:before="40" w:after="40" w:line="216" w:lineRule="auto"/>
              <w:ind w:right="223"/>
              <w:jc w:val="right"/>
              <w:rPr>
                <w:sz w:val="22"/>
                <w:szCs w:val="22"/>
              </w:rPr>
            </w:pPr>
            <w:r>
              <w:rPr>
                <w:sz w:val="22"/>
                <w:szCs w:val="22"/>
              </w:rPr>
              <w:t>586</w:t>
            </w:r>
          </w:p>
        </w:tc>
        <w:tc>
          <w:tcPr>
            <w:tcW w:w="1149" w:type="dxa"/>
            <w:vAlign w:val="bottom"/>
          </w:tcPr>
          <w:p w:rsidR="00000000" w:rsidRDefault="00000000">
            <w:pPr>
              <w:spacing w:before="40" w:after="40" w:line="216" w:lineRule="auto"/>
              <w:ind w:right="223"/>
              <w:jc w:val="right"/>
              <w:rPr>
                <w:sz w:val="22"/>
                <w:szCs w:val="22"/>
              </w:rPr>
            </w:pPr>
            <w:r>
              <w:rPr>
                <w:sz w:val="22"/>
                <w:szCs w:val="22"/>
              </w:rPr>
              <w:t>669</w:t>
            </w:r>
          </w:p>
        </w:tc>
        <w:tc>
          <w:tcPr>
            <w:tcW w:w="1371" w:type="dxa"/>
            <w:vAlign w:val="bottom"/>
          </w:tcPr>
          <w:p w:rsidR="00000000" w:rsidRDefault="00000000">
            <w:pPr>
              <w:spacing w:before="40" w:after="40" w:line="216" w:lineRule="auto"/>
              <w:ind w:right="223"/>
              <w:jc w:val="right"/>
              <w:rPr>
                <w:sz w:val="22"/>
                <w:szCs w:val="22"/>
              </w:rPr>
            </w:pPr>
            <w:r>
              <w:rPr>
                <w:sz w:val="22"/>
                <w:szCs w:val="22"/>
              </w:rPr>
              <w:t>87,6</w:t>
            </w:r>
          </w:p>
        </w:tc>
        <w:tc>
          <w:tcPr>
            <w:tcW w:w="1080" w:type="dxa"/>
            <w:vAlign w:val="bottom"/>
          </w:tcPr>
          <w:p w:rsidR="00000000" w:rsidRDefault="00000000">
            <w:pPr>
              <w:spacing w:before="40" w:after="40" w:line="216" w:lineRule="auto"/>
              <w:ind w:right="223"/>
              <w:jc w:val="right"/>
              <w:rPr>
                <w:sz w:val="22"/>
                <w:szCs w:val="22"/>
              </w:rPr>
            </w:pPr>
            <w:r>
              <w:rPr>
                <w:sz w:val="22"/>
                <w:szCs w:val="22"/>
              </w:rPr>
              <w:t>612</w:t>
            </w:r>
          </w:p>
        </w:tc>
        <w:tc>
          <w:tcPr>
            <w:tcW w:w="1236" w:type="dxa"/>
            <w:vAlign w:val="bottom"/>
          </w:tcPr>
          <w:p w:rsidR="00000000" w:rsidRDefault="00000000">
            <w:pPr>
              <w:spacing w:before="40" w:after="40" w:line="216" w:lineRule="auto"/>
              <w:ind w:right="223"/>
              <w:jc w:val="right"/>
              <w:rPr>
                <w:sz w:val="22"/>
                <w:szCs w:val="22"/>
              </w:rPr>
            </w:pPr>
            <w:r>
              <w:rPr>
                <w:sz w:val="22"/>
                <w:szCs w:val="22"/>
              </w:rPr>
              <w:t>729</w:t>
            </w:r>
          </w:p>
        </w:tc>
        <w:tc>
          <w:tcPr>
            <w:tcW w:w="1580" w:type="dxa"/>
            <w:vAlign w:val="bottom"/>
          </w:tcPr>
          <w:p w:rsidR="00000000" w:rsidRDefault="00000000">
            <w:pPr>
              <w:spacing w:before="40" w:after="40" w:line="216" w:lineRule="auto"/>
              <w:ind w:right="223"/>
              <w:jc w:val="right"/>
              <w:rPr>
                <w:sz w:val="22"/>
                <w:szCs w:val="22"/>
              </w:rPr>
            </w:pPr>
            <w:r>
              <w:rPr>
                <w:sz w:val="22"/>
                <w:szCs w:val="22"/>
              </w:rPr>
              <w:t>84,0</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Vale de Judeus</w:t>
            </w:r>
          </w:p>
        </w:tc>
        <w:tc>
          <w:tcPr>
            <w:tcW w:w="1102" w:type="dxa"/>
            <w:vAlign w:val="bottom"/>
          </w:tcPr>
          <w:p w:rsidR="00000000" w:rsidRDefault="00000000">
            <w:pPr>
              <w:spacing w:before="40" w:after="40" w:line="216" w:lineRule="auto"/>
              <w:ind w:right="223"/>
              <w:jc w:val="right"/>
              <w:rPr>
                <w:sz w:val="22"/>
                <w:szCs w:val="22"/>
              </w:rPr>
            </w:pPr>
            <w:r>
              <w:rPr>
                <w:sz w:val="22"/>
                <w:szCs w:val="22"/>
              </w:rPr>
              <w:t>512</w:t>
            </w:r>
          </w:p>
        </w:tc>
        <w:tc>
          <w:tcPr>
            <w:tcW w:w="1149" w:type="dxa"/>
            <w:vAlign w:val="bottom"/>
          </w:tcPr>
          <w:p w:rsidR="00000000" w:rsidRDefault="00000000">
            <w:pPr>
              <w:spacing w:before="40" w:after="40" w:line="216" w:lineRule="auto"/>
              <w:ind w:right="223"/>
              <w:jc w:val="right"/>
              <w:rPr>
                <w:sz w:val="22"/>
                <w:szCs w:val="22"/>
              </w:rPr>
            </w:pPr>
            <w:r>
              <w:rPr>
                <w:sz w:val="22"/>
                <w:szCs w:val="22"/>
              </w:rPr>
              <w:t>538</w:t>
            </w:r>
          </w:p>
        </w:tc>
        <w:tc>
          <w:tcPr>
            <w:tcW w:w="1371" w:type="dxa"/>
            <w:vAlign w:val="bottom"/>
          </w:tcPr>
          <w:p w:rsidR="00000000" w:rsidRDefault="00000000">
            <w:pPr>
              <w:spacing w:before="40" w:after="40" w:line="216" w:lineRule="auto"/>
              <w:ind w:right="223"/>
              <w:jc w:val="right"/>
              <w:rPr>
                <w:sz w:val="22"/>
                <w:szCs w:val="22"/>
              </w:rPr>
            </w:pPr>
            <w:r>
              <w:rPr>
                <w:sz w:val="22"/>
                <w:szCs w:val="22"/>
              </w:rPr>
              <w:t>95,2</w:t>
            </w:r>
          </w:p>
        </w:tc>
        <w:tc>
          <w:tcPr>
            <w:tcW w:w="1080" w:type="dxa"/>
            <w:vAlign w:val="bottom"/>
          </w:tcPr>
          <w:p w:rsidR="00000000" w:rsidRDefault="00000000">
            <w:pPr>
              <w:spacing w:before="40" w:after="40" w:line="216" w:lineRule="auto"/>
              <w:ind w:right="223"/>
              <w:jc w:val="right"/>
              <w:rPr>
                <w:sz w:val="22"/>
                <w:szCs w:val="22"/>
              </w:rPr>
            </w:pPr>
            <w:r>
              <w:rPr>
                <w:sz w:val="22"/>
                <w:szCs w:val="22"/>
              </w:rPr>
              <w:t>526</w:t>
            </w:r>
          </w:p>
        </w:tc>
        <w:tc>
          <w:tcPr>
            <w:tcW w:w="1236" w:type="dxa"/>
            <w:vAlign w:val="bottom"/>
          </w:tcPr>
          <w:p w:rsidR="00000000" w:rsidRDefault="00000000">
            <w:pPr>
              <w:spacing w:before="40" w:after="40" w:line="216" w:lineRule="auto"/>
              <w:ind w:right="223"/>
              <w:jc w:val="right"/>
              <w:rPr>
                <w:sz w:val="22"/>
                <w:szCs w:val="22"/>
              </w:rPr>
            </w:pPr>
            <w:r>
              <w:rPr>
                <w:sz w:val="22"/>
                <w:szCs w:val="22"/>
              </w:rPr>
              <w:t>504</w:t>
            </w:r>
          </w:p>
        </w:tc>
        <w:tc>
          <w:tcPr>
            <w:tcW w:w="1580" w:type="dxa"/>
            <w:vAlign w:val="bottom"/>
          </w:tcPr>
          <w:p w:rsidR="00000000" w:rsidRDefault="00000000">
            <w:pPr>
              <w:spacing w:before="40" w:after="40" w:line="216" w:lineRule="auto"/>
              <w:ind w:right="223"/>
              <w:jc w:val="right"/>
              <w:rPr>
                <w:sz w:val="22"/>
                <w:szCs w:val="22"/>
              </w:rPr>
            </w:pPr>
            <w:r>
              <w:rPr>
                <w:sz w:val="22"/>
                <w:szCs w:val="22"/>
              </w:rPr>
              <w:t>104,4</w:t>
            </w:r>
          </w:p>
        </w:tc>
      </w:tr>
      <w:tr w:rsidR="00000000">
        <w:trPr>
          <w:jc w:val="center"/>
        </w:trPr>
        <w:tc>
          <w:tcPr>
            <w:tcW w:w="1741" w:type="dxa"/>
            <w:vAlign w:val="center"/>
          </w:tcPr>
          <w:p w:rsidR="00000000" w:rsidRDefault="00000000">
            <w:pPr>
              <w:spacing w:before="40" w:after="40" w:line="216" w:lineRule="auto"/>
              <w:rPr>
                <w:b/>
                <w:sz w:val="22"/>
                <w:szCs w:val="22"/>
              </w:rPr>
            </w:pPr>
            <w:r>
              <w:rPr>
                <w:b/>
                <w:sz w:val="22"/>
                <w:szCs w:val="22"/>
              </w:rPr>
              <w:t>Total partiel</w:t>
            </w:r>
          </w:p>
        </w:tc>
        <w:tc>
          <w:tcPr>
            <w:tcW w:w="1102" w:type="dxa"/>
            <w:vAlign w:val="bottom"/>
          </w:tcPr>
          <w:p w:rsidR="00000000" w:rsidRDefault="00000000">
            <w:pPr>
              <w:spacing w:before="40" w:after="40" w:line="216" w:lineRule="auto"/>
              <w:ind w:right="223"/>
              <w:jc w:val="right"/>
              <w:rPr>
                <w:b/>
                <w:sz w:val="22"/>
                <w:szCs w:val="22"/>
              </w:rPr>
            </w:pPr>
            <w:r>
              <w:rPr>
                <w:b/>
                <w:sz w:val="22"/>
                <w:szCs w:val="22"/>
              </w:rPr>
              <w:t>8 155</w:t>
            </w:r>
          </w:p>
        </w:tc>
        <w:tc>
          <w:tcPr>
            <w:tcW w:w="1149" w:type="dxa"/>
            <w:vAlign w:val="bottom"/>
          </w:tcPr>
          <w:p w:rsidR="00000000" w:rsidRDefault="00000000">
            <w:pPr>
              <w:spacing w:before="40" w:after="40" w:line="216" w:lineRule="auto"/>
              <w:ind w:right="223"/>
              <w:jc w:val="right"/>
              <w:rPr>
                <w:b/>
                <w:sz w:val="22"/>
                <w:szCs w:val="22"/>
              </w:rPr>
            </w:pPr>
            <w:r>
              <w:rPr>
                <w:b/>
                <w:sz w:val="22"/>
                <w:szCs w:val="22"/>
              </w:rPr>
              <w:t>7 522</w:t>
            </w:r>
          </w:p>
        </w:tc>
        <w:tc>
          <w:tcPr>
            <w:tcW w:w="1371" w:type="dxa"/>
            <w:vAlign w:val="bottom"/>
          </w:tcPr>
          <w:p w:rsidR="00000000" w:rsidRDefault="00000000">
            <w:pPr>
              <w:spacing w:before="40" w:after="40" w:line="216" w:lineRule="auto"/>
              <w:ind w:right="223"/>
              <w:jc w:val="right"/>
              <w:rPr>
                <w:b/>
                <w:sz w:val="22"/>
                <w:szCs w:val="22"/>
              </w:rPr>
            </w:pPr>
            <w:r>
              <w:rPr>
                <w:b/>
                <w:sz w:val="22"/>
                <w:szCs w:val="22"/>
              </w:rPr>
              <w:t>108,4</w:t>
            </w:r>
          </w:p>
        </w:tc>
        <w:tc>
          <w:tcPr>
            <w:tcW w:w="1080" w:type="dxa"/>
            <w:vAlign w:val="bottom"/>
          </w:tcPr>
          <w:p w:rsidR="00000000" w:rsidRDefault="00000000">
            <w:pPr>
              <w:spacing w:before="40" w:after="40" w:line="216" w:lineRule="auto"/>
              <w:ind w:right="223"/>
              <w:jc w:val="right"/>
              <w:rPr>
                <w:b/>
                <w:sz w:val="22"/>
                <w:szCs w:val="22"/>
              </w:rPr>
            </w:pPr>
            <w:r>
              <w:rPr>
                <w:b/>
                <w:sz w:val="22"/>
                <w:szCs w:val="22"/>
              </w:rPr>
              <w:t>8 361</w:t>
            </w:r>
          </w:p>
        </w:tc>
        <w:tc>
          <w:tcPr>
            <w:tcW w:w="1236" w:type="dxa"/>
            <w:vAlign w:val="bottom"/>
          </w:tcPr>
          <w:p w:rsidR="00000000" w:rsidRDefault="00000000">
            <w:pPr>
              <w:spacing w:before="40" w:after="40" w:line="216" w:lineRule="auto"/>
              <w:ind w:right="223"/>
              <w:jc w:val="right"/>
              <w:rPr>
                <w:b/>
                <w:sz w:val="22"/>
                <w:szCs w:val="22"/>
              </w:rPr>
            </w:pPr>
            <w:r>
              <w:rPr>
                <w:b/>
                <w:sz w:val="22"/>
                <w:szCs w:val="22"/>
              </w:rPr>
              <w:t>7 639</w:t>
            </w:r>
          </w:p>
        </w:tc>
        <w:tc>
          <w:tcPr>
            <w:tcW w:w="1580" w:type="dxa"/>
            <w:vAlign w:val="bottom"/>
          </w:tcPr>
          <w:p w:rsidR="00000000" w:rsidRDefault="00000000">
            <w:pPr>
              <w:spacing w:before="40" w:after="40" w:line="216" w:lineRule="auto"/>
              <w:ind w:right="223"/>
              <w:jc w:val="right"/>
              <w:rPr>
                <w:b/>
                <w:sz w:val="22"/>
                <w:szCs w:val="22"/>
              </w:rPr>
            </w:pPr>
            <w:r>
              <w:rPr>
                <w:b/>
                <w:sz w:val="22"/>
                <w:szCs w:val="22"/>
              </w:rPr>
              <w:t>109,5</w:t>
            </w:r>
          </w:p>
        </w:tc>
      </w:tr>
      <w:tr w:rsidR="00000000">
        <w:trPr>
          <w:jc w:val="center"/>
        </w:trPr>
        <w:tc>
          <w:tcPr>
            <w:tcW w:w="1741" w:type="dxa"/>
            <w:vAlign w:val="center"/>
          </w:tcPr>
          <w:p w:rsidR="00000000" w:rsidRDefault="00000000">
            <w:pPr>
              <w:spacing w:before="40" w:after="40" w:line="216" w:lineRule="auto"/>
              <w:rPr>
                <w:b/>
                <w:bCs/>
                <w:sz w:val="22"/>
                <w:szCs w:val="22"/>
              </w:rPr>
            </w:pPr>
            <w:r>
              <w:rPr>
                <w:b/>
                <w:bCs/>
                <w:sz w:val="22"/>
                <w:szCs w:val="22"/>
              </w:rPr>
              <w:t>Établissements spéciaux</w:t>
            </w:r>
            <w:r>
              <w:rPr>
                <w:b/>
                <w:bCs/>
                <w:sz w:val="22"/>
                <w:szCs w:val="22"/>
                <w:vertAlign w:val="superscript"/>
              </w:rPr>
              <w:t>b</w:t>
            </w:r>
            <w:r>
              <w:rPr>
                <w:b/>
                <w:bCs/>
                <w:sz w:val="22"/>
                <w:szCs w:val="22"/>
              </w:rPr>
              <w:t xml:space="preserve"> </w:t>
            </w:r>
          </w:p>
        </w:tc>
        <w:tc>
          <w:tcPr>
            <w:tcW w:w="1102" w:type="dxa"/>
            <w:vAlign w:val="bottom"/>
          </w:tcPr>
          <w:p w:rsidR="00000000" w:rsidRDefault="00000000">
            <w:pPr>
              <w:spacing w:before="40" w:after="40" w:line="216" w:lineRule="auto"/>
              <w:ind w:right="223"/>
              <w:jc w:val="right"/>
              <w:rPr>
                <w:sz w:val="22"/>
                <w:szCs w:val="22"/>
              </w:rPr>
            </w:pPr>
          </w:p>
        </w:tc>
        <w:tc>
          <w:tcPr>
            <w:tcW w:w="1149" w:type="dxa"/>
            <w:vAlign w:val="bottom"/>
          </w:tcPr>
          <w:p w:rsidR="00000000" w:rsidRDefault="00000000">
            <w:pPr>
              <w:spacing w:before="40" w:after="40" w:line="216" w:lineRule="auto"/>
              <w:ind w:right="223"/>
              <w:jc w:val="right"/>
              <w:rPr>
                <w:sz w:val="22"/>
                <w:szCs w:val="22"/>
              </w:rPr>
            </w:pPr>
          </w:p>
        </w:tc>
        <w:tc>
          <w:tcPr>
            <w:tcW w:w="1371" w:type="dxa"/>
            <w:vAlign w:val="bottom"/>
          </w:tcPr>
          <w:p w:rsidR="00000000" w:rsidRDefault="00000000">
            <w:pPr>
              <w:spacing w:before="40" w:after="40" w:line="216" w:lineRule="auto"/>
              <w:ind w:right="223"/>
              <w:jc w:val="right"/>
              <w:rPr>
                <w:sz w:val="22"/>
                <w:szCs w:val="22"/>
              </w:rPr>
            </w:pPr>
          </w:p>
        </w:tc>
        <w:tc>
          <w:tcPr>
            <w:tcW w:w="1080" w:type="dxa"/>
            <w:vAlign w:val="bottom"/>
          </w:tcPr>
          <w:p w:rsidR="00000000" w:rsidRDefault="00000000">
            <w:pPr>
              <w:spacing w:before="40" w:after="40" w:line="216" w:lineRule="auto"/>
              <w:ind w:right="223"/>
              <w:jc w:val="right"/>
              <w:rPr>
                <w:sz w:val="22"/>
                <w:szCs w:val="22"/>
              </w:rPr>
            </w:pPr>
          </w:p>
        </w:tc>
        <w:tc>
          <w:tcPr>
            <w:tcW w:w="1236" w:type="dxa"/>
            <w:vAlign w:val="bottom"/>
          </w:tcPr>
          <w:p w:rsidR="00000000" w:rsidRDefault="00000000">
            <w:pPr>
              <w:spacing w:before="40" w:after="40" w:line="216" w:lineRule="auto"/>
              <w:ind w:right="223"/>
              <w:jc w:val="right"/>
              <w:rPr>
                <w:sz w:val="22"/>
                <w:szCs w:val="22"/>
              </w:rPr>
            </w:pPr>
          </w:p>
        </w:tc>
        <w:tc>
          <w:tcPr>
            <w:tcW w:w="1580" w:type="dxa"/>
            <w:vAlign w:val="bottom"/>
          </w:tcPr>
          <w:p w:rsidR="00000000" w:rsidRDefault="00000000">
            <w:pPr>
              <w:spacing w:before="40" w:after="40" w:line="216" w:lineRule="auto"/>
              <w:ind w:right="223"/>
              <w:jc w:val="right"/>
              <w:rPr>
                <w:sz w:val="22"/>
                <w:szCs w:val="22"/>
              </w:rPr>
            </w:pP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Leiria</w:t>
            </w:r>
          </w:p>
        </w:tc>
        <w:tc>
          <w:tcPr>
            <w:tcW w:w="1102" w:type="dxa"/>
            <w:vAlign w:val="bottom"/>
          </w:tcPr>
          <w:p w:rsidR="00000000" w:rsidRDefault="00000000">
            <w:pPr>
              <w:spacing w:before="40" w:after="40" w:line="216" w:lineRule="auto"/>
              <w:ind w:right="223"/>
              <w:jc w:val="right"/>
              <w:rPr>
                <w:sz w:val="22"/>
                <w:szCs w:val="22"/>
              </w:rPr>
            </w:pPr>
            <w:r>
              <w:rPr>
                <w:sz w:val="22"/>
                <w:szCs w:val="22"/>
              </w:rPr>
              <w:t>246</w:t>
            </w:r>
          </w:p>
        </w:tc>
        <w:tc>
          <w:tcPr>
            <w:tcW w:w="1149" w:type="dxa"/>
            <w:vAlign w:val="bottom"/>
          </w:tcPr>
          <w:p w:rsidR="00000000" w:rsidRDefault="00000000">
            <w:pPr>
              <w:spacing w:before="40" w:after="40" w:line="216" w:lineRule="auto"/>
              <w:ind w:right="223"/>
              <w:jc w:val="right"/>
              <w:rPr>
                <w:sz w:val="22"/>
                <w:szCs w:val="22"/>
              </w:rPr>
            </w:pPr>
            <w:r>
              <w:rPr>
                <w:sz w:val="22"/>
                <w:szCs w:val="22"/>
              </w:rPr>
              <w:t>347</w:t>
            </w:r>
          </w:p>
        </w:tc>
        <w:tc>
          <w:tcPr>
            <w:tcW w:w="1371" w:type="dxa"/>
            <w:vAlign w:val="bottom"/>
          </w:tcPr>
          <w:p w:rsidR="00000000" w:rsidRDefault="00000000">
            <w:pPr>
              <w:spacing w:before="40" w:after="40" w:line="216" w:lineRule="auto"/>
              <w:ind w:right="223"/>
              <w:jc w:val="right"/>
              <w:rPr>
                <w:sz w:val="22"/>
                <w:szCs w:val="22"/>
              </w:rPr>
            </w:pPr>
            <w:r>
              <w:rPr>
                <w:sz w:val="22"/>
                <w:szCs w:val="22"/>
              </w:rPr>
              <w:t>70,9</w:t>
            </w:r>
          </w:p>
        </w:tc>
        <w:tc>
          <w:tcPr>
            <w:tcW w:w="1080" w:type="dxa"/>
            <w:vAlign w:val="bottom"/>
          </w:tcPr>
          <w:p w:rsidR="00000000" w:rsidRDefault="00000000">
            <w:pPr>
              <w:spacing w:before="40" w:after="40" w:line="216" w:lineRule="auto"/>
              <w:ind w:right="223"/>
              <w:jc w:val="right"/>
              <w:rPr>
                <w:sz w:val="22"/>
                <w:szCs w:val="22"/>
              </w:rPr>
            </w:pPr>
            <w:r>
              <w:rPr>
                <w:sz w:val="22"/>
                <w:szCs w:val="22"/>
              </w:rPr>
              <w:t>308</w:t>
            </w:r>
          </w:p>
        </w:tc>
        <w:tc>
          <w:tcPr>
            <w:tcW w:w="1236" w:type="dxa"/>
            <w:vAlign w:val="bottom"/>
          </w:tcPr>
          <w:p w:rsidR="00000000" w:rsidRDefault="00000000">
            <w:pPr>
              <w:spacing w:before="40" w:after="40" w:line="216" w:lineRule="auto"/>
              <w:ind w:right="223"/>
              <w:jc w:val="right"/>
              <w:rPr>
                <w:sz w:val="22"/>
                <w:szCs w:val="22"/>
              </w:rPr>
            </w:pPr>
            <w:r>
              <w:rPr>
                <w:sz w:val="22"/>
                <w:szCs w:val="22"/>
              </w:rPr>
              <w:t>347</w:t>
            </w:r>
          </w:p>
        </w:tc>
        <w:tc>
          <w:tcPr>
            <w:tcW w:w="1580" w:type="dxa"/>
            <w:vAlign w:val="bottom"/>
          </w:tcPr>
          <w:p w:rsidR="00000000" w:rsidRDefault="00000000">
            <w:pPr>
              <w:spacing w:before="40" w:after="40" w:line="216" w:lineRule="auto"/>
              <w:ind w:right="223"/>
              <w:jc w:val="right"/>
              <w:rPr>
                <w:sz w:val="22"/>
                <w:szCs w:val="22"/>
              </w:rPr>
            </w:pPr>
            <w:r>
              <w:rPr>
                <w:sz w:val="22"/>
                <w:szCs w:val="22"/>
              </w:rPr>
              <w:t>88,8</w:t>
            </w:r>
          </w:p>
        </w:tc>
      </w:tr>
      <w:tr w:rsidR="00000000">
        <w:trPr>
          <w:jc w:val="center"/>
        </w:trPr>
        <w:tc>
          <w:tcPr>
            <w:tcW w:w="1741" w:type="dxa"/>
            <w:vAlign w:val="center"/>
          </w:tcPr>
          <w:p w:rsidR="00000000" w:rsidRDefault="00000000">
            <w:pPr>
              <w:spacing w:before="40" w:after="40" w:line="216" w:lineRule="auto"/>
              <w:rPr>
                <w:sz w:val="22"/>
                <w:szCs w:val="22"/>
              </w:rPr>
            </w:pPr>
            <w:r>
              <w:rPr>
                <w:sz w:val="22"/>
                <w:szCs w:val="22"/>
              </w:rPr>
              <w:t>Tires</w:t>
            </w:r>
          </w:p>
        </w:tc>
        <w:tc>
          <w:tcPr>
            <w:tcW w:w="1102" w:type="dxa"/>
            <w:vAlign w:val="bottom"/>
          </w:tcPr>
          <w:p w:rsidR="00000000" w:rsidRDefault="00000000">
            <w:pPr>
              <w:spacing w:before="40" w:after="40" w:line="216" w:lineRule="auto"/>
              <w:ind w:right="223"/>
              <w:jc w:val="right"/>
              <w:rPr>
                <w:sz w:val="22"/>
                <w:szCs w:val="22"/>
              </w:rPr>
            </w:pPr>
            <w:r>
              <w:rPr>
                <w:sz w:val="22"/>
                <w:szCs w:val="22"/>
              </w:rPr>
              <w:t>794</w:t>
            </w:r>
          </w:p>
        </w:tc>
        <w:tc>
          <w:tcPr>
            <w:tcW w:w="1149" w:type="dxa"/>
            <w:vAlign w:val="bottom"/>
          </w:tcPr>
          <w:p w:rsidR="00000000" w:rsidRDefault="00000000">
            <w:pPr>
              <w:spacing w:before="40" w:after="40" w:line="216" w:lineRule="auto"/>
              <w:ind w:right="223"/>
              <w:jc w:val="right"/>
              <w:rPr>
                <w:sz w:val="22"/>
                <w:szCs w:val="22"/>
              </w:rPr>
            </w:pPr>
            <w:r>
              <w:rPr>
                <w:sz w:val="22"/>
                <w:szCs w:val="22"/>
              </w:rPr>
              <w:t>569</w:t>
            </w:r>
          </w:p>
        </w:tc>
        <w:tc>
          <w:tcPr>
            <w:tcW w:w="1371" w:type="dxa"/>
            <w:vAlign w:val="bottom"/>
          </w:tcPr>
          <w:p w:rsidR="00000000" w:rsidRDefault="00000000">
            <w:pPr>
              <w:spacing w:before="40" w:after="40" w:line="216" w:lineRule="auto"/>
              <w:ind w:right="223"/>
              <w:jc w:val="right"/>
              <w:rPr>
                <w:sz w:val="22"/>
                <w:szCs w:val="22"/>
              </w:rPr>
            </w:pPr>
            <w:r>
              <w:rPr>
                <w:sz w:val="22"/>
                <w:szCs w:val="22"/>
              </w:rPr>
              <w:t>139,5</w:t>
            </w:r>
          </w:p>
        </w:tc>
        <w:tc>
          <w:tcPr>
            <w:tcW w:w="1080" w:type="dxa"/>
            <w:vAlign w:val="bottom"/>
          </w:tcPr>
          <w:p w:rsidR="00000000" w:rsidRDefault="00000000">
            <w:pPr>
              <w:spacing w:before="40" w:after="40" w:line="216" w:lineRule="auto"/>
              <w:ind w:right="223"/>
              <w:jc w:val="right"/>
              <w:rPr>
                <w:sz w:val="22"/>
                <w:szCs w:val="22"/>
              </w:rPr>
            </w:pPr>
            <w:r>
              <w:rPr>
                <w:sz w:val="22"/>
                <w:szCs w:val="22"/>
              </w:rPr>
              <w:t>696</w:t>
            </w:r>
          </w:p>
        </w:tc>
        <w:tc>
          <w:tcPr>
            <w:tcW w:w="1236" w:type="dxa"/>
            <w:vAlign w:val="bottom"/>
          </w:tcPr>
          <w:p w:rsidR="00000000" w:rsidRDefault="00000000">
            <w:pPr>
              <w:spacing w:before="40" w:after="40" w:line="216" w:lineRule="auto"/>
              <w:ind w:right="223"/>
              <w:jc w:val="right"/>
              <w:rPr>
                <w:sz w:val="22"/>
                <w:szCs w:val="22"/>
              </w:rPr>
            </w:pPr>
            <w:r>
              <w:rPr>
                <w:sz w:val="22"/>
                <w:szCs w:val="22"/>
              </w:rPr>
              <w:t>633</w:t>
            </w:r>
          </w:p>
        </w:tc>
        <w:tc>
          <w:tcPr>
            <w:tcW w:w="1580" w:type="dxa"/>
            <w:vAlign w:val="bottom"/>
          </w:tcPr>
          <w:p w:rsidR="00000000" w:rsidRDefault="00000000">
            <w:pPr>
              <w:spacing w:before="40" w:after="40" w:line="216" w:lineRule="auto"/>
              <w:ind w:right="223"/>
              <w:jc w:val="right"/>
              <w:rPr>
                <w:sz w:val="22"/>
                <w:szCs w:val="22"/>
              </w:rPr>
            </w:pPr>
            <w:r>
              <w:rPr>
                <w:sz w:val="22"/>
                <w:szCs w:val="22"/>
              </w:rPr>
              <w:t>110,0</w:t>
            </w:r>
          </w:p>
        </w:tc>
      </w:tr>
      <w:tr w:rsidR="00000000">
        <w:trPr>
          <w:jc w:val="center"/>
        </w:trPr>
        <w:tc>
          <w:tcPr>
            <w:tcW w:w="1741" w:type="dxa"/>
            <w:vAlign w:val="center"/>
          </w:tcPr>
          <w:p w:rsidR="00000000" w:rsidRDefault="00000000">
            <w:pPr>
              <w:spacing w:before="40" w:after="40" w:line="216" w:lineRule="auto"/>
              <w:rPr>
                <w:sz w:val="22"/>
                <w:szCs w:val="22"/>
                <w:lang w:val="nl-NL"/>
              </w:rPr>
            </w:pPr>
            <w:r>
              <w:rPr>
                <w:sz w:val="22"/>
                <w:szCs w:val="22"/>
                <w:lang w:val="nl-NL"/>
              </w:rPr>
              <w:t>Hôpital S. João de Deus</w:t>
            </w:r>
            <w:r>
              <w:rPr>
                <w:b/>
                <w:bCs/>
                <w:sz w:val="22"/>
                <w:szCs w:val="22"/>
                <w:vertAlign w:val="superscript"/>
                <w:lang w:val="nl-NL"/>
              </w:rPr>
              <w:t>c</w:t>
            </w:r>
          </w:p>
        </w:tc>
        <w:tc>
          <w:tcPr>
            <w:tcW w:w="1102" w:type="dxa"/>
            <w:vAlign w:val="bottom"/>
          </w:tcPr>
          <w:p w:rsidR="00000000" w:rsidRDefault="00000000">
            <w:pPr>
              <w:spacing w:before="40" w:after="40" w:line="216" w:lineRule="auto"/>
              <w:ind w:right="223"/>
              <w:jc w:val="right"/>
              <w:rPr>
                <w:sz w:val="22"/>
                <w:szCs w:val="22"/>
              </w:rPr>
            </w:pPr>
            <w:r>
              <w:rPr>
                <w:sz w:val="22"/>
                <w:szCs w:val="22"/>
              </w:rPr>
              <w:t>33</w:t>
            </w:r>
          </w:p>
        </w:tc>
        <w:tc>
          <w:tcPr>
            <w:tcW w:w="1149" w:type="dxa"/>
            <w:vAlign w:val="bottom"/>
          </w:tcPr>
          <w:p w:rsidR="00000000" w:rsidRDefault="00000000">
            <w:pPr>
              <w:spacing w:before="40" w:after="40" w:line="216" w:lineRule="auto"/>
              <w:ind w:right="223"/>
              <w:jc w:val="right"/>
              <w:rPr>
                <w:sz w:val="22"/>
                <w:szCs w:val="22"/>
              </w:rPr>
            </w:pPr>
            <w:r>
              <w:rPr>
                <w:sz w:val="22"/>
                <w:szCs w:val="22"/>
              </w:rPr>
              <w:t>199</w:t>
            </w:r>
          </w:p>
        </w:tc>
        <w:tc>
          <w:tcPr>
            <w:tcW w:w="1371" w:type="dxa"/>
            <w:vAlign w:val="bottom"/>
          </w:tcPr>
          <w:p w:rsidR="00000000" w:rsidRDefault="00000000">
            <w:pPr>
              <w:spacing w:before="40" w:after="40" w:line="216" w:lineRule="auto"/>
              <w:ind w:right="223"/>
              <w:jc w:val="right"/>
              <w:rPr>
                <w:sz w:val="22"/>
                <w:szCs w:val="22"/>
              </w:rPr>
            </w:pPr>
            <w:r>
              <w:rPr>
                <w:sz w:val="22"/>
                <w:szCs w:val="22"/>
              </w:rPr>
              <w:t>16,6</w:t>
            </w:r>
          </w:p>
        </w:tc>
        <w:tc>
          <w:tcPr>
            <w:tcW w:w="1080" w:type="dxa"/>
            <w:vAlign w:val="bottom"/>
          </w:tcPr>
          <w:p w:rsidR="00000000" w:rsidRDefault="00000000">
            <w:pPr>
              <w:spacing w:before="40" w:after="40" w:line="216" w:lineRule="auto"/>
              <w:ind w:right="223"/>
              <w:jc w:val="right"/>
              <w:rPr>
                <w:sz w:val="22"/>
                <w:szCs w:val="22"/>
              </w:rPr>
            </w:pPr>
            <w:r>
              <w:rPr>
                <w:sz w:val="22"/>
                <w:szCs w:val="22"/>
              </w:rPr>
              <w:t>26</w:t>
            </w:r>
          </w:p>
        </w:tc>
        <w:tc>
          <w:tcPr>
            <w:tcW w:w="1236" w:type="dxa"/>
            <w:vAlign w:val="bottom"/>
          </w:tcPr>
          <w:p w:rsidR="00000000" w:rsidRDefault="00000000">
            <w:pPr>
              <w:spacing w:before="40" w:after="40" w:line="216" w:lineRule="auto"/>
              <w:ind w:right="223"/>
              <w:jc w:val="right"/>
              <w:rPr>
                <w:sz w:val="22"/>
                <w:szCs w:val="22"/>
              </w:rPr>
            </w:pPr>
            <w:r>
              <w:rPr>
                <w:sz w:val="22"/>
                <w:szCs w:val="22"/>
              </w:rPr>
              <w:t>195</w:t>
            </w:r>
          </w:p>
        </w:tc>
        <w:tc>
          <w:tcPr>
            <w:tcW w:w="1580" w:type="dxa"/>
            <w:vAlign w:val="bottom"/>
          </w:tcPr>
          <w:p w:rsidR="00000000" w:rsidRDefault="00000000">
            <w:pPr>
              <w:spacing w:before="40" w:after="40" w:line="216" w:lineRule="auto"/>
              <w:ind w:right="223"/>
              <w:jc w:val="right"/>
              <w:rPr>
                <w:sz w:val="22"/>
                <w:szCs w:val="22"/>
              </w:rPr>
            </w:pPr>
            <w:r>
              <w:rPr>
                <w:sz w:val="22"/>
                <w:szCs w:val="22"/>
              </w:rPr>
              <w:t>13,3</w:t>
            </w:r>
          </w:p>
        </w:tc>
      </w:tr>
      <w:tr w:rsidR="00000000">
        <w:trPr>
          <w:jc w:val="center"/>
        </w:trPr>
        <w:tc>
          <w:tcPr>
            <w:tcW w:w="1741" w:type="dxa"/>
            <w:vAlign w:val="center"/>
          </w:tcPr>
          <w:p w:rsidR="00000000" w:rsidRDefault="00000000">
            <w:pPr>
              <w:spacing w:before="40" w:after="40" w:line="216" w:lineRule="auto"/>
              <w:rPr>
                <w:b/>
                <w:sz w:val="22"/>
                <w:szCs w:val="22"/>
              </w:rPr>
            </w:pPr>
            <w:r>
              <w:rPr>
                <w:b/>
                <w:sz w:val="22"/>
                <w:szCs w:val="22"/>
              </w:rPr>
              <w:t>Total partiel</w:t>
            </w:r>
          </w:p>
        </w:tc>
        <w:tc>
          <w:tcPr>
            <w:tcW w:w="1102" w:type="dxa"/>
            <w:vAlign w:val="bottom"/>
          </w:tcPr>
          <w:p w:rsidR="00000000" w:rsidRDefault="00000000">
            <w:pPr>
              <w:spacing w:before="40" w:after="40" w:line="216" w:lineRule="auto"/>
              <w:ind w:right="223"/>
              <w:jc w:val="right"/>
              <w:rPr>
                <w:b/>
                <w:sz w:val="22"/>
                <w:szCs w:val="22"/>
              </w:rPr>
            </w:pPr>
            <w:r>
              <w:rPr>
                <w:b/>
                <w:sz w:val="22"/>
                <w:szCs w:val="22"/>
              </w:rPr>
              <w:t>9 228</w:t>
            </w:r>
          </w:p>
        </w:tc>
        <w:tc>
          <w:tcPr>
            <w:tcW w:w="1149" w:type="dxa"/>
            <w:vAlign w:val="bottom"/>
          </w:tcPr>
          <w:p w:rsidR="00000000" w:rsidRDefault="00000000">
            <w:pPr>
              <w:spacing w:before="40" w:after="40" w:line="216" w:lineRule="auto"/>
              <w:ind w:right="223"/>
              <w:jc w:val="right"/>
              <w:rPr>
                <w:b/>
                <w:sz w:val="22"/>
                <w:szCs w:val="22"/>
              </w:rPr>
            </w:pPr>
            <w:r>
              <w:rPr>
                <w:b/>
                <w:sz w:val="22"/>
                <w:szCs w:val="22"/>
              </w:rPr>
              <w:t>8 637</w:t>
            </w:r>
          </w:p>
        </w:tc>
        <w:tc>
          <w:tcPr>
            <w:tcW w:w="1371" w:type="dxa"/>
            <w:vAlign w:val="bottom"/>
          </w:tcPr>
          <w:p w:rsidR="00000000" w:rsidRDefault="00000000">
            <w:pPr>
              <w:spacing w:before="40" w:after="40" w:line="216" w:lineRule="auto"/>
              <w:ind w:right="223"/>
              <w:jc w:val="right"/>
              <w:rPr>
                <w:b/>
                <w:sz w:val="22"/>
                <w:szCs w:val="22"/>
              </w:rPr>
            </w:pPr>
            <w:r>
              <w:rPr>
                <w:b/>
                <w:sz w:val="22"/>
                <w:szCs w:val="22"/>
              </w:rPr>
              <w:t>106,8</w:t>
            </w:r>
          </w:p>
        </w:tc>
        <w:tc>
          <w:tcPr>
            <w:tcW w:w="1080" w:type="dxa"/>
            <w:vAlign w:val="bottom"/>
          </w:tcPr>
          <w:p w:rsidR="00000000" w:rsidRDefault="00000000">
            <w:pPr>
              <w:spacing w:before="40" w:after="40" w:line="216" w:lineRule="auto"/>
              <w:ind w:right="223"/>
              <w:jc w:val="right"/>
              <w:rPr>
                <w:b/>
                <w:sz w:val="22"/>
                <w:szCs w:val="22"/>
              </w:rPr>
            </w:pPr>
            <w:r>
              <w:rPr>
                <w:b/>
                <w:sz w:val="22"/>
                <w:szCs w:val="22"/>
              </w:rPr>
              <w:t>9 391</w:t>
            </w:r>
          </w:p>
        </w:tc>
        <w:tc>
          <w:tcPr>
            <w:tcW w:w="1236" w:type="dxa"/>
            <w:vAlign w:val="bottom"/>
          </w:tcPr>
          <w:p w:rsidR="00000000" w:rsidRDefault="00000000">
            <w:pPr>
              <w:spacing w:before="40" w:after="40" w:line="216" w:lineRule="auto"/>
              <w:ind w:right="223"/>
              <w:jc w:val="right"/>
              <w:rPr>
                <w:b/>
                <w:sz w:val="22"/>
                <w:szCs w:val="22"/>
              </w:rPr>
            </w:pPr>
            <w:r>
              <w:rPr>
                <w:b/>
                <w:sz w:val="22"/>
                <w:szCs w:val="22"/>
              </w:rPr>
              <w:t>8 814</w:t>
            </w:r>
          </w:p>
        </w:tc>
        <w:tc>
          <w:tcPr>
            <w:tcW w:w="1580" w:type="dxa"/>
            <w:vAlign w:val="bottom"/>
          </w:tcPr>
          <w:p w:rsidR="00000000" w:rsidRDefault="00000000">
            <w:pPr>
              <w:spacing w:before="40" w:after="40" w:line="216" w:lineRule="auto"/>
              <w:ind w:right="223"/>
              <w:jc w:val="right"/>
              <w:rPr>
                <w:b/>
                <w:sz w:val="22"/>
                <w:szCs w:val="22"/>
              </w:rPr>
            </w:pPr>
            <w:r>
              <w:rPr>
                <w:b/>
                <w:sz w:val="22"/>
                <w:szCs w:val="22"/>
              </w:rPr>
              <w:t>106,5</w:t>
            </w:r>
          </w:p>
        </w:tc>
      </w:tr>
      <w:tr w:rsidR="00000000">
        <w:trPr>
          <w:jc w:val="center"/>
        </w:trPr>
        <w:tc>
          <w:tcPr>
            <w:tcW w:w="1741" w:type="dxa"/>
            <w:vAlign w:val="center"/>
          </w:tcPr>
          <w:p w:rsidR="00000000" w:rsidRDefault="00000000">
            <w:pPr>
              <w:spacing w:before="40" w:after="40" w:line="216" w:lineRule="auto"/>
              <w:rPr>
                <w:b/>
                <w:bCs/>
                <w:sz w:val="22"/>
                <w:szCs w:val="22"/>
              </w:rPr>
            </w:pPr>
            <w:r>
              <w:rPr>
                <w:b/>
                <w:bCs/>
                <w:sz w:val="22"/>
                <w:szCs w:val="22"/>
              </w:rPr>
              <w:t>Établissements régionaux</w:t>
            </w:r>
            <w:r>
              <w:rPr>
                <w:b/>
                <w:bCs/>
                <w:sz w:val="22"/>
                <w:szCs w:val="22"/>
                <w:vertAlign w:val="superscript"/>
              </w:rPr>
              <w:t>d</w:t>
            </w:r>
          </w:p>
        </w:tc>
        <w:tc>
          <w:tcPr>
            <w:tcW w:w="1102" w:type="dxa"/>
            <w:vAlign w:val="bottom"/>
          </w:tcPr>
          <w:p w:rsidR="00000000" w:rsidRDefault="00000000">
            <w:pPr>
              <w:spacing w:before="40" w:after="40" w:line="216" w:lineRule="auto"/>
              <w:ind w:right="223"/>
              <w:jc w:val="right"/>
              <w:rPr>
                <w:sz w:val="22"/>
                <w:szCs w:val="22"/>
              </w:rPr>
            </w:pPr>
            <w:r>
              <w:rPr>
                <w:sz w:val="22"/>
                <w:szCs w:val="22"/>
              </w:rPr>
              <w:t>3 679</w:t>
            </w:r>
          </w:p>
        </w:tc>
        <w:tc>
          <w:tcPr>
            <w:tcW w:w="1149" w:type="dxa"/>
            <w:vAlign w:val="bottom"/>
          </w:tcPr>
          <w:p w:rsidR="00000000" w:rsidRDefault="00000000">
            <w:pPr>
              <w:spacing w:before="40" w:after="40" w:line="216" w:lineRule="auto"/>
              <w:ind w:right="223"/>
              <w:jc w:val="right"/>
              <w:rPr>
                <w:sz w:val="22"/>
                <w:szCs w:val="22"/>
              </w:rPr>
            </w:pPr>
            <w:r>
              <w:rPr>
                <w:sz w:val="22"/>
                <w:szCs w:val="22"/>
              </w:rPr>
              <w:t>2 548</w:t>
            </w:r>
          </w:p>
        </w:tc>
        <w:tc>
          <w:tcPr>
            <w:tcW w:w="1371" w:type="dxa"/>
            <w:vAlign w:val="bottom"/>
          </w:tcPr>
          <w:p w:rsidR="00000000" w:rsidRDefault="00000000">
            <w:pPr>
              <w:spacing w:before="40" w:after="40" w:line="216" w:lineRule="auto"/>
              <w:ind w:right="223"/>
              <w:jc w:val="right"/>
              <w:rPr>
                <w:sz w:val="22"/>
                <w:szCs w:val="22"/>
              </w:rPr>
            </w:pPr>
            <w:r>
              <w:rPr>
                <w:sz w:val="22"/>
                <w:szCs w:val="22"/>
              </w:rPr>
              <w:t>144,4</w:t>
            </w:r>
          </w:p>
        </w:tc>
        <w:tc>
          <w:tcPr>
            <w:tcW w:w="1080" w:type="dxa"/>
            <w:vAlign w:val="bottom"/>
          </w:tcPr>
          <w:p w:rsidR="00000000" w:rsidRDefault="00000000">
            <w:pPr>
              <w:spacing w:before="40" w:after="40" w:line="216" w:lineRule="auto"/>
              <w:ind w:right="223"/>
              <w:jc w:val="right"/>
              <w:rPr>
                <w:sz w:val="22"/>
                <w:szCs w:val="22"/>
              </w:rPr>
            </w:pPr>
            <w:r>
              <w:rPr>
                <w:sz w:val="22"/>
                <w:szCs w:val="22"/>
              </w:rPr>
              <w:t>3380</w:t>
            </w:r>
          </w:p>
        </w:tc>
        <w:tc>
          <w:tcPr>
            <w:tcW w:w="1236" w:type="dxa"/>
            <w:vAlign w:val="bottom"/>
          </w:tcPr>
          <w:p w:rsidR="00000000" w:rsidRDefault="00000000">
            <w:pPr>
              <w:spacing w:before="40" w:after="40" w:line="216" w:lineRule="auto"/>
              <w:ind w:right="223"/>
              <w:jc w:val="right"/>
              <w:rPr>
                <w:sz w:val="22"/>
                <w:szCs w:val="22"/>
              </w:rPr>
            </w:pPr>
            <w:r>
              <w:rPr>
                <w:sz w:val="22"/>
                <w:szCs w:val="22"/>
              </w:rPr>
              <w:t>2557</w:t>
            </w:r>
          </w:p>
        </w:tc>
        <w:tc>
          <w:tcPr>
            <w:tcW w:w="1580" w:type="dxa"/>
            <w:vAlign w:val="bottom"/>
          </w:tcPr>
          <w:p w:rsidR="00000000" w:rsidRDefault="00000000">
            <w:pPr>
              <w:spacing w:before="40" w:after="40" w:line="216" w:lineRule="auto"/>
              <w:ind w:right="223"/>
              <w:jc w:val="right"/>
              <w:rPr>
                <w:sz w:val="22"/>
                <w:szCs w:val="22"/>
              </w:rPr>
            </w:pPr>
            <w:r>
              <w:rPr>
                <w:sz w:val="22"/>
                <w:szCs w:val="22"/>
              </w:rPr>
              <w:t>132,2</w:t>
            </w:r>
          </w:p>
        </w:tc>
      </w:tr>
      <w:tr w:rsidR="00000000">
        <w:trPr>
          <w:jc w:val="center"/>
        </w:trPr>
        <w:tc>
          <w:tcPr>
            <w:tcW w:w="1741" w:type="dxa"/>
            <w:vAlign w:val="center"/>
          </w:tcPr>
          <w:p w:rsidR="00000000" w:rsidRDefault="00000000">
            <w:pPr>
              <w:spacing w:before="40" w:after="40" w:line="216" w:lineRule="auto"/>
              <w:rPr>
                <w:b/>
                <w:sz w:val="22"/>
                <w:szCs w:val="22"/>
              </w:rPr>
            </w:pPr>
            <w:r>
              <w:rPr>
                <w:b/>
                <w:sz w:val="22"/>
                <w:szCs w:val="22"/>
              </w:rPr>
              <w:t>TOTAL</w:t>
            </w:r>
          </w:p>
        </w:tc>
        <w:tc>
          <w:tcPr>
            <w:tcW w:w="1102" w:type="dxa"/>
            <w:vAlign w:val="bottom"/>
          </w:tcPr>
          <w:p w:rsidR="00000000" w:rsidRDefault="00000000">
            <w:pPr>
              <w:spacing w:before="40" w:after="40" w:line="216" w:lineRule="auto"/>
              <w:ind w:right="223"/>
              <w:jc w:val="right"/>
              <w:rPr>
                <w:b/>
                <w:sz w:val="22"/>
                <w:szCs w:val="22"/>
              </w:rPr>
            </w:pPr>
            <w:r>
              <w:rPr>
                <w:b/>
                <w:sz w:val="22"/>
                <w:szCs w:val="22"/>
              </w:rPr>
              <w:t>12 907</w:t>
            </w:r>
          </w:p>
        </w:tc>
        <w:tc>
          <w:tcPr>
            <w:tcW w:w="1149" w:type="dxa"/>
            <w:vAlign w:val="bottom"/>
          </w:tcPr>
          <w:p w:rsidR="00000000" w:rsidRDefault="00000000">
            <w:pPr>
              <w:spacing w:before="40" w:after="40" w:line="216" w:lineRule="auto"/>
              <w:ind w:right="223"/>
              <w:jc w:val="right"/>
              <w:rPr>
                <w:b/>
                <w:sz w:val="22"/>
                <w:szCs w:val="22"/>
              </w:rPr>
            </w:pPr>
            <w:r>
              <w:rPr>
                <w:b/>
                <w:sz w:val="22"/>
                <w:szCs w:val="22"/>
              </w:rPr>
              <w:t>11 185</w:t>
            </w:r>
          </w:p>
        </w:tc>
        <w:tc>
          <w:tcPr>
            <w:tcW w:w="1371" w:type="dxa"/>
            <w:vAlign w:val="bottom"/>
          </w:tcPr>
          <w:p w:rsidR="00000000" w:rsidRDefault="00000000">
            <w:pPr>
              <w:spacing w:before="40" w:after="40" w:line="216" w:lineRule="auto"/>
              <w:ind w:right="223"/>
              <w:jc w:val="right"/>
              <w:rPr>
                <w:b/>
                <w:sz w:val="22"/>
                <w:szCs w:val="22"/>
              </w:rPr>
            </w:pPr>
            <w:r>
              <w:rPr>
                <w:b/>
                <w:sz w:val="22"/>
                <w:szCs w:val="22"/>
              </w:rPr>
              <w:t>115,4</w:t>
            </w:r>
          </w:p>
        </w:tc>
        <w:tc>
          <w:tcPr>
            <w:tcW w:w="1080" w:type="dxa"/>
            <w:vAlign w:val="bottom"/>
          </w:tcPr>
          <w:p w:rsidR="00000000" w:rsidRDefault="00000000">
            <w:pPr>
              <w:spacing w:before="40" w:after="40" w:line="216" w:lineRule="auto"/>
              <w:ind w:right="223"/>
              <w:jc w:val="right"/>
              <w:rPr>
                <w:b/>
                <w:sz w:val="22"/>
                <w:szCs w:val="22"/>
              </w:rPr>
            </w:pPr>
            <w:r>
              <w:rPr>
                <w:b/>
                <w:sz w:val="22"/>
                <w:szCs w:val="22"/>
              </w:rPr>
              <w:t>12 771</w:t>
            </w:r>
          </w:p>
        </w:tc>
        <w:tc>
          <w:tcPr>
            <w:tcW w:w="1236" w:type="dxa"/>
            <w:vAlign w:val="bottom"/>
          </w:tcPr>
          <w:p w:rsidR="00000000" w:rsidRDefault="00000000">
            <w:pPr>
              <w:spacing w:before="40" w:after="40" w:line="216" w:lineRule="auto"/>
              <w:ind w:right="223"/>
              <w:jc w:val="right"/>
              <w:rPr>
                <w:b/>
                <w:sz w:val="22"/>
                <w:szCs w:val="22"/>
              </w:rPr>
            </w:pPr>
            <w:r>
              <w:rPr>
                <w:b/>
                <w:sz w:val="22"/>
                <w:szCs w:val="22"/>
              </w:rPr>
              <w:t>11 371</w:t>
            </w:r>
          </w:p>
        </w:tc>
        <w:tc>
          <w:tcPr>
            <w:tcW w:w="1580" w:type="dxa"/>
            <w:vAlign w:val="bottom"/>
          </w:tcPr>
          <w:p w:rsidR="00000000" w:rsidRDefault="00000000">
            <w:pPr>
              <w:spacing w:before="40" w:after="40" w:line="216" w:lineRule="auto"/>
              <w:ind w:right="223"/>
              <w:jc w:val="right"/>
              <w:rPr>
                <w:b/>
                <w:sz w:val="22"/>
                <w:szCs w:val="22"/>
              </w:rPr>
            </w:pPr>
            <w:r>
              <w:rPr>
                <w:b/>
                <w:sz w:val="22"/>
                <w:szCs w:val="22"/>
              </w:rPr>
              <w:t>112,3</w:t>
            </w:r>
          </w:p>
        </w:tc>
      </w:tr>
    </w:tbl>
    <w:p w:rsidR="00000000" w:rsidRDefault="00000000">
      <w:pPr>
        <w:spacing w:before="80" w:after="140"/>
      </w:pPr>
      <w:r>
        <w:rPr>
          <w:b/>
          <w:bCs/>
          <w:vertAlign w:val="superscript"/>
        </w:rPr>
        <w:t>a</w:t>
      </w:r>
      <w:r>
        <w:t xml:space="preserve"> L’établissement de Carregueira n’est entré en fonctionnement qu’en 2002; celui de Santarém est entré en fonctionnement en 2000. </w:t>
      </w:r>
    </w:p>
    <w:p w:rsidR="00000000" w:rsidRDefault="00000000">
      <w:pPr>
        <w:spacing w:after="140"/>
      </w:pPr>
      <w:r>
        <w:rPr>
          <w:b/>
          <w:bCs/>
          <w:vertAlign w:val="superscript"/>
        </w:rPr>
        <w:t>b</w:t>
      </w:r>
      <w:r>
        <w:t xml:space="preserve"> Les établissements spéciaux accueillent des </w:t>
      </w:r>
      <w:r>
        <w:rPr>
          <w:bCs/>
        </w:rPr>
        <w:t xml:space="preserve">détenus </w:t>
      </w:r>
      <w:r>
        <w:t>ayant des besoins spéciaux: les femmes (Tires), les jeunes (Leiria, 16-25 ans) et la santé (Hôpital São João de Deus).</w:t>
      </w:r>
    </w:p>
    <w:p w:rsidR="00000000" w:rsidRDefault="00000000">
      <w:pPr>
        <w:spacing w:after="140"/>
      </w:pPr>
      <w:r>
        <w:rPr>
          <w:b/>
          <w:bCs/>
          <w:vertAlign w:val="superscript"/>
        </w:rPr>
        <w:t>c</w:t>
      </w:r>
      <w:r>
        <w:t xml:space="preserve"> Pour l’Hôpital São João de Deus on ne comptabilise que les </w:t>
      </w:r>
      <w:r>
        <w:rPr>
          <w:bCs/>
        </w:rPr>
        <w:t xml:space="preserve">détenus </w:t>
      </w:r>
      <w:r>
        <w:t>qui y sont affectés.</w:t>
      </w:r>
    </w:p>
    <w:p w:rsidR="00000000" w:rsidRDefault="00000000">
      <w:pPr>
        <w:spacing w:after="140"/>
      </w:pPr>
      <w:r>
        <w:rPr>
          <w:b/>
          <w:bCs/>
          <w:vertAlign w:val="superscript"/>
        </w:rPr>
        <w:t>d</w:t>
      </w:r>
      <w:r>
        <w:t xml:space="preserve"> Les chiffres des établissements régionaux ont été reportés du tableau 5-B ci</w:t>
      </w:r>
      <w:r>
        <w:noBreakHyphen/>
        <w:t>dessous.</w:t>
      </w:r>
    </w:p>
    <w:p w:rsidR="00000000" w:rsidRDefault="00000000">
      <w:pPr>
        <w:spacing w:after="240"/>
        <w:jc w:val="center"/>
      </w:pPr>
      <w:r>
        <w:rPr>
          <w:b/>
        </w:rPr>
        <w:t>Tableau 5-B.  Population carcérale par établissement, occupation et taux d’occupation</w:t>
      </w:r>
      <w:r>
        <w:rPr>
          <w:b/>
        </w:rPr>
        <w:br/>
        <w:t>(au 31 décembre de 1999 et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65"/>
        <w:gridCol w:w="1200"/>
        <w:gridCol w:w="1182"/>
        <w:gridCol w:w="1327"/>
        <w:gridCol w:w="1091"/>
        <w:gridCol w:w="1189"/>
        <w:gridCol w:w="1330"/>
      </w:tblGrid>
      <w:tr w:rsidR="00000000">
        <w:trPr>
          <w:cantSplit/>
          <w:tblHeader/>
          <w:jc w:val="center"/>
        </w:trPr>
        <w:tc>
          <w:tcPr>
            <w:tcW w:w="2065" w:type="dxa"/>
            <w:vMerge w:val="restart"/>
            <w:vAlign w:val="center"/>
          </w:tcPr>
          <w:p w:rsidR="00000000" w:rsidRDefault="00000000">
            <w:pPr>
              <w:spacing w:before="40" w:after="40" w:line="216" w:lineRule="auto"/>
              <w:jc w:val="center"/>
              <w:rPr>
                <w:sz w:val="22"/>
                <w:szCs w:val="22"/>
              </w:rPr>
            </w:pPr>
            <w:r>
              <w:rPr>
                <w:b/>
                <w:sz w:val="22"/>
                <w:szCs w:val="22"/>
              </w:rPr>
              <w:t>Établissements</w:t>
            </w:r>
          </w:p>
        </w:tc>
        <w:tc>
          <w:tcPr>
            <w:tcW w:w="3709" w:type="dxa"/>
            <w:gridSpan w:val="3"/>
            <w:vAlign w:val="center"/>
          </w:tcPr>
          <w:p w:rsidR="00000000" w:rsidRDefault="00000000">
            <w:pPr>
              <w:spacing w:before="40" w:after="40" w:line="216" w:lineRule="auto"/>
              <w:jc w:val="center"/>
              <w:rPr>
                <w:b/>
                <w:sz w:val="22"/>
                <w:szCs w:val="22"/>
              </w:rPr>
            </w:pPr>
            <w:r>
              <w:rPr>
                <w:b/>
                <w:sz w:val="22"/>
                <w:szCs w:val="22"/>
              </w:rPr>
              <w:t>1999</w:t>
            </w:r>
          </w:p>
        </w:tc>
        <w:tc>
          <w:tcPr>
            <w:tcW w:w="3610" w:type="dxa"/>
            <w:gridSpan w:val="3"/>
            <w:vAlign w:val="center"/>
          </w:tcPr>
          <w:p w:rsidR="00000000" w:rsidRDefault="00000000">
            <w:pPr>
              <w:spacing w:before="40" w:after="40" w:line="216" w:lineRule="auto"/>
              <w:jc w:val="center"/>
              <w:rPr>
                <w:b/>
                <w:sz w:val="22"/>
                <w:szCs w:val="22"/>
              </w:rPr>
            </w:pPr>
            <w:r>
              <w:rPr>
                <w:b/>
                <w:sz w:val="22"/>
                <w:szCs w:val="22"/>
              </w:rPr>
              <w:t>2000</w:t>
            </w:r>
          </w:p>
        </w:tc>
      </w:tr>
      <w:tr w:rsidR="00000000">
        <w:trPr>
          <w:cantSplit/>
          <w:tblHeader/>
          <w:jc w:val="center"/>
        </w:trPr>
        <w:tc>
          <w:tcPr>
            <w:tcW w:w="2065" w:type="dxa"/>
            <w:vMerge/>
            <w:vAlign w:val="center"/>
          </w:tcPr>
          <w:p w:rsidR="00000000" w:rsidRDefault="00000000">
            <w:pPr>
              <w:spacing w:before="40" w:after="40" w:line="216" w:lineRule="auto"/>
              <w:jc w:val="center"/>
              <w:rPr>
                <w:b/>
                <w:sz w:val="22"/>
              </w:rPr>
            </w:pPr>
          </w:p>
        </w:tc>
        <w:tc>
          <w:tcPr>
            <w:tcW w:w="1200" w:type="dxa"/>
            <w:vAlign w:val="center"/>
          </w:tcPr>
          <w:p w:rsidR="00000000" w:rsidRDefault="00000000">
            <w:pPr>
              <w:spacing w:before="40" w:after="40" w:line="216" w:lineRule="auto"/>
              <w:jc w:val="center"/>
              <w:rPr>
                <w:b/>
                <w:sz w:val="22"/>
              </w:rPr>
            </w:pPr>
            <w:r>
              <w:rPr>
                <w:b/>
                <w:sz w:val="22"/>
              </w:rPr>
              <w:t>Nombre</w:t>
            </w:r>
            <w:r>
              <w:rPr>
                <w:b/>
                <w:sz w:val="22"/>
              </w:rPr>
              <w:br/>
              <w:t>de détenus</w:t>
            </w:r>
          </w:p>
        </w:tc>
        <w:tc>
          <w:tcPr>
            <w:tcW w:w="1182" w:type="dxa"/>
            <w:vAlign w:val="center"/>
          </w:tcPr>
          <w:p w:rsidR="00000000" w:rsidRDefault="00000000">
            <w:pPr>
              <w:spacing w:before="40" w:after="40" w:line="216" w:lineRule="auto"/>
              <w:jc w:val="center"/>
              <w:rPr>
                <w:b/>
                <w:sz w:val="22"/>
              </w:rPr>
            </w:pPr>
            <w:r>
              <w:rPr>
                <w:b/>
                <w:sz w:val="22"/>
              </w:rPr>
              <w:t>Occupation</w:t>
            </w:r>
          </w:p>
        </w:tc>
        <w:tc>
          <w:tcPr>
            <w:tcW w:w="1327" w:type="dxa"/>
            <w:vAlign w:val="center"/>
          </w:tcPr>
          <w:p w:rsidR="00000000" w:rsidRDefault="00000000">
            <w:pPr>
              <w:spacing w:before="40" w:after="40" w:line="216" w:lineRule="auto"/>
              <w:jc w:val="center"/>
              <w:rPr>
                <w:b/>
                <w:sz w:val="22"/>
              </w:rPr>
            </w:pPr>
            <w:r>
              <w:rPr>
                <w:b/>
                <w:sz w:val="22"/>
              </w:rPr>
              <w:t>Taux d’occupation en %</w:t>
            </w:r>
          </w:p>
        </w:tc>
        <w:tc>
          <w:tcPr>
            <w:tcW w:w="1091" w:type="dxa"/>
            <w:vAlign w:val="center"/>
          </w:tcPr>
          <w:p w:rsidR="00000000" w:rsidRDefault="00000000">
            <w:pPr>
              <w:spacing w:before="40" w:after="40" w:line="216" w:lineRule="auto"/>
              <w:jc w:val="center"/>
              <w:rPr>
                <w:b/>
                <w:sz w:val="22"/>
              </w:rPr>
            </w:pPr>
            <w:r>
              <w:rPr>
                <w:b/>
                <w:sz w:val="22"/>
              </w:rPr>
              <w:t>Nombre de détenus</w:t>
            </w:r>
          </w:p>
        </w:tc>
        <w:tc>
          <w:tcPr>
            <w:tcW w:w="1189" w:type="dxa"/>
            <w:vAlign w:val="center"/>
          </w:tcPr>
          <w:p w:rsidR="00000000" w:rsidRDefault="00000000">
            <w:pPr>
              <w:spacing w:before="40" w:after="40" w:line="216" w:lineRule="auto"/>
              <w:jc w:val="center"/>
              <w:rPr>
                <w:b/>
                <w:sz w:val="22"/>
              </w:rPr>
            </w:pPr>
            <w:r>
              <w:rPr>
                <w:b/>
                <w:sz w:val="22"/>
              </w:rPr>
              <w:t>Occupation</w:t>
            </w:r>
          </w:p>
        </w:tc>
        <w:tc>
          <w:tcPr>
            <w:tcW w:w="1330" w:type="dxa"/>
            <w:vAlign w:val="center"/>
          </w:tcPr>
          <w:p w:rsidR="00000000" w:rsidRDefault="00000000">
            <w:pPr>
              <w:spacing w:before="40" w:after="40" w:line="216" w:lineRule="auto"/>
              <w:jc w:val="center"/>
              <w:rPr>
                <w:b/>
                <w:sz w:val="22"/>
              </w:rPr>
            </w:pPr>
            <w:r>
              <w:rPr>
                <w:b/>
                <w:sz w:val="22"/>
              </w:rPr>
              <w:t>Taux d’occupation en %</w:t>
            </w:r>
          </w:p>
        </w:tc>
      </w:tr>
      <w:tr w:rsidR="00000000">
        <w:trPr>
          <w:tblHeader/>
          <w:jc w:val="center"/>
        </w:trPr>
        <w:tc>
          <w:tcPr>
            <w:tcW w:w="2065" w:type="dxa"/>
            <w:vAlign w:val="center"/>
          </w:tcPr>
          <w:p w:rsidR="00000000" w:rsidRDefault="00000000">
            <w:pPr>
              <w:spacing w:before="40" w:after="40" w:line="216" w:lineRule="auto"/>
              <w:rPr>
                <w:b/>
                <w:bCs/>
                <w:sz w:val="22"/>
                <w:szCs w:val="22"/>
              </w:rPr>
            </w:pPr>
            <w:r>
              <w:rPr>
                <w:b/>
                <w:bCs/>
                <w:sz w:val="22"/>
                <w:szCs w:val="22"/>
              </w:rPr>
              <w:t>Établissements Régionaux</w:t>
            </w:r>
          </w:p>
        </w:tc>
        <w:tc>
          <w:tcPr>
            <w:tcW w:w="1200" w:type="dxa"/>
            <w:vAlign w:val="bottom"/>
          </w:tcPr>
          <w:p w:rsidR="00000000" w:rsidRDefault="00000000">
            <w:pPr>
              <w:spacing w:before="40" w:after="40" w:line="216" w:lineRule="auto"/>
              <w:ind w:right="324"/>
              <w:jc w:val="right"/>
              <w:rPr>
                <w:sz w:val="22"/>
                <w:szCs w:val="22"/>
              </w:rPr>
            </w:pPr>
          </w:p>
        </w:tc>
        <w:tc>
          <w:tcPr>
            <w:tcW w:w="1182" w:type="dxa"/>
            <w:vAlign w:val="bottom"/>
          </w:tcPr>
          <w:p w:rsidR="00000000" w:rsidRDefault="00000000">
            <w:pPr>
              <w:spacing w:before="40" w:after="40" w:line="216" w:lineRule="auto"/>
              <w:ind w:right="324"/>
              <w:jc w:val="right"/>
              <w:rPr>
                <w:sz w:val="22"/>
                <w:szCs w:val="22"/>
              </w:rPr>
            </w:pPr>
          </w:p>
        </w:tc>
        <w:tc>
          <w:tcPr>
            <w:tcW w:w="1327" w:type="dxa"/>
            <w:vAlign w:val="bottom"/>
          </w:tcPr>
          <w:p w:rsidR="00000000" w:rsidRDefault="00000000">
            <w:pPr>
              <w:spacing w:before="40" w:after="40" w:line="216" w:lineRule="auto"/>
              <w:ind w:right="324"/>
              <w:jc w:val="right"/>
              <w:rPr>
                <w:sz w:val="22"/>
                <w:szCs w:val="22"/>
              </w:rPr>
            </w:pPr>
          </w:p>
        </w:tc>
        <w:tc>
          <w:tcPr>
            <w:tcW w:w="1091" w:type="dxa"/>
            <w:vAlign w:val="bottom"/>
          </w:tcPr>
          <w:p w:rsidR="00000000" w:rsidRDefault="00000000">
            <w:pPr>
              <w:spacing w:before="40" w:after="40" w:line="216" w:lineRule="auto"/>
              <w:ind w:right="324"/>
              <w:jc w:val="right"/>
              <w:rPr>
                <w:sz w:val="22"/>
                <w:szCs w:val="22"/>
              </w:rPr>
            </w:pPr>
          </w:p>
        </w:tc>
        <w:tc>
          <w:tcPr>
            <w:tcW w:w="1189" w:type="dxa"/>
            <w:vAlign w:val="bottom"/>
          </w:tcPr>
          <w:p w:rsidR="00000000" w:rsidRDefault="00000000">
            <w:pPr>
              <w:spacing w:before="40" w:after="40" w:line="216" w:lineRule="auto"/>
              <w:ind w:right="324"/>
              <w:jc w:val="right"/>
              <w:rPr>
                <w:sz w:val="22"/>
                <w:szCs w:val="22"/>
              </w:rPr>
            </w:pPr>
          </w:p>
        </w:tc>
        <w:tc>
          <w:tcPr>
            <w:tcW w:w="1330" w:type="dxa"/>
            <w:vAlign w:val="bottom"/>
          </w:tcPr>
          <w:p w:rsidR="00000000" w:rsidRDefault="00000000">
            <w:pPr>
              <w:spacing w:before="40" w:after="40" w:line="216" w:lineRule="auto"/>
              <w:ind w:right="324"/>
              <w:jc w:val="right"/>
              <w:rPr>
                <w:sz w:val="22"/>
                <w:szCs w:val="22"/>
              </w:rPr>
            </w:pP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Angra do Heroísmo</w:t>
            </w:r>
          </w:p>
        </w:tc>
        <w:tc>
          <w:tcPr>
            <w:tcW w:w="1200" w:type="dxa"/>
            <w:vAlign w:val="bottom"/>
          </w:tcPr>
          <w:p w:rsidR="00000000" w:rsidRDefault="00000000">
            <w:pPr>
              <w:spacing w:before="40" w:after="40" w:line="216" w:lineRule="auto"/>
              <w:ind w:right="324"/>
              <w:jc w:val="right"/>
              <w:rPr>
                <w:sz w:val="22"/>
                <w:szCs w:val="22"/>
              </w:rPr>
            </w:pPr>
            <w:r>
              <w:rPr>
                <w:sz w:val="22"/>
                <w:szCs w:val="22"/>
              </w:rPr>
              <w:t>67</w:t>
            </w:r>
          </w:p>
        </w:tc>
        <w:tc>
          <w:tcPr>
            <w:tcW w:w="1182" w:type="dxa"/>
            <w:vAlign w:val="bottom"/>
          </w:tcPr>
          <w:p w:rsidR="00000000" w:rsidRDefault="00000000">
            <w:pPr>
              <w:spacing w:before="40" w:after="40" w:line="216" w:lineRule="auto"/>
              <w:ind w:right="324"/>
              <w:jc w:val="right"/>
              <w:rPr>
                <w:sz w:val="22"/>
                <w:szCs w:val="22"/>
              </w:rPr>
            </w:pPr>
            <w:r>
              <w:rPr>
                <w:sz w:val="22"/>
                <w:szCs w:val="22"/>
              </w:rPr>
              <w:t>39</w:t>
            </w:r>
          </w:p>
        </w:tc>
        <w:tc>
          <w:tcPr>
            <w:tcW w:w="1327" w:type="dxa"/>
            <w:vAlign w:val="bottom"/>
          </w:tcPr>
          <w:p w:rsidR="00000000" w:rsidRDefault="00000000">
            <w:pPr>
              <w:spacing w:before="40" w:after="40" w:line="216" w:lineRule="auto"/>
              <w:ind w:right="324"/>
              <w:jc w:val="right"/>
              <w:rPr>
                <w:sz w:val="22"/>
                <w:szCs w:val="22"/>
              </w:rPr>
            </w:pPr>
            <w:r>
              <w:rPr>
                <w:sz w:val="22"/>
                <w:szCs w:val="22"/>
              </w:rPr>
              <w:t>171,8</w:t>
            </w:r>
          </w:p>
        </w:tc>
        <w:tc>
          <w:tcPr>
            <w:tcW w:w="1091" w:type="dxa"/>
            <w:vAlign w:val="bottom"/>
          </w:tcPr>
          <w:p w:rsidR="00000000" w:rsidRDefault="00000000">
            <w:pPr>
              <w:spacing w:before="40" w:after="40" w:line="216" w:lineRule="auto"/>
              <w:ind w:right="324"/>
              <w:jc w:val="right"/>
              <w:rPr>
                <w:sz w:val="22"/>
                <w:szCs w:val="22"/>
              </w:rPr>
            </w:pPr>
            <w:r>
              <w:rPr>
                <w:sz w:val="22"/>
                <w:szCs w:val="22"/>
              </w:rPr>
              <w:t>80</w:t>
            </w:r>
          </w:p>
        </w:tc>
        <w:tc>
          <w:tcPr>
            <w:tcW w:w="1189" w:type="dxa"/>
            <w:vAlign w:val="bottom"/>
          </w:tcPr>
          <w:p w:rsidR="00000000" w:rsidRDefault="00000000">
            <w:pPr>
              <w:spacing w:before="40" w:after="40" w:line="216" w:lineRule="auto"/>
              <w:ind w:right="324"/>
              <w:jc w:val="right"/>
              <w:rPr>
                <w:sz w:val="22"/>
                <w:szCs w:val="22"/>
              </w:rPr>
            </w:pPr>
            <w:r>
              <w:rPr>
                <w:sz w:val="22"/>
                <w:szCs w:val="22"/>
              </w:rPr>
              <w:t>39</w:t>
            </w:r>
          </w:p>
        </w:tc>
        <w:tc>
          <w:tcPr>
            <w:tcW w:w="1330" w:type="dxa"/>
            <w:vAlign w:val="bottom"/>
          </w:tcPr>
          <w:p w:rsidR="00000000" w:rsidRDefault="00000000">
            <w:pPr>
              <w:spacing w:before="40" w:after="40" w:line="216" w:lineRule="auto"/>
              <w:ind w:right="324"/>
              <w:jc w:val="right"/>
              <w:rPr>
                <w:sz w:val="22"/>
                <w:szCs w:val="22"/>
              </w:rPr>
            </w:pPr>
            <w:r>
              <w:rPr>
                <w:sz w:val="22"/>
                <w:szCs w:val="22"/>
              </w:rPr>
              <w:t>205,1</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Prison d’appui de Horta</w:t>
            </w:r>
          </w:p>
        </w:tc>
        <w:tc>
          <w:tcPr>
            <w:tcW w:w="1200" w:type="dxa"/>
            <w:vAlign w:val="bottom"/>
          </w:tcPr>
          <w:p w:rsidR="00000000" w:rsidRDefault="00000000">
            <w:pPr>
              <w:spacing w:before="40" w:after="40" w:line="216" w:lineRule="auto"/>
              <w:ind w:right="324"/>
              <w:jc w:val="right"/>
              <w:rPr>
                <w:sz w:val="22"/>
                <w:szCs w:val="22"/>
              </w:rPr>
            </w:pPr>
            <w:r>
              <w:rPr>
                <w:sz w:val="22"/>
                <w:szCs w:val="22"/>
              </w:rPr>
              <w:t>20</w:t>
            </w:r>
          </w:p>
        </w:tc>
        <w:tc>
          <w:tcPr>
            <w:tcW w:w="1182" w:type="dxa"/>
            <w:vAlign w:val="bottom"/>
          </w:tcPr>
          <w:p w:rsidR="00000000" w:rsidRDefault="00000000">
            <w:pPr>
              <w:spacing w:before="40" w:after="40" w:line="216" w:lineRule="auto"/>
              <w:ind w:right="324"/>
              <w:jc w:val="right"/>
              <w:rPr>
                <w:sz w:val="22"/>
                <w:szCs w:val="22"/>
              </w:rPr>
            </w:pPr>
            <w:r>
              <w:rPr>
                <w:sz w:val="22"/>
                <w:szCs w:val="22"/>
              </w:rPr>
              <w:t>17</w:t>
            </w:r>
          </w:p>
        </w:tc>
        <w:tc>
          <w:tcPr>
            <w:tcW w:w="1327" w:type="dxa"/>
            <w:vAlign w:val="bottom"/>
          </w:tcPr>
          <w:p w:rsidR="00000000" w:rsidRDefault="00000000">
            <w:pPr>
              <w:spacing w:before="40" w:after="40" w:line="216" w:lineRule="auto"/>
              <w:ind w:right="324"/>
              <w:jc w:val="right"/>
              <w:rPr>
                <w:sz w:val="22"/>
                <w:szCs w:val="22"/>
              </w:rPr>
            </w:pPr>
            <w:r>
              <w:rPr>
                <w:sz w:val="22"/>
                <w:szCs w:val="22"/>
              </w:rPr>
              <w:t>117,6</w:t>
            </w:r>
          </w:p>
        </w:tc>
        <w:tc>
          <w:tcPr>
            <w:tcW w:w="1091" w:type="dxa"/>
            <w:vAlign w:val="bottom"/>
          </w:tcPr>
          <w:p w:rsidR="00000000" w:rsidRDefault="00000000">
            <w:pPr>
              <w:spacing w:before="40" w:after="40" w:line="216" w:lineRule="auto"/>
              <w:ind w:right="324"/>
              <w:jc w:val="right"/>
              <w:rPr>
                <w:sz w:val="22"/>
                <w:szCs w:val="22"/>
              </w:rPr>
            </w:pPr>
            <w:r>
              <w:rPr>
                <w:sz w:val="22"/>
                <w:szCs w:val="22"/>
              </w:rPr>
              <w:t>25</w:t>
            </w:r>
          </w:p>
        </w:tc>
        <w:tc>
          <w:tcPr>
            <w:tcW w:w="1189" w:type="dxa"/>
            <w:vAlign w:val="bottom"/>
          </w:tcPr>
          <w:p w:rsidR="00000000" w:rsidRDefault="00000000">
            <w:pPr>
              <w:spacing w:before="40" w:after="40" w:line="216" w:lineRule="auto"/>
              <w:ind w:right="324"/>
              <w:jc w:val="right"/>
              <w:rPr>
                <w:sz w:val="22"/>
                <w:szCs w:val="22"/>
              </w:rPr>
            </w:pPr>
            <w:r>
              <w:rPr>
                <w:sz w:val="22"/>
                <w:szCs w:val="22"/>
              </w:rPr>
              <w:t>17</w:t>
            </w:r>
          </w:p>
        </w:tc>
        <w:tc>
          <w:tcPr>
            <w:tcW w:w="1330" w:type="dxa"/>
            <w:vAlign w:val="bottom"/>
          </w:tcPr>
          <w:p w:rsidR="00000000" w:rsidRDefault="00000000">
            <w:pPr>
              <w:spacing w:before="40" w:after="40" w:line="216" w:lineRule="auto"/>
              <w:ind w:right="324"/>
              <w:jc w:val="right"/>
              <w:rPr>
                <w:sz w:val="22"/>
                <w:szCs w:val="22"/>
              </w:rPr>
            </w:pPr>
            <w:r>
              <w:rPr>
                <w:sz w:val="22"/>
                <w:szCs w:val="22"/>
              </w:rPr>
              <w:t>147,1</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Aveiro</w:t>
            </w:r>
          </w:p>
        </w:tc>
        <w:tc>
          <w:tcPr>
            <w:tcW w:w="1200" w:type="dxa"/>
            <w:vAlign w:val="bottom"/>
          </w:tcPr>
          <w:p w:rsidR="00000000" w:rsidRDefault="00000000">
            <w:pPr>
              <w:spacing w:before="40" w:after="40" w:line="216" w:lineRule="auto"/>
              <w:ind w:right="324"/>
              <w:jc w:val="right"/>
              <w:rPr>
                <w:sz w:val="22"/>
                <w:szCs w:val="22"/>
              </w:rPr>
            </w:pPr>
            <w:r>
              <w:rPr>
                <w:sz w:val="22"/>
                <w:szCs w:val="22"/>
              </w:rPr>
              <w:t>139</w:t>
            </w:r>
          </w:p>
        </w:tc>
        <w:tc>
          <w:tcPr>
            <w:tcW w:w="1182" w:type="dxa"/>
            <w:vAlign w:val="bottom"/>
          </w:tcPr>
          <w:p w:rsidR="00000000" w:rsidRDefault="00000000">
            <w:pPr>
              <w:spacing w:before="40" w:after="40" w:line="216" w:lineRule="auto"/>
              <w:ind w:right="324"/>
              <w:jc w:val="right"/>
              <w:rPr>
                <w:sz w:val="22"/>
                <w:szCs w:val="22"/>
              </w:rPr>
            </w:pPr>
            <w:r>
              <w:rPr>
                <w:sz w:val="22"/>
                <w:szCs w:val="22"/>
              </w:rPr>
              <w:t>88</w:t>
            </w:r>
          </w:p>
        </w:tc>
        <w:tc>
          <w:tcPr>
            <w:tcW w:w="1327" w:type="dxa"/>
            <w:vAlign w:val="bottom"/>
          </w:tcPr>
          <w:p w:rsidR="00000000" w:rsidRDefault="00000000">
            <w:pPr>
              <w:spacing w:before="40" w:after="40" w:line="216" w:lineRule="auto"/>
              <w:ind w:right="324"/>
              <w:jc w:val="right"/>
              <w:rPr>
                <w:sz w:val="22"/>
                <w:szCs w:val="22"/>
              </w:rPr>
            </w:pPr>
            <w:r>
              <w:rPr>
                <w:sz w:val="22"/>
                <w:szCs w:val="22"/>
              </w:rPr>
              <w:t>158,0</w:t>
            </w:r>
          </w:p>
        </w:tc>
        <w:tc>
          <w:tcPr>
            <w:tcW w:w="1091" w:type="dxa"/>
            <w:vAlign w:val="bottom"/>
          </w:tcPr>
          <w:p w:rsidR="00000000" w:rsidRDefault="00000000">
            <w:pPr>
              <w:spacing w:before="40" w:after="40" w:line="216" w:lineRule="auto"/>
              <w:ind w:right="324"/>
              <w:jc w:val="right"/>
              <w:rPr>
                <w:sz w:val="22"/>
                <w:szCs w:val="22"/>
              </w:rPr>
            </w:pPr>
            <w:r>
              <w:rPr>
                <w:sz w:val="22"/>
                <w:szCs w:val="22"/>
              </w:rPr>
              <w:t>136</w:t>
            </w:r>
          </w:p>
        </w:tc>
        <w:tc>
          <w:tcPr>
            <w:tcW w:w="1189" w:type="dxa"/>
            <w:vAlign w:val="bottom"/>
          </w:tcPr>
          <w:p w:rsidR="00000000" w:rsidRDefault="00000000">
            <w:pPr>
              <w:spacing w:before="40" w:after="40" w:line="216" w:lineRule="auto"/>
              <w:ind w:right="324"/>
              <w:jc w:val="right"/>
              <w:rPr>
                <w:sz w:val="22"/>
                <w:szCs w:val="22"/>
              </w:rPr>
            </w:pPr>
            <w:r>
              <w:rPr>
                <w:sz w:val="22"/>
                <w:szCs w:val="22"/>
              </w:rPr>
              <w:t>88</w:t>
            </w:r>
          </w:p>
        </w:tc>
        <w:tc>
          <w:tcPr>
            <w:tcW w:w="1330" w:type="dxa"/>
            <w:vAlign w:val="bottom"/>
          </w:tcPr>
          <w:p w:rsidR="00000000" w:rsidRDefault="00000000">
            <w:pPr>
              <w:spacing w:before="40" w:after="40" w:line="216" w:lineRule="auto"/>
              <w:ind w:right="324"/>
              <w:jc w:val="right"/>
              <w:rPr>
                <w:sz w:val="22"/>
                <w:szCs w:val="22"/>
              </w:rPr>
            </w:pPr>
            <w:r>
              <w:rPr>
                <w:sz w:val="22"/>
                <w:szCs w:val="22"/>
              </w:rPr>
              <w:t>154,5</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Beja</w:t>
            </w:r>
          </w:p>
        </w:tc>
        <w:tc>
          <w:tcPr>
            <w:tcW w:w="1200" w:type="dxa"/>
            <w:vAlign w:val="bottom"/>
          </w:tcPr>
          <w:p w:rsidR="00000000" w:rsidRDefault="00000000">
            <w:pPr>
              <w:spacing w:before="40" w:after="40" w:line="216" w:lineRule="auto"/>
              <w:ind w:right="324"/>
              <w:jc w:val="right"/>
              <w:rPr>
                <w:sz w:val="22"/>
                <w:szCs w:val="22"/>
              </w:rPr>
            </w:pPr>
            <w:r>
              <w:rPr>
                <w:sz w:val="22"/>
                <w:szCs w:val="22"/>
              </w:rPr>
              <w:t>95</w:t>
            </w:r>
          </w:p>
        </w:tc>
        <w:tc>
          <w:tcPr>
            <w:tcW w:w="1182" w:type="dxa"/>
            <w:vAlign w:val="bottom"/>
          </w:tcPr>
          <w:p w:rsidR="00000000" w:rsidRDefault="00000000">
            <w:pPr>
              <w:spacing w:before="40" w:after="40" w:line="216" w:lineRule="auto"/>
              <w:ind w:right="324"/>
              <w:jc w:val="right"/>
              <w:rPr>
                <w:sz w:val="22"/>
                <w:szCs w:val="22"/>
              </w:rPr>
            </w:pPr>
            <w:r>
              <w:rPr>
                <w:sz w:val="22"/>
                <w:szCs w:val="22"/>
              </w:rPr>
              <w:t>48</w:t>
            </w:r>
          </w:p>
        </w:tc>
        <w:tc>
          <w:tcPr>
            <w:tcW w:w="1327" w:type="dxa"/>
            <w:vAlign w:val="bottom"/>
          </w:tcPr>
          <w:p w:rsidR="00000000" w:rsidRDefault="00000000">
            <w:pPr>
              <w:spacing w:before="40" w:after="40" w:line="216" w:lineRule="auto"/>
              <w:ind w:right="324"/>
              <w:jc w:val="right"/>
              <w:rPr>
                <w:sz w:val="22"/>
                <w:szCs w:val="22"/>
              </w:rPr>
            </w:pPr>
            <w:r>
              <w:rPr>
                <w:sz w:val="22"/>
                <w:szCs w:val="22"/>
              </w:rPr>
              <w:t>197,9</w:t>
            </w:r>
          </w:p>
        </w:tc>
        <w:tc>
          <w:tcPr>
            <w:tcW w:w="1091" w:type="dxa"/>
            <w:vAlign w:val="bottom"/>
          </w:tcPr>
          <w:p w:rsidR="00000000" w:rsidRDefault="00000000">
            <w:pPr>
              <w:spacing w:before="40" w:after="40" w:line="216" w:lineRule="auto"/>
              <w:ind w:right="324"/>
              <w:jc w:val="right"/>
              <w:rPr>
                <w:sz w:val="22"/>
                <w:szCs w:val="22"/>
              </w:rPr>
            </w:pPr>
            <w:r>
              <w:rPr>
                <w:sz w:val="22"/>
                <w:szCs w:val="22"/>
              </w:rPr>
              <w:t>82</w:t>
            </w:r>
          </w:p>
        </w:tc>
        <w:tc>
          <w:tcPr>
            <w:tcW w:w="1189" w:type="dxa"/>
            <w:vAlign w:val="bottom"/>
          </w:tcPr>
          <w:p w:rsidR="00000000" w:rsidRDefault="00000000">
            <w:pPr>
              <w:spacing w:before="40" w:after="40" w:line="216" w:lineRule="auto"/>
              <w:ind w:right="324"/>
              <w:jc w:val="right"/>
              <w:rPr>
                <w:sz w:val="22"/>
                <w:szCs w:val="22"/>
              </w:rPr>
            </w:pPr>
            <w:r>
              <w:rPr>
                <w:sz w:val="22"/>
                <w:szCs w:val="22"/>
              </w:rPr>
              <w:t>48</w:t>
            </w:r>
          </w:p>
        </w:tc>
        <w:tc>
          <w:tcPr>
            <w:tcW w:w="1330" w:type="dxa"/>
            <w:vAlign w:val="bottom"/>
          </w:tcPr>
          <w:p w:rsidR="00000000" w:rsidRDefault="00000000">
            <w:pPr>
              <w:spacing w:before="40" w:after="40" w:line="216" w:lineRule="auto"/>
              <w:ind w:right="324"/>
              <w:jc w:val="right"/>
              <w:rPr>
                <w:sz w:val="22"/>
                <w:szCs w:val="22"/>
              </w:rPr>
            </w:pPr>
            <w:r>
              <w:rPr>
                <w:sz w:val="22"/>
                <w:szCs w:val="22"/>
              </w:rPr>
              <w:t>170,8</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Braga</w:t>
            </w:r>
          </w:p>
        </w:tc>
        <w:tc>
          <w:tcPr>
            <w:tcW w:w="1200" w:type="dxa"/>
            <w:vAlign w:val="bottom"/>
          </w:tcPr>
          <w:p w:rsidR="00000000" w:rsidRDefault="00000000">
            <w:pPr>
              <w:spacing w:before="40" w:after="40" w:line="216" w:lineRule="auto"/>
              <w:ind w:right="324"/>
              <w:jc w:val="right"/>
              <w:rPr>
                <w:sz w:val="22"/>
                <w:szCs w:val="22"/>
              </w:rPr>
            </w:pPr>
            <w:r>
              <w:rPr>
                <w:sz w:val="22"/>
                <w:szCs w:val="22"/>
              </w:rPr>
              <w:t>143</w:t>
            </w:r>
          </w:p>
        </w:tc>
        <w:tc>
          <w:tcPr>
            <w:tcW w:w="1182" w:type="dxa"/>
            <w:vAlign w:val="bottom"/>
          </w:tcPr>
          <w:p w:rsidR="00000000" w:rsidRDefault="00000000">
            <w:pPr>
              <w:spacing w:before="40" w:after="40" w:line="216" w:lineRule="auto"/>
              <w:ind w:right="324"/>
              <w:jc w:val="right"/>
              <w:rPr>
                <w:sz w:val="22"/>
                <w:szCs w:val="22"/>
              </w:rPr>
            </w:pPr>
            <w:r>
              <w:rPr>
                <w:sz w:val="22"/>
                <w:szCs w:val="22"/>
              </w:rPr>
              <w:t>72</w:t>
            </w:r>
          </w:p>
        </w:tc>
        <w:tc>
          <w:tcPr>
            <w:tcW w:w="1327" w:type="dxa"/>
            <w:vAlign w:val="bottom"/>
          </w:tcPr>
          <w:p w:rsidR="00000000" w:rsidRDefault="00000000">
            <w:pPr>
              <w:spacing w:before="40" w:after="40" w:line="216" w:lineRule="auto"/>
              <w:ind w:right="324"/>
              <w:jc w:val="right"/>
              <w:rPr>
                <w:sz w:val="22"/>
                <w:szCs w:val="22"/>
              </w:rPr>
            </w:pPr>
            <w:r>
              <w:rPr>
                <w:sz w:val="22"/>
                <w:szCs w:val="22"/>
              </w:rPr>
              <w:t>198,6</w:t>
            </w:r>
          </w:p>
        </w:tc>
        <w:tc>
          <w:tcPr>
            <w:tcW w:w="1091" w:type="dxa"/>
            <w:vAlign w:val="bottom"/>
          </w:tcPr>
          <w:p w:rsidR="00000000" w:rsidRDefault="00000000">
            <w:pPr>
              <w:spacing w:before="40" w:after="40" w:line="216" w:lineRule="auto"/>
              <w:ind w:right="324"/>
              <w:jc w:val="right"/>
              <w:rPr>
                <w:sz w:val="22"/>
                <w:szCs w:val="22"/>
              </w:rPr>
            </w:pPr>
            <w:r>
              <w:rPr>
                <w:sz w:val="22"/>
                <w:szCs w:val="22"/>
              </w:rPr>
              <w:t>127</w:t>
            </w:r>
          </w:p>
        </w:tc>
        <w:tc>
          <w:tcPr>
            <w:tcW w:w="1189" w:type="dxa"/>
            <w:vAlign w:val="bottom"/>
          </w:tcPr>
          <w:p w:rsidR="00000000" w:rsidRDefault="00000000">
            <w:pPr>
              <w:spacing w:before="40" w:after="40" w:line="216" w:lineRule="auto"/>
              <w:ind w:right="324"/>
              <w:jc w:val="right"/>
              <w:rPr>
                <w:sz w:val="22"/>
                <w:szCs w:val="22"/>
              </w:rPr>
            </w:pPr>
            <w:r>
              <w:rPr>
                <w:sz w:val="22"/>
                <w:szCs w:val="22"/>
              </w:rPr>
              <w:t>72</w:t>
            </w:r>
          </w:p>
        </w:tc>
        <w:tc>
          <w:tcPr>
            <w:tcW w:w="1330" w:type="dxa"/>
            <w:vAlign w:val="bottom"/>
          </w:tcPr>
          <w:p w:rsidR="00000000" w:rsidRDefault="00000000">
            <w:pPr>
              <w:spacing w:before="40" w:after="40" w:line="216" w:lineRule="auto"/>
              <w:ind w:right="324"/>
              <w:jc w:val="right"/>
              <w:rPr>
                <w:sz w:val="22"/>
                <w:szCs w:val="22"/>
              </w:rPr>
            </w:pPr>
            <w:r>
              <w:rPr>
                <w:sz w:val="22"/>
                <w:szCs w:val="22"/>
              </w:rPr>
              <w:t>176,4</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Bragança</w:t>
            </w:r>
          </w:p>
        </w:tc>
        <w:tc>
          <w:tcPr>
            <w:tcW w:w="1200" w:type="dxa"/>
            <w:vAlign w:val="bottom"/>
          </w:tcPr>
          <w:p w:rsidR="00000000" w:rsidRDefault="00000000">
            <w:pPr>
              <w:spacing w:before="40" w:after="40" w:line="216" w:lineRule="auto"/>
              <w:ind w:right="324"/>
              <w:jc w:val="right"/>
              <w:rPr>
                <w:sz w:val="22"/>
                <w:szCs w:val="22"/>
              </w:rPr>
            </w:pPr>
            <w:r>
              <w:rPr>
                <w:sz w:val="22"/>
                <w:szCs w:val="22"/>
              </w:rPr>
              <w:t>63</w:t>
            </w:r>
          </w:p>
        </w:tc>
        <w:tc>
          <w:tcPr>
            <w:tcW w:w="1182" w:type="dxa"/>
            <w:vAlign w:val="bottom"/>
          </w:tcPr>
          <w:p w:rsidR="00000000" w:rsidRDefault="00000000">
            <w:pPr>
              <w:spacing w:before="40" w:after="40" w:line="216" w:lineRule="auto"/>
              <w:ind w:right="324"/>
              <w:jc w:val="right"/>
              <w:rPr>
                <w:sz w:val="22"/>
                <w:szCs w:val="22"/>
              </w:rPr>
            </w:pPr>
            <w:r>
              <w:rPr>
                <w:sz w:val="22"/>
                <w:szCs w:val="22"/>
              </w:rPr>
              <w:t>75</w:t>
            </w:r>
          </w:p>
        </w:tc>
        <w:tc>
          <w:tcPr>
            <w:tcW w:w="1327" w:type="dxa"/>
            <w:vAlign w:val="bottom"/>
          </w:tcPr>
          <w:p w:rsidR="00000000" w:rsidRDefault="00000000">
            <w:pPr>
              <w:spacing w:before="40" w:after="40" w:line="216" w:lineRule="auto"/>
              <w:ind w:right="324"/>
              <w:jc w:val="right"/>
              <w:rPr>
                <w:sz w:val="22"/>
                <w:szCs w:val="22"/>
              </w:rPr>
            </w:pPr>
            <w:r>
              <w:rPr>
                <w:sz w:val="22"/>
                <w:szCs w:val="22"/>
              </w:rPr>
              <w:t>84,0</w:t>
            </w:r>
          </w:p>
        </w:tc>
        <w:tc>
          <w:tcPr>
            <w:tcW w:w="1091" w:type="dxa"/>
            <w:vAlign w:val="bottom"/>
          </w:tcPr>
          <w:p w:rsidR="00000000" w:rsidRDefault="00000000">
            <w:pPr>
              <w:spacing w:before="40" w:after="40" w:line="216" w:lineRule="auto"/>
              <w:ind w:right="324"/>
              <w:jc w:val="right"/>
              <w:rPr>
                <w:sz w:val="22"/>
                <w:szCs w:val="22"/>
              </w:rPr>
            </w:pPr>
            <w:r>
              <w:rPr>
                <w:sz w:val="22"/>
                <w:szCs w:val="22"/>
              </w:rPr>
              <w:t>71</w:t>
            </w:r>
          </w:p>
        </w:tc>
        <w:tc>
          <w:tcPr>
            <w:tcW w:w="1189" w:type="dxa"/>
            <w:vAlign w:val="bottom"/>
          </w:tcPr>
          <w:p w:rsidR="00000000" w:rsidRDefault="00000000">
            <w:pPr>
              <w:spacing w:before="40" w:after="40" w:line="216" w:lineRule="auto"/>
              <w:ind w:right="324"/>
              <w:jc w:val="right"/>
              <w:rPr>
                <w:sz w:val="22"/>
                <w:szCs w:val="22"/>
              </w:rPr>
            </w:pPr>
            <w:r>
              <w:rPr>
                <w:sz w:val="22"/>
                <w:szCs w:val="22"/>
              </w:rPr>
              <w:t>75</w:t>
            </w:r>
          </w:p>
        </w:tc>
        <w:tc>
          <w:tcPr>
            <w:tcW w:w="1330" w:type="dxa"/>
            <w:vAlign w:val="bottom"/>
          </w:tcPr>
          <w:p w:rsidR="00000000" w:rsidRDefault="00000000">
            <w:pPr>
              <w:spacing w:before="40" w:after="40" w:line="216" w:lineRule="auto"/>
              <w:ind w:right="324"/>
              <w:jc w:val="right"/>
              <w:rPr>
                <w:sz w:val="22"/>
                <w:szCs w:val="22"/>
              </w:rPr>
            </w:pPr>
            <w:r>
              <w:rPr>
                <w:sz w:val="22"/>
                <w:szCs w:val="22"/>
              </w:rPr>
              <w:t>94,7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Caldas da Raínha</w:t>
            </w:r>
          </w:p>
        </w:tc>
        <w:tc>
          <w:tcPr>
            <w:tcW w:w="1200" w:type="dxa"/>
            <w:vAlign w:val="bottom"/>
          </w:tcPr>
          <w:p w:rsidR="00000000" w:rsidRDefault="00000000">
            <w:pPr>
              <w:spacing w:before="40" w:after="40" w:line="216" w:lineRule="auto"/>
              <w:ind w:right="324"/>
              <w:jc w:val="right"/>
              <w:rPr>
                <w:sz w:val="22"/>
                <w:szCs w:val="22"/>
              </w:rPr>
            </w:pPr>
            <w:r>
              <w:rPr>
                <w:sz w:val="22"/>
                <w:szCs w:val="22"/>
              </w:rPr>
              <w:t>156</w:t>
            </w:r>
          </w:p>
        </w:tc>
        <w:tc>
          <w:tcPr>
            <w:tcW w:w="1182" w:type="dxa"/>
            <w:vAlign w:val="bottom"/>
          </w:tcPr>
          <w:p w:rsidR="00000000" w:rsidRDefault="00000000">
            <w:pPr>
              <w:spacing w:before="40" w:after="40" w:line="216" w:lineRule="auto"/>
              <w:ind w:right="324"/>
              <w:jc w:val="right"/>
              <w:rPr>
                <w:sz w:val="22"/>
                <w:szCs w:val="22"/>
              </w:rPr>
            </w:pPr>
            <w:r>
              <w:rPr>
                <w:sz w:val="22"/>
                <w:szCs w:val="22"/>
              </w:rPr>
              <w:t>104</w:t>
            </w:r>
          </w:p>
        </w:tc>
        <w:tc>
          <w:tcPr>
            <w:tcW w:w="1327" w:type="dxa"/>
            <w:vAlign w:val="bottom"/>
          </w:tcPr>
          <w:p w:rsidR="00000000" w:rsidRDefault="00000000">
            <w:pPr>
              <w:spacing w:before="40" w:after="40" w:line="216" w:lineRule="auto"/>
              <w:ind w:right="324"/>
              <w:jc w:val="right"/>
              <w:rPr>
                <w:sz w:val="22"/>
                <w:szCs w:val="22"/>
              </w:rPr>
            </w:pPr>
            <w:r>
              <w:rPr>
                <w:sz w:val="22"/>
                <w:szCs w:val="22"/>
              </w:rPr>
              <w:t>150,0</w:t>
            </w:r>
          </w:p>
        </w:tc>
        <w:tc>
          <w:tcPr>
            <w:tcW w:w="1091" w:type="dxa"/>
            <w:vAlign w:val="bottom"/>
          </w:tcPr>
          <w:p w:rsidR="00000000" w:rsidRDefault="00000000">
            <w:pPr>
              <w:spacing w:before="40" w:after="40" w:line="216" w:lineRule="auto"/>
              <w:ind w:right="324"/>
              <w:jc w:val="right"/>
              <w:rPr>
                <w:sz w:val="22"/>
                <w:szCs w:val="22"/>
              </w:rPr>
            </w:pPr>
            <w:r>
              <w:rPr>
                <w:sz w:val="22"/>
                <w:szCs w:val="22"/>
              </w:rPr>
              <w:t>125</w:t>
            </w:r>
          </w:p>
        </w:tc>
        <w:tc>
          <w:tcPr>
            <w:tcW w:w="1189" w:type="dxa"/>
            <w:vAlign w:val="bottom"/>
          </w:tcPr>
          <w:p w:rsidR="00000000" w:rsidRDefault="00000000">
            <w:pPr>
              <w:spacing w:before="40" w:after="40" w:line="216" w:lineRule="auto"/>
              <w:ind w:right="324"/>
              <w:jc w:val="right"/>
              <w:rPr>
                <w:sz w:val="22"/>
                <w:szCs w:val="22"/>
              </w:rPr>
            </w:pPr>
            <w:r>
              <w:rPr>
                <w:sz w:val="22"/>
                <w:szCs w:val="22"/>
              </w:rPr>
              <w:t>104</w:t>
            </w:r>
          </w:p>
        </w:tc>
        <w:tc>
          <w:tcPr>
            <w:tcW w:w="1330" w:type="dxa"/>
            <w:vAlign w:val="bottom"/>
          </w:tcPr>
          <w:p w:rsidR="00000000" w:rsidRDefault="00000000">
            <w:pPr>
              <w:spacing w:before="40" w:after="40" w:line="216" w:lineRule="auto"/>
              <w:ind w:right="324"/>
              <w:jc w:val="right"/>
              <w:rPr>
                <w:sz w:val="22"/>
                <w:szCs w:val="22"/>
              </w:rPr>
            </w:pPr>
            <w:r>
              <w:rPr>
                <w:sz w:val="22"/>
                <w:szCs w:val="22"/>
              </w:rPr>
              <w:t>120,2</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Castelo Branco</w:t>
            </w:r>
          </w:p>
        </w:tc>
        <w:tc>
          <w:tcPr>
            <w:tcW w:w="1200" w:type="dxa"/>
            <w:vAlign w:val="bottom"/>
          </w:tcPr>
          <w:p w:rsidR="00000000" w:rsidRDefault="00000000">
            <w:pPr>
              <w:spacing w:before="40" w:after="40" w:line="216" w:lineRule="auto"/>
              <w:ind w:right="324"/>
              <w:jc w:val="right"/>
              <w:rPr>
                <w:sz w:val="22"/>
                <w:szCs w:val="22"/>
              </w:rPr>
            </w:pPr>
            <w:r>
              <w:rPr>
                <w:sz w:val="22"/>
                <w:szCs w:val="22"/>
              </w:rPr>
              <w:t>71</w:t>
            </w:r>
          </w:p>
        </w:tc>
        <w:tc>
          <w:tcPr>
            <w:tcW w:w="1182" w:type="dxa"/>
            <w:vAlign w:val="bottom"/>
          </w:tcPr>
          <w:p w:rsidR="00000000" w:rsidRDefault="00000000">
            <w:pPr>
              <w:spacing w:before="40" w:after="40" w:line="216" w:lineRule="auto"/>
              <w:ind w:right="324"/>
              <w:jc w:val="right"/>
              <w:rPr>
                <w:sz w:val="22"/>
                <w:szCs w:val="22"/>
              </w:rPr>
            </w:pPr>
            <w:r>
              <w:rPr>
                <w:sz w:val="22"/>
                <w:szCs w:val="22"/>
              </w:rPr>
              <w:t>31</w:t>
            </w:r>
          </w:p>
        </w:tc>
        <w:tc>
          <w:tcPr>
            <w:tcW w:w="1327" w:type="dxa"/>
            <w:vAlign w:val="bottom"/>
          </w:tcPr>
          <w:p w:rsidR="00000000" w:rsidRDefault="00000000">
            <w:pPr>
              <w:spacing w:before="40" w:after="40" w:line="216" w:lineRule="auto"/>
              <w:ind w:right="324"/>
              <w:jc w:val="right"/>
              <w:rPr>
                <w:sz w:val="22"/>
                <w:szCs w:val="22"/>
              </w:rPr>
            </w:pPr>
            <w:r>
              <w:rPr>
                <w:sz w:val="22"/>
                <w:szCs w:val="22"/>
              </w:rPr>
              <w:t>229,0</w:t>
            </w:r>
          </w:p>
        </w:tc>
        <w:tc>
          <w:tcPr>
            <w:tcW w:w="1091" w:type="dxa"/>
            <w:vAlign w:val="bottom"/>
          </w:tcPr>
          <w:p w:rsidR="00000000" w:rsidRDefault="00000000">
            <w:pPr>
              <w:spacing w:before="40" w:after="40" w:line="216" w:lineRule="auto"/>
              <w:ind w:right="324"/>
              <w:jc w:val="right"/>
              <w:rPr>
                <w:sz w:val="22"/>
                <w:szCs w:val="22"/>
              </w:rPr>
            </w:pPr>
            <w:r>
              <w:rPr>
                <w:sz w:val="22"/>
                <w:szCs w:val="22"/>
              </w:rPr>
              <w:t>63</w:t>
            </w:r>
          </w:p>
        </w:tc>
        <w:tc>
          <w:tcPr>
            <w:tcW w:w="1189" w:type="dxa"/>
            <w:vAlign w:val="bottom"/>
          </w:tcPr>
          <w:p w:rsidR="00000000" w:rsidRDefault="00000000">
            <w:pPr>
              <w:spacing w:before="40" w:after="40" w:line="216" w:lineRule="auto"/>
              <w:ind w:right="324"/>
              <w:jc w:val="right"/>
              <w:rPr>
                <w:sz w:val="22"/>
                <w:szCs w:val="22"/>
              </w:rPr>
            </w:pPr>
            <w:r>
              <w:rPr>
                <w:sz w:val="22"/>
                <w:szCs w:val="22"/>
              </w:rPr>
              <w:t>31</w:t>
            </w:r>
          </w:p>
        </w:tc>
        <w:tc>
          <w:tcPr>
            <w:tcW w:w="1330" w:type="dxa"/>
            <w:vAlign w:val="bottom"/>
          </w:tcPr>
          <w:p w:rsidR="00000000" w:rsidRDefault="00000000">
            <w:pPr>
              <w:spacing w:before="40" w:after="40" w:line="216" w:lineRule="auto"/>
              <w:ind w:right="324"/>
              <w:jc w:val="right"/>
              <w:rPr>
                <w:sz w:val="22"/>
                <w:szCs w:val="22"/>
              </w:rPr>
            </w:pPr>
            <w:r>
              <w:rPr>
                <w:sz w:val="22"/>
                <w:szCs w:val="22"/>
              </w:rPr>
              <w:t>203,2</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Chaves</w:t>
            </w:r>
          </w:p>
        </w:tc>
        <w:tc>
          <w:tcPr>
            <w:tcW w:w="1200" w:type="dxa"/>
            <w:vAlign w:val="bottom"/>
          </w:tcPr>
          <w:p w:rsidR="00000000" w:rsidRDefault="00000000">
            <w:pPr>
              <w:spacing w:before="40" w:after="40" w:line="216" w:lineRule="auto"/>
              <w:ind w:right="324"/>
              <w:jc w:val="right"/>
              <w:rPr>
                <w:sz w:val="22"/>
                <w:szCs w:val="22"/>
              </w:rPr>
            </w:pPr>
            <w:r>
              <w:rPr>
                <w:sz w:val="22"/>
                <w:szCs w:val="22"/>
              </w:rPr>
              <w:t>64</w:t>
            </w:r>
          </w:p>
        </w:tc>
        <w:tc>
          <w:tcPr>
            <w:tcW w:w="1182" w:type="dxa"/>
            <w:vAlign w:val="bottom"/>
          </w:tcPr>
          <w:p w:rsidR="00000000" w:rsidRDefault="00000000">
            <w:pPr>
              <w:spacing w:before="40" w:after="40" w:line="216" w:lineRule="auto"/>
              <w:ind w:right="324"/>
              <w:jc w:val="right"/>
              <w:rPr>
                <w:sz w:val="22"/>
                <w:szCs w:val="22"/>
              </w:rPr>
            </w:pPr>
            <w:r>
              <w:rPr>
                <w:sz w:val="22"/>
                <w:szCs w:val="22"/>
              </w:rPr>
              <w:t>71</w:t>
            </w:r>
          </w:p>
        </w:tc>
        <w:tc>
          <w:tcPr>
            <w:tcW w:w="1327" w:type="dxa"/>
            <w:vAlign w:val="bottom"/>
          </w:tcPr>
          <w:p w:rsidR="00000000" w:rsidRDefault="00000000">
            <w:pPr>
              <w:spacing w:before="40" w:after="40" w:line="216" w:lineRule="auto"/>
              <w:ind w:right="324"/>
              <w:jc w:val="right"/>
              <w:rPr>
                <w:sz w:val="22"/>
                <w:szCs w:val="22"/>
              </w:rPr>
            </w:pPr>
            <w:r>
              <w:rPr>
                <w:sz w:val="22"/>
                <w:szCs w:val="22"/>
              </w:rPr>
              <w:t>90,1</w:t>
            </w:r>
          </w:p>
        </w:tc>
        <w:tc>
          <w:tcPr>
            <w:tcW w:w="1091" w:type="dxa"/>
            <w:vAlign w:val="bottom"/>
          </w:tcPr>
          <w:p w:rsidR="00000000" w:rsidRDefault="00000000">
            <w:pPr>
              <w:spacing w:before="40" w:after="40" w:line="216" w:lineRule="auto"/>
              <w:ind w:right="324"/>
              <w:jc w:val="right"/>
              <w:rPr>
                <w:sz w:val="22"/>
                <w:szCs w:val="22"/>
              </w:rPr>
            </w:pPr>
            <w:r>
              <w:rPr>
                <w:sz w:val="22"/>
                <w:szCs w:val="22"/>
              </w:rPr>
              <w:t>67</w:t>
            </w:r>
          </w:p>
        </w:tc>
        <w:tc>
          <w:tcPr>
            <w:tcW w:w="1189" w:type="dxa"/>
            <w:vAlign w:val="bottom"/>
          </w:tcPr>
          <w:p w:rsidR="00000000" w:rsidRDefault="00000000">
            <w:pPr>
              <w:spacing w:before="40" w:after="40" w:line="216" w:lineRule="auto"/>
              <w:ind w:right="324"/>
              <w:jc w:val="right"/>
              <w:rPr>
                <w:sz w:val="22"/>
                <w:szCs w:val="22"/>
              </w:rPr>
            </w:pPr>
            <w:r>
              <w:rPr>
                <w:sz w:val="22"/>
                <w:szCs w:val="22"/>
              </w:rPr>
              <w:t>71</w:t>
            </w:r>
          </w:p>
        </w:tc>
        <w:tc>
          <w:tcPr>
            <w:tcW w:w="1330" w:type="dxa"/>
            <w:vAlign w:val="bottom"/>
          </w:tcPr>
          <w:p w:rsidR="00000000" w:rsidRDefault="00000000">
            <w:pPr>
              <w:spacing w:before="40" w:after="40" w:line="216" w:lineRule="auto"/>
              <w:ind w:right="324"/>
              <w:jc w:val="right"/>
              <w:rPr>
                <w:sz w:val="22"/>
                <w:szCs w:val="22"/>
              </w:rPr>
            </w:pPr>
            <w:r>
              <w:rPr>
                <w:sz w:val="22"/>
                <w:szCs w:val="22"/>
              </w:rPr>
              <w:t>94,4</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Coimbra</w:t>
            </w:r>
          </w:p>
        </w:tc>
        <w:tc>
          <w:tcPr>
            <w:tcW w:w="1200" w:type="dxa"/>
            <w:vAlign w:val="bottom"/>
          </w:tcPr>
          <w:p w:rsidR="00000000" w:rsidRDefault="00000000">
            <w:pPr>
              <w:spacing w:before="40" w:after="40" w:line="216" w:lineRule="auto"/>
              <w:ind w:right="324"/>
              <w:jc w:val="right"/>
              <w:rPr>
                <w:sz w:val="22"/>
                <w:szCs w:val="22"/>
              </w:rPr>
            </w:pPr>
            <w:r>
              <w:rPr>
                <w:sz w:val="22"/>
                <w:szCs w:val="22"/>
              </w:rPr>
              <w:t>180</w:t>
            </w:r>
          </w:p>
        </w:tc>
        <w:tc>
          <w:tcPr>
            <w:tcW w:w="1182" w:type="dxa"/>
            <w:vAlign w:val="bottom"/>
          </w:tcPr>
          <w:p w:rsidR="00000000" w:rsidRDefault="00000000">
            <w:pPr>
              <w:spacing w:before="40" w:after="40" w:line="216" w:lineRule="auto"/>
              <w:ind w:right="324"/>
              <w:jc w:val="right"/>
              <w:rPr>
                <w:sz w:val="22"/>
                <w:szCs w:val="22"/>
              </w:rPr>
            </w:pPr>
            <w:r>
              <w:rPr>
                <w:sz w:val="22"/>
                <w:szCs w:val="22"/>
              </w:rPr>
              <w:t>243</w:t>
            </w:r>
          </w:p>
        </w:tc>
        <w:tc>
          <w:tcPr>
            <w:tcW w:w="1327" w:type="dxa"/>
            <w:vAlign w:val="bottom"/>
          </w:tcPr>
          <w:p w:rsidR="00000000" w:rsidRDefault="00000000">
            <w:pPr>
              <w:spacing w:before="40" w:after="40" w:line="216" w:lineRule="auto"/>
              <w:ind w:right="324"/>
              <w:jc w:val="right"/>
              <w:rPr>
                <w:sz w:val="22"/>
                <w:szCs w:val="22"/>
              </w:rPr>
            </w:pPr>
            <w:r>
              <w:rPr>
                <w:sz w:val="22"/>
                <w:szCs w:val="22"/>
              </w:rPr>
              <w:t>74,1</w:t>
            </w:r>
          </w:p>
        </w:tc>
        <w:tc>
          <w:tcPr>
            <w:tcW w:w="1091" w:type="dxa"/>
            <w:vAlign w:val="bottom"/>
          </w:tcPr>
          <w:p w:rsidR="00000000" w:rsidRDefault="00000000">
            <w:pPr>
              <w:spacing w:before="40" w:after="40" w:line="216" w:lineRule="auto"/>
              <w:ind w:right="324"/>
              <w:jc w:val="right"/>
              <w:rPr>
                <w:sz w:val="22"/>
                <w:szCs w:val="22"/>
              </w:rPr>
            </w:pPr>
            <w:r>
              <w:rPr>
                <w:sz w:val="22"/>
                <w:szCs w:val="22"/>
              </w:rPr>
              <w:t>220</w:t>
            </w:r>
          </w:p>
        </w:tc>
        <w:tc>
          <w:tcPr>
            <w:tcW w:w="1189" w:type="dxa"/>
            <w:vAlign w:val="bottom"/>
          </w:tcPr>
          <w:p w:rsidR="00000000" w:rsidRDefault="00000000">
            <w:pPr>
              <w:spacing w:before="40" w:after="40" w:line="216" w:lineRule="auto"/>
              <w:ind w:right="324"/>
              <w:jc w:val="right"/>
              <w:rPr>
                <w:sz w:val="22"/>
                <w:szCs w:val="22"/>
              </w:rPr>
            </w:pPr>
            <w:r>
              <w:rPr>
                <w:sz w:val="22"/>
                <w:szCs w:val="22"/>
              </w:rPr>
              <w:t>243</w:t>
            </w:r>
          </w:p>
        </w:tc>
        <w:tc>
          <w:tcPr>
            <w:tcW w:w="1330" w:type="dxa"/>
            <w:vAlign w:val="bottom"/>
          </w:tcPr>
          <w:p w:rsidR="00000000" w:rsidRDefault="00000000">
            <w:pPr>
              <w:spacing w:before="40" w:after="40" w:line="216" w:lineRule="auto"/>
              <w:ind w:right="324"/>
              <w:jc w:val="right"/>
              <w:rPr>
                <w:sz w:val="22"/>
                <w:szCs w:val="22"/>
              </w:rPr>
            </w:pPr>
            <w:r>
              <w:rPr>
                <w:sz w:val="22"/>
                <w:szCs w:val="22"/>
              </w:rPr>
              <w:t>90,5</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Covilhã</w:t>
            </w:r>
          </w:p>
        </w:tc>
        <w:tc>
          <w:tcPr>
            <w:tcW w:w="1200" w:type="dxa"/>
            <w:vAlign w:val="bottom"/>
          </w:tcPr>
          <w:p w:rsidR="00000000" w:rsidRDefault="00000000">
            <w:pPr>
              <w:spacing w:before="40" w:after="40" w:line="216" w:lineRule="auto"/>
              <w:ind w:right="324"/>
              <w:jc w:val="right"/>
              <w:rPr>
                <w:sz w:val="22"/>
                <w:szCs w:val="22"/>
              </w:rPr>
            </w:pPr>
            <w:r>
              <w:rPr>
                <w:sz w:val="22"/>
                <w:szCs w:val="22"/>
              </w:rPr>
              <w:t>99</w:t>
            </w:r>
          </w:p>
        </w:tc>
        <w:tc>
          <w:tcPr>
            <w:tcW w:w="1182" w:type="dxa"/>
            <w:vAlign w:val="bottom"/>
          </w:tcPr>
          <w:p w:rsidR="00000000" w:rsidRDefault="00000000">
            <w:pPr>
              <w:spacing w:before="40" w:after="40" w:line="216" w:lineRule="auto"/>
              <w:ind w:right="324"/>
              <w:jc w:val="right"/>
              <w:rPr>
                <w:sz w:val="22"/>
                <w:szCs w:val="22"/>
              </w:rPr>
            </w:pPr>
            <w:r>
              <w:rPr>
                <w:sz w:val="22"/>
                <w:szCs w:val="22"/>
              </w:rPr>
              <w:t>105</w:t>
            </w:r>
          </w:p>
        </w:tc>
        <w:tc>
          <w:tcPr>
            <w:tcW w:w="1327" w:type="dxa"/>
            <w:vAlign w:val="bottom"/>
          </w:tcPr>
          <w:p w:rsidR="00000000" w:rsidRDefault="00000000">
            <w:pPr>
              <w:spacing w:before="40" w:after="40" w:line="216" w:lineRule="auto"/>
              <w:ind w:right="324"/>
              <w:jc w:val="right"/>
              <w:rPr>
                <w:sz w:val="22"/>
                <w:szCs w:val="22"/>
              </w:rPr>
            </w:pPr>
            <w:r>
              <w:rPr>
                <w:sz w:val="22"/>
                <w:szCs w:val="22"/>
              </w:rPr>
              <w:t>94,3</w:t>
            </w:r>
          </w:p>
        </w:tc>
        <w:tc>
          <w:tcPr>
            <w:tcW w:w="1091" w:type="dxa"/>
            <w:vAlign w:val="bottom"/>
          </w:tcPr>
          <w:p w:rsidR="00000000" w:rsidRDefault="00000000">
            <w:pPr>
              <w:spacing w:before="40" w:after="40" w:line="216" w:lineRule="auto"/>
              <w:ind w:right="324"/>
              <w:jc w:val="right"/>
              <w:rPr>
                <w:sz w:val="22"/>
                <w:szCs w:val="22"/>
              </w:rPr>
            </w:pPr>
            <w:r>
              <w:rPr>
                <w:sz w:val="22"/>
                <w:szCs w:val="22"/>
              </w:rPr>
              <w:t>91</w:t>
            </w:r>
          </w:p>
        </w:tc>
        <w:tc>
          <w:tcPr>
            <w:tcW w:w="1189" w:type="dxa"/>
            <w:vAlign w:val="bottom"/>
          </w:tcPr>
          <w:p w:rsidR="00000000" w:rsidRDefault="00000000">
            <w:pPr>
              <w:spacing w:before="40" w:after="40" w:line="216" w:lineRule="auto"/>
              <w:ind w:right="324"/>
              <w:jc w:val="right"/>
              <w:rPr>
                <w:sz w:val="22"/>
                <w:szCs w:val="22"/>
              </w:rPr>
            </w:pPr>
            <w:r>
              <w:rPr>
                <w:sz w:val="22"/>
                <w:szCs w:val="22"/>
              </w:rPr>
              <w:t>105</w:t>
            </w:r>
          </w:p>
        </w:tc>
        <w:tc>
          <w:tcPr>
            <w:tcW w:w="1330" w:type="dxa"/>
            <w:vAlign w:val="bottom"/>
          </w:tcPr>
          <w:p w:rsidR="00000000" w:rsidRDefault="00000000">
            <w:pPr>
              <w:spacing w:before="40" w:after="40" w:line="216" w:lineRule="auto"/>
              <w:ind w:right="324"/>
              <w:jc w:val="right"/>
              <w:rPr>
                <w:sz w:val="22"/>
                <w:szCs w:val="22"/>
              </w:rPr>
            </w:pPr>
            <w:r>
              <w:rPr>
                <w:sz w:val="22"/>
                <w:szCs w:val="22"/>
              </w:rPr>
              <w:t>86,7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Elvas</w:t>
            </w:r>
          </w:p>
        </w:tc>
        <w:tc>
          <w:tcPr>
            <w:tcW w:w="1200" w:type="dxa"/>
            <w:vAlign w:val="bottom"/>
          </w:tcPr>
          <w:p w:rsidR="00000000" w:rsidRDefault="00000000">
            <w:pPr>
              <w:spacing w:before="40" w:after="40" w:line="216" w:lineRule="auto"/>
              <w:ind w:right="324"/>
              <w:jc w:val="right"/>
              <w:rPr>
                <w:sz w:val="22"/>
                <w:szCs w:val="22"/>
              </w:rPr>
            </w:pPr>
            <w:r>
              <w:rPr>
                <w:sz w:val="22"/>
                <w:szCs w:val="22"/>
              </w:rPr>
              <w:t>51</w:t>
            </w:r>
          </w:p>
        </w:tc>
        <w:tc>
          <w:tcPr>
            <w:tcW w:w="1182" w:type="dxa"/>
            <w:vAlign w:val="bottom"/>
          </w:tcPr>
          <w:p w:rsidR="00000000" w:rsidRDefault="00000000">
            <w:pPr>
              <w:spacing w:before="40" w:after="40" w:line="216" w:lineRule="auto"/>
              <w:ind w:right="324"/>
              <w:jc w:val="right"/>
              <w:rPr>
                <w:sz w:val="22"/>
                <w:szCs w:val="22"/>
              </w:rPr>
            </w:pPr>
            <w:r>
              <w:rPr>
                <w:sz w:val="22"/>
                <w:szCs w:val="22"/>
              </w:rPr>
              <w:t>29</w:t>
            </w:r>
          </w:p>
        </w:tc>
        <w:tc>
          <w:tcPr>
            <w:tcW w:w="1327" w:type="dxa"/>
            <w:vAlign w:val="bottom"/>
          </w:tcPr>
          <w:p w:rsidR="00000000" w:rsidRDefault="00000000">
            <w:pPr>
              <w:spacing w:before="40" w:after="40" w:line="216" w:lineRule="auto"/>
              <w:ind w:right="324"/>
              <w:jc w:val="right"/>
              <w:rPr>
                <w:sz w:val="22"/>
                <w:szCs w:val="22"/>
              </w:rPr>
            </w:pPr>
            <w:r>
              <w:rPr>
                <w:sz w:val="22"/>
                <w:szCs w:val="22"/>
              </w:rPr>
              <w:t>175,9</w:t>
            </w:r>
          </w:p>
        </w:tc>
        <w:tc>
          <w:tcPr>
            <w:tcW w:w="1091" w:type="dxa"/>
            <w:vAlign w:val="bottom"/>
          </w:tcPr>
          <w:p w:rsidR="00000000" w:rsidRDefault="00000000">
            <w:pPr>
              <w:spacing w:before="40" w:after="40" w:line="216" w:lineRule="auto"/>
              <w:ind w:right="324"/>
              <w:jc w:val="right"/>
              <w:rPr>
                <w:sz w:val="22"/>
                <w:szCs w:val="22"/>
              </w:rPr>
            </w:pPr>
            <w:r>
              <w:rPr>
                <w:sz w:val="22"/>
                <w:szCs w:val="22"/>
              </w:rPr>
              <w:t>61</w:t>
            </w:r>
          </w:p>
        </w:tc>
        <w:tc>
          <w:tcPr>
            <w:tcW w:w="1189" w:type="dxa"/>
            <w:vAlign w:val="bottom"/>
          </w:tcPr>
          <w:p w:rsidR="00000000" w:rsidRDefault="00000000">
            <w:pPr>
              <w:spacing w:before="40" w:after="40" w:line="216" w:lineRule="auto"/>
              <w:ind w:right="324"/>
              <w:jc w:val="right"/>
              <w:rPr>
                <w:sz w:val="22"/>
                <w:szCs w:val="22"/>
              </w:rPr>
            </w:pPr>
            <w:r>
              <w:rPr>
                <w:sz w:val="22"/>
                <w:szCs w:val="22"/>
              </w:rPr>
              <w:t>29</w:t>
            </w:r>
          </w:p>
        </w:tc>
        <w:tc>
          <w:tcPr>
            <w:tcW w:w="1330" w:type="dxa"/>
            <w:vAlign w:val="bottom"/>
          </w:tcPr>
          <w:p w:rsidR="00000000" w:rsidRDefault="00000000">
            <w:pPr>
              <w:spacing w:before="40" w:after="40" w:line="216" w:lineRule="auto"/>
              <w:ind w:right="324"/>
              <w:jc w:val="right"/>
              <w:rPr>
                <w:sz w:val="22"/>
                <w:szCs w:val="22"/>
              </w:rPr>
            </w:pPr>
            <w:r>
              <w:rPr>
                <w:sz w:val="22"/>
                <w:szCs w:val="22"/>
              </w:rPr>
              <w:t>210,3</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Évora</w:t>
            </w:r>
          </w:p>
        </w:tc>
        <w:tc>
          <w:tcPr>
            <w:tcW w:w="1200" w:type="dxa"/>
            <w:vAlign w:val="bottom"/>
          </w:tcPr>
          <w:p w:rsidR="00000000" w:rsidRDefault="00000000">
            <w:pPr>
              <w:spacing w:before="40" w:after="40" w:line="216" w:lineRule="auto"/>
              <w:ind w:right="324"/>
              <w:jc w:val="right"/>
              <w:rPr>
                <w:sz w:val="22"/>
                <w:szCs w:val="22"/>
              </w:rPr>
            </w:pPr>
            <w:r>
              <w:rPr>
                <w:sz w:val="22"/>
                <w:szCs w:val="22"/>
              </w:rPr>
              <w:t>71</w:t>
            </w:r>
          </w:p>
        </w:tc>
        <w:tc>
          <w:tcPr>
            <w:tcW w:w="1182" w:type="dxa"/>
            <w:vAlign w:val="bottom"/>
          </w:tcPr>
          <w:p w:rsidR="00000000" w:rsidRDefault="00000000">
            <w:pPr>
              <w:spacing w:before="40" w:after="40" w:line="216" w:lineRule="auto"/>
              <w:ind w:right="324"/>
              <w:jc w:val="right"/>
              <w:rPr>
                <w:sz w:val="22"/>
                <w:szCs w:val="22"/>
              </w:rPr>
            </w:pPr>
            <w:r>
              <w:rPr>
                <w:sz w:val="22"/>
                <w:szCs w:val="22"/>
              </w:rPr>
              <w:t>46</w:t>
            </w:r>
          </w:p>
        </w:tc>
        <w:tc>
          <w:tcPr>
            <w:tcW w:w="1327" w:type="dxa"/>
            <w:vAlign w:val="bottom"/>
          </w:tcPr>
          <w:p w:rsidR="00000000" w:rsidRDefault="00000000">
            <w:pPr>
              <w:spacing w:before="40" w:after="40" w:line="216" w:lineRule="auto"/>
              <w:ind w:right="324"/>
              <w:jc w:val="right"/>
              <w:rPr>
                <w:sz w:val="22"/>
                <w:szCs w:val="22"/>
              </w:rPr>
            </w:pPr>
            <w:r>
              <w:rPr>
                <w:sz w:val="22"/>
                <w:szCs w:val="22"/>
              </w:rPr>
              <w:t>154,3</w:t>
            </w:r>
          </w:p>
        </w:tc>
        <w:tc>
          <w:tcPr>
            <w:tcW w:w="1091" w:type="dxa"/>
            <w:vAlign w:val="bottom"/>
          </w:tcPr>
          <w:p w:rsidR="00000000" w:rsidRDefault="00000000">
            <w:pPr>
              <w:spacing w:before="40" w:after="40" w:line="216" w:lineRule="auto"/>
              <w:ind w:right="324"/>
              <w:jc w:val="right"/>
              <w:rPr>
                <w:sz w:val="22"/>
                <w:szCs w:val="22"/>
              </w:rPr>
            </w:pPr>
            <w:r>
              <w:rPr>
                <w:sz w:val="22"/>
                <w:szCs w:val="22"/>
              </w:rPr>
              <w:t>56</w:t>
            </w:r>
          </w:p>
        </w:tc>
        <w:tc>
          <w:tcPr>
            <w:tcW w:w="1189" w:type="dxa"/>
            <w:vAlign w:val="bottom"/>
          </w:tcPr>
          <w:p w:rsidR="00000000" w:rsidRDefault="00000000">
            <w:pPr>
              <w:spacing w:before="40" w:after="40" w:line="216" w:lineRule="auto"/>
              <w:ind w:right="324"/>
              <w:jc w:val="right"/>
              <w:rPr>
                <w:sz w:val="22"/>
                <w:szCs w:val="22"/>
              </w:rPr>
            </w:pPr>
            <w:r>
              <w:rPr>
                <w:sz w:val="22"/>
                <w:szCs w:val="22"/>
              </w:rPr>
              <w:t>46</w:t>
            </w:r>
          </w:p>
        </w:tc>
        <w:tc>
          <w:tcPr>
            <w:tcW w:w="1330" w:type="dxa"/>
            <w:vAlign w:val="bottom"/>
          </w:tcPr>
          <w:p w:rsidR="00000000" w:rsidRDefault="00000000">
            <w:pPr>
              <w:spacing w:before="40" w:after="40" w:line="216" w:lineRule="auto"/>
              <w:ind w:right="324"/>
              <w:jc w:val="right"/>
              <w:rPr>
                <w:sz w:val="22"/>
                <w:szCs w:val="22"/>
              </w:rPr>
            </w:pPr>
            <w:r>
              <w:rPr>
                <w:sz w:val="22"/>
                <w:szCs w:val="22"/>
              </w:rPr>
              <w:t>121,7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Faro</w:t>
            </w:r>
          </w:p>
        </w:tc>
        <w:tc>
          <w:tcPr>
            <w:tcW w:w="1200" w:type="dxa"/>
            <w:vAlign w:val="bottom"/>
          </w:tcPr>
          <w:p w:rsidR="00000000" w:rsidRDefault="00000000">
            <w:pPr>
              <w:spacing w:before="40" w:after="40" w:line="216" w:lineRule="auto"/>
              <w:ind w:right="324"/>
              <w:jc w:val="right"/>
              <w:rPr>
                <w:sz w:val="22"/>
                <w:szCs w:val="22"/>
              </w:rPr>
            </w:pPr>
            <w:r>
              <w:rPr>
                <w:sz w:val="22"/>
                <w:szCs w:val="22"/>
              </w:rPr>
              <w:t>148</w:t>
            </w:r>
          </w:p>
        </w:tc>
        <w:tc>
          <w:tcPr>
            <w:tcW w:w="1182" w:type="dxa"/>
            <w:vAlign w:val="bottom"/>
          </w:tcPr>
          <w:p w:rsidR="00000000" w:rsidRDefault="00000000">
            <w:pPr>
              <w:spacing w:before="40" w:after="40" w:line="216" w:lineRule="auto"/>
              <w:ind w:right="324"/>
              <w:jc w:val="right"/>
              <w:rPr>
                <w:sz w:val="22"/>
                <w:szCs w:val="22"/>
              </w:rPr>
            </w:pPr>
            <w:r>
              <w:rPr>
                <w:sz w:val="22"/>
                <w:szCs w:val="22"/>
              </w:rPr>
              <w:t>120</w:t>
            </w:r>
          </w:p>
        </w:tc>
        <w:tc>
          <w:tcPr>
            <w:tcW w:w="1327" w:type="dxa"/>
            <w:vAlign w:val="bottom"/>
          </w:tcPr>
          <w:p w:rsidR="00000000" w:rsidRDefault="00000000">
            <w:pPr>
              <w:spacing w:before="40" w:after="40" w:line="216" w:lineRule="auto"/>
              <w:ind w:right="324"/>
              <w:jc w:val="right"/>
              <w:rPr>
                <w:sz w:val="22"/>
                <w:szCs w:val="22"/>
              </w:rPr>
            </w:pPr>
            <w:r>
              <w:rPr>
                <w:sz w:val="22"/>
                <w:szCs w:val="22"/>
              </w:rPr>
              <w:t>123,3</w:t>
            </w:r>
          </w:p>
        </w:tc>
        <w:tc>
          <w:tcPr>
            <w:tcW w:w="1091" w:type="dxa"/>
            <w:vAlign w:val="bottom"/>
          </w:tcPr>
          <w:p w:rsidR="00000000" w:rsidRDefault="00000000">
            <w:pPr>
              <w:spacing w:before="40" w:after="40" w:line="216" w:lineRule="auto"/>
              <w:ind w:right="324"/>
              <w:jc w:val="right"/>
              <w:rPr>
                <w:sz w:val="22"/>
                <w:szCs w:val="22"/>
              </w:rPr>
            </w:pPr>
            <w:r>
              <w:rPr>
                <w:sz w:val="22"/>
                <w:szCs w:val="22"/>
              </w:rPr>
              <w:t>176</w:t>
            </w:r>
          </w:p>
        </w:tc>
        <w:tc>
          <w:tcPr>
            <w:tcW w:w="1189" w:type="dxa"/>
            <w:vAlign w:val="bottom"/>
          </w:tcPr>
          <w:p w:rsidR="00000000" w:rsidRDefault="00000000">
            <w:pPr>
              <w:spacing w:before="40" w:after="40" w:line="216" w:lineRule="auto"/>
              <w:ind w:right="324"/>
              <w:jc w:val="right"/>
              <w:rPr>
                <w:sz w:val="22"/>
                <w:szCs w:val="22"/>
              </w:rPr>
            </w:pPr>
            <w:r>
              <w:rPr>
                <w:sz w:val="22"/>
                <w:szCs w:val="22"/>
              </w:rPr>
              <w:t>120</w:t>
            </w:r>
          </w:p>
        </w:tc>
        <w:tc>
          <w:tcPr>
            <w:tcW w:w="1330" w:type="dxa"/>
            <w:vAlign w:val="bottom"/>
          </w:tcPr>
          <w:p w:rsidR="00000000" w:rsidRDefault="00000000">
            <w:pPr>
              <w:spacing w:before="40" w:after="40" w:line="216" w:lineRule="auto"/>
              <w:ind w:right="324"/>
              <w:jc w:val="right"/>
              <w:rPr>
                <w:sz w:val="22"/>
                <w:szCs w:val="22"/>
              </w:rPr>
            </w:pPr>
            <w:r>
              <w:rPr>
                <w:sz w:val="22"/>
                <w:szCs w:val="22"/>
              </w:rPr>
              <w:t>146,7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Felgueiras</w:t>
            </w:r>
          </w:p>
        </w:tc>
        <w:tc>
          <w:tcPr>
            <w:tcW w:w="1200" w:type="dxa"/>
            <w:vAlign w:val="bottom"/>
          </w:tcPr>
          <w:p w:rsidR="00000000" w:rsidRDefault="00000000">
            <w:pPr>
              <w:spacing w:before="40" w:after="40" w:line="216" w:lineRule="auto"/>
              <w:ind w:right="324"/>
              <w:jc w:val="right"/>
              <w:rPr>
                <w:sz w:val="22"/>
                <w:szCs w:val="22"/>
              </w:rPr>
            </w:pPr>
            <w:r>
              <w:rPr>
                <w:sz w:val="22"/>
                <w:szCs w:val="22"/>
              </w:rPr>
              <w:t>59</w:t>
            </w:r>
          </w:p>
        </w:tc>
        <w:tc>
          <w:tcPr>
            <w:tcW w:w="1182" w:type="dxa"/>
            <w:vAlign w:val="bottom"/>
          </w:tcPr>
          <w:p w:rsidR="00000000" w:rsidRDefault="00000000">
            <w:pPr>
              <w:spacing w:before="40" w:after="40" w:line="216" w:lineRule="auto"/>
              <w:ind w:right="324"/>
              <w:jc w:val="right"/>
              <w:rPr>
                <w:sz w:val="22"/>
                <w:szCs w:val="22"/>
              </w:rPr>
            </w:pPr>
            <w:r>
              <w:rPr>
                <w:sz w:val="22"/>
                <w:szCs w:val="22"/>
              </w:rPr>
              <w:t>33</w:t>
            </w:r>
          </w:p>
        </w:tc>
        <w:tc>
          <w:tcPr>
            <w:tcW w:w="1327" w:type="dxa"/>
            <w:vAlign w:val="bottom"/>
          </w:tcPr>
          <w:p w:rsidR="00000000" w:rsidRDefault="00000000">
            <w:pPr>
              <w:spacing w:before="40" w:after="40" w:line="216" w:lineRule="auto"/>
              <w:ind w:right="324"/>
              <w:jc w:val="right"/>
              <w:rPr>
                <w:sz w:val="22"/>
                <w:szCs w:val="22"/>
              </w:rPr>
            </w:pPr>
            <w:r>
              <w:rPr>
                <w:sz w:val="22"/>
                <w:szCs w:val="22"/>
              </w:rPr>
              <w:t>178,8</w:t>
            </w:r>
          </w:p>
        </w:tc>
        <w:tc>
          <w:tcPr>
            <w:tcW w:w="1091" w:type="dxa"/>
            <w:vAlign w:val="bottom"/>
          </w:tcPr>
          <w:p w:rsidR="00000000" w:rsidRDefault="00000000">
            <w:pPr>
              <w:spacing w:before="40" w:after="40" w:line="216" w:lineRule="auto"/>
              <w:ind w:right="324"/>
              <w:jc w:val="right"/>
              <w:rPr>
                <w:sz w:val="22"/>
                <w:szCs w:val="22"/>
              </w:rPr>
            </w:pPr>
            <w:r>
              <w:rPr>
                <w:sz w:val="22"/>
                <w:szCs w:val="22"/>
              </w:rPr>
              <w:t>51</w:t>
            </w:r>
          </w:p>
        </w:tc>
        <w:tc>
          <w:tcPr>
            <w:tcW w:w="1189" w:type="dxa"/>
            <w:vAlign w:val="bottom"/>
          </w:tcPr>
          <w:p w:rsidR="00000000" w:rsidRDefault="00000000">
            <w:pPr>
              <w:spacing w:before="40" w:after="40" w:line="216" w:lineRule="auto"/>
              <w:ind w:right="324"/>
              <w:jc w:val="right"/>
              <w:rPr>
                <w:sz w:val="22"/>
                <w:szCs w:val="22"/>
              </w:rPr>
            </w:pPr>
            <w:r>
              <w:rPr>
                <w:sz w:val="22"/>
                <w:szCs w:val="22"/>
              </w:rPr>
              <w:t>33</w:t>
            </w:r>
          </w:p>
        </w:tc>
        <w:tc>
          <w:tcPr>
            <w:tcW w:w="1330" w:type="dxa"/>
            <w:vAlign w:val="bottom"/>
          </w:tcPr>
          <w:p w:rsidR="00000000" w:rsidRDefault="00000000">
            <w:pPr>
              <w:spacing w:before="40" w:after="40" w:line="216" w:lineRule="auto"/>
              <w:ind w:right="324"/>
              <w:jc w:val="right"/>
              <w:rPr>
                <w:sz w:val="22"/>
                <w:szCs w:val="22"/>
              </w:rPr>
            </w:pPr>
            <w:r>
              <w:rPr>
                <w:sz w:val="22"/>
                <w:szCs w:val="22"/>
              </w:rPr>
              <w:t>154,5</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Funchal</w:t>
            </w:r>
          </w:p>
        </w:tc>
        <w:tc>
          <w:tcPr>
            <w:tcW w:w="1200" w:type="dxa"/>
            <w:vAlign w:val="bottom"/>
          </w:tcPr>
          <w:p w:rsidR="00000000" w:rsidRDefault="00000000">
            <w:pPr>
              <w:spacing w:before="40" w:after="40" w:line="216" w:lineRule="auto"/>
              <w:ind w:right="324"/>
              <w:jc w:val="right"/>
              <w:rPr>
                <w:sz w:val="22"/>
                <w:szCs w:val="22"/>
              </w:rPr>
            </w:pPr>
            <w:r>
              <w:rPr>
                <w:sz w:val="22"/>
                <w:szCs w:val="22"/>
              </w:rPr>
              <w:t>69</w:t>
            </w:r>
          </w:p>
        </w:tc>
        <w:tc>
          <w:tcPr>
            <w:tcW w:w="1182" w:type="dxa"/>
            <w:vAlign w:val="bottom"/>
          </w:tcPr>
          <w:p w:rsidR="00000000" w:rsidRDefault="00000000">
            <w:pPr>
              <w:spacing w:before="40" w:after="40" w:line="216" w:lineRule="auto"/>
              <w:ind w:right="324"/>
              <w:jc w:val="right"/>
              <w:rPr>
                <w:sz w:val="22"/>
                <w:szCs w:val="22"/>
              </w:rPr>
            </w:pPr>
            <w:r>
              <w:rPr>
                <w:sz w:val="22"/>
                <w:szCs w:val="22"/>
              </w:rPr>
              <w:t>100</w:t>
            </w:r>
          </w:p>
        </w:tc>
        <w:tc>
          <w:tcPr>
            <w:tcW w:w="1327" w:type="dxa"/>
            <w:vAlign w:val="bottom"/>
          </w:tcPr>
          <w:p w:rsidR="00000000" w:rsidRDefault="00000000">
            <w:pPr>
              <w:spacing w:before="40" w:after="40" w:line="216" w:lineRule="auto"/>
              <w:ind w:right="324"/>
              <w:jc w:val="right"/>
              <w:rPr>
                <w:sz w:val="22"/>
                <w:szCs w:val="22"/>
              </w:rPr>
            </w:pPr>
            <w:r>
              <w:rPr>
                <w:sz w:val="22"/>
                <w:szCs w:val="22"/>
              </w:rPr>
              <w:t>69,0</w:t>
            </w:r>
          </w:p>
        </w:tc>
        <w:tc>
          <w:tcPr>
            <w:tcW w:w="1091" w:type="dxa"/>
            <w:vAlign w:val="bottom"/>
          </w:tcPr>
          <w:p w:rsidR="00000000" w:rsidRDefault="00000000">
            <w:pPr>
              <w:spacing w:before="40" w:after="40" w:line="216" w:lineRule="auto"/>
              <w:ind w:right="324"/>
              <w:jc w:val="right"/>
              <w:rPr>
                <w:sz w:val="22"/>
                <w:szCs w:val="22"/>
              </w:rPr>
            </w:pPr>
            <w:r>
              <w:rPr>
                <w:sz w:val="22"/>
                <w:szCs w:val="22"/>
              </w:rPr>
              <w:t>38</w:t>
            </w:r>
          </w:p>
        </w:tc>
        <w:tc>
          <w:tcPr>
            <w:tcW w:w="1189" w:type="dxa"/>
            <w:vAlign w:val="bottom"/>
          </w:tcPr>
          <w:p w:rsidR="00000000" w:rsidRDefault="00000000">
            <w:pPr>
              <w:spacing w:before="40" w:after="40" w:line="216" w:lineRule="auto"/>
              <w:ind w:right="324"/>
              <w:jc w:val="right"/>
              <w:rPr>
                <w:sz w:val="22"/>
                <w:szCs w:val="22"/>
              </w:rPr>
            </w:pPr>
            <w:r>
              <w:rPr>
                <w:sz w:val="22"/>
                <w:szCs w:val="22"/>
              </w:rPr>
              <w:t>100</w:t>
            </w:r>
          </w:p>
        </w:tc>
        <w:tc>
          <w:tcPr>
            <w:tcW w:w="1330" w:type="dxa"/>
            <w:vAlign w:val="bottom"/>
          </w:tcPr>
          <w:p w:rsidR="00000000" w:rsidRDefault="00000000">
            <w:pPr>
              <w:spacing w:before="40" w:after="40" w:line="216" w:lineRule="auto"/>
              <w:ind w:right="324"/>
              <w:jc w:val="right"/>
              <w:rPr>
                <w:sz w:val="22"/>
                <w:szCs w:val="22"/>
              </w:rPr>
            </w:pPr>
            <w:r>
              <w:rPr>
                <w:sz w:val="22"/>
                <w:szCs w:val="22"/>
              </w:rPr>
              <w:t>38,0</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Guarda</w:t>
            </w:r>
          </w:p>
        </w:tc>
        <w:tc>
          <w:tcPr>
            <w:tcW w:w="1200" w:type="dxa"/>
            <w:vAlign w:val="bottom"/>
          </w:tcPr>
          <w:p w:rsidR="00000000" w:rsidRDefault="00000000">
            <w:pPr>
              <w:spacing w:before="40" w:after="40" w:line="216" w:lineRule="auto"/>
              <w:ind w:right="324"/>
              <w:jc w:val="right"/>
              <w:rPr>
                <w:sz w:val="22"/>
                <w:szCs w:val="22"/>
              </w:rPr>
            </w:pPr>
            <w:r>
              <w:rPr>
                <w:sz w:val="22"/>
                <w:szCs w:val="22"/>
              </w:rPr>
              <w:t>172</w:t>
            </w:r>
          </w:p>
        </w:tc>
        <w:tc>
          <w:tcPr>
            <w:tcW w:w="1182" w:type="dxa"/>
            <w:vAlign w:val="bottom"/>
          </w:tcPr>
          <w:p w:rsidR="00000000" w:rsidRDefault="00000000">
            <w:pPr>
              <w:spacing w:before="40" w:after="40" w:line="216" w:lineRule="auto"/>
              <w:ind w:right="324"/>
              <w:jc w:val="right"/>
              <w:rPr>
                <w:sz w:val="22"/>
                <w:szCs w:val="22"/>
              </w:rPr>
            </w:pPr>
            <w:r>
              <w:rPr>
                <w:sz w:val="22"/>
                <w:szCs w:val="22"/>
              </w:rPr>
              <w:t>171</w:t>
            </w:r>
          </w:p>
        </w:tc>
        <w:tc>
          <w:tcPr>
            <w:tcW w:w="1327" w:type="dxa"/>
            <w:vAlign w:val="bottom"/>
          </w:tcPr>
          <w:p w:rsidR="00000000" w:rsidRDefault="00000000">
            <w:pPr>
              <w:spacing w:before="40" w:after="40" w:line="216" w:lineRule="auto"/>
              <w:ind w:right="324"/>
              <w:jc w:val="right"/>
              <w:rPr>
                <w:sz w:val="22"/>
                <w:szCs w:val="22"/>
              </w:rPr>
            </w:pPr>
            <w:r>
              <w:rPr>
                <w:sz w:val="22"/>
                <w:szCs w:val="22"/>
              </w:rPr>
              <w:t>100,6</w:t>
            </w:r>
          </w:p>
        </w:tc>
        <w:tc>
          <w:tcPr>
            <w:tcW w:w="1091" w:type="dxa"/>
            <w:vAlign w:val="bottom"/>
          </w:tcPr>
          <w:p w:rsidR="00000000" w:rsidRDefault="00000000">
            <w:pPr>
              <w:spacing w:before="40" w:after="40" w:line="216" w:lineRule="auto"/>
              <w:ind w:right="324"/>
              <w:jc w:val="right"/>
              <w:rPr>
                <w:sz w:val="22"/>
                <w:szCs w:val="22"/>
              </w:rPr>
            </w:pPr>
            <w:r>
              <w:rPr>
                <w:sz w:val="22"/>
                <w:szCs w:val="22"/>
              </w:rPr>
              <w:t>163</w:t>
            </w:r>
          </w:p>
        </w:tc>
        <w:tc>
          <w:tcPr>
            <w:tcW w:w="1189" w:type="dxa"/>
            <w:vAlign w:val="bottom"/>
          </w:tcPr>
          <w:p w:rsidR="00000000" w:rsidRDefault="00000000">
            <w:pPr>
              <w:spacing w:before="40" w:after="40" w:line="216" w:lineRule="auto"/>
              <w:ind w:right="324"/>
              <w:jc w:val="right"/>
              <w:rPr>
                <w:sz w:val="22"/>
                <w:szCs w:val="22"/>
              </w:rPr>
            </w:pPr>
            <w:r>
              <w:rPr>
                <w:sz w:val="22"/>
                <w:szCs w:val="22"/>
              </w:rPr>
              <w:t>171</w:t>
            </w:r>
          </w:p>
        </w:tc>
        <w:tc>
          <w:tcPr>
            <w:tcW w:w="1330" w:type="dxa"/>
            <w:vAlign w:val="bottom"/>
          </w:tcPr>
          <w:p w:rsidR="00000000" w:rsidRDefault="00000000">
            <w:pPr>
              <w:spacing w:before="40" w:after="40" w:line="216" w:lineRule="auto"/>
              <w:ind w:right="324"/>
              <w:jc w:val="right"/>
              <w:rPr>
                <w:sz w:val="22"/>
                <w:szCs w:val="22"/>
              </w:rPr>
            </w:pPr>
            <w:r>
              <w:rPr>
                <w:sz w:val="22"/>
                <w:szCs w:val="22"/>
              </w:rPr>
              <w:t>95,3</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Guimarães</w:t>
            </w:r>
          </w:p>
        </w:tc>
        <w:tc>
          <w:tcPr>
            <w:tcW w:w="1200" w:type="dxa"/>
            <w:vAlign w:val="bottom"/>
          </w:tcPr>
          <w:p w:rsidR="00000000" w:rsidRDefault="00000000">
            <w:pPr>
              <w:spacing w:before="40" w:after="40" w:line="216" w:lineRule="auto"/>
              <w:ind w:right="324"/>
              <w:jc w:val="right"/>
              <w:rPr>
                <w:sz w:val="22"/>
                <w:szCs w:val="22"/>
              </w:rPr>
            </w:pPr>
            <w:r>
              <w:rPr>
                <w:sz w:val="22"/>
                <w:szCs w:val="22"/>
              </w:rPr>
              <w:t>121</w:t>
            </w:r>
          </w:p>
        </w:tc>
        <w:tc>
          <w:tcPr>
            <w:tcW w:w="1182" w:type="dxa"/>
            <w:vAlign w:val="bottom"/>
          </w:tcPr>
          <w:p w:rsidR="00000000" w:rsidRDefault="00000000">
            <w:pPr>
              <w:spacing w:before="40" w:after="40" w:line="216" w:lineRule="auto"/>
              <w:ind w:right="324"/>
              <w:jc w:val="right"/>
              <w:rPr>
                <w:sz w:val="22"/>
                <w:szCs w:val="22"/>
              </w:rPr>
            </w:pPr>
            <w:r>
              <w:rPr>
                <w:sz w:val="22"/>
                <w:szCs w:val="22"/>
              </w:rPr>
              <w:t>48</w:t>
            </w:r>
          </w:p>
        </w:tc>
        <w:tc>
          <w:tcPr>
            <w:tcW w:w="1327" w:type="dxa"/>
            <w:vAlign w:val="bottom"/>
          </w:tcPr>
          <w:p w:rsidR="00000000" w:rsidRDefault="00000000">
            <w:pPr>
              <w:spacing w:before="40" w:after="40" w:line="216" w:lineRule="auto"/>
              <w:ind w:right="324"/>
              <w:jc w:val="right"/>
              <w:rPr>
                <w:sz w:val="22"/>
                <w:szCs w:val="22"/>
              </w:rPr>
            </w:pPr>
            <w:r>
              <w:rPr>
                <w:sz w:val="22"/>
                <w:szCs w:val="22"/>
              </w:rPr>
              <w:t>252,1</w:t>
            </w:r>
          </w:p>
        </w:tc>
        <w:tc>
          <w:tcPr>
            <w:tcW w:w="1091" w:type="dxa"/>
            <w:vAlign w:val="bottom"/>
          </w:tcPr>
          <w:p w:rsidR="00000000" w:rsidRDefault="00000000">
            <w:pPr>
              <w:spacing w:before="40" w:after="40" w:line="216" w:lineRule="auto"/>
              <w:ind w:right="324"/>
              <w:jc w:val="right"/>
              <w:rPr>
                <w:sz w:val="22"/>
                <w:szCs w:val="22"/>
              </w:rPr>
            </w:pPr>
            <w:r>
              <w:rPr>
                <w:sz w:val="22"/>
                <w:szCs w:val="22"/>
              </w:rPr>
              <w:t>103</w:t>
            </w:r>
          </w:p>
        </w:tc>
        <w:tc>
          <w:tcPr>
            <w:tcW w:w="1189" w:type="dxa"/>
            <w:vAlign w:val="bottom"/>
          </w:tcPr>
          <w:p w:rsidR="00000000" w:rsidRDefault="00000000">
            <w:pPr>
              <w:spacing w:before="40" w:after="40" w:line="216" w:lineRule="auto"/>
              <w:ind w:right="324"/>
              <w:jc w:val="right"/>
              <w:rPr>
                <w:sz w:val="22"/>
                <w:szCs w:val="22"/>
              </w:rPr>
            </w:pPr>
            <w:r>
              <w:rPr>
                <w:sz w:val="22"/>
                <w:szCs w:val="22"/>
              </w:rPr>
              <w:t>48</w:t>
            </w:r>
          </w:p>
        </w:tc>
        <w:tc>
          <w:tcPr>
            <w:tcW w:w="1330" w:type="dxa"/>
            <w:vAlign w:val="bottom"/>
          </w:tcPr>
          <w:p w:rsidR="00000000" w:rsidRDefault="00000000">
            <w:pPr>
              <w:spacing w:before="40" w:after="40" w:line="216" w:lineRule="auto"/>
              <w:ind w:right="324"/>
              <w:jc w:val="right"/>
              <w:rPr>
                <w:sz w:val="22"/>
                <w:szCs w:val="22"/>
              </w:rPr>
            </w:pPr>
            <w:r>
              <w:rPr>
                <w:sz w:val="22"/>
                <w:szCs w:val="22"/>
              </w:rPr>
              <w:t>214,6</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Lamego</w:t>
            </w:r>
          </w:p>
        </w:tc>
        <w:tc>
          <w:tcPr>
            <w:tcW w:w="1200" w:type="dxa"/>
            <w:vAlign w:val="bottom"/>
          </w:tcPr>
          <w:p w:rsidR="00000000" w:rsidRDefault="00000000">
            <w:pPr>
              <w:spacing w:before="40" w:after="40" w:line="216" w:lineRule="auto"/>
              <w:ind w:right="324"/>
              <w:jc w:val="right"/>
              <w:rPr>
                <w:sz w:val="22"/>
                <w:szCs w:val="22"/>
              </w:rPr>
            </w:pPr>
            <w:r>
              <w:rPr>
                <w:sz w:val="22"/>
                <w:szCs w:val="22"/>
              </w:rPr>
              <w:t>81</w:t>
            </w:r>
          </w:p>
        </w:tc>
        <w:tc>
          <w:tcPr>
            <w:tcW w:w="1182" w:type="dxa"/>
            <w:vAlign w:val="bottom"/>
          </w:tcPr>
          <w:p w:rsidR="00000000" w:rsidRDefault="00000000">
            <w:pPr>
              <w:spacing w:before="40" w:after="40" w:line="216" w:lineRule="auto"/>
              <w:ind w:right="324"/>
              <w:jc w:val="right"/>
              <w:rPr>
                <w:sz w:val="22"/>
                <w:szCs w:val="22"/>
              </w:rPr>
            </w:pPr>
            <w:r>
              <w:rPr>
                <w:sz w:val="22"/>
                <w:szCs w:val="22"/>
              </w:rPr>
              <w:t>67</w:t>
            </w:r>
          </w:p>
        </w:tc>
        <w:tc>
          <w:tcPr>
            <w:tcW w:w="1327" w:type="dxa"/>
            <w:vAlign w:val="bottom"/>
          </w:tcPr>
          <w:p w:rsidR="00000000" w:rsidRDefault="00000000">
            <w:pPr>
              <w:spacing w:before="40" w:after="40" w:line="216" w:lineRule="auto"/>
              <w:ind w:right="324"/>
              <w:jc w:val="right"/>
              <w:rPr>
                <w:sz w:val="22"/>
                <w:szCs w:val="22"/>
              </w:rPr>
            </w:pPr>
            <w:r>
              <w:rPr>
                <w:sz w:val="22"/>
                <w:szCs w:val="22"/>
              </w:rPr>
              <w:t>120,9</w:t>
            </w:r>
          </w:p>
        </w:tc>
        <w:tc>
          <w:tcPr>
            <w:tcW w:w="1091" w:type="dxa"/>
            <w:vAlign w:val="bottom"/>
          </w:tcPr>
          <w:p w:rsidR="00000000" w:rsidRDefault="00000000">
            <w:pPr>
              <w:spacing w:before="40" w:after="40" w:line="216" w:lineRule="auto"/>
              <w:ind w:right="324"/>
              <w:jc w:val="right"/>
              <w:rPr>
                <w:sz w:val="22"/>
                <w:szCs w:val="22"/>
              </w:rPr>
            </w:pPr>
            <w:r>
              <w:rPr>
                <w:sz w:val="22"/>
                <w:szCs w:val="22"/>
              </w:rPr>
              <w:t>67</w:t>
            </w:r>
          </w:p>
        </w:tc>
        <w:tc>
          <w:tcPr>
            <w:tcW w:w="1189" w:type="dxa"/>
            <w:vAlign w:val="bottom"/>
          </w:tcPr>
          <w:p w:rsidR="00000000" w:rsidRDefault="00000000">
            <w:pPr>
              <w:spacing w:before="40" w:after="40" w:line="216" w:lineRule="auto"/>
              <w:ind w:right="324"/>
              <w:jc w:val="right"/>
              <w:rPr>
                <w:sz w:val="22"/>
                <w:szCs w:val="22"/>
              </w:rPr>
            </w:pPr>
            <w:r>
              <w:rPr>
                <w:sz w:val="22"/>
                <w:szCs w:val="22"/>
              </w:rPr>
              <w:t>67</w:t>
            </w:r>
          </w:p>
        </w:tc>
        <w:tc>
          <w:tcPr>
            <w:tcW w:w="1330" w:type="dxa"/>
            <w:vAlign w:val="bottom"/>
          </w:tcPr>
          <w:p w:rsidR="00000000" w:rsidRDefault="00000000">
            <w:pPr>
              <w:spacing w:before="40" w:after="40" w:line="216" w:lineRule="auto"/>
              <w:ind w:right="324"/>
              <w:jc w:val="right"/>
              <w:rPr>
                <w:sz w:val="22"/>
                <w:szCs w:val="22"/>
              </w:rPr>
            </w:pPr>
            <w:r>
              <w:rPr>
                <w:sz w:val="22"/>
                <w:szCs w:val="22"/>
              </w:rPr>
              <w:t>100,0</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Leiria</w:t>
            </w:r>
          </w:p>
        </w:tc>
        <w:tc>
          <w:tcPr>
            <w:tcW w:w="1200" w:type="dxa"/>
            <w:vAlign w:val="bottom"/>
          </w:tcPr>
          <w:p w:rsidR="00000000" w:rsidRDefault="00000000">
            <w:pPr>
              <w:spacing w:before="40" w:after="40" w:line="216" w:lineRule="auto"/>
              <w:ind w:right="324"/>
              <w:jc w:val="right"/>
              <w:rPr>
                <w:sz w:val="22"/>
                <w:szCs w:val="22"/>
              </w:rPr>
            </w:pPr>
            <w:r>
              <w:rPr>
                <w:sz w:val="22"/>
                <w:szCs w:val="22"/>
              </w:rPr>
              <w:t>198</w:t>
            </w:r>
          </w:p>
        </w:tc>
        <w:tc>
          <w:tcPr>
            <w:tcW w:w="1182" w:type="dxa"/>
            <w:vAlign w:val="bottom"/>
          </w:tcPr>
          <w:p w:rsidR="00000000" w:rsidRDefault="00000000">
            <w:pPr>
              <w:spacing w:before="40" w:after="40" w:line="216" w:lineRule="auto"/>
              <w:ind w:right="324"/>
              <w:jc w:val="right"/>
              <w:rPr>
                <w:sz w:val="22"/>
                <w:szCs w:val="22"/>
              </w:rPr>
            </w:pPr>
            <w:r>
              <w:rPr>
                <w:sz w:val="22"/>
                <w:szCs w:val="22"/>
              </w:rPr>
              <w:t>110</w:t>
            </w:r>
          </w:p>
        </w:tc>
        <w:tc>
          <w:tcPr>
            <w:tcW w:w="1327" w:type="dxa"/>
            <w:vAlign w:val="bottom"/>
          </w:tcPr>
          <w:p w:rsidR="00000000" w:rsidRDefault="00000000">
            <w:pPr>
              <w:spacing w:before="40" w:after="40" w:line="216" w:lineRule="auto"/>
              <w:ind w:right="324"/>
              <w:jc w:val="right"/>
              <w:rPr>
                <w:sz w:val="22"/>
                <w:szCs w:val="22"/>
              </w:rPr>
            </w:pPr>
            <w:r>
              <w:rPr>
                <w:sz w:val="22"/>
                <w:szCs w:val="22"/>
              </w:rPr>
              <w:t>180,0</w:t>
            </w:r>
          </w:p>
        </w:tc>
        <w:tc>
          <w:tcPr>
            <w:tcW w:w="1091" w:type="dxa"/>
            <w:vAlign w:val="bottom"/>
          </w:tcPr>
          <w:p w:rsidR="00000000" w:rsidRDefault="00000000">
            <w:pPr>
              <w:spacing w:before="40" w:after="40" w:line="216" w:lineRule="auto"/>
              <w:ind w:right="324"/>
              <w:jc w:val="right"/>
              <w:rPr>
                <w:sz w:val="22"/>
                <w:szCs w:val="22"/>
              </w:rPr>
            </w:pPr>
            <w:r>
              <w:rPr>
                <w:sz w:val="22"/>
                <w:szCs w:val="22"/>
              </w:rPr>
              <w:t>162</w:t>
            </w:r>
          </w:p>
        </w:tc>
        <w:tc>
          <w:tcPr>
            <w:tcW w:w="1189" w:type="dxa"/>
            <w:vAlign w:val="bottom"/>
          </w:tcPr>
          <w:p w:rsidR="00000000" w:rsidRDefault="00000000">
            <w:pPr>
              <w:spacing w:before="40" w:after="40" w:line="216" w:lineRule="auto"/>
              <w:ind w:right="324"/>
              <w:jc w:val="right"/>
              <w:rPr>
                <w:sz w:val="22"/>
                <w:szCs w:val="22"/>
              </w:rPr>
            </w:pPr>
            <w:r>
              <w:rPr>
                <w:sz w:val="22"/>
                <w:szCs w:val="22"/>
              </w:rPr>
              <w:t>110</w:t>
            </w:r>
          </w:p>
        </w:tc>
        <w:tc>
          <w:tcPr>
            <w:tcW w:w="1330" w:type="dxa"/>
            <w:vAlign w:val="bottom"/>
          </w:tcPr>
          <w:p w:rsidR="00000000" w:rsidRDefault="00000000">
            <w:pPr>
              <w:spacing w:before="40" w:after="40" w:line="216" w:lineRule="auto"/>
              <w:ind w:right="324"/>
              <w:jc w:val="right"/>
              <w:rPr>
                <w:sz w:val="22"/>
                <w:szCs w:val="22"/>
              </w:rPr>
            </w:pPr>
            <w:r>
              <w:rPr>
                <w:sz w:val="22"/>
                <w:szCs w:val="22"/>
              </w:rPr>
              <w:t>147,3</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Monção</w:t>
            </w:r>
          </w:p>
        </w:tc>
        <w:tc>
          <w:tcPr>
            <w:tcW w:w="1200" w:type="dxa"/>
            <w:vAlign w:val="bottom"/>
          </w:tcPr>
          <w:p w:rsidR="00000000" w:rsidRDefault="00000000">
            <w:pPr>
              <w:spacing w:before="40" w:after="40" w:line="216" w:lineRule="auto"/>
              <w:ind w:right="324"/>
              <w:jc w:val="right"/>
              <w:rPr>
                <w:sz w:val="22"/>
                <w:szCs w:val="22"/>
              </w:rPr>
            </w:pPr>
            <w:r>
              <w:rPr>
                <w:sz w:val="22"/>
                <w:szCs w:val="22"/>
              </w:rPr>
              <w:t>43</w:t>
            </w:r>
          </w:p>
        </w:tc>
        <w:tc>
          <w:tcPr>
            <w:tcW w:w="1182" w:type="dxa"/>
            <w:vAlign w:val="bottom"/>
          </w:tcPr>
          <w:p w:rsidR="00000000" w:rsidRDefault="00000000">
            <w:pPr>
              <w:spacing w:before="40" w:after="40" w:line="216" w:lineRule="auto"/>
              <w:ind w:right="324"/>
              <w:jc w:val="right"/>
              <w:rPr>
                <w:sz w:val="22"/>
                <w:szCs w:val="22"/>
              </w:rPr>
            </w:pPr>
            <w:r>
              <w:rPr>
                <w:sz w:val="22"/>
                <w:szCs w:val="22"/>
              </w:rPr>
              <w:t>34</w:t>
            </w:r>
          </w:p>
        </w:tc>
        <w:tc>
          <w:tcPr>
            <w:tcW w:w="1327" w:type="dxa"/>
            <w:vAlign w:val="bottom"/>
          </w:tcPr>
          <w:p w:rsidR="00000000" w:rsidRDefault="00000000">
            <w:pPr>
              <w:spacing w:before="40" w:after="40" w:line="216" w:lineRule="auto"/>
              <w:ind w:right="324"/>
              <w:jc w:val="right"/>
              <w:rPr>
                <w:sz w:val="22"/>
                <w:szCs w:val="22"/>
              </w:rPr>
            </w:pPr>
            <w:r>
              <w:rPr>
                <w:sz w:val="22"/>
                <w:szCs w:val="22"/>
              </w:rPr>
              <w:t>126,5</w:t>
            </w:r>
          </w:p>
        </w:tc>
        <w:tc>
          <w:tcPr>
            <w:tcW w:w="1091" w:type="dxa"/>
            <w:vAlign w:val="bottom"/>
          </w:tcPr>
          <w:p w:rsidR="00000000" w:rsidRDefault="00000000">
            <w:pPr>
              <w:spacing w:before="40" w:after="40" w:line="216" w:lineRule="auto"/>
              <w:ind w:right="324"/>
              <w:jc w:val="right"/>
              <w:rPr>
                <w:sz w:val="22"/>
                <w:szCs w:val="22"/>
              </w:rPr>
            </w:pPr>
            <w:r>
              <w:rPr>
                <w:sz w:val="22"/>
                <w:szCs w:val="22"/>
              </w:rPr>
              <w:t>29</w:t>
            </w:r>
          </w:p>
        </w:tc>
        <w:tc>
          <w:tcPr>
            <w:tcW w:w="1189" w:type="dxa"/>
            <w:vAlign w:val="bottom"/>
          </w:tcPr>
          <w:p w:rsidR="00000000" w:rsidRDefault="00000000">
            <w:pPr>
              <w:spacing w:before="40" w:after="40" w:line="216" w:lineRule="auto"/>
              <w:ind w:right="324"/>
              <w:jc w:val="right"/>
              <w:rPr>
                <w:sz w:val="22"/>
                <w:szCs w:val="22"/>
              </w:rPr>
            </w:pPr>
            <w:r>
              <w:rPr>
                <w:sz w:val="22"/>
                <w:szCs w:val="22"/>
              </w:rPr>
              <w:t>34</w:t>
            </w:r>
          </w:p>
        </w:tc>
        <w:tc>
          <w:tcPr>
            <w:tcW w:w="1330" w:type="dxa"/>
            <w:vAlign w:val="bottom"/>
          </w:tcPr>
          <w:p w:rsidR="00000000" w:rsidRDefault="00000000">
            <w:pPr>
              <w:spacing w:before="40" w:after="40" w:line="216" w:lineRule="auto"/>
              <w:ind w:right="324"/>
              <w:jc w:val="right"/>
              <w:rPr>
                <w:sz w:val="22"/>
                <w:szCs w:val="22"/>
              </w:rPr>
            </w:pPr>
            <w:r>
              <w:rPr>
                <w:sz w:val="22"/>
                <w:szCs w:val="22"/>
              </w:rPr>
              <w:t>85,3</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Montijo</w:t>
            </w:r>
          </w:p>
        </w:tc>
        <w:tc>
          <w:tcPr>
            <w:tcW w:w="1200" w:type="dxa"/>
            <w:vAlign w:val="bottom"/>
          </w:tcPr>
          <w:p w:rsidR="00000000" w:rsidRDefault="00000000">
            <w:pPr>
              <w:spacing w:before="40" w:after="40" w:line="216" w:lineRule="auto"/>
              <w:ind w:right="324"/>
              <w:jc w:val="right"/>
              <w:rPr>
                <w:sz w:val="22"/>
                <w:szCs w:val="22"/>
              </w:rPr>
            </w:pPr>
            <w:r>
              <w:rPr>
                <w:sz w:val="22"/>
                <w:szCs w:val="22"/>
              </w:rPr>
              <w:t>206</w:t>
            </w:r>
          </w:p>
        </w:tc>
        <w:tc>
          <w:tcPr>
            <w:tcW w:w="1182" w:type="dxa"/>
            <w:vAlign w:val="bottom"/>
          </w:tcPr>
          <w:p w:rsidR="00000000" w:rsidRDefault="00000000">
            <w:pPr>
              <w:spacing w:before="40" w:after="40" w:line="216" w:lineRule="auto"/>
              <w:ind w:right="324"/>
              <w:jc w:val="right"/>
              <w:rPr>
                <w:sz w:val="22"/>
                <w:szCs w:val="22"/>
              </w:rPr>
            </w:pPr>
            <w:r>
              <w:rPr>
                <w:sz w:val="22"/>
                <w:szCs w:val="22"/>
              </w:rPr>
              <w:t>105</w:t>
            </w:r>
          </w:p>
        </w:tc>
        <w:tc>
          <w:tcPr>
            <w:tcW w:w="1327" w:type="dxa"/>
            <w:vAlign w:val="bottom"/>
          </w:tcPr>
          <w:p w:rsidR="00000000" w:rsidRDefault="00000000">
            <w:pPr>
              <w:spacing w:before="40" w:after="40" w:line="216" w:lineRule="auto"/>
              <w:ind w:right="324"/>
              <w:jc w:val="right"/>
              <w:rPr>
                <w:sz w:val="22"/>
                <w:szCs w:val="22"/>
              </w:rPr>
            </w:pPr>
            <w:r>
              <w:rPr>
                <w:sz w:val="22"/>
                <w:szCs w:val="22"/>
              </w:rPr>
              <w:t>196,2</w:t>
            </w:r>
          </w:p>
        </w:tc>
        <w:tc>
          <w:tcPr>
            <w:tcW w:w="1091" w:type="dxa"/>
            <w:vAlign w:val="bottom"/>
          </w:tcPr>
          <w:p w:rsidR="00000000" w:rsidRDefault="00000000">
            <w:pPr>
              <w:spacing w:before="40" w:after="40" w:line="216" w:lineRule="auto"/>
              <w:ind w:right="324"/>
              <w:jc w:val="right"/>
              <w:rPr>
                <w:sz w:val="22"/>
                <w:szCs w:val="22"/>
              </w:rPr>
            </w:pPr>
            <w:r>
              <w:rPr>
                <w:sz w:val="22"/>
                <w:szCs w:val="22"/>
              </w:rPr>
              <w:t>213</w:t>
            </w:r>
          </w:p>
        </w:tc>
        <w:tc>
          <w:tcPr>
            <w:tcW w:w="1189" w:type="dxa"/>
            <w:vAlign w:val="bottom"/>
          </w:tcPr>
          <w:p w:rsidR="00000000" w:rsidRDefault="00000000">
            <w:pPr>
              <w:spacing w:before="40" w:after="40" w:line="216" w:lineRule="auto"/>
              <w:ind w:right="324"/>
              <w:jc w:val="right"/>
              <w:rPr>
                <w:sz w:val="22"/>
                <w:szCs w:val="22"/>
              </w:rPr>
            </w:pPr>
            <w:r>
              <w:rPr>
                <w:sz w:val="22"/>
                <w:szCs w:val="22"/>
              </w:rPr>
              <w:t>105</w:t>
            </w:r>
          </w:p>
        </w:tc>
        <w:tc>
          <w:tcPr>
            <w:tcW w:w="1330" w:type="dxa"/>
            <w:vAlign w:val="bottom"/>
          </w:tcPr>
          <w:p w:rsidR="00000000" w:rsidRDefault="00000000">
            <w:pPr>
              <w:spacing w:before="40" w:after="40" w:line="216" w:lineRule="auto"/>
              <w:ind w:right="324"/>
              <w:jc w:val="right"/>
              <w:rPr>
                <w:sz w:val="22"/>
                <w:szCs w:val="22"/>
              </w:rPr>
            </w:pPr>
            <w:r>
              <w:rPr>
                <w:sz w:val="22"/>
                <w:szCs w:val="22"/>
              </w:rPr>
              <w:t>202,9</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Odemira</w:t>
            </w:r>
          </w:p>
        </w:tc>
        <w:tc>
          <w:tcPr>
            <w:tcW w:w="1200" w:type="dxa"/>
            <w:vAlign w:val="bottom"/>
          </w:tcPr>
          <w:p w:rsidR="00000000" w:rsidRDefault="00000000">
            <w:pPr>
              <w:spacing w:before="40" w:after="40" w:line="216" w:lineRule="auto"/>
              <w:ind w:right="324"/>
              <w:jc w:val="right"/>
              <w:rPr>
                <w:sz w:val="22"/>
                <w:szCs w:val="22"/>
              </w:rPr>
            </w:pPr>
            <w:r>
              <w:rPr>
                <w:sz w:val="22"/>
                <w:szCs w:val="22"/>
              </w:rPr>
              <w:t>115</w:t>
            </w:r>
          </w:p>
        </w:tc>
        <w:tc>
          <w:tcPr>
            <w:tcW w:w="1182" w:type="dxa"/>
            <w:vAlign w:val="bottom"/>
          </w:tcPr>
          <w:p w:rsidR="00000000" w:rsidRDefault="00000000">
            <w:pPr>
              <w:spacing w:before="40" w:after="40" w:line="216" w:lineRule="auto"/>
              <w:ind w:right="324"/>
              <w:jc w:val="right"/>
              <w:rPr>
                <w:sz w:val="22"/>
                <w:szCs w:val="22"/>
              </w:rPr>
            </w:pPr>
            <w:r>
              <w:rPr>
                <w:sz w:val="22"/>
                <w:szCs w:val="22"/>
              </w:rPr>
              <w:t>56</w:t>
            </w:r>
          </w:p>
        </w:tc>
        <w:tc>
          <w:tcPr>
            <w:tcW w:w="1327" w:type="dxa"/>
            <w:vAlign w:val="bottom"/>
          </w:tcPr>
          <w:p w:rsidR="00000000" w:rsidRDefault="00000000">
            <w:pPr>
              <w:spacing w:before="40" w:after="40" w:line="216" w:lineRule="auto"/>
              <w:ind w:right="324"/>
              <w:jc w:val="right"/>
              <w:rPr>
                <w:sz w:val="22"/>
                <w:szCs w:val="22"/>
              </w:rPr>
            </w:pPr>
            <w:r>
              <w:rPr>
                <w:sz w:val="22"/>
                <w:szCs w:val="22"/>
              </w:rPr>
              <w:t>205,4</w:t>
            </w:r>
          </w:p>
        </w:tc>
        <w:tc>
          <w:tcPr>
            <w:tcW w:w="1091" w:type="dxa"/>
            <w:vAlign w:val="bottom"/>
          </w:tcPr>
          <w:p w:rsidR="00000000" w:rsidRDefault="00000000">
            <w:pPr>
              <w:spacing w:before="40" w:after="40" w:line="216" w:lineRule="auto"/>
              <w:ind w:right="324"/>
              <w:jc w:val="right"/>
              <w:rPr>
                <w:sz w:val="22"/>
                <w:szCs w:val="22"/>
              </w:rPr>
            </w:pPr>
            <w:r>
              <w:rPr>
                <w:sz w:val="22"/>
                <w:szCs w:val="22"/>
              </w:rPr>
              <w:t>102</w:t>
            </w:r>
          </w:p>
        </w:tc>
        <w:tc>
          <w:tcPr>
            <w:tcW w:w="1189" w:type="dxa"/>
            <w:vAlign w:val="bottom"/>
          </w:tcPr>
          <w:p w:rsidR="00000000" w:rsidRDefault="00000000">
            <w:pPr>
              <w:spacing w:before="40" w:after="40" w:line="216" w:lineRule="auto"/>
              <w:ind w:right="324"/>
              <w:jc w:val="right"/>
              <w:rPr>
                <w:sz w:val="22"/>
                <w:szCs w:val="22"/>
              </w:rPr>
            </w:pPr>
            <w:r>
              <w:rPr>
                <w:sz w:val="22"/>
                <w:szCs w:val="22"/>
              </w:rPr>
              <w:t>56</w:t>
            </w:r>
          </w:p>
        </w:tc>
        <w:tc>
          <w:tcPr>
            <w:tcW w:w="1330" w:type="dxa"/>
            <w:vAlign w:val="bottom"/>
          </w:tcPr>
          <w:p w:rsidR="00000000" w:rsidRDefault="00000000">
            <w:pPr>
              <w:spacing w:before="40" w:after="40" w:line="216" w:lineRule="auto"/>
              <w:ind w:right="324"/>
              <w:jc w:val="right"/>
              <w:rPr>
                <w:sz w:val="22"/>
                <w:szCs w:val="22"/>
              </w:rPr>
            </w:pPr>
            <w:r>
              <w:rPr>
                <w:sz w:val="22"/>
                <w:szCs w:val="22"/>
              </w:rPr>
              <w:t>182,1</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Prison d’appui de Olhão</w:t>
            </w:r>
          </w:p>
        </w:tc>
        <w:tc>
          <w:tcPr>
            <w:tcW w:w="1200" w:type="dxa"/>
            <w:vAlign w:val="bottom"/>
          </w:tcPr>
          <w:p w:rsidR="00000000" w:rsidRDefault="00000000">
            <w:pPr>
              <w:spacing w:before="40" w:after="40" w:line="216" w:lineRule="auto"/>
              <w:ind w:right="324"/>
              <w:jc w:val="right"/>
              <w:rPr>
                <w:sz w:val="22"/>
                <w:szCs w:val="22"/>
              </w:rPr>
            </w:pPr>
            <w:r>
              <w:rPr>
                <w:sz w:val="22"/>
                <w:szCs w:val="22"/>
              </w:rPr>
              <w:t>58</w:t>
            </w:r>
          </w:p>
        </w:tc>
        <w:tc>
          <w:tcPr>
            <w:tcW w:w="1182" w:type="dxa"/>
            <w:vAlign w:val="bottom"/>
          </w:tcPr>
          <w:p w:rsidR="00000000" w:rsidRDefault="00000000">
            <w:pPr>
              <w:spacing w:before="40" w:after="40" w:line="216" w:lineRule="auto"/>
              <w:ind w:right="324"/>
              <w:jc w:val="right"/>
              <w:rPr>
                <w:sz w:val="22"/>
                <w:szCs w:val="22"/>
              </w:rPr>
            </w:pPr>
            <w:r>
              <w:rPr>
                <w:sz w:val="22"/>
                <w:szCs w:val="22"/>
              </w:rPr>
              <w:t>37</w:t>
            </w:r>
          </w:p>
        </w:tc>
        <w:tc>
          <w:tcPr>
            <w:tcW w:w="1327" w:type="dxa"/>
            <w:vAlign w:val="bottom"/>
          </w:tcPr>
          <w:p w:rsidR="00000000" w:rsidRDefault="00000000">
            <w:pPr>
              <w:spacing w:before="40" w:after="40" w:line="216" w:lineRule="auto"/>
              <w:ind w:right="324"/>
              <w:jc w:val="right"/>
              <w:rPr>
                <w:sz w:val="22"/>
                <w:szCs w:val="22"/>
              </w:rPr>
            </w:pPr>
            <w:r>
              <w:rPr>
                <w:sz w:val="22"/>
                <w:szCs w:val="22"/>
              </w:rPr>
              <w:t>156,8</w:t>
            </w:r>
          </w:p>
        </w:tc>
        <w:tc>
          <w:tcPr>
            <w:tcW w:w="1091" w:type="dxa"/>
            <w:vAlign w:val="bottom"/>
          </w:tcPr>
          <w:p w:rsidR="00000000" w:rsidRDefault="00000000">
            <w:pPr>
              <w:spacing w:before="40" w:after="40" w:line="216" w:lineRule="auto"/>
              <w:ind w:right="324"/>
              <w:jc w:val="right"/>
              <w:rPr>
                <w:sz w:val="22"/>
                <w:szCs w:val="22"/>
              </w:rPr>
            </w:pPr>
            <w:r>
              <w:rPr>
                <w:sz w:val="22"/>
                <w:szCs w:val="22"/>
              </w:rPr>
              <w:t>12</w:t>
            </w:r>
          </w:p>
        </w:tc>
        <w:tc>
          <w:tcPr>
            <w:tcW w:w="1189" w:type="dxa"/>
            <w:vAlign w:val="bottom"/>
          </w:tcPr>
          <w:p w:rsidR="00000000" w:rsidRDefault="00000000">
            <w:pPr>
              <w:spacing w:before="40" w:after="40" w:line="216" w:lineRule="auto"/>
              <w:ind w:right="324"/>
              <w:jc w:val="right"/>
              <w:rPr>
                <w:sz w:val="22"/>
                <w:szCs w:val="22"/>
              </w:rPr>
            </w:pPr>
            <w:r>
              <w:rPr>
                <w:sz w:val="22"/>
                <w:szCs w:val="22"/>
              </w:rPr>
              <w:t>42</w:t>
            </w:r>
          </w:p>
        </w:tc>
        <w:tc>
          <w:tcPr>
            <w:tcW w:w="1330" w:type="dxa"/>
            <w:vAlign w:val="bottom"/>
          </w:tcPr>
          <w:p w:rsidR="00000000" w:rsidRDefault="00000000">
            <w:pPr>
              <w:spacing w:before="40" w:after="40" w:line="216" w:lineRule="auto"/>
              <w:ind w:right="324"/>
              <w:jc w:val="right"/>
              <w:rPr>
                <w:sz w:val="22"/>
                <w:szCs w:val="22"/>
              </w:rPr>
            </w:pPr>
            <w:r>
              <w:rPr>
                <w:sz w:val="22"/>
                <w:szCs w:val="22"/>
              </w:rPr>
              <w:t>28,6</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Ponta Delgada</w:t>
            </w:r>
          </w:p>
        </w:tc>
        <w:tc>
          <w:tcPr>
            <w:tcW w:w="1200" w:type="dxa"/>
            <w:vAlign w:val="bottom"/>
          </w:tcPr>
          <w:p w:rsidR="00000000" w:rsidRDefault="00000000">
            <w:pPr>
              <w:spacing w:before="40" w:after="40" w:line="216" w:lineRule="auto"/>
              <w:ind w:right="324"/>
              <w:jc w:val="right"/>
              <w:rPr>
                <w:sz w:val="22"/>
                <w:szCs w:val="22"/>
              </w:rPr>
            </w:pPr>
            <w:r>
              <w:rPr>
                <w:sz w:val="22"/>
                <w:szCs w:val="22"/>
              </w:rPr>
              <w:t>185</w:t>
            </w:r>
          </w:p>
        </w:tc>
        <w:tc>
          <w:tcPr>
            <w:tcW w:w="1182" w:type="dxa"/>
            <w:vAlign w:val="bottom"/>
          </w:tcPr>
          <w:p w:rsidR="00000000" w:rsidRDefault="00000000">
            <w:pPr>
              <w:spacing w:before="40" w:after="40" w:line="216" w:lineRule="auto"/>
              <w:ind w:right="324"/>
              <w:jc w:val="right"/>
              <w:rPr>
                <w:sz w:val="22"/>
                <w:szCs w:val="22"/>
              </w:rPr>
            </w:pPr>
            <w:r>
              <w:rPr>
                <w:sz w:val="22"/>
                <w:szCs w:val="22"/>
              </w:rPr>
              <w:t>141</w:t>
            </w:r>
          </w:p>
        </w:tc>
        <w:tc>
          <w:tcPr>
            <w:tcW w:w="1327" w:type="dxa"/>
            <w:vAlign w:val="bottom"/>
          </w:tcPr>
          <w:p w:rsidR="00000000" w:rsidRDefault="00000000">
            <w:pPr>
              <w:spacing w:before="40" w:after="40" w:line="216" w:lineRule="auto"/>
              <w:ind w:right="324"/>
              <w:jc w:val="right"/>
              <w:rPr>
                <w:sz w:val="22"/>
                <w:szCs w:val="22"/>
              </w:rPr>
            </w:pPr>
            <w:r>
              <w:rPr>
                <w:sz w:val="22"/>
                <w:szCs w:val="22"/>
              </w:rPr>
              <w:t>131,2</w:t>
            </w:r>
          </w:p>
        </w:tc>
        <w:tc>
          <w:tcPr>
            <w:tcW w:w="1091" w:type="dxa"/>
            <w:vAlign w:val="bottom"/>
          </w:tcPr>
          <w:p w:rsidR="00000000" w:rsidRDefault="00000000">
            <w:pPr>
              <w:spacing w:before="40" w:after="40" w:line="216" w:lineRule="auto"/>
              <w:ind w:right="324"/>
              <w:jc w:val="right"/>
              <w:rPr>
                <w:sz w:val="22"/>
                <w:szCs w:val="22"/>
              </w:rPr>
            </w:pPr>
            <w:r>
              <w:rPr>
                <w:sz w:val="22"/>
                <w:szCs w:val="22"/>
              </w:rPr>
              <w:t>135</w:t>
            </w:r>
          </w:p>
        </w:tc>
        <w:tc>
          <w:tcPr>
            <w:tcW w:w="1189" w:type="dxa"/>
            <w:vAlign w:val="bottom"/>
          </w:tcPr>
          <w:p w:rsidR="00000000" w:rsidRDefault="00000000">
            <w:pPr>
              <w:spacing w:before="40" w:after="40" w:line="216" w:lineRule="auto"/>
              <w:ind w:right="324"/>
              <w:jc w:val="right"/>
              <w:rPr>
                <w:sz w:val="22"/>
                <w:szCs w:val="22"/>
              </w:rPr>
            </w:pPr>
            <w:r>
              <w:rPr>
                <w:sz w:val="22"/>
                <w:szCs w:val="22"/>
              </w:rPr>
              <w:t>141</w:t>
            </w:r>
          </w:p>
        </w:tc>
        <w:tc>
          <w:tcPr>
            <w:tcW w:w="1330" w:type="dxa"/>
            <w:vAlign w:val="bottom"/>
          </w:tcPr>
          <w:p w:rsidR="00000000" w:rsidRDefault="00000000">
            <w:pPr>
              <w:spacing w:before="40" w:after="40" w:line="216" w:lineRule="auto"/>
              <w:ind w:right="324"/>
              <w:jc w:val="right"/>
              <w:rPr>
                <w:sz w:val="22"/>
                <w:szCs w:val="22"/>
              </w:rPr>
            </w:pPr>
            <w:r>
              <w:rPr>
                <w:sz w:val="22"/>
                <w:szCs w:val="22"/>
              </w:rPr>
              <w:t>95,7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Portimão</w:t>
            </w:r>
          </w:p>
        </w:tc>
        <w:tc>
          <w:tcPr>
            <w:tcW w:w="1200" w:type="dxa"/>
            <w:vAlign w:val="bottom"/>
          </w:tcPr>
          <w:p w:rsidR="00000000" w:rsidRDefault="00000000">
            <w:pPr>
              <w:spacing w:before="40" w:after="40" w:line="216" w:lineRule="auto"/>
              <w:ind w:right="324"/>
              <w:jc w:val="right"/>
              <w:rPr>
                <w:sz w:val="22"/>
                <w:szCs w:val="22"/>
              </w:rPr>
            </w:pPr>
            <w:r>
              <w:rPr>
                <w:sz w:val="22"/>
                <w:szCs w:val="22"/>
              </w:rPr>
              <w:t>84</w:t>
            </w:r>
          </w:p>
        </w:tc>
        <w:tc>
          <w:tcPr>
            <w:tcW w:w="1182" w:type="dxa"/>
            <w:vAlign w:val="bottom"/>
          </w:tcPr>
          <w:p w:rsidR="00000000" w:rsidRDefault="00000000">
            <w:pPr>
              <w:spacing w:before="40" w:after="40" w:line="216" w:lineRule="auto"/>
              <w:ind w:right="324"/>
              <w:jc w:val="right"/>
              <w:rPr>
                <w:sz w:val="22"/>
                <w:szCs w:val="22"/>
              </w:rPr>
            </w:pPr>
            <w:r>
              <w:rPr>
                <w:sz w:val="22"/>
                <w:szCs w:val="22"/>
              </w:rPr>
              <w:t>28</w:t>
            </w:r>
          </w:p>
        </w:tc>
        <w:tc>
          <w:tcPr>
            <w:tcW w:w="1327" w:type="dxa"/>
            <w:vAlign w:val="bottom"/>
          </w:tcPr>
          <w:p w:rsidR="00000000" w:rsidRDefault="00000000">
            <w:pPr>
              <w:spacing w:before="40" w:after="40" w:line="216" w:lineRule="auto"/>
              <w:ind w:right="324"/>
              <w:jc w:val="right"/>
              <w:rPr>
                <w:sz w:val="22"/>
                <w:szCs w:val="22"/>
              </w:rPr>
            </w:pPr>
            <w:r>
              <w:rPr>
                <w:sz w:val="22"/>
                <w:szCs w:val="22"/>
              </w:rPr>
              <w:t>300,0</w:t>
            </w:r>
          </w:p>
        </w:tc>
        <w:tc>
          <w:tcPr>
            <w:tcW w:w="1091" w:type="dxa"/>
            <w:vAlign w:val="bottom"/>
          </w:tcPr>
          <w:p w:rsidR="00000000" w:rsidRDefault="00000000">
            <w:pPr>
              <w:spacing w:before="40" w:after="40" w:line="216" w:lineRule="auto"/>
              <w:ind w:right="324"/>
              <w:jc w:val="right"/>
              <w:rPr>
                <w:sz w:val="22"/>
                <w:szCs w:val="22"/>
              </w:rPr>
            </w:pPr>
            <w:r>
              <w:rPr>
                <w:sz w:val="22"/>
                <w:szCs w:val="22"/>
              </w:rPr>
              <w:t>71</w:t>
            </w:r>
          </w:p>
        </w:tc>
        <w:tc>
          <w:tcPr>
            <w:tcW w:w="1189" w:type="dxa"/>
            <w:vAlign w:val="bottom"/>
          </w:tcPr>
          <w:p w:rsidR="00000000" w:rsidRDefault="00000000">
            <w:pPr>
              <w:spacing w:before="40" w:after="40" w:line="216" w:lineRule="auto"/>
              <w:ind w:right="324"/>
              <w:jc w:val="right"/>
              <w:rPr>
                <w:sz w:val="22"/>
                <w:szCs w:val="22"/>
              </w:rPr>
            </w:pPr>
            <w:r>
              <w:rPr>
                <w:sz w:val="22"/>
                <w:szCs w:val="22"/>
              </w:rPr>
              <w:t>28</w:t>
            </w:r>
          </w:p>
        </w:tc>
        <w:tc>
          <w:tcPr>
            <w:tcW w:w="1330" w:type="dxa"/>
            <w:vAlign w:val="bottom"/>
          </w:tcPr>
          <w:p w:rsidR="00000000" w:rsidRDefault="00000000">
            <w:pPr>
              <w:spacing w:before="40" w:after="40" w:line="216" w:lineRule="auto"/>
              <w:ind w:right="324"/>
              <w:jc w:val="right"/>
              <w:rPr>
                <w:sz w:val="22"/>
                <w:szCs w:val="22"/>
              </w:rPr>
            </w:pPr>
            <w:r>
              <w:rPr>
                <w:sz w:val="22"/>
                <w:szCs w:val="22"/>
              </w:rPr>
              <w:t>253,6</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Prison d’appui de São Pedro do Sul</w:t>
            </w:r>
          </w:p>
        </w:tc>
        <w:tc>
          <w:tcPr>
            <w:tcW w:w="1200" w:type="dxa"/>
            <w:vAlign w:val="bottom"/>
          </w:tcPr>
          <w:p w:rsidR="00000000" w:rsidRDefault="00000000">
            <w:pPr>
              <w:spacing w:before="40" w:after="40" w:line="216" w:lineRule="auto"/>
              <w:ind w:right="324"/>
              <w:jc w:val="right"/>
              <w:rPr>
                <w:sz w:val="22"/>
                <w:szCs w:val="22"/>
              </w:rPr>
            </w:pPr>
            <w:r>
              <w:rPr>
                <w:sz w:val="22"/>
                <w:szCs w:val="22"/>
              </w:rPr>
              <w:t>50</w:t>
            </w:r>
          </w:p>
        </w:tc>
        <w:tc>
          <w:tcPr>
            <w:tcW w:w="1182" w:type="dxa"/>
            <w:vAlign w:val="bottom"/>
          </w:tcPr>
          <w:p w:rsidR="00000000" w:rsidRDefault="00000000">
            <w:pPr>
              <w:spacing w:before="40" w:after="40" w:line="216" w:lineRule="auto"/>
              <w:ind w:right="324"/>
              <w:jc w:val="right"/>
              <w:rPr>
                <w:sz w:val="22"/>
                <w:szCs w:val="22"/>
              </w:rPr>
            </w:pPr>
            <w:r>
              <w:rPr>
                <w:sz w:val="22"/>
                <w:szCs w:val="22"/>
              </w:rPr>
              <w:t>29</w:t>
            </w:r>
          </w:p>
        </w:tc>
        <w:tc>
          <w:tcPr>
            <w:tcW w:w="1327" w:type="dxa"/>
            <w:vAlign w:val="bottom"/>
          </w:tcPr>
          <w:p w:rsidR="00000000" w:rsidRDefault="00000000">
            <w:pPr>
              <w:spacing w:before="40" w:after="40" w:line="216" w:lineRule="auto"/>
              <w:ind w:right="324"/>
              <w:jc w:val="right"/>
              <w:rPr>
                <w:sz w:val="22"/>
                <w:szCs w:val="22"/>
              </w:rPr>
            </w:pPr>
            <w:r>
              <w:rPr>
                <w:sz w:val="22"/>
                <w:szCs w:val="22"/>
              </w:rPr>
              <w:t>172,4</w:t>
            </w:r>
          </w:p>
        </w:tc>
        <w:tc>
          <w:tcPr>
            <w:tcW w:w="1091" w:type="dxa"/>
            <w:vAlign w:val="bottom"/>
          </w:tcPr>
          <w:p w:rsidR="00000000" w:rsidRDefault="00000000">
            <w:pPr>
              <w:spacing w:before="40" w:after="40" w:line="216" w:lineRule="auto"/>
              <w:ind w:right="324"/>
              <w:jc w:val="right"/>
              <w:rPr>
                <w:sz w:val="22"/>
                <w:szCs w:val="22"/>
              </w:rPr>
            </w:pPr>
            <w:r>
              <w:rPr>
                <w:sz w:val="22"/>
                <w:szCs w:val="22"/>
              </w:rPr>
              <w:t>54</w:t>
            </w:r>
          </w:p>
        </w:tc>
        <w:tc>
          <w:tcPr>
            <w:tcW w:w="1189" w:type="dxa"/>
            <w:vAlign w:val="bottom"/>
          </w:tcPr>
          <w:p w:rsidR="00000000" w:rsidRDefault="00000000">
            <w:pPr>
              <w:spacing w:before="40" w:after="40" w:line="216" w:lineRule="auto"/>
              <w:ind w:right="324"/>
              <w:jc w:val="right"/>
              <w:rPr>
                <w:sz w:val="22"/>
                <w:szCs w:val="22"/>
              </w:rPr>
            </w:pPr>
            <w:r>
              <w:rPr>
                <w:sz w:val="22"/>
                <w:szCs w:val="22"/>
              </w:rPr>
              <w:t>29</w:t>
            </w:r>
          </w:p>
        </w:tc>
        <w:tc>
          <w:tcPr>
            <w:tcW w:w="1330" w:type="dxa"/>
            <w:vAlign w:val="bottom"/>
          </w:tcPr>
          <w:p w:rsidR="00000000" w:rsidRDefault="00000000">
            <w:pPr>
              <w:spacing w:before="40" w:after="40" w:line="216" w:lineRule="auto"/>
              <w:ind w:right="324"/>
              <w:jc w:val="right"/>
              <w:rPr>
                <w:sz w:val="22"/>
                <w:szCs w:val="22"/>
              </w:rPr>
            </w:pPr>
            <w:r>
              <w:rPr>
                <w:sz w:val="22"/>
                <w:szCs w:val="22"/>
              </w:rPr>
              <w:t>186,2</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Setúbal</w:t>
            </w:r>
          </w:p>
        </w:tc>
        <w:tc>
          <w:tcPr>
            <w:tcW w:w="1200" w:type="dxa"/>
            <w:vAlign w:val="bottom"/>
          </w:tcPr>
          <w:p w:rsidR="00000000" w:rsidRDefault="00000000">
            <w:pPr>
              <w:spacing w:before="40" w:after="40" w:line="216" w:lineRule="auto"/>
              <w:ind w:right="324"/>
              <w:jc w:val="right"/>
              <w:rPr>
                <w:sz w:val="22"/>
                <w:szCs w:val="22"/>
              </w:rPr>
            </w:pPr>
            <w:r>
              <w:rPr>
                <w:sz w:val="22"/>
                <w:szCs w:val="22"/>
              </w:rPr>
              <w:t>286</w:t>
            </w:r>
          </w:p>
        </w:tc>
        <w:tc>
          <w:tcPr>
            <w:tcW w:w="1182" w:type="dxa"/>
            <w:vAlign w:val="bottom"/>
          </w:tcPr>
          <w:p w:rsidR="00000000" w:rsidRDefault="00000000">
            <w:pPr>
              <w:spacing w:before="40" w:after="40" w:line="216" w:lineRule="auto"/>
              <w:ind w:right="324"/>
              <w:jc w:val="right"/>
              <w:rPr>
                <w:sz w:val="22"/>
                <w:szCs w:val="22"/>
              </w:rPr>
            </w:pPr>
            <w:r>
              <w:rPr>
                <w:sz w:val="22"/>
                <w:szCs w:val="22"/>
              </w:rPr>
              <w:t>131</w:t>
            </w:r>
          </w:p>
        </w:tc>
        <w:tc>
          <w:tcPr>
            <w:tcW w:w="1327" w:type="dxa"/>
            <w:vAlign w:val="bottom"/>
          </w:tcPr>
          <w:p w:rsidR="00000000" w:rsidRDefault="00000000">
            <w:pPr>
              <w:spacing w:before="40" w:after="40" w:line="216" w:lineRule="auto"/>
              <w:ind w:right="324"/>
              <w:jc w:val="right"/>
              <w:rPr>
                <w:sz w:val="22"/>
                <w:szCs w:val="22"/>
              </w:rPr>
            </w:pPr>
            <w:r>
              <w:rPr>
                <w:sz w:val="22"/>
                <w:szCs w:val="22"/>
              </w:rPr>
              <w:t>218,3</w:t>
            </w:r>
          </w:p>
        </w:tc>
        <w:tc>
          <w:tcPr>
            <w:tcW w:w="1091" w:type="dxa"/>
            <w:vAlign w:val="bottom"/>
          </w:tcPr>
          <w:p w:rsidR="00000000" w:rsidRDefault="00000000">
            <w:pPr>
              <w:spacing w:before="40" w:after="40" w:line="216" w:lineRule="auto"/>
              <w:ind w:right="324"/>
              <w:jc w:val="right"/>
              <w:rPr>
                <w:sz w:val="22"/>
                <w:szCs w:val="22"/>
              </w:rPr>
            </w:pPr>
            <w:r>
              <w:rPr>
                <w:sz w:val="22"/>
                <w:szCs w:val="22"/>
              </w:rPr>
              <w:t>293</w:t>
            </w:r>
          </w:p>
        </w:tc>
        <w:tc>
          <w:tcPr>
            <w:tcW w:w="1189" w:type="dxa"/>
            <w:vAlign w:val="bottom"/>
          </w:tcPr>
          <w:p w:rsidR="00000000" w:rsidRDefault="00000000">
            <w:pPr>
              <w:spacing w:before="40" w:after="40" w:line="216" w:lineRule="auto"/>
              <w:ind w:right="324"/>
              <w:jc w:val="right"/>
              <w:rPr>
                <w:sz w:val="22"/>
                <w:szCs w:val="22"/>
              </w:rPr>
            </w:pPr>
            <w:r>
              <w:rPr>
                <w:sz w:val="22"/>
                <w:szCs w:val="22"/>
              </w:rPr>
              <w:t>131</w:t>
            </w:r>
          </w:p>
        </w:tc>
        <w:tc>
          <w:tcPr>
            <w:tcW w:w="1330" w:type="dxa"/>
            <w:vAlign w:val="bottom"/>
          </w:tcPr>
          <w:p w:rsidR="00000000" w:rsidRDefault="00000000">
            <w:pPr>
              <w:spacing w:before="40" w:after="40" w:line="216" w:lineRule="auto"/>
              <w:ind w:right="324"/>
              <w:jc w:val="right"/>
              <w:rPr>
                <w:sz w:val="22"/>
                <w:szCs w:val="22"/>
              </w:rPr>
            </w:pPr>
            <w:r>
              <w:rPr>
                <w:sz w:val="22"/>
                <w:szCs w:val="22"/>
              </w:rPr>
              <w:t>223,7</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Silves</w:t>
            </w:r>
          </w:p>
        </w:tc>
        <w:tc>
          <w:tcPr>
            <w:tcW w:w="1200" w:type="dxa"/>
            <w:vAlign w:val="bottom"/>
          </w:tcPr>
          <w:p w:rsidR="00000000" w:rsidRDefault="00000000">
            <w:pPr>
              <w:spacing w:before="40" w:after="40" w:line="216" w:lineRule="auto"/>
              <w:ind w:right="324"/>
              <w:jc w:val="right"/>
              <w:rPr>
                <w:sz w:val="22"/>
                <w:szCs w:val="22"/>
              </w:rPr>
            </w:pPr>
            <w:r>
              <w:rPr>
                <w:sz w:val="22"/>
                <w:szCs w:val="22"/>
              </w:rPr>
              <w:t>85</w:t>
            </w:r>
          </w:p>
        </w:tc>
        <w:tc>
          <w:tcPr>
            <w:tcW w:w="1182" w:type="dxa"/>
            <w:vAlign w:val="bottom"/>
          </w:tcPr>
          <w:p w:rsidR="00000000" w:rsidRDefault="00000000">
            <w:pPr>
              <w:spacing w:before="40" w:after="40" w:line="216" w:lineRule="auto"/>
              <w:ind w:right="324"/>
              <w:jc w:val="right"/>
              <w:rPr>
                <w:sz w:val="22"/>
                <w:szCs w:val="22"/>
              </w:rPr>
            </w:pPr>
            <w:r>
              <w:rPr>
                <w:sz w:val="22"/>
                <w:szCs w:val="22"/>
              </w:rPr>
              <w:t>58</w:t>
            </w:r>
          </w:p>
        </w:tc>
        <w:tc>
          <w:tcPr>
            <w:tcW w:w="1327" w:type="dxa"/>
            <w:vAlign w:val="bottom"/>
          </w:tcPr>
          <w:p w:rsidR="00000000" w:rsidRDefault="00000000">
            <w:pPr>
              <w:spacing w:before="40" w:after="40" w:line="216" w:lineRule="auto"/>
              <w:ind w:right="324"/>
              <w:jc w:val="right"/>
              <w:rPr>
                <w:sz w:val="22"/>
                <w:szCs w:val="22"/>
              </w:rPr>
            </w:pPr>
            <w:r>
              <w:rPr>
                <w:sz w:val="22"/>
                <w:szCs w:val="22"/>
              </w:rPr>
              <w:t>146,6</w:t>
            </w:r>
          </w:p>
        </w:tc>
        <w:tc>
          <w:tcPr>
            <w:tcW w:w="1091" w:type="dxa"/>
            <w:vAlign w:val="bottom"/>
          </w:tcPr>
          <w:p w:rsidR="00000000" w:rsidRDefault="00000000">
            <w:pPr>
              <w:spacing w:before="40" w:after="40" w:line="216" w:lineRule="auto"/>
              <w:ind w:right="324"/>
              <w:jc w:val="right"/>
              <w:rPr>
                <w:sz w:val="22"/>
                <w:szCs w:val="22"/>
              </w:rPr>
            </w:pPr>
            <w:r>
              <w:rPr>
                <w:sz w:val="22"/>
                <w:szCs w:val="22"/>
              </w:rPr>
              <w:t>76</w:t>
            </w:r>
          </w:p>
        </w:tc>
        <w:tc>
          <w:tcPr>
            <w:tcW w:w="1189" w:type="dxa"/>
            <w:vAlign w:val="bottom"/>
          </w:tcPr>
          <w:p w:rsidR="00000000" w:rsidRDefault="00000000">
            <w:pPr>
              <w:spacing w:before="40" w:after="40" w:line="216" w:lineRule="auto"/>
              <w:ind w:right="324"/>
              <w:jc w:val="right"/>
              <w:rPr>
                <w:sz w:val="22"/>
                <w:szCs w:val="22"/>
              </w:rPr>
            </w:pPr>
            <w:r>
              <w:rPr>
                <w:sz w:val="22"/>
                <w:szCs w:val="22"/>
              </w:rPr>
              <w:t>58</w:t>
            </w:r>
          </w:p>
        </w:tc>
        <w:tc>
          <w:tcPr>
            <w:tcW w:w="1330" w:type="dxa"/>
            <w:vAlign w:val="bottom"/>
          </w:tcPr>
          <w:p w:rsidR="00000000" w:rsidRDefault="00000000">
            <w:pPr>
              <w:spacing w:before="40" w:after="40" w:line="216" w:lineRule="auto"/>
              <w:ind w:right="324"/>
              <w:jc w:val="right"/>
              <w:rPr>
                <w:sz w:val="22"/>
                <w:szCs w:val="22"/>
              </w:rPr>
            </w:pPr>
            <w:r>
              <w:rPr>
                <w:sz w:val="22"/>
                <w:szCs w:val="22"/>
              </w:rPr>
              <w:t>131,0</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Torres Novas</w:t>
            </w:r>
          </w:p>
        </w:tc>
        <w:tc>
          <w:tcPr>
            <w:tcW w:w="1200" w:type="dxa"/>
            <w:vAlign w:val="bottom"/>
          </w:tcPr>
          <w:p w:rsidR="00000000" w:rsidRDefault="00000000">
            <w:pPr>
              <w:spacing w:before="40" w:after="40" w:line="216" w:lineRule="auto"/>
              <w:ind w:right="324"/>
              <w:jc w:val="right"/>
              <w:rPr>
                <w:sz w:val="22"/>
                <w:szCs w:val="22"/>
              </w:rPr>
            </w:pPr>
            <w:r>
              <w:rPr>
                <w:sz w:val="22"/>
                <w:szCs w:val="22"/>
              </w:rPr>
              <w:t>54</w:t>
            </w:r>
          </w:p>
        </w:tc>
        <w:tc>
          <w:tcPr>
            <w:tcW w:w="1182" w:type="dxa"/>
            <w:vAlign w:val="bottom"/>
          </w:tcPr>
          <w:p w:rsidR="00000000" w:rsidRDefault="00000000">
            <w:pPr>
              <w:spacing w:before="40" w:after="40" w:line="216" w:lineRule="auto"/>
              <w:ind w:right="324"/>
              <w:jc w:val="right"/>
              <w:rPr>
                <w:sz w:val="22"/>
                <w:szCs w:val="22"/>
              </w:rPr>
            </w:pPr>
            <w:r>
              <w:rPr>
                <w:sz w:val="22"/>
                <w:szCs w:val="22"/>
              </w:rPr>
              <w:t>38</w:t>
            </w:r>
          </w:p>
        </w:tc>
        <w:tc>
          <w:tcPr>
            <w:tcW w:w="1327" w:type="dxa"/>
            <w:vAlign w:val="bottom"/>
          </w:tcPr>
          <w:p w:rsidR="00000000" w:rsidRDefault="00000000">
            <w:pPr>
              <w:spacing w:before="40" w:after="40" w:line="216" w:lineRule="auto"/>
              <w:ind w:right="324"/>
              <w:jc w:val="right"/>
              <w:rPr>
                <w:sz w:val="22"/>
                <w:szCs w:val="22"/>
              </w:rPr>
            </w:pPr>
            <w:r>
              <w:rPr>
                <w:sz w:val="22"/>
                <w:szCs w:val="22"/>
              </w:rPr>
              <w:t>142,1</w:t>
            </w:r>
          </w:p>
        </w:tc>
        <w:tc>
          <w:tcPr>
            <w:tcW w:w="1091" w:type="dxa"/>
            <w:vAlign w:val="bottom"/>
          </w:tcPr>
          <w:p w:rsidR="00000000" w:rsidRDefault="00000000">
            <w:pPr>
              <w:spacing w:before="40" w:after="40" w:line="216" w:lineRule="auto"/>
              <w:ind w:right="324"/>
              <w:jc w:val="right"/>
              <w:rPr>
                <w:sz w:val="22"/>
                <w:szCs w:val="22"/>
              </w:rPr>
            </w:pPr>
            <w:r>
              <w:rPr>
                <w:sz w:val="22"/>
                <w:szCs w:val="22"/>
              </w:rPr>
              <w:t>73</w:t>
            </w:r>
          </w:p>
        </w:tc>
        <w:tc>
          <w:tcPr>
            <w:tcW w:w="1189" w:type="dxa"/>
            <w:vAlign w:val="bottom"/>
          </w:tcPr>
          <w:p w:rsidR="00000000" w:rsidRDefault="00000000">
            <w:pPr>
              <w:spacing w:before="40" w:after="40" w:line="216" w:lineRule="auto"/>
              <w:ind w:right="324"/>
              <w:jc w:val="right"/>
              <w:rPr>
                <w:sz w:val="22"/>
                <w:szCs w:val="22"/>
              </w:rPr>
            </w:pPr>
            <w:r>
              <w:rPr>
                <w:sz w:val="22"/>
                <w:szCs w:val="22"/>
              </w:rPr>
              <w:t>38</w:t>
            </w:r>
          </w:p>
        </w:tc>
        <w:tc>
          <w:tcPr>
            <w:tcW w:w="1330" w:type="dxa"/>
            <w:vAlign w:val="bottom"/>
          </w:tcPr>
          <w:p w:rsidR="00000000" w:rsidRDefault="00000000">
            <w:pPr>
              <w:spacing w:before="40" w:after="40" w:line="216" w:lineRule="auto"/>
              <w:ind w:right="324"/>
              <w:jc w:val="right"/>
              <w:rPr>
                <w:sz w:val="22"/>
                <w:szCs w:val="22"/>
              </w:rPr>
            </w:pPr>
            <w:r>
              <w:rPr>
                <w:sz w:val="22"/>
                <w:szCs w:val="22"/>
              </w:rPr>
              <w:t>192,1</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Viana do Castelo</w:t>
            </w:r>
          </w:p>
        </w:tc>
        <w:tc>
          <w:tcPr>
            <w:tcW w:w="1200" w:type="dxa"/>
            <w:vAlign w:val="bottom"/>
          </w:tcPr>
          <w:p w:rsidR="00000000" w:rsidRDefault="00000000">
            <w:pPr>
              <w:spacing w:before="40" w:after="40" w:line="216" w:lineRule="auto"/>
              <w:ind w:right="324"/>
              <w:jc w:val="right"/>
              <w:rPr>
                <w:sz w:val="22"/>
                <w:szCs w:val="22"/>
              </w:rPr>
            </w:pPr>
            <w:r>
              <w:rPr>
                <w:sz w:val="22"/>
                <w:szCs w:val="22"/>
              </w:rPr>
              <w:t>95</w:t>
            </w:r>
          </w:p>
        </w:tc>
        <w:tc>
          <w:tcPr>
            <w:tcW w:w="1182" w:type="dxa"/>
            <w:vAlign w:val="bottom"/>
          </w:tcPr>
          <w:p w:rsidR="00000000" w:rsidRDefault="00000000">
            <w:pPr>
              <w:spacing w:before="40" w:after="40" w:line="216" w:lineRule="auto"/>
              <w:ind w:right="324"/>
              <w:jc w:val="right"/>
              <w:rPr>
                <w:sz w:val="22"/>
                <w:szCs w:val="22"/>
              </w:rPr>
            </w:pPr>
            <w:r>
              <w:rPr>
                <w:sz w:val="22"/>
                <w:szCs w:val="22"/>
              </w:rPr>
              <w:t>44</w:t>
            </w:r>
          </w:p>
        </w:tc>
        <w:tc>
          <w:tcPr>
            <w:tcW w:w="1327" w:type="dxa"/>
            <w:vAlign w:val="bottom"/>
          </w:tcPr>
          <w:p w:rsidR="00000000" w:rsidRDefault="00000000">
            <w:pPr>
              <w:spacing w:before="40" w:after="40" w:line="216" w:lineRule="auto"/>
              <w:ind w:right="324"/>
              <w:jc w:val="right"/>
              <w:rPr>
                <w:sz w:val="22"/>
                <w:szCs w:val="22"/>
              </w:rPr>
            </w:pPr>
            <w:r>
              <w:rPr>
                <w:sz w:val="22"/>
                <w:szCs w:val="22"/>
              </w:rPr>
              <w:t>215,9</w:t>
            </w:r>
          </w:p>
        </w:tc>
        <w:tc>
          <w:tcPr>
            <w:tcW w:w="1091" w:type="dxa"/>
            <w:vAlign w:val="bottom"/>
          </w:tcPr>
          <w:p w:rsidR="00000000" w:rsidRDefault="00000000">
            <w:pPr>
              <w:spacing w:before="40" w:after="40" w:line="216" w:lineRule="auto"/>
              <w:ind w:right="324"/>
              <w:jc w:val="right"/>
              <w:rPr>
                <w:sz w:val="22"/>
                <w:szCs w:val="22"/>
              </w:rPr>
            </w:pPr>
            <w:r>
              <w:rPr>
                <w:sz w:val="22"/>
                <w:szCs w:val="22"/>
              </w:rPr>
              <w:t>67</w:t>
            </w:r>
          </w:p>
        </w:tc>
        <w:tc>
          <w:tcPr>
            <w:tcW w:w="1189" w:type="dxa"/>
            <w:vAlign w:val="bottom"/>
          </w:tcPr>
          <w:p w:rsidR="00000000" w:rsidRDefault="00000000">
            <w:pPr>
              <w:spacing w:before="40" w:after="40" w:line="216" w:lineRule="auto"/>
              <w:ind w:right="324"/>
              <w:jc w:val="right"/>
              <w:rPr>
                <w:sz w:val="22"/>
                <w:szCs w:val="22"/>
              </w:rPr>
            </w:pPr>
            <w:r>
              <w:rPr>
                <w:sz w:val="22"/>
                <w:szCs w:val="22"/>
              </w:rPr>
              <w:t>44</w:t>
            </w:r>
          </w:p>
        </w:tc>
        <w:tc>
          <w:tcPr>
            <w:tcW w:w="1330" w:type="dxa"/>
            <w:vAlign w:val="bottom"/>
          </w:tcPr>
          <w:p w:rsidR="00000000" w:rsidRDefault="00000000">
            <w:pPr>
              <w:spacing w:before="40" w:after="40" w:line="216" w:lineRule="auto"/>
              <w:ind w:right="324"/>
              <w:jc w:val="right"/>
              <w:rPr>
                <w:sz w:val="22"/>
                <w:szCs w:val="22"/>
              </w:rPr>
            </w:pPr>
            <w:r>
              <w:rPr>
                <w:sz w:val="22"/>
                <w:szCs w:val="22"/>
              </w:rPr>
              <w:t>152,3</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Vila Real</w:t>
            </w:r>
          </w:p>
        </w:tc>
        <w:tc>
          <w:tcPr>
            <w:tcW w:w="1200" w:type="dxa"/>
            <w:vAlign w:val="bottom"/>
          </w:tcPr>
          <w:p w:rsidR="00000000" w:rsidRDefault="00000000">
            <w:pPr>
              <w:spacing w:before="40" w:after="40" w:line="216" w:lineRule="auto"/>
              <w:ind w:right="324"/>
              <w:jc w:val="right"/>
              <w:rPr>
                <w:sz w:val="22"/>
                <w:szCs w:val="22"/>
              </w:rPr>
            </w:pPr>
            <w:r>
              <w:rPr>
                <w:sz w:val="22"/>
                <w:szCs w:val="22"/>
              </w:rPr>
              <w:t>98</w:t>
            </w:r>
          </w:p>
        </w:tc>
        <w:tc>
          <w:tcPr>
            <w:tcW w:w="1182" w:type="dxa"/>
            <w:vAlign w:val="bottom"/>
          </w:tcPr>
          <w:p w:rsidR="00000000" w:rsidRDefault="00000000">
            <w:pPr>
              <w:spacing w:before="40" w:after="40" w:line="216" w:lineRule="auto"/>
              <w:ind w:right="324"/>
              <w:jc w:val="right"/>
              <w:rPr>
                <w:sz w:val="22"/>
                <w:szCs w:val="22"/>
              </w:rPr>
            </w:pPr>
            <w:r>
              <w:rPr>
                <w:sz w:val="22"/>
                <w:szCs w:val="22"/>
              </w:rPr>
              <w:t>64</w:t>
            </w:r>
          </w:p>
        </w:tc>
        <w:tc>
          <w:tcPr>
            <w:tcW w:w="1327" w:type="dxa"/>
            <w:vAlign w:val="bottom"/>
          </w:tcPr>
          <w:p w:rsidR="00000000" w:rsidRDefault="00000000">
            <w:pPr>
              <w:spacing w:before="40" w:after="40" w:line="216" w:lineRule="auto"/>
              <w:ind w:right="324"/>
              <w:jc w:val="right"/>
              <w:rPr>
                <w:sz w:val="22"/>
                <w:szCs w:val="22"/>
              </w:rPr>
            </w:pPr>
            <w:r>
              <w:rPr>
                <w:sz w:val="22"/>
                <w:szCs w:val="22"/>
              </w:rPr>
              <w:t>153,1</w:t>
            </w:r>
          </w:p>
        </w:tc>
        <w:tc>
          <w:tcPr>
            <w:tcW w:w="1091" w:type="dxa"/>
            <w:vAlign w:val="bottom"/>
          </w:tcPr>
          <w:p w:rsidR="00000000" w:rsidRDefault="00000000">
            <w:pPr>
              <w:spacing w:before="40" w:after="40" w:line="216" w:lineRule="auto"/>
              <w:ind w:right="324"/>
              <w:jc w:val="right"/>
              <w:rPr>
                <w:sz w:val="22"/>
                <w:szCs w:val="22"/>
              </w:rPr>
            </w:pPr>
            <w:r>
              <w:rPr>
                <w:sz w:val="22"/>
                <w:szCs w:val="22"/>
              </w:rPr>
              <w:t>91</w:t>
            </w:r>
          </w:p>
        </w:tc>
        <w:tc>
          <w:tcPr>
            <w:tcW w:w="1189" w:type="dxa"/>
            <w:vAlign w:val="bottom"/>
          </w:tcPr>
          <w:p w:rsidR="00000000" w:rsidRDefault="00000000">
            <w:pPr>
              <w:spacing w:before="40" w:after="40" w:line="216" w:lineRule="auto"/>
              <w:ind w:right="324"/>
              <w:jc w:val="right"/>
              <w:rPr>
                <w:sz w:val="22"/>
                <w:szCs w:val="22"/>
              </w:rPr>
            </w:pPr>
            <w:r>
              <w:rPr>
                <w:sz w:val="22"/>
                <w:szCs w:val="22"/>
              </w:rPr>
              <w:t>68</w:t>
            </w:r>
          </w:p>
        </w:tc>
        <w:tc>
          <w:tcPr>
            <w:tcW w:w="1330" w:type="dxa"/>
            <w:vAlign w:val="bottom"/>
          </w:tcPr>
          <w:p w:rsidR="00000000" w:rsidRDefault="00000000">
            <w:pPr>
              <w:spacing w:before="40" w:after="40" w:line="216" w:lineRule="auto"/>
              <w:ind w:right="324"/>
              <w:jc w:val="right"/>
              <w:rPr>
                <w:sz w:val="22"/>
                <w:szCs w:val="22"/>
              </w:rPr>
            </w:pPr>
            <w:r>
              <w:rPr>
                <w:sz w:val="22"/>
                <w:szCs w:val="22"/>
              </w:rPr>
              <w:t>133,8</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Viseu</w:t>
            </w:r>
          </w:p>
        </w:tc>
        <w:tc>
          <w:tcPr>
            <w:tcW w:w="1200" w:type="dxa"/>
            <w:vAlign w:val="bottom"/>
          </w:tcPr>
          <w:p w:rsidR="00000000" w:rsidRDefault="00000000">
            <w:pPr>
              <w:spacing w:before="40" w:after="40" w:line="216" w:lineRule="auto"/>
              <w:ind w:right="324"/>
              <w:jc w:val="right"/>
              <w:rPr>
                <w:sz w:val="22"/>
                <w:szCs w:val="22"/>
              </w:rPr>
            </w:pPr>
            <w:r>
              <w:rPr>
                <w:sz w:val="22"/>
                <w:szCs w:val="22"/>
              </w:rPr>
              <w:t>39</w:t>
            </w:r>
          </w:p>
        </w:tc>
        <w:tc>
          <w:tcPr>
            <w:tcW w:w="1182" w:type="dxa"/>
            <w:vAlign w:val="bottom"/>
          </w:tcPr>
          <w:p w:rsidR="00000000" w:rsidRDefault="00000000">
            <w:pPr>
              <w:spacing w:before="40" w:after="40" w:line="216" w:lineRule="auto"/>
              <w:ind w:right="324"/>
              <w:jc w:val="right"/>
              <w:rPr>
                <w:sz w:val="22"/>
                <w:szCs w:val="22"/>
              </w:rPr>
            </w:pPr>
            <w:r>
              <w:rPr>
                <w:sz w:val="22"/>
                <w:szCs w:val="22"/>
              </w:rPr>
              <w:t>46</w:t>
            </w:r>
          </w:p>
        </w:tc>
        <w:tc>
          <w:tcPr>
            <w:tcW w:w="1327" w:type="dxa"/>
            <w:vAlign w:val="bottom"/>
          </w:tcPr>
          <w:p w:rsidR="00000000" w:rsidRDefault="00000000">
            <w:pPr>
              <w:spacing w:before="40" w:after="40" w:line="216" w:lineRule="auto"/>
              <w:ind w:right="324"/>
              <w:jc w:val="right"/>
              <w:rPr>
                <w:sz w:val="22"/>
                <w:szCs w:val="22"/>
              </w:rPr>
            </w:pPr>
            <w:r>
              <w:rPr>
                <w:sz w:val="22"/>
                <w:szCs w:val="22"/>
              </w:rPr>
              <w:t>84,8</w:t>
            </w:r>
          </w:p>
        </w:tc>
        <w:tc>
          <w:tcPr>
            <w:tcW w:w="1091" w:type="dxa"/>
            <w:vAlign w:val="bottom"/>
          </w:tcPr>
          <w:p w:rsidR="00000000" w:rsidRDefault="00000000">
            <w:pPr>
              <w:spacing w:before="40" w:after="40" w:line="216" w:lineRule="auto"/>
              <w:ind w:right="324"/>
              <w:jc w:val="right"/>
              <w:rPr>
                <w:sz w:val="22"/>
                <w:szCs w:val="22"/>
              </w:rPr>
            </w:pPr>
            <w:r>
              <w:rPr>
                <w:sz w:val="22"/>
                <w:szCs w:val="22"/>
              </w:rPr>
              <w:t>47</w:t>
            </w:r>
          </w:p>
        </w:tc>
        <w:tc>
          <w:tcPr>
            <w:tcW w:w="1189" w:type="dxa"/>
            <w:vAlign w:val="bottom"/>
          </w:tcPr>
          <w:p w:rsidR="00000000" w:rsidRDefault="00000000">
            <w:pPr>
              <w:spacing w:before="40" w:after="40" w:line="216" w:lineRule="auto"/>
              <w:ind w:right="324"/>
              <w:jc w:val="right"/>
              <w:rPr>
                <w:sz w:val="22"/>
                <w:szCs w:val="22"/>
              </w:rPr>
            </w:pPr>
            <w:r>
              <w:rPr>
                <w:sz w:val="22"/>
                <w:szCs w:val="22"/>
              </w:rPr>
              <w:t>46</w:t>
            </w:r>
          </w:p>
        </w:tc>
        <w:tc>
          <w:tcPr>
            <w:tcW w:w="1330" w:type="dxa"/>
            <w:vAlign w:val="bottom"/>
          </w:tcPr>
          <w:p w:rsidR="00000000" w:rsidRDefault="00000000">
            <w:pPr>
              <w:spacing w:before="40" w:after="40" w:line="216" w:lineRule="auto"/>
              <w:ind w:right="324"/>
              <w:jc w:val="right"/>
              <w:rPr>
                <w:sz w:val="22"/>
                <w:szCs w:val="22"/>
              </w:rPr>
            </w:pPr>
            <w:r>
              <w:rPr>
                <w:sz w:val="22"/>
                <w:szCs w:val="22"/>
              </w:rPr>
              <w:t>102,2</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P.J. Lisboa</w:t>
            </w:r>
          </w:p>
        </w:tc>
        <w:tc>
          <w:tcPr>
            <w:tcW w:w="1200" w:type="dxa"/>
            <w:vAlign w:val="bottom"/>
          </w:tcPr>
          <w:p w:rsidR="00000000" w:rsidRDefault="00000000">
            <w:pPr>
              <w:spacing w:before="40" w:after="40" w:line="216" w:lineRule="auto"/>
              <w:ind w:right="324"/>
              <w:jc w:val="right"/>
              <w:rPr>
                <w:sz w:val="22"/>
                <w:szCs w:val="22"/>
              </w:rPr>
            </w:pPr>
            <w:r>
              <w:rPr>
                <w:sz w:val="22"/>
                <w:szCs w:val="22"/>
              </w:rPr>
              <w:t>173</w:t>
            </w:r>
          </w:p>
        </w:tc>
        <w:tc>
          <w:tcPr>
            <w:tcW w:w="1182" w:type="dxa"/>
            <w:vAlign w:val="bottom"/>
          </w:tcPr>
          <w:p w:rsidR="00000000" w:rsidRDefault="00000000">
            <w:pPr>
              <w:spacing w:before="40" w:after="40" w:line="216" w:lineRule="auto"/>
              <w:ind w:right="324"/>
              <w:jc w:val="right"/>
              <w:rPr>
                <w:sz w:val="22"/>
                <w:szCs w:val="22"/>
              </w:rPr>
            </w:pPr>
            <w:r>
              <w:rPr>
                <w:sz w:val="22"/>
                <w:szCs w:val="22"/>
              </w:rPr>
              <w:t>88</w:t>
            </w:r>
          </w:p>
        </w:tc>
        <w:tc>
          <w:tcPr>
            <w:tcW w:w="1327" w:type="dxa"/>
            <w:vAlign w:val="bottom"/>
          </w:tcPr>
          <w:p w:rsidR="00000000" w:rsidRDefault="00000000">
            <w:pPr>
              <w:spacing w:before="40" w:after="40" w:line="216" w:lineRule="auto"/>
              <w:ind w:right="324"/>
              <w:jc w:val="right"/>
              <w:rPr>
                <w:sz w:val="22"/>
                <w:szCs w:val="22"/>
              </w:rPr>
            </w:pPr>
            <w:r>
              <w:rPr>
                <w:sz w:val="22"/>
                <w:szCs w:val="22"/>
              </w:rPr>
              <w:t>196,6</w:t>
            </w:r>
          </w:p>
        </w:tc>
        <w:tc>
          <w:tcPr>
            <w:tcW w:w="1091" w:type="dxa"/>
            <w:vAlign w:val="bottom"/>
          </w:tcPr>
          <w:p w:rsidR="00000000" w:rsidRDefault="00000000">
            <w:pPr>
              <w:spacing w:before="40" w:after="40" w:line="216" w:lineRule="auto"/>
              <w:ind w:right="324"/>
              <w:jc w:val="right"/>
              <w:rPr>
                <w:sz w:val="22"/>
                <w:szCs w:val="22"/>
              </w:rPr>
            </w:pPr>
            <w:r>
              <w:rPr>
                <w:sz w:val="22"/>
                <w:szCs w:val="22"/>
              </w:rPr>
              <w:t>120</w:t>
            </w:r>
          </w:p>
        </w:tc>
        <w:tc>
          <w:tcPr>
            <w:tcW w:w="1189" w:type="dxa"/>
            <w:vAlign w:val="bottom"/>
          </w:tcPr>
          <w:p w:rsidR="00000000" w:rsidRDefault="00000000">
            <w:pPr>
              <w:spacing w:before="40" w:after="40" w:line="216" w:lineRule="auto"/>
              <w:ind w:right="324"/>
              <w:jc w:val="right"/>
              <w:rPr>
                <w:sz w:val="22"/>
                <w:szCs w:val="22"/>
              </w:rPr>
            </w:pPr>
            <w:r>
              <w:rPr>
                <w:sz w:val="22"/>
                <w:szCs w:val="22"/>
              </w:rPr>
              <w:t>88</w:t>
            </w:r>
          </w:p>
        </w:tc>
        <w:tc>
          <w:tcPr>
            <w:tcW w:w="1330" w:type="dxa"/>
            <w:vAlign w:val="bottom"/>
          </w:tcPr>
          <w:p w:rsidR="00000000" w:rsidRDefault="00000000">
            <w:pPr>
              <w:spacing w:before="40" w:after="40" w:line="216" w:lineRule="auto"/>
              <w:ind w:right="324"/>
              <w:jc w:val="right"/>
              <w:rPr>
                <w:sz w:val="22"/>
                <w:szCs w:val="22"/>
              </w:rPr>
            </w:pPr>
            <w:r>
              <w:rPr>
                <w:sz w:val="22"/>
                <w:szCs w:val="22"/>
              </w:rPr>
              <w:t>136,4</w:t>
            </w:r>
          </w:p>
        </w:tc>
      </w:tr>
      <w:tr w:rsidR="00000000">
        <w:trPr>
          <w:jc w:val="center"/>
        </w:trPr>
        <w:tc>
          <w:tcPr>
            <w:tcW w:w="2065" w:type="dxa"/>
            <w:vAlign w:val="center"/>
          </w:tcPr>
          <w:p w:rsidR="00000000" w:rsidRDefault="00000000">
            <w:pPr>
              <w:spacing w:before="40" w:after="40" w:line="216" w:lineRule="auto"/>
              <w:rPr>
                <w:sz w:val="22"/>
                <w:szCs w:val="22"/>
              </w:rPr>
            </w:pPr>
            <w:r>
              <w:rPr>
                <w:sz w:val="22"/>
                <w:szCs w:val="22"/>
              </w:rPr>
              <w:t>P.J. Porto</w:t>
            </w:r>
          </w:p>
        </w:tc>
        <w:tc>
          <w:tcPr>
            <w:tcW w:w="1200" w:type="dxa"/>
            <w:vAlign w:val="bottom"/>
          </w:tcPr>
          <w:p w:rsidR="00000000" w:rsidRDefault="00000000">
            <w:pPr>
              <w:spacing w:before="40" w:after="40" w:line="216" w:lineRule="auto"/>
              <w:ind w:right="324"/>
              <w:jc w:val="right"/>
              <w:rPr>
                <w:sz w:val="22"/>
                <w:szCs w:val="22"/>
              </w:rPr>
            </w:pPr>
            <w:r>
              <w:rPr>
                <w:sz w:val="22"/>
                <w:szCs w:val="22"/>
              </w:rPr>
              <w:t>41</w:t>
            </w:r>
          </w:p>
        </w:tc>
        <w:tc>
          <w:tcPr>
            <w:tcW w:w="1182" w:type="dxa"/>
            <w:vAlign w:val="bottom"/>
          </w:tcPr>
          <w:p w:rsidR="00000000" w:rsidRDefault="00000000">
            <w:pPr>
              <w:spacing w:before="40" w:after="40" w:line="216" w:lineRule="auto"/>
              <w:ind w:right="324"/>
              <w:jc w:val="right"/>
              <w:rPr>
                <w:sz w:val="22"/>
                <w:szCs w:val="22"/>
              </w:rPr>
            </w:pPr>
            <w:r>
              <w:rPr>
                <w:sz w:val="22"/>
                <w:szCs w:val="22"/>
              </w:rPr>
              <w:t>32</w:t>
            </w:r>
          </w:p>
        </w:tc>
        <w:tc>
          <w:tcPr>
            <w:tcW w:w="1327" w:type="dxa"/>
            <w:vAlign w:val="bottom"/>
          </w:tcPr>
          <w:p w:rsidR="00000000" w:rsidRDefault="00000000">
            <w:pPr>
              <w:spacing w:before="40" w:after="40" w:line="216" w:lineRule="auto"/>
              <w:ind w:right="324"/>
              <w:jc w:val="right"/>
              <w:rPr>
                <w:sz w:val="22"/>
                <w:szCs w:val="22"/>
              </w:rPr>
            </w:pPr>
            <w:r>
              <w:rPr>
                <w:sz w:val="22"/>
                <w:szCs w:val="22"/>
              </w:rPr>
              <w:t>128,1</w:t>
            </w:r>
          </w:p>
        </w:tc>
        <w:tc>
          <w:tcPr>
            <w:tcW w:w="1091" w:type="dxa"/>
            <w:vAlign w:val="bottom"/>
          </w:tcPr>
          <w:p w:rsidR="00000000" w:rsidRDefault="00000000">
            <w:pPr>
              <w:spacing w:before="40" w:after="40" w:line="216" w:lineRule="auto"/>
              <w:ind w:right="324"/>
              <w:jc w:val="right"/>
              <w:rPr>
                <w:sz w:val="22"/>
                <w:szCs w:val="22"/>
              </w:rPr>
            </w:pPr>
            <w:r>
              <w:rPr>
                <w:sz w:val="22"/>
                <w:szCs w:val="22"/>
              </w:rPr>
              <w:t>33</w:t>
            </w:r>
          </w:p>
        </w:tc>
        <w:tc>
          <w:tcPr>
            <w:tcW w:w="1189" w:type="dxa"/>
            <w:vAlign w:val="bottom"/>
          </w:tcPr>
          <w:p w:rsidR="00000000" w:rsidRDefault="00000000">
            <w:pPr>
              <w:spacing w:before="40" w:after="40" w:line="216" w:lineRule="auto"/>
              <w:ind w:right="324"/>
              <w:jc w:val="right"/>
              <w:rPr>
                <w:sz w:val="22"/>
                <w:szCs w:val="22"/>
              </w:rPr>
            </w:pPr>
            <w:r>
              <w:rPr>
                <w:sz w:val="22"/>
                <w:szCs w:val="22"/>
              </w:rPr>
              <w:t>32</w:t>
            </w:r>
          </w:p>
        </w:tc>
        <w:tc>
          <w:tcPr>
            <w:tcW w:w="1330" w:type="dxa"/>
            <w:vAlign w:val="bottom"/>
          </w:tcPr>
          <w:p w:rsidR="00000000" w:rsidRDefault="00000000">
            <w:pPr>
              <w:spacing w:before="40" w:after="40" w:line="216" w:lineRule="auto"/>
              <w:ind w:right="324"/>
              <w:jc w:val="right"/>
              <w:rPr>
                <w:sz w:val="22"/>
                <w:szCs w:val="22"/>
              </w:rPr>
            </w:pPr>
            <w:r>
              <w:rPr>
                <w:sz w:val="22"/>
                <w:szCs w:val="22"/>
              </w:rPr>
              <w:t>103,1</w:t>
            </w:r>
          </w:p>
        </w:tc>
      </w:tr>
      <w:tr w:rsidR="00000000">
        <w:trPr>
          <w:jc w:val="center"/>
        </w:trPr>
        <w:tc>
          <w:tcPr>
            <w:tcW w:w="2065" w:type="dxa"/>
            <w:vAlign w:val="center"/>
          </w:tcPr>
          <w:p w:rsidR="00000000" w:rsidRDefault="00000000">
            <w:pPr>
              <w:spacing w:before="40" w:after="40" w:line="216" w:lineRule="auto"/>
              <w:rPr>
                <w:b/>
                <w:sz w:val="22"/>
                <w:szCs w:val="22"/>
              </w:rPr>
            </w:pPr>
            <w:r>
              <w:rPr>
                <w:b/>
                <w:sz w:val="22"/>
                <w:szCs w:val="22"/>
              </w:rPr>
              <w:t>Total</w:t>
            </w:r>
            <w:r>
              <w:rPr>
                <w:b/>
                <w:bCs/>
                <w:vertAlign w:val="superscript"/>
              </w:rPr>
              <w:t>a</w:t>
            </w:r>
          </w:p>
        </w:tc>
        <w:tc>
          <w:tcPr>
            <w:tcW w:w="1200" w:type="dxa"/>
            <w:vAlign w:val="bottom"/>
          </w:tcPr>
          <w:p w:rsidR="00000000" w:rsidRDefault="00000000">
            <w:pPr>
              <w:spacing w:before="40" w:after="40" w:line="216" w:lineRule="auto"/>
              <w:ind w:right="324"/>
              <w:jc w:val="right"/>
              <w:rPr>
                <w:b/>
                <w:sz w:val="22"/>
                <w:szCs w:val="22"/>
              </w:rPr>
            </w:pPr>
            <w:r>
              <w:rPr>
                <w:b/>
                <w:sz w:val="22"/>
                <w:szCs w:val="22"/>
              </w:rPr>
              <w:t>3 679</w:t>
            </w:r>
          </w:p>
        </w:tc>
        <w:tc>
          <w:tcPr>
            <w:tcW w:w="1182" w:type="dxa"/>
            <w:vAlign w:val="bottom"/>
          </w:tcPr>
          <w:p w:rsidR="00000000" w:rsidRDefault="00000000">
            <w:pPr>
              <w:spacing w:before="40" w:after="40" w:line="216" w:lineRule="auto"/>
              <w:ind w:right="324"/>
              <w:jc w:val="right"/>
              <w:rPr>
                <w:b/>
                <w:sz w:val="22"/>
                <w:szCs w:val="22"/>
              </w:rPr>
            </w:pPr>
            <w:r>
              <w:rPr>
                <w:b/>
                <w:sz w:val="22"/>
                <w:szCs w:val="22"/>
              </w:rPr>
              <w:t>2 548</w:t>
            </w:r>
          </w:p>
        </w:tc>
        <w:tc>
          <w:tcPr>
            <w:tcW w:w="1327" w:type="dxa"/>
            <w:vAlign w:val="bottom"/>
          </w:tcPr>
          <w:p w:rsidR="00000000" w:rsidRDefault="00000000">
            <w:pPr>
              <w:spacing w:before="40" w:after="40" w:line="216" w:lineRule="auto"/>
              <w:ind w:right="324"/>
              <w:jc w:val="right"/>
              <w:rPr>
                <w:b/>
                <w:sz w:val="22"/>
                <w:szCs w:val="22"/>
              </w:rPr>
            </w:pPr>
            <w:r>
              <w:rPr>
                <w:b/>
                <w:sz w:val="22"/>
                <w:szCs w:val="22"/>
              </w:rPr>
              <w:t>144,4</w:t>
            </w:r>
          </w:p>
        </w:tc>
        <w:tc>
          <w:tcPr>
            <w:tcW w:w="1091" w:type="dxa"/>
            <w:vAlign w:val="bottom"/>
          </w:tcPr>
          <w:p w:rsidR="00000000" w:rsidRDefault="00000000">
            <w:pPr>
              <w:spacing w:before="40" w:after="40" w:line="216" w:lineRule="auto"/>
              <w:ind w:right="324"/>
              <w:jc w:val="right"/>
              <w:rPr>
                <w:b/>
                <w:sz w:val="22"/>
                <w:szCs w:val="22"/>
              </w:rPr>
            </w:pPr>
            <w:r>
              <w:rPr>
                <w:b/>
                <w:sz w:val="22"/>
                <w:szCs w:val="22"/>
              </w:rPr>
              <w:t>3 380</w:t>
            </w:r>
          </w:p>
        </w:tc>
        <w:tc>
          <w:tcPr>
            <w:tcW w:w="1189" w:type="dxa"/>
            <w:vAlign w:val="bottom"/>
          </w:tcPr>
          <w:p w:rsidR="00000000" w:rsidRDefault="00000000">
            <w:pPr>
              <w:spacing w:before="40" w:after="40" w:line="216" w:lineRule="auto"/>
              <w:ind w:right="324"/>
              <w:jc w:val="right"/>
              <w:rPr>
                <w:b/>
                <w:sz w:val="22"/>
                <w:szCs w:val="22"/>
              </w:rPr>
            </w:pPr>
            <w:r>
              <w:rPr>
                <w:b/>
                <w:sz w:val="22"/>
                <w:szCs w:val="22"/>
              </w:rPr>
              <w:t>2 557</w:t>
            </w:r>
          </w:p>
        </w:tc>
        <w:tc>
          <w:tcPr>
            <w:tcW w:w="1330" w:type="dxa"/>
            <w:vAlign w:val="bottom"/>
          </w:tcPr>
          <w:p w:rsidR="00000000" w:rsidRDefault="00000000">
            <w:pPr>
              <w:spacing w:before="40" w:after="40" w:line="216" w:lineRule="auto"/>
              <w:ind w:right="324"/>
              <w:jc w:val="right"/>
              <w:rPr>
                <w:b/>
                <w:sz w:val="22"/>
                <w:szCs w:val="22"/>
              </w:rPr>
            </w:pPr>
            <w:r>
              <w:rPr>
                <w:b/>
                <w:sz w:val="22"/>
                <w:szCs w:val="22"/>
              </w:rPr>
              <w:t>132,2</w:t>
            </w:r>
          </w:p>
        </w:tc>
      </w:tr>
    </w:tbl>
    <w:p w:rsidR="00000000" w:rsidRDefault="00000000">
      <w:pPr>
        <w:spacing w:before="200" w:after="240"/>
      </w:pPr>
      <w:r>
        <w:rPr>
          <w:b/>
          <w:bCs/>
          <w:vertAlign w:val="superscript"/>
        </w:rPr>
        <w:t>a</w:t>
      </w:r>
      <w:r>
        <w:t xml:space="preserve"> Ces totaux sont reportés à l’avant-dernière ligne du tableau 5-A ci</w:t>
      </w:r>
      <w:r>
        <w:noBreakHyphen/>
        <w:t>dessus.</w:t>
      </w:r>
    </w:p>
    <w:p w:rsidR="00000000" w:rsidRDefault="00000000">
      <w:pPr>
        <w:spacing w:after="240"/>
        <w:jc w:val="center"/>
      </w:pPr>
      <w:r>
        <w:rPr>
          <w:b/>
        </w:rPr>
        <w:br w:type="page"/>
        <w:t>Tableau 6-A.  Population carcérale par établissement, occupation et taux d’occupation</w:t>
      </w:r>
      <w:r>
        <w:rPr>
          <w:b/>
        </w:rPr>
        <w:br/>
        <w:t>(au 31 décembre de 2001 et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63"/>
        <w:gridCol w:w="1200"/>
        <w:gridCol w:w="1200"/>
        <w:gridCol w:w="1320"/>
        <w:gridCol w:w="1080"/>
        <w:gridCol w:w="1200"/>
        <w:gridCol w:w="1316"/>
      </w:tblGrid>
      <w:tr w:rsidR="00000000">
        <w:trPr>
          <w:cantSplit/>
          <w:tblHeader/>
          <w:jc w:val="center"/>
        </w:trPr>
        <w:tc>
          <w:tcPr>
            <w:tcW w:w="2063" w:type="dxa"/>
            <w:vMerge w:val="restart"/>
            <w:vAlign w:val="center"/>
          </w:tcPr>
          <w:p w:rsidR="00000000" w:rsidRDefault="00000000">
            <w:pPr>
              <w:spacing w:before="40" w:after="40" w:line="216" w:lineRule="auto"/>
              <w:jc w:val="center"/>
              <w:rPr>
                <w:b/>
                <w:sz w:val="22"/>
                <w:szCs w:val="22"/>
              </w:rPr>
            </w:pPr>
            <w:r>
              <w:rPr>
                <w:b/>
                <w:sz w:val="22"/>
              </w:rPr>
              <w:t>Établissements</w:t>
            </w:r>
          </w:p>
        </w:tc>
        <w:tc>
          <w:tcPr>
            <w:tcW w:w="3720" w:type="dxa"/>
            <w:gridSpan w:val="3"/>
            <w:vAlign w:val="center"/>
          </w:tcPr>
          <w:p w:rsidR="00000000" w:rsidRDefault="00000000">
            <w:pPr>
              <w:spacing w:before="40" w:after="40" w:line="216" w:lineRule="auto"/>
              <w:jc w:val="center"/>
              <w:rPr>
                <w:b/>
                <w:sz w:val="22"/>
                <w:szCs w:val="22"/>
              </w:rPr>
            </w:pPr>
            <w:r>
              <w:rPr>
                <w:b/>
                <w:sz w:val="22"/>
                <w:szCs w:val="22"/>
              </w:rPr>
              <w:t>2001</w:t>
            </w:r>
          </w:p>
        </w:tc>
        <w:tc>
          <w:tcPr>
            <w:tcW w:w="3596" w:type="dxa"/>
            <w:gridSpan w:val="3"/>
            <w:vAlign w:val="center"/>
          </w:tcPr>
          <w:p w:rsidR="00000000" w:rsidRDefault="00000000">
            <w:pPr>
              <w:spacing w:before="40" w:after="40" w:line="216" w:lineRule="auto"/>
              <w:jc w:val="center"/>
              <w:rPr>
                <w:b/>
                <w:sz w:val="22"/>
                <w:szCs w:val="22"/>
              </w:rPr>
            </w:pPr>
            <w:r>
              <w:rPr>
                <w:b/>
                <w:sz w:val="22"/>
                <w:szCs w:val="22"/>
              </w:rPr>
              <w:t>2002</w:t>
            </w:r>
          </w:p>
        </w:tc>
      </w:tr>
      <w:tr w:rsidR="00000000">
        <w:trPr>
          <w:cantSplit/>
          <w:tblHeader/>
          <w:jc w:val="center"/>
        </w:trPr>
        <w:tc>
          <w:tcPr>
            <w:tcW w:w="2063" w:type="dxa"/>
            <w:vMerge/>
            <w:vAlign w:val="center"/>
          </w:tcPr>
          <w:p w:rsidR="00000000" w:rsidRDefault="00000000">
            <w:pPr>
              <w:spacing w:before="40" w:after="40" w:line="216" w:lineRule="auto"/>
              <w:jc w:val="center"/>
              <w:rPr>
                <w:b/>
                <w:sz w:val="22"/>
                <w:szCs w:val="22"/>
              </w:rPr>
            </w:pPr>
          </w:p>
        </w:tc>
        <w:tc>
          <w:tcPr>
            <w:tcW w:w="1200" w:type="dxa"/>
            <w:vAlign w:val="center"/>
          </w:tcPr>
          <w:p w:rsidR="00000000" w:rsidRDefault="00000000">
            <w:pPr>
              <w:spacing w:before="40" w:after="40" w:line="216" w:lineRule="auto"/>
              <w:jc w:val="center"/>
              <w:rPr>
                <w:b/>
                <w:sz w:val="22"/>
              </w:rPr>
            </w:pPr>
            <w:r>
              <w:rPr>
                <w:b/>
                <w:sz w:val="22"/>
              </w:rPr>
              <w:t>Nombre</w:t>
            </w:r>
            <w:r>
              <w:rPr>
                <w:b/>
                <w:sz w:val="22"/>
              </w:rPr>
              <w:br/>
              <w:t>de détenus</w:t>
            </w:r>
          </w:p>
        </w:tc>
        <w:tc>
          <w:tcPr>
            <w:tcW w:w="1200" w:type="dxa"/>
            <w:vAlign w:val="center"/>
          </w:tcPr>
          <w:p w:rsidR="00000000" w:rsidRDefault="00000000">
            <w:pPr>
              <w:spacing w:before="40" w:after="40" w:line="216" w:lineRule="auto"/>
              <w:jc w:val="center"/>
              <w:rPr>
                <w:b/>
                <w:sz w:val="22"/>
              </w:rPr>
            </w:pPr>
            <w:r>
              <w:rPr>
                <w:b/>
                <w:sz w:val="22"/>
              </w:rPr>
              <w:t>Occupation</w:t>
            </w:r>
          </w:p>
        </w:tc>
        <w:tc>
          <w:tcPr>
            <w:tcW w:w="1320" w:type="dxa"/>
            <w:vAlign w:val="center"/>
          </w:tcPr>
          <w:p w:rsidR="00000000" w:rsidRDefault="00000000">
            <w:pPr>
              <w:spacing w:before="40" w:after="40" w:line="216" w:lineRule="auto"/>
              <w:jc w:val="center"/>
              <w:rPr>
                <w:b/>
                <w:sz w:val="22"/>
              </w:rPr>
            </w:pPr>
            <w:r>
              <w:rPr>
                <w:b/>
                <w:sz w:val="22"/>
              </w:rPr>
              <w:t>Taux d’occupation en %</w:t>
            </w:r>
          </w:p>
        </w:tc>
        <w:tc>
          <w:tcPr>
            <w:tcW w:w="1080" w:type="dxa"/>
            <w:vAlign w:val="center"/>
          </w:tcPr>
          <w:p w:rsidR="00000000" w:rsidRDefault="00000000">
            <w:pPr>
              <w:spacing w:before="40" w:after="40" w:line="216" w:lineRule="auto"/>
              <w:jc w:val="center"/>
              <w:rPr>
                <w:b/>
                <w:sz w:val="22"/>
              </w:rPr>
            </w:pPr>
            <w:r>
              <w:rPr>
                <w:b/>
                <w:sz w:val="22"/>
              </w:rPr>
              <w:t>Nombre</w:t>
            </w:r>
            <w:r>
              <w:rPr>
                <w:b/>
                <w:sz w:val="22"/>
              </w:rPr>
              <w:br/>
              <w:t>de détenus</w:t>
            </w:r>
          </w:p>
        </w:tc>
        <w:tc>
          <w:tcPr>
            <w:tcW w:w="1200" w:type="dxa"/>
            <w:vAlign w:val="center"/>
          </w:tcPr>
          <w:p w:rsidR="00000000" w:rsidRDefault="00000000">
            <w:pPr>
              <w:spacing w:before="40" w:after="40" w:line="216" w:lineRule="auto"/>
              <w:jc w:val="center"/>
              <w:rPr>
                <w:b/>
                <w:sz w:val="22"/>
              </w:rPr>
            </w:pPr>
            <w:r>
              <w:rPr>
                <w:b/>
                <w:sz w:val="22"/>
              </w:rPr>
              <w:t>Occupation</w:t>
            </w:r>
          </w:p>
        </w:tc>
        <w:tc>
          <w:tcPr>
            <w:tcW w:w="1316" w:type="dxa"/>
            <w:vAlign w:val="center"/>
          </w:tcPr>
          <w:p w:rsidR="00000000" w:rsidRDefault="00000000">
            <w:pPr>
              <w:spacing w:before="40" w:after="40" w:line="216" w:lineRule="auto"/>
              <w:jc w:val="center"/>
              <w:rPr>
                <w:b/>
                <w:sz w:val="22"/>
              </w:rPr>
            </w:pPr>
            <w:r>
              <w:rPr>
                <w:b/>
                <w:sz w:val="22"/>
              </w:rPr>
              <w:t>Taux d’occupation en %</w:t>
            </w:r>
          </w:p>
        </w:tc>
      </w:tr>
      <w:tr w:rsidR="00000000">
        <w:trPr>
          <w:jc w:val="center"/>
        </w:trPr>
        <w:tc>
          <w:tcPr>
            <w:tcW w:w="2063" w:type="dxa"/>
            <w:vAlign w:val="center"/>
          </w:tcPr>
          <w:p w:rsidR="00000000" w:rsidRDefault="00000000">
            <w:pPr>
              <w:spacing w:before="40" w:after="40" w:line="216" w:lineRule="auto"/>
              <w:rPr>
                <w:b/>
                <w:bCs/>
                <w:sz w:val="22"/>
                <w:szCs w:val="22"/>
              </w:rPr>
            </w:pPr>
            <w:r>
              <w:rPr>
                <w:b/>
                <w:bCs/>
                <w:sz w:val="22"/>
                <w:szCs w:val="22"/>
              </w:rPr>
              <w:t>Établissements centraux</w:t>
            </w:r>
          </w:p>
        </w:tc>
        <w:tc>
          <w:tcPr>
            <w:tcW w:w="1200" w:type="dxa"/>
            <w:vAlign w:val="bottom"/>
          </w:tcPr>
          <w:p w:rsidR="00000000" w:rsidRDefault="00000000">
            <w:pPr>
              <w:spacing w:before="40" w:after="40" w:line="216" w:lineRule="auto"/>
              <w:ind w:right="324"/>
              <w:jc w:val="right"/>
              <w:rPr>
                <w:sz w:val="22"/>
                <w:szCs w:val="22"/>
              </w:rPr>
            </w:pPr>
          </w:p>
        </w:tc>
        <w:tc>
          <w:tcPr>
            <w:tcW w:w="1200" w:type="dxa"/>
            <w:vAlign w:val="bottom"/>
          </w:tcPr>
          <w:p w:rsidR="00000000" w:rsidRDefault="00000000">
            <w:pPr>
              <w:spacing w:before="40" w:after="40" w:line="216" w:lineRule="auto"/>
              <w:ind w:right="324"/>
              <w:jc w:val="right"/>
              <w:rPr>
                <w:sz w:val="22"/>
                <w:szCs w:val="22"/>
              </w:rPr>
            </w:pPr>
          </w:p>
        </w:tc>
        <w:tc>
          <w:tcPr>
            <w:tcW w:w="1320" w:type="dxa"/>
            <w:vAlign w:val="bottom"/>
          </w:tcPr>
          <w:p w:rsidR="00000000" w:rsidRDefault="00000000">
            <w:pPr>
              <w:spacing w:before="40" w:after="40" w:line="216" w:lineRule="auto"/>
              <w:ind w:right="324"/>
              <w:jc w:val="right"/>
              <w:rPr>
                <w:sz w:val="22"/>
                <w:szCs w:val="22"/>
              </w:rPr>
            </w:pPr>
          </w:p>
        </w:tc>
        <w:tc>
          <w:tcPr>
            <w:tcW w:w="1080" w:type="dxa"/>
            <w:vAlign w:val="bottom"/>
          </w:tcPr>
          <w:p w:rsidR="00000000" w:rsidRDefault="00000000">
            <w:pPr>
              <w:spacing w:before="40" w:after="40" w:line="216" w:lineRule="auto"/>
              <w:ind w:right="324"/>
              <w:jc w:val="right"/>
              <w:rPr>
                <w:sz w:val="22"/>
                <w:szCs w:val="22"/>
              </w:rPr>
            </w:pPr>
          </w:p>
        </w:tc>
        <w:tc>
          <w:tcPr>
            <w:tcW w:w="1200" w:type="dxa"/>
            <w:vAlign w:val="bottom"/>
          </w:tcPr>
          <w:p w:rsidR="00000000" w:rsidRDefault="00000000">
            <w:pPr>
              <w:spacing w:before="40" w:after="40" w:line="216" w:lineRule="auto"/>
              <w:ind w:right="324"/>
              <w:jc w:val="right"/>
              <w:rPr>
                <w:sz w:val="22"/>
                <w:szCs w:val="22"/>
              </w:rPr>
            </w:pPr>
          </w:p>
        </w:tc>
        <w:tc>
          <w:tcPr>
            <w:tcW w:w="1316" w:type="dxa"/>
            <w:vAlign w:val="bottom"/>
          </w:tcPr>
          <w:p w:rsidR="00000000" w:rsidRDefault="00000000">
            <w:pPr>
              <w:spacing w:before="40" w:after="40" w:line="216" w:lineRule="auto"/>
              <w:ind w:right="324"/>
              <w:jc w:val="right"/>
              <w:rPr>
                <w:sz w:val="22"/>
                <w:szCs w:val="22"/>
              </w:rPr>
            </w:pP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Alcoentre</w:t>
            </w:r>
          </w:p>
        </w:tc>
        <w:tc>
          <w:tcPr>
            <w:tcW w:w="1200" w:type="dxa"/>
            <w:vAlign w:val="bottom"/>
          </w:tcPr>
          <w:p w:rsidR="00000000" w:rsidRDefault="00000000">
            <w:pPr>
              <w:spacing w:before="40" w:after="40" w:line="216" w:lineRule="auto"/>
              <w:ind w:right="324"/>
              <w:jc w:val="right"/>
              <w:rPr>
                <w:sz w:val="22"/>
                <w:szCs w:val="22"/>
              </w:rPr>
            </w:pPr>
            <w:r>
              <w:rPr>
                <w:sz w:val="22"/>
                <w:szCs w:val="22"/>
              </w:rPr>
              <w:t>724</w:t>
            </w:r>
          </w:p>
        </w:tc>
        <w:tc>
          <w:tcPr>
            <w:tcW w:w="1200" w:type="dxa"/>
            <w:vAlign w:val="bottom"/>
          </w:tcPr>
          <w:p w:rsidR="00000000" w:rsidRDefault="00000000">
            <w:pPr>
              <w:spacing w:before="40" w:after="40" w:line="216" w:lineRule="auto"/>
              <w:ind w:right="324"/>
              <w:jc w:val="right"/>
              <w:rPr>
                <w:sz w:val="22"/>
                <w:szCs w:val="22"/>
              </w:rPr>
            </w:pPr>
            <w:r>
              <w:rPr>
                <w:sz w:val="22"/>
                <w:szCs w:val="22"/>
              </w:rPr>
              <w:t>663</w:t>
            </w:r>
          </w:p>
        </w:tc>
        <w:tc>
          <w:tcPr>
            <w:tcW w:w="1320" w:type="dxa"/>
            <w:vAlign w:val="bottom"/>
          </w:tcPr>
          <w:p w:rsidR="00000000" w:rsidRDefault="00000000">
            <w:pPr>
              <w:spacing w:before="40" w:after="40" w:line="216" w:lineRule="auto"/>
              <w:ind w:right="324"/>
              <w:jc w:val="right"/>
              <w:rPr>
                <w:sz w:val="22"/>
                <w:szCs w:val="22"/>
              </w:rPr>
            </w:pPr>
            <w:r>
              <w:rPr>
                <w:sz w:val="22"/>
                <w:szCs w:val="22"/>
              </w:rPr>
              <w:t>109,2</w:t>
            </w:r>
          </w:p>
        </w:tc>
        <w:tc>
          <w:tcPr>
            <w:tcW w:w="1080" w:type="dxa"/>
            <w:vAlign w:val="bottom"/>
          </w:tcPr>
          <w:p w:rsidR="00000000" w:rsidRDefault="00000000">
            <w:pPr>
              <w:spacing w:before="40" w:after="40" w:line="216" w:lineRule="auto"/>
              <w:ind w:right="324"/>
              <w:jc w:val="right"/>
              <w:rPr>
                <w:sz w:val="22"/>
                <w:szCs w:val="22"/>
              </w:rPr>
            </w:pPr>
            <w:r>
              <w:rPr>
                <w:sz w:val="22"/>
                <w:szCs w:val="22"/>
              </w:rPr>
              <w:t>718</w:t>
            </w:r>
          </w:p>
        </w:tc>
        <w:tc>
          <w:tcPr>
            <w:tcW w:w="1200" w:type="dxa"/>
            <w:vAlign w:val="bottom"/>
          </w:tcPr>
          <w:p w:rsidR="00000000" w:rsidRDefault="00000000">
            <w:pPr>
              <w:spacing w:before="40" w:after="40" w:line="216" w:lineRule="auto"/>
              <w:ind w:right="324"/>
              <w:jc w:val="right"/>
              <w:rPr>
                <w:sz w:val="22"/>
                <w:szCs w:val="22"/>
              </w:rPr>
            </w:pPr>
            <w:r>
              <w:rPr>
                <w:sz w:val="22"/>
                <w:szCs w:val="22"/>
              </w:rPr>
              <w:t>663</w:t>
            </w:r>
          </w:p>
        </w:tc>
        <w:tc>
          <w:tcPr>
            <w:tcW w:w="1316" w:type="dxa"/>
            <w:vAlign w:val="bottom"/>
          </w:tcPr>
          <w:p w:rsidR="00000000" w:rsidRDefault="00000000">
            <w:pPr>
              <w:spacing w:before="40" w:after="40" w:line="216" w:lineRule="auto"/>
              <w:ind w:right="324"/>
              <w:jc w:val="right"/>
              <w:rPr>
                <w:sz w:val="22"/>
                <w:szCs w:val="22"/>
              </w:rPr>
            </w:pPr>
            <w:r>
              <w:rPr>
                <w:sz w:val="22"/>
                <w:szCs w:val="22"/>
              </w:rPr>
              <w:t>108,3</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Carregueira</w:t>
            </w:r>
            <w:r>
              <w:rPr>
                <w:b/>
                <w:bCs/>
                <w:sz w:val="22"/>
                <w:szCs w:val="22"/>
                <w:vertAlign w:val="superscript"/>
              </w:rPr>
              <w:t>a</w:t>
            </w:r>
          </w:p>
        </w:tc>
        <w:tc>
          <w:tcPr>
            <w:tcW w:w="1200" w:type="dxa"/>
            <w:vAlign w:val="bottom"/>
          </w:tcPr>
          <w:p w:rsidR="00000000" w:rsidRDefault="00000000">
            <w:pPr>
              <w:spacing w:before="40" w:after="40" w:line="216" w:lineRule="auto"/>
              <w:ind w:right="324"/>
              <w:jc w:val="right"/>
              <w:rPr>
                <w:sz w:val="22"/>
                <w:szCs w:val="22"/>
              </w:rPr>
            </w:pPr>
          </w:p>
        </w:tc>
        <w:tc>
          <w:tcPr>
            <w:tcW w:w="1200" w:type="dxa"/>
            <w:vAlign w:val="bottom"/>
          </w:tcPr>
          <w:p w:rsidR="00000000" w:rsidRDefault="00000000">
            <w:pPr>
              <w:spacing w:before="40" w:after="40" w:line="216" w:lineRule="auto"/>
              <w:ind w:right="324"/>
              <w:jc w:val="right"/>
              <w:rPr>
                <w:sz w:val="22"/>
                <w:szCs w:val="22"/>
              </w:rPr>
            </w:pPr>
          </w:p>
        </w:tc>
        <w:tc>
          <w:tcPr>
            <w:tcW w:w="1320" w:type="dxa"/>
            <w:vAlign w:val="bottom"/>
          </w:tcPr>
          <w:p w:rsidR="00000000" w:rsidRDefault="00000000">
            <w:pPr>
              <w:spacing w:before="40" w:after="40" w:line="216" w:lineRule="auto"/>
              <w:ind w:right="324"/>
              <w:jc w:val="right"/>
              <w:rPr>
                <w:sz w:val="22"/>
                <w:szCs w:val="22"/>
              </w:rPr>
            </w:pPr>
          </w:p>
        </w:tc>
        <w:tc>
          <w:tcPr>
            <w:tcW w:w="1080" w:type="dxa"/>
            <w:vAlign w:val="bottom"/>
          </w:tcPr>
          <w:p w:rsidR="00000000" w:rsidRDefault="00000000">
            <w:pPr>
              <w:spacing w:before="40" w:after="40" w:line="216" w:lineRule="auto"/>
              <w:ind w:right="324"/>
              <w:jc w:val="right"/>
              <w:rPr>
                <w:sz w:val="22"/>
                <w:szCs w:val="22"/>
              </w:rPr>
            </w:pPr>
            <w:r>
              <w:rPr>
                <w:sz w:val="22"/>
                <w:szCs w:val="22"/>
              </w:rPr>
              <w:t>91</w:t>
            </w:r>
          </w:p>
        </w:tc>
        <w:tc>
          <w:tcPr>
            <w:tcW w:w="1200" w:type="dxa"/>
            <w:vAlign w:val="bottom"/>
          </w:tcPr>
          <w:p w:rsidR="00000000" w:rsidRDefault="00000000">
            <w:pPr>
              <w:spacing w:before="40" w:after="40" w:line="216" w:lineRule="auto"/>
              <w:ind w:right="324"/>
              <w:jc w:val="right"/>
              <w:rPr>
                <w:sz w:val="22"/>
                <w:szCs w:val="22"/>
              </w:rPr>
            </w:pPr>
            <w:r>
              <w:rPr>
                <w:sz w:val="22"/>
                <w:szCs w:val="22"/>
              </w:rPr>
              <w:t>94</w:t>
            </w:r>
          </w:p>
        </w:tc>
        <w:tc>
          <w:tcPr>
            <w:tcW w:w="1316" w:type="dxa"/>
            <w:vAlign w:val="bottom"/>
          </w:tcPr>
          <w:p w:rsidR="00000000" w:rsidRDefault="00000000">
            <w:pPr>
              <w:spacing w:before="40" w:after="40" w:line="216" w:lineRule="auto"/>
              <w:ind w:right="324"/>
              <w:jc w:val="right"/>
              <w:rPr>
                <w:sz w:val="22"/>
                <w:szCs w:val="22"/>
              </w:rPr>
            </w:pPr>
            <w:r>
              <w:rPr>
                <w:sz w:val="22"/>
                <w:szCs w:val="22"/>
              </w:rPr>
              <w:t>96,8</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Castelo Branco</w:t>
            </w:r>
          </w:p>
        </w:tc>
        <w:tc>
          <w:tcPr>
            <w:tcW w:w="1200" w:type="dxa"/>
            <w:vAlign w:val="bottom"/>
          </w:tcPr>
          <w:p w:rsidR="00000000" w:rsidRDefault="00000000">
            <w:pPr>
              <w:spacing w:before="40" w:after="40" w:line="216" w:lineRule="auto"/>
              <w:ind w:right="324"/>
              <w:jc w:val="right"/>
              <w:rPr>
                <w:sz w:val="22"/>
                <w:szCs w:val="22"/>
              </w:rPr>
            </w:pPr>
            <w:r>
              <w:rPr>
                <w:sz w:val="22"/>
                <w:szCs w:val="22"/>
              </w:rPr>
              <w:t>85</w:t>
            </w:r>
          </w:p>
        </w:tc>
        <w:tc>
          <w:tcPr>
            <w:tcW w:w="1200" w:type="dxa"/>
            <w:vAlign w:val="bottom"/>
          </w:tcPr>
          <w:p w:rsidR="00000000" w:rsidRDefault="00000000">
            <w:pPr>
              <w:spacing w:before="40" w:after="40" w:line="216" w:lineRule="auto"/>
              <w:ind w:right="324"/>
              <w:jc w:val="right"/>
              <w:rPr>
                <w:sz w:val="22"/>
                <w:szCs w:val="22"/>
              </w:rPr>
            </w:pPr>
            <w:r>
              <w:rPr>
                <w:sz w:val="22"/>
                <w:szCs w:val="22"/>
              </w:rPr>
              <w:t>168</w:t>
            </w:r>
          </w:p>
        </w:tc>
        <w:tc>
          <w:tcPr>
            <w:tcW w:w="1320" w:type="dxa"/>
            <w:vAlign w:val="bottom"/>
          </w:tcPr>
          <w:p w:rsidR="00000000" w:rsidRDefault="00000000">
            <w:pPr>
              <w:spacing w:before="40" w:after="40" w:line="216" w:lineRule="auto"/>
              <w:ind w:right="324"/>
              <w:jc w:val="right"/>
              <w:rPr>
                <w:sz w:val="22"/>
                <w:szCs w:val="22"/>
              </w:rPr>
            </w:pPr>
            <w:r>
              <w:rPr>
                <w:sz w:val="22"/>
                <w:szCs w:val="22"/>
              </w:rPr>
              <w:t>50,6</w:t>
            </w:r>
          </w:p>
        </w:tc>
        <w:tc>
          <w:tcPr>
            <w:tcW w:w="1080" w:type="dxa"/>
            <w:vAlign w:val="bottom"/>
          </w:tcPr>
          <w:p w:rsidR="00000000" w:rsidRDefault="00000000">
            <w:pPr>
              <w:spacing w:before="40" w:after="40" w:line="216" w:lineRule="auto"/>
              <w:ind w:right="324"/>
              <w:jc w:val="right"/>
              <w:rPr>
                <w:sz w:val="22"/>
                <w:szCs w:val="22"/>
              </w:rPr>
            </w:pPr>
            <w:r>
              <w:rPr>
                <w:sz w:val="22"/>
                <w:szCs w:val="22"/>
              </w:rPr>
              <w:t>114</w:t>
            </w:r>
          </w:p>
        </w:tc>
        <w:tc>
          <w:tcPr>
            <w:tcW w:w="1200" w:type="dxa"/>
            <w:vAlign w:val="bottom"/>
          </w:tcPr>
          <w:p w:rsidR="00000000" w:rsidRDefault="00000000">
            <w:pPr>
              <w:spacing w:before="40" w:after="40" w:line="216" w:lineRule="auto"/>
              <w:ind w:right="324"/>
              <w:jc w:val="right"/>
              <w:rPr>
                <w:sz w:val="22"/>
                <w:szCs w:val="22"/>
              </w:rPr>
            </w:pPr>
            <w:r>
              <w:rPr>
                <w:sz w:val="22"/>
                <w:szCs w:val="22"/>
              </w:rPr>
              <w:t>168</w:t>
            </w:r>
          </w:p>
        </w:tc>
        <w:tc>
          <w:tcPr>
            <w:tcW w:w="1316" w:type="dxa"/>
            <w:vAlign w:val="bottom"/>
          </w:tcPr>
          <w:p w:rsidR="00000000" w:rsidRDefault="00000000">
            <w:pPr>
              <w:spacing w:before="40" w:after="40" w:line="216" w:lineRule="auto"/>
              <w:ind w:right="324"/>
              <w:jc w:val="right"/>
              <w:rPr>
                <w:sz w:val="22"/>
                <w:szCs w:val="22"/>
              </w:rPr>
            </w:pPr>
            <w:r>
              <w:rPr>
                <w:sz w:val="22"/>
                <w:szCs w:val="22"/>
              </w:rPr>
              <w:t>67,9</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Caxias</w:t>
            </w:r>
          </w:p>
        </w:tc>
        <w:tc>
          <w:tcPr>
            <w:tcW w:w="1200" w:type="dxa"/>
            <w:vAlign w:val="bottom"/>
          </w:tcPr>
          <w:p w:rsidR="00000000" w:rsidRDefault="00000000">
            <w:pPr>
              <w:spacing w:before="40" w:after="40" w:line="216" w:lineRule="auto"/>
              <w:ind w:right="324"/>
              <w:jc w:val="right"/>
              <w:rPr>
                <w:sz w:val="22"/>
                <w:szCs w:val="22"/>
              </w:rPr>
            </w:pPr>
            <w:r>
              <w:rPr>
                <w:sz w:val="22"/>
                <w:szCs w:val="22"/>
              </w:rPr>
              <w:t>689</w:t>
            </w:r>
          </w:p>
        </w:tc>
        <w:tc>
          <w:tcPr>
            <w:tcW w:w="1200" w:type="dxa"/>
            <w:vAlign w:val="bottom"/>
          </w:tcPr>
          <w:p w:rsidR="00000000" w:rsidRDefault="00000000">
            <w:pPr>
              <w:spacing w:before="40" w:after="40" w:line="216" w:lineRule="auto"/>
              <w:ind w:right="324"/>
              <w:jc w:val="right"/>
              <w:rPr>
                <w:sz w:val="22"/>
                <w:szCs w:val="22"/>
              </w:rPr>
            </w:pPr>
            <w:r>
              <w:rPr>
                <w:sz w:val="22"/>
                <w:szCs w:val="22"/>
              </w:rPr>
              <w:t>474</w:t>
            </w:r>
          </w:p>
        </w:tc>
        <w:tc>
          <w:tcPr>
            <w:tcW w:w="1320" w:type="dxa"/>
            <w:vAlign w:val="bottom"/>
          </w:tcPr>
          <w:p w:rsidR="00000000" w:rsidRDefault="00000000">
            <w:pPr>
              <w:spacing w:before="40" w:after="40" w:line="216" w:lineRule="auto"/>
              <w:ind w:right="324"/>
              <w:jc w:val="right"/>
              <w:rPr>
                <w:sz w:val="22"/>
                <w:szCs w:val="22"/>
              </w:rPr>
            </w:pPr>
            <w:r>
              <w:rPr>
                <w:sz w:val="22"/>
                <w:szCs w:val="22"/>
              </w:rPr>
              <w:t>145,4</w:t>
            </w:r>
          </w:p>
        </w:tc>
        <w:tc>
          <w:tcPr>
            <w:tcW w:w="1080" w:type="dxa"/>
            <w:vAlign w:val="bottom"/>
          </w:tcPr>
          <w:p w:rsidR="00000000" w:rsidRDefault="00000000">
            <w:pPr>
              <w:spacing w:before="40" w:after="40" w:line="216" w:lineRule="auto"/>
              <w:ind w:right="324"/>
              <w:jc w:val="right"/>
              <w:rPr>
                <w:sz w:val="22"/>
                <w:szCs w:val="22"/>
              </w:rPr>
            </w:pPr>
            <w:r>
              <w:rPr>
                <w:sz w:val="22"/>
                <w:szCs w:val="22"/>
              </w:rPr>
              <w:t>626</w:t>
            </w:r>
          </w:p>
        </w:tc>
        <w:tc>
          <w:tcPr>
            <w:tcW w:w="1200" w:type="dxa"/>
            <w:vAlign w:val="bottom"/>
          </w:tcPr>
          <w:p w:rsidR="00000000" w:rsidRDefault="00000000">
            <w:pPr>
              <w:spacing w:before="40" w:after="40" w:line="216" w:lineRule="auto"/>
              <w:ind w:right="324"/>
              <w:jc w:val="right"/>
              <w:rPr>
                <w:sz w:val="22"/>
                <w:szCs w:val="22"/>
              </w:rPr>
            </w:pPr>
            <w:r>
              <w:rPr>
                <w:sz w:val="22"/>
                <w:szCs w:val="22"/>
              </w:rPr>
              <w:t>474</w:t>
            </w:r>
          </w:p>
        </w:tc>
        <w:tc>
          <w:tcPr>
            <w:tcW w:w="1316" w:type="dxa"/>
            <w:vAlign w:val="bottom"/>
          </w:tcPr>
          <w:p w:rsidR="00000000" w:rsidRDefault="00000000">
            <w:pPr>
              <w:spacing w:before="40" w:after="40" w:line="216" w:lineRule="auto"/>
              <w:ind w:right="324"/>
              <w:jc w:val="right"/>
              <w:rPr>
                <w:sz w:val="22"/>
                <w:szCs w:val="22"/>
              </w:rPr>
            </w:pPr>
            <w:r>
              <w:rPr>
                <w:sz w:val="22"/>
                <w:szCs w:val="22"/>
              </w:rPr>
              <w:t>132,1</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Coimbra</w:t>
            </w:r>
          </w:p>
        </w:tc>
        <w:tc>
          <w:tcPr>
            <w:tcW w:w="1200" w:type="dxa"/>
            <w:vAlign w:val="bottom"/>
          </w:tcPr>
          <w:p w:rsidR="00000000" w:rsidRDefault="00000000">
            <w:pPr>
              <w:spacing w:before="40" w:after="40" w:line="216" w:lineRule="auto"/>
              <w:ind w:right="324"/>
              <w:jc w:val="right"/>
              <w:rPr>
                <w:sz w:val="22"/>
                <w:szCs w:val="22"/>
              </w:rPr>
            </w:pPr>
            <w:r>
              <w:rPr>
                <w:sz w:val="22"/>
                <w:szCs w:val="22"/>
              </w:rPr>
              <w:t>440</w:t>
            </w:r>
          </w:p>
        </w:tc>
        <w:tc>
          <w:tcPr>
            <w:tcW w:w="1200" w:type="dxa"/>
            <w:vAlign w:val="bottom"/>
          </w:tcPr>
          <w:p w:rsidR="00000000" w:rsidRDefault="00000000">
            <w:pPr>
              <w:spacing w:before="40" w:after="40" w:line="216" w:lineRule="auto"/>
              <w:ind w:right="324"/>
              <w:jc w:val="right"/>
              <w:rPr>
                <w:sz w:val="22"/>
                <w:szCs w:val="22"/>
              </w:rPr>
            </w:pPr>
            <w:r>
              <w:rPr>
                <w:sz w:val="22"/>
                <w:szCs w:val="22"/>
              </w:rPr>
              <w:t>421</w:t>
            </w:r>
          </w:p>
        </w:tc>
        <w:tc>
          <w:tcPr>
            <w:tcW w:w="1320" w:type="dxa"/>
            <w:vAlign w:val="bottom"/>
          </w:tcPr>
          <w:p w:rsidR="00000000" w:rsidRDefault="00000000">
            <w:pPr>
              <w:spacing w:before="40" w:after="40" w:line="216" w:lineRule="auto"/>
              <w:ind w:right="324"/>
              <w:jc w:val="right"/>
              <w:rPr>
                <w:sz w:val="22"/>
                <w:szCs w:val="22"/>
              </w:rPr>
            </w:pPr>
            <w:r>
              <w:rPr>
                <w:sz w:val="22"/>
                <w:szCs w:val="22"/>
              </w:rPr>
              <w:t>104,5</w:t>
            </w:r>
          </w:p>
        </w:tc>
        <w:tc>
          <w:tcPr>
            <w:tcW w:w="1080" w:type="dxa"/>
            <w:vAlign w:val="bottom"/>
          </w:tcPr>
          <w:p w:rsidR="00000000" w:rsidRDefault="00000000">
            <w:pPr>
              <w:spacing w:before="40" w:after="40" w:line="216" w:lineRule="auto"/>
              <w:ind w:right="324"/>
              <w:jc w:val="right"/>
              <w:rPr>
                <w:sz w:val="22"/>
                <w:szCs w:val="22"/>
              </w:rPr>
            </w:pPr>
            <w:r>
              <w:rPr>
                <w:sz w:val="22"/>
                <w:szCs w:val="22"/>
              </w:rPr>
              <w:t>471</w:t>
            </w:r>
          </w:p>
        </w:tc>
        <w:tc>
          <w:tcPr>
            <w:tcW w:w="1200" w:type="dxa"/>
            <w:vAlign w:val="bottom"/>
          </w:tcPr>
          <w:p w:rsidR="00000000" w:rsidRDefault="00000000">
            <w:pPr>
              <w:spacing w:before="40" w:after="40" w:line="216" w:lineRule="auto"/>
              <w:ind w:right="324"/>
              <w:jc w:val="right"/>
              <w:rPr>
                <w:sz w:val="22"/>
                <w:szCs w:val="22"/>
              </w:rPr>
            </w:pPr>
            <w:r>
              <w:rPr>
                <w:sz w:val="22"/>
                <w:szCs w:val="22"/>
              </w:rPr>
              <w:t>421</w:t>
            </w:r>
          </w:p>
        </w:tc>
        <w:tc>
          <w:tcPr>
            <w:tcW w:w="1316" w:type="dxa"/>
            <w:vAlign w:val="bottom"/>
          </w:tcPr>
          <w:p w:rsidR="00000000" w:rsidRDefault="00000000">
            <w:pPr>
              <w:spacing w:before="40" w:after="40" w:line="216" w:lineRule="auto"/>
              <w:ind w:right="324"/>
              <w:jc w:val="right"/>
              <w:rPr>
                <w:sz w:val="22"/>
                <w:szCs w:val="22"/>
              </w:rPr>
            </w:pPr>
            <w:r>
              <w:rPr>
                <w:sz w:val="22"/>
                <w:szCs w:val="22"/>
              </w:rPr>
              <w:t>111,9</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Funchal</w:t>
            </w:r>
          </w:p>
        </w:tc>
        <w:tc>
          <w:tcPr>
            <w:tcW w:w="1200" w:type="dxa"/>
            <w:vAlign w:val="bottom"/>
          </w:tcPr>
          <w:p w:rsidR="00000000" w:rsidRDefault="00000000">
            <w:pPr>
              <w:spacing w:before="40" w:after="40" w:line="216" w:lineRule="auto"/>
              <w:ind w:right="324"/>
              <w:jc w:val="right"/>
              <w:rPr>
                <w:sz w:val="22"/>
                <w:szCs w:val="22"/>
              </w:rPr>
            </w:pPr>
            <w:r>
              <w:rPr>
                <w:sz w:val="22"/>
                <w:szCs w:val="22"/>
              </w:rPr>
              <w:t>272</w:t>
            </w:r>
          </w:p>
        </w:tc>
        <w:tc>
          <w:tcPr>
            <w:tcW w:w="1200" w:type="dxa"/>
            <w:vAlign w:val="bottom"/>
          </w:tcPr>
          <w:p w:rsidR="00000000" w:rsidRDefault="00000000">
            <w:pPr>
              <w:spacing w:before="40" w:after="40" w:line="216" w:lineRule="auto"/>
              <w:ind w:right="324"/>
              <w:jc w:val="right"/>
              <w:rPr>
                <w:sz w:val="22"/>
                <w:szCs w:val="22"/>
              </w:rPr>
            </w:pPr>
            <w:r>
              <w:rPr>
                <w:sz w:val="22"/>
                <w:szCs w:val="22"/>
              </w:rPr>
              <w:t>349</w:t>
            </w:r>
          </w:p>
        </w:tc>
        <w:tc>
          <w:tcPr>
            <w:tcW w:w="1320" w:type="dxa"/>
            <w:vAlign w:val="bottom"/>
          </w:tcPr>
          <w:p w:rsidR="00000000" w:rsidRDefault="00000000">
            <w:pPr>
              <w:spacing w:before="40" w:after="40" w:line="216" w:lineRule="auto"/>
              <w:ind w:right="324"/>
              <w:jc w:val="right"/>
              <w:rPr>
                <w:sz w:val="22"/>
                <w:szCs w:val="22"/>
              </w:rPr>
            </w:pPr>
            <w:r>
              <w:rPr>
                <w:sz w:val="22"/>
                <w:szCs w:val="22"/>
              </w:rPr>
              <w:t>77,9</w:t>
            </w:r>
          </w:p>
        </w:tc>
        <w:tc>
          <w:tcPr>
            <w:tcW w:w="1080" w:type="dxa"/>
            <w:vAlign w:val="bottom"/>
          </w:tcPr>
          <w:p w:rsidR="00000000" w:rsidRDefault="00000000">
            <w:pPr>
              <w:spacing w:before="40" w:after="40" w:line="216" w:lineRule="auto"/>
              <w:ind w:right="324"/>
              <w:jc w:val="right"/>
              <w:rPr>
                <w:sz w:val="22"/>
                <w:szCs w:val="22"/>
              </w:rPr>
            </w:pPr>
            <w:r>
              <w:rPr>
                <w:sz w:val="22"/>
                <w:szCs w:val="22"/>
              </w:rPr>
              <w:t>311</w:t>
            </w:r>
          </w:p>
        </w:tc>
        <w:tc>
          <w:tcPr>
            <w:tcW w:w="1200" w:type="dxa"/>
            <w:vAlign w:val="bottom"/>
          </w:tcPr>
          <w:p w:rsidR="00000000" w:rsidRDefault="00000000">
            <w:pPr>
              <w:spacing w:before="40" w:after="40" w:line="216" w:lineRule="auto"/>
              <w:ind w:right="324"/>
              <w:jc w:val="right"/>
              <w:rPr>
                <w:sz w:val="22"/>
                <w:szCs w:val="22"/>
              </w:rPr>
            </w:pPr>
            <w:r>
              <w:rPr>
                <w:sz w:val="22"/>
                <w:szCs w:val="22"/>
              </w:rPr>
              <w:t>349</w:t>
            </w:r>
          </w:p>
        </w:tc>
        <w:tc>
          <w:tcPr>
            <w:tcW w:w="1316" w:type="dxa"/>
            <w:vAlign w:val="bottom"/>
          </w:tcPr>
          <w:p w:rsidR="00000000" w:rsidRDefault="00000000">
            <w:pPr>
              <w:spacing w:before="40" w:after="40" w:line="216" w:lineRule="auto"/>
              <w:ind w:right="324"/>
              <w:jc w:val="right"/>
              <w:rPr>
                <w:sz w:val="22"/>
                <w:szCs w:val="22"/>
              </w:rPr>
            </w:pPr>
            <w:r>
              <w:rPr>
                <w:sz w:val="22"/>
                <w:szCs w:val="22"/>
              </w:rPr>
              <w:t>89,1</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Izeda</w:t>
            </w:r>
          </w:p>
        </w:tc>
        <w:tc>
          <w:tcPr>
            <w:tcW w:w="1200" w:type="dxa"/>
            <w:vAlign w:val="bottom"/>
          </w:tcPr>
          <w:p w:rsidR="00000000" w:rsidRDefault="00000000">
            <w:pPr>
              <w:spacing w:before="40" w:after="40" w:line="216" w:lineRule="auto"/>
              <w:ind w:right="324"/>
              <w:jc w:val="right"/>
              <w:rPr>
                <w:sz w:val="22"/>
                <w:szCs w:val="22"/>
              </w:rPr>
            </w:pPr>
            <w:r>
              <w:rPr>
                <w:sz w:val="22"/>
                <w:szCs w:val="22"/>
              </w:rPr>
              <w:t>297</w:t>
            </w:r>
          </w:p>
        </w:tc>
        <w:tc>
          <w:tcPr>
            <w:tcW w:w="1200" w:type="dxa"/>
            <w:vAlign w:val="bottom"/>
          </w:tcPr>
          <w:p w:rsidR="00000000" w:rsidRDefault="00000000">
            <w:pPr>
              <w:spacing w:before="40" w:after="40" w:line="216" w:lineRule="auto"/>
              <w:ind w:right="324"/>
              <w:jc w:val="right"/>
              <w:rPr>
                <w:sz w:val="22"/>
                <w:szCs w:val="22"/>
              </w:rPr>
            </w:pPr>
            <w:r>
              <w:rPr>
                <w:sz w:val="22"/>
                <w:szCs w:val="22"/>
              </w:rPr>
              <w:t>289</w:t>
            </w:r>
          </w:p>
        </w:tc>
        <w:tc>
          <w:tcPr>
            <w:tcW w:w="1320" w:type="dxa"/>
            <w:vAlign w:val="bottom"/>
          </w:tcPr>
          <w:p w:rsidR="00000000" w:rsidRDefault="00000000">
            <w:pPr>
              <w:spacing w:before="40" w:after="40" w:line="216" w:lineRule="auto"/>
              <w:ind w:right="324"/>
              <w:jc w:val="right"/>
              <w:rPr>
                <w:sz w:val="22"/>
                <w:szCs w:val="22"/>
              </w:rPr>
            </w:pPr>
            <w:r>
              <w:rPr>
                <w:sz w:val="22"/>
                <w:szCs w:val="22"/>
              </w:rPr>
              <w:t>102,8</w:t>
            </w:r>
          </w:p>
        </w:tc>
        <w:tc>
          <w:tcPr>
            <w:tcW w:w="1080" w:type="dxa"/>
            <w:vAlign w:val="bottom"/>
          </w:tcPr>
          <w:p w:rsidR="00000000" w:rsidRDefault="00000000">
            <w:pPr>
              <w:spacing w:before="40" w:after="40" w:line="216" w:lineRule="auto"/>
              <w:ind w:right="324"/>
              <w:jc w:val="right"/>
              <w:rPr>
                <w:sz w:val="22"/>
                <w:szCs w:val="22"/>
              </w:rPr>
            </w:pPr>
            <w:r>
              <w:rPr>
                <w:sz w:val="22"/>
                <w:szCs w:val="22"/>
              </w:rPr>
              <w:t>259</w:t>
            </w:r>
          </w:p>
        </w:tc>
        <w:tc>
          <w:tcPr>
            <w:tcW w:w="1200" w:type="dxa"/>
            <w:vAlign w:val="bottom"/>
          </w:tcPr>
          <w:p w:rsidR="00000000" w:rsidRDefault="00000000">
            <w:pPr>
              <w:spacing w:before="40" w:after="40" w:line="216" w:lineRule="auto"/>
              <w:ind w:right="324"/>
              <w:jc w:val="right"/>
              <w:rPr>
                <w:sz w:val="22"/>
                <w:szCs w:val="22"/>
              </w:rPr>
            </w:pPr>
            <w:r>
              <w:rPr>
                <w:sz w:val="22"/>
                <w:szCs w:val="22"/>
              </w:rPr>
              <w:t>289</w:t>
            </w:r>
          </w:p>
        </w:tc>
        <w:tc>
          <w:tcPr>
            <w:tcW w:w="1316" w:type="dxa"/>
            <w:vAlign w:val="bottom"/>
          </w:tcPr>
          <w:p w:rsidR="00000000" w:rsidRDefault="00000000">
            <w:pPr>
              <w:spacing w:before="40" w:after="40" w:line="216" w:lineRule="auto"/>
              <w:ind w:right="324"/>
              <w:jc w:val="right"/>
              <w:rPr>
                <w:sz w:val="22"/>
                <w:szCs w:val="22"/>
              </w:rPr>
            </w:pPr>
            <w:r>
              <w:rPr>
                <w:sz w:val="22"/>
                <w:szCs w:val="22"/>
              </w:rPr>
              <w:t>89,6</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Linhó</w:t>
            </w:r>
          </w:p>
        </w:tc>
        <w:tc>
          <w:tcPr>
            <w:tcW w:w="1200" w:type="dxa"/>
            <w:vAlign w:val="bottom"/>
          </w:tcPr>
          <w:p w:rsidR="00000000" w:rsidRDefault="00000000">
            <w:pPr>
              <w:spacing w:before="40" w:after="40" w:line="216" w:lineRule="auto"/>
              <w:ind w:right="324"/>
              <w:jc w:val="right"/>
              <w:rPr>
                <w:sz w:val="22"/>
                <w:szCs w:val="22"/>
              </w:rPr>
            </w:pPr>
            <w:r>
              <w:rPr>
                <w:sz w:val="22"/>
                <w:szCs w:val="22"/>
              </w:rPr>
              <w:t>585</w:t>
            </w:r>
          </w:p>
        </w:tc>
        <w:tc>
          <w:tcPr>
            <w:tcW w:w="1200" w:type="dxa"/>
            <w:vAlign w:val="bottom"/>
          </w:tcPr>
          <w:p w:rsidR="00000000" w:rsidRDefault="00000000">
            <w:pPr>
              <w:spacing w:before="40" w:after="40" w:line="216" w:lineRule="auto"/>
              <w:ind w:right="324"/>
              <w:jc w:val="right"/>
              <w:rPr>
                <w:sz w:val="22"/>
                <w:szCs w:val="22"/>
              </w:rPr>
            </w:pPr>
            <w:r>
              <w:rPr>
                <w:sz w:val="22"/>
                <w:szCs w:val="22"/>
              </w:rPr>
              <w:t>584</w:t>
            </w:r>
          </w:p>
        </w:tc>
        <w:tc>
          <w:tcPr>
            <w:tcW w:w="1320" w:type="dxa"/>
            <w:vAlign w:val="bottom"/>
          </w:tcPr>
          <w:p w:rsidR="00000000" w:rsidRDefault="00000000">
            <w:pPr>
              <w:spacing w:before="40" w:after="40" w:line="216" w:lineRule="auto"/>
              <w:ind w:right="324"/>
              <w:jc w:val="right"/>
              <w:rPr>
                <w:sz w:val="22"/>
                <w:szCs w:val="22"/>
              </w:rPr>
            </w:pPr>
            <w:r>
              <w:rPr>
                <w:sz w:val="22"/>
                <w:szCs w:val="22"/>
              </w:rPr>
              <w:t>100,2</w:t>
            </w:r>
          </w:p>
        </w:tc>
        <w:tc>
          <w:tcPr>
            <w:tcW w:w="1080" w:type="dxa"/>
            <w:vAlign w:val="bottom"/>
          </w:tcPr>
          <w:p w:rsidR="00000000" w:rsidRDefault="00000000">
            <w:pPr>
              <w:spacing w:before="40" w:after="40" w:line="216" w:lineRule="auto"/>
              <w:ind w:right="324"/>
              <w:jc w:val="right"/>
              <w:rPr>
                <w:sz w:val="22"/>
                <w:szCs w:val="22"/>
              </w:rPr>
            </w:pPr>
            <w:r>
              <w:rPr>
                <w:sz w:val="22"/>
                <w:szCs w:val="22"/>
              </w:rPr>
              <w:t>615</w:t>
            </w:r>
          </w:p>
        </w:tc>
        <w:tc>
          <w:tcPr>
            <w:tcW w:w="1200" w:type="dxa"/>
            <w:vAlign w:val="bottom"/>
          </w:tcPr>
          <w:p w:rsidR="00000000" w:rsidRDefault="00000000">
            <w:pPr>
              <w:spacing w:before="40" w:after="40" w:line="216" w:lineRule="auto"/>
              <w:ind w:right="324"/>
              <w:jc w:val="right"/>
              <w:rPr>
                <w:sz w:val="22"/>
                <w:szCs w:val="22"/>
              </w:rPr>
            </w:pPr>
            <w:r>
              <w:rPr>
                <w:sz w:val="22"/>
                <w:szCs w:val="22"/>
              </w:rPr>
              <w:t>584</w:t>
            </w:r>
          </w:p>
        </w:tc>
        <w:tc>
          <w:tcPr>
            <w:tcW w:w="1316" w:type="dxa"/>
            <w:vAlign w:val="bottom"/>
          </w:tcPr>
          <w:p w:rsidR="00000000" w:rsidRDefault="00000000">
            <w:pPr>
              <w:spacing w:before="40" w:after="40" w:line="216" w:lineRule="auto"/>
              <w:ind w:right="324"/>
              <w:jc w:val="right"/>
              <w:rPr>
                <w:sz w:val="22"/>
                <w:szCs w:val="22"/>
              </w:rPr>
            </w:pPr>
            <w:r>
              <w:rPr>
                <w:sz w:val="22"/>
                <w:szCs w:val="22"/>
              </w:rPr>
              <w:t>105,3</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Lisboa</w:t>
            </w:r>
          </w:p>
        </w:tc>
        <w:tc>
          <w:tcPr>
            <w:tcW w:w="1200" w:type="dxa"/>
            <w:vAlign w:val="bottom"/>
          </w:tcPr>
          <w:p w:rsidR="00000000" w:rsidRDefault="00000000">
            <w:pPr>
              <w:spacing w:before="40" w:after="40" w:line="216" w:lineRule="auto"/>
              <w:ind w:right="324"/>
              <w:jc w:val="right"/>
              <w:rPr>
                <w:sz w:val="22"/>
                <w:szCs w:val="22"/>
              </w:rPr>
            </w:pPr>
            <w:r>
              <w:rPr>
                <w:sz w:val="22"/>
                <w:szCs w:val="22"/>
              </w:rPr>
              <w:t>1 260</w:t>
            </w:r>
          </w:p>
        </w:tc>
        <w:tc>
          <w:tcPr>
            <w:tcW w:w="1200" w:type="dxa"/>
            <w:vAlign w:val="bottom"/>
          </w:tcPr>
          <w:p w:rsidR="00000000" w:rsidRDefault="00000000">
            <w:pPr>
              <w:spacing w:before="40" w:after="40" w:line="216" w:lineRule="auto"/>
              <w:ind w:right="324"/>
              <w:jc w:val="right"/>
              <w:rPr>
                <w:sz w:val="22"/>
                <w:szCs w:val="22"/>
              </w:rPr>
            </w:pPr>
            <w:r>
              <w:rPr>
                <w:sz w:val="22"/>
                <w:szCs w:val="22"/>
              </w:rPr>
              <w:t>887</w:t>
            </w:r>
          </w:p>
        </w:tc>
        <w:tc>
          <w:tcPr>
            <w:tcW w:w="1320" w:type="dxa"/>
            <w:vAlign w:val="bottom"/>
          </w:tcPr>
          <w:p w:rsidR="00000000" w:rsidRDefault="00000000">
            <w:pPr>
              <w:spacing w:before="40" w:after="40" w:line="216" w:lineRule="auto"/>
              <w:ind w:right="324"/>
              <w:jc w:val="right"/>
              <w:rPr>
                <w:sz w:val="22"/>
                <w:szCs w:val="22"/>
              </w:rPr>
            </w:pPr>
            <w:r>
              <w:rPr>
                <w:sz w:val="22"/>
                <w:szCs w:val="22"/>
              </w:rPr>
              <w:t>142,1</w:t>
            </w:r>
          </w:p>
        </w:tc>
        <w:tc>
          <w:tcPr>
            <w:tcW w:w="1080" w:type="dxa"/>
            <w:vAlign w:val="bottom"/>
          </w:tcPr>
          <w:p w:rsidR="00000000" w:rsidRDefault="00000000">
            <w:pPr>
              <w:spacing w:before="40" w:after="40" w:line="216" w:lineRule="auto"/>
              <w:ind w:right="324"/>
              <w:jc w:val="right"/>
              <w:rPr>
                <w:sz w:val="22"/>
                <w:szCs w:val="22"/>
              </w:rPr>
            </w:pPr>
            <w:r>
              <w:rPr>
                <w:sz w:val="22"/>
                <w:szCs w:val="22"/>
              </w:rPr>
              <w:t>1306</w:t>
            </w:r>
          </w:p>
        </w:tc>
        <w:tc>
          <w:tcPr>
            <w:tcW w:w="1200" w:type="dxa"/>
            <w:vAlign w:val="bottom"/>
          </w:tcPr>
          <w:p w:rsidR="00000000" w:rsidRDefault="00000000">
            <w:pPr>
              <w:spacing w:before="40" w:after="40" w:line="216" w:lineRule="auto"/>
              <w:ind w:right="324"/>
              <w:jc w:val="right"/>
              <w:rPr>
                <w:sz w:val="22"/>
                <w:szCs w:val="22"/>
              </w:rPr>
            </w:pPr>
            <w:r>
              <w:rPr>
                <w:sz w:val="22"/>
                <w:szCs w:val="22"/>
              </w:rPr>
              <w:t>887</w:t>
            </w:r>
          </w:p>
        </w:tc>
        <w:tc>
          <w:tcPr>
            <w:tcW w:w="1316" w:type="dxa"/>
            <w:vAlign w:val="bottom"/>
          </w:tcPr>
          <w:p w:rsidR="00000000" w:rsidRDefault="00000000">
            <w:pPr>
              <w:spacing w:before="40" w:after="40" w:line="216" w:lineRule="auto"/>
              <w:ind w:right="324"/>
              <w:jc w:val="right"/>
              <w:rPr>
                <w:sz w:val="22"/>
                <w:szCs w:val="22"/>
              </w:rPr>
            </w:pPr>
            <w:r>
              <w:rPr>
                <w:sz w:val="22"/>
                <w:szCs w:val="22"/>
              </w:rPr>
              <w:t>147,2</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Monsanto</w:t>
            </w:r>
          </w:p>
        </w:tc>
        <w:tc>
          <w:tcPr>
            <w:tcW w:w="1200" w:type="dxa"/>
            <w:vAlign w:val="bottom"/>
          </w:tcPr>
          <w:p w:rsidR="00000000" w:rsidRDefault="00000000">
            <w:pPr>
              <w:spacing w:before="40" w:after="40" w:line="216" w:lineRule="auto"/>
              <w:ind w:right="324"/>
              <w:jc w:val="right"/>
              <w:rPr>
                <w:sz w:val="22"/>
                <w:szCs w:val="22"/>
              </w:rPr>
            </w:pPr>
            <w:r>
              <w:rPr>
                <w:sz w:val="22"/>
                <w:szCs w:val="22"/>
              </w:rPr>
              <w:t>191</w:t>
            </w:r>
          </w:p>
        </w:tc>
        <w:tc>
          <w:tcPr>
            <w:tcW w:w="1200" w:type="dxa"/>
            <w:vAlign w:val="bottom"/>
          </w:tcPr>
          <w:p w:rsidR="00000000" w:rsidRDefault="00000000">
            <w:pPr>
              <w:spacing w:before="40" w:after="40" w:line="216" w:lineRule="auto"/>
              <w:ind w:right="324"/>
              <w:jc w:val="right"/>
              <w:rPr>
                <w:sz w:val="22"/>
                <w:szCs w:val="22"/>
              </w:rPr>
            </w:pPr>
            <w:r>
              <w:rPr>
                <w:sz w:val="22"/>
                <w:szCs w:val="22"/>
              </w:rPr>
              <w:t>166</w:t>
            </w:r>
          </w:p>
        </w:tc>
        <w:tc>
          <w:tcPr>
            <w:tcW w:w="1320" w:type="dxa"/>
            <w:vAlign w:val="bottom"/>
          </w:tcPr>
          <w:p w:rsidR="00000000" w:rsidRDefault="00000000">
            <w:pPr>
              <w:spacing w:before="40" w:after="40" w:line="216" w:lineRule="auto"/>
              <w:ind w:right="324"/>
              <w:jc w:val="right"/>
              <w:rPr>
                <w:sz w:val="22"/>
                <w:szCs w:val="22"/>
              </w:rPr>
            </w:pPr>
            <w:r>
              <w:rPr>
                <w:sz w:val="22"/>
                <w:szCs w:val="22"/>
              </w:rPr>
              <w:t>115,1</w:t>
            </w:r>
          </w:p>
        </w:tc>
        <w:tc>
          <w:tcPr>
            <w:tcW w:w="1080" w:type="dxa"/>
            <w:vAlign w:val="bottom"/>
          </w:tcPr>
          <w:p w:rsidR="00000000" w:rsidRDefault="00000000">
            <w:pPr>
              <w:spacing w:before="40" w:after="40" w:line="216" w:lineRule="auto"/>
              <w:ind w:right="324"/>
              <w:jc w:val="right"/>
              <w:rPr>
                <w:sz w:val="22"/>
                <w:szCs w:val="22"/>
              </w:rPr>
            </w:pPr>
            <w:r>
              <w:rPr>
                <w:sz w:val="22"/>
                <w:szCs w:val="22"/>
              </w:rPr>
              <w:t>181</w:t>
            </w:r>
          </w:p>
        </w:tc>
        <w:tc>
          <w:tcPr>
            <w:tcW w:w="1200" w:type="dxa"/>
            <w:vAlign w:val="bottom"/>
          </w:tcPr>
          <w:p w:rsidR="00000000" w:rsidRDefault="00000000">
            <w:pPr>
              <w:spacing w:before="40" w:after="40" w:line="216" w:lineRule="auto"/>
              <w:ind w:right="324"/>
              <w:jc w:val="right"/>
              <w:rPr>
                <w:sz w:val="22"/>
                <w:szCs w:val="22"/>
              </w:rPr>
            </w:pPr>
            <w:r>
              <w:rPr>
                <w:sz w:val="22"/>
                <w:szCs w:val="22"/>
              </w:rPr>
              <w:t>166</w:t>
            </w:r>
          </w:p>
        </w:tc>
        <w:tc>
          <w:tcPr>
            <w:tcW w:w="1316" w:type="dxa"/>
            <w:vAlign w:val="bottom"/>
          </w:tcPr>
          <w:p w:rsidR="00000000" w:rsidRDefault="00000000">
            <w:pPr>
              <w:spacing w:before="40" w:after="40" w:line="216" w:lineRule="auto"/>
              <w:ind w:right="324"/>
              <w:jc w:val="right"/>
              <w:rPr>
                <w:sz w:val="22"/>
                <w:szCs w:val="22"/>
              </w:rPr>
            </w:pPr>
            <w:r>
              <w:rPr>
                <w:sz w:val="22"/>
                <w:szCs w:val="22"/>
              </w:rPr>
              <w:t>109,0</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P. Ferreira</w:t>
            </w:r>
          </w:p>
        </w:tc>
        <w:tc>
          <w:tcPr>
            <w:tcW w:w="1200" w:type="dxa"/>
            <w:vAlign w:val="bottom"/>
          </w:tcPr>
          <w:p w:rsidR="00000000" w:rsidRDefault="00000000">
            <w:pPr>
              <w:spacing w:before="40" w:after="40" w:line="216" w:lineRule="auto"/>
              <w:ind w:right="324"/>
              <w:jc w:val="right"/>
              <w:rPr>
                <w:sz w:val="22"/>
                <w:szCs w:val="22"/>
              </w:rPr>
            </w:pPr>
            <w:r>
              <w:rPr>
                <w:sz w:val="22"/>
                <w:szCs w:val="22"/>
              </w:rPr>
              <w:t>670</w:t>
            </w:r>
          </w:p>
        </w:tc>
        <w:tc>
          <w:tcPr>
            <w:tcW w:w="1200" w:type="dxa"/>
            <w:vAlign w:val="bottom"/>
          </w:tcPr>
          <w:p w:rsidR="00000000" w:rsidRDefault="00000000">
            <w:pPr>
              <w:spacing w:before="40" w:after="40" w:line="216" w:lineRule="auto"/>
              <w:ind w:right="324"/>
              <w:jc w:val="right"/>
              <w:rPr>
                <w:sz w:val="22"/>
                <w:szCs w:val="22"/>
              </w:rPr>
            </w:pPr>
            <w:r>
              <w:rPr>
                <w:sz w:val="22"/>
                <w:szCs w:val="22"/>
              </w:rPr>
              <w:t>570</w:t>
            </w:r>
          </w:p>
        </w:tc>
        <w:tc>
          <w:tcPr>
            <w:tcW w:w="1320" w:type="dxa"/>
            <w:vAlign w:val="bottom"/>
          </w:tcPr>
          <w:p w:rsidR="00000000" w:rsidRDefault="00000000">
            <w:pPr>
              <w:spacing w:before="40" w:after="40" w:line="216" w:lineRule="auto"/>
              <w:ind w:right="324"/>
              <w:jc w:val="right"/>
              <w:rPr>
                <w:sz w:val="22"/>
                <w:szCs w:val="22"/>
              </w:rPr>
            </w:pPr>
            <w:r>
              <w:rPr>
                <w:sz w:val="22"/>
                <w:szCs w:val="22"/>
              </w:rPr>
              <w:t>117,5</w:t>
            </w:r>
          </w:p>
        </w:tc>
        <w:tc>
          <w:tcPr>
            <w:tcW w:w="1080" w:type="dxa"/>
            <w:vAlign w:val="bottom"/>
          </w:tcPr>
          <w:p w:rsidR="00000000" w:rsidRDefault="00000000">
            <w:pPr>
              <w:spacing w:before="40" w:after="40" w:line="216" w:lineRule="auto"/>
              <w:ind w:right="324"/>
              <w:jc w:val="right"/>
              <w:rPr>
                <w:sz w:val="22"/>
                <w:szCs w:val="22"/>
              </w:rPr>
            </w:pPr>
            <w:r>
              <w:rPr>
                <w:sz w:val="22"/>
                <w:szCs w:val="22"/>
              </w:rPr>
              <w:t>646</w:t>
            </w:r>
          </w:p>
        </w:tc>
        <w:tc>
          <w:tcPr>
            <w:tcW w:w="1200" w:type="dxa"/>
            <w:vAlign w:val="bottom"/>
          </w:tcPr>
          <w:p w:rsidR="00000000" w:rsidRDefault="00000000">
            <w:pPr>
              <w:spacing w:before="40" w:after="40" w:line="216" w:lineRule="auto"/>
              <w:ind w:right="324"/>
              <w:jc w:val="right"/>
              <w:rPr>
                <w:sz w:val="22"/>
                <w:szCs w:val="22"/>
              </w:rPr>
            </w:pPr>
            <w:r>
              <w:rPr>
                <w:sz w:val="22"/>
                <w:szCs w:val="22"/>
              </w:rPr>
              <w:t>570</w:t>
            </w:r>
          </w:p>
        </w:tc>
        <w:tc>
          <w:tcPr>
            <w:tcW w:w="1316" w:type="dxa"/>
            <w:vAlign w:val="bottom"/>
          </w:tcPr>
          <w:p w:rsidR="00000000" w:rsidRDefault="00000000">
            <w:pPr>
              <w:spacing w:before="40" w:after="40" w:line="216" w:lineRule="auto"/>
              <w:ind w:right="324"/>
              <w:jc w:val="right"/>
              <w:rPr>
                <w:sz w:val="22"/>
                <w:szCs w:val="22"/>
              </w:rPr>
            </w:pPr>
            <w:r>
              <w:rPr>
                <w:sz w:val="22"/>
                <w:szCs w:val="22"/>
              </w:rPr>
              <w:t>113,3</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P. da Cruz</w:t>
            </w:r>
          </w:p>
        </w:tc>
        <w:tc>
          <w:tcPr>
            <w:tcW w:w="1200" w:type="dxa"/>
            <w:vAlign w:val="bottom"/>
          </w:tcPr>
          <w:p w:rsidR="00000000" w:rsidRDefault="00000000">
            <w:pPr>
              <w:spacing w:before="40" w:after="40" w:line="216" w:lineRule="auto"/>
              <w:ind w:right="324"/>
              <w:jc w:val="right"/>
              <w:rPr>
                <w:sz w:val="22"/>
                <w:szCs w:val="22"/>
              </w:rPr>
            </w:pPr>
            <w:r>
              <w:rPr>
                <w:sz w:val="22"/>
                <w:szCs w:val="22"/>
              </w:rPr>
              <w:t>718</w:t>
            </w:r>
          </w:p>
        </w:tc>
        <w:tc>
          <w:tcPr>
            <w:tcW w:w="1200" w:type="dxa"/>
            <w:vAlign w:val="bottom"/>
          </w:tcPr>
          <w:p w:rsidR="00000000" w:rsidRDefault="00000000">
            <w:pPr>
              <w:spacing w:before="40" w:after="40" w:line="216" w:lineRule="auto"/>
              <w:ind w:right="324"/>
              <w:jc w:val="right"/>
              <w:rPr>
                <w:sz w:val="22"/>
                <w:szCs w:val="22"/>
              </w:rPr>
            </w:pPr>
            <w:r>
              <w:rPr>
                <w:sz w:val="22"/>
                <w:szCs w:val="22"/>
              </w:rPr>
              <w:t>737</w:t>
            </w:r>
          </w:p>
        </w:tc>
        <w:tc>
          <w:tcPr>
            <w:tcW w:w="1320" w:type="dxa"/>
            <w:vAlign w:val="bottom"/>
          </w:tcPr>
          <w:p w:rsidR="00000000" w:rsidRDefault="00000000">
            <w:pPr>
              <w:spacing w:before="40" w:after="40" w:line="216" w:lineRule="auto"/>
              <w:ind w:right="324"/>
              <w:jc w:val="right"/>
              <w:rPr>
                <w:sz w:val="22"/>
                <w:szCs w:val="22"/>
              </w:rPr>
            </w:pPr>
            <w:r>
              <w:rPr>
                <w:sz w:val="22"/>
                <w:szCs w:val="22"/>
              </w:rPr>
              <w:t>97,4</w:t>
            </w:r>
          </w:p>
        </w:tc>
        <w:tc>
          <w:tcPr>
            <w:tcW w:w="1080" w:type="dxa"/>
            <w:vAlign w:val="bottom"/>
          </w:tcPr>
          <w:p w:rsidR="00000000" w:rsidRDefault="00000000">
            <w:pPr>
              <w:spacing w:before="40" w:after="40" w:line="216" w:lineRule="auto"/>
              <w:ind w:right="324"/>
              <w:jc w:val="right"/>
              <w:rPr>
                <w:sz w:val="22"/>
                <w:szCs w:val="22"/>
              </w:rPr>
            </w:pPr>
            <w:r>
              <w:rPr>
                <w:sz w:val="22"/>
                <w:szCs w:val="22"/>
              </w:rPr>
              <w:t>668</w:t>
            </w:r>
          </w:p>
        </w:tc>
        <w:tc>
          <w:tcPr>
            <w:tcW w:w="1200" w:type="dxa"/>
            <w:vAlign w:val="bottom"/>
          </w:tcPr>
          <w:p w:rsidR="00000000" w:rsidRDefault="00000000">
            <w:pPr>
              <w:spacing w:before="40" w:after="40" w:line="216" w:lineRule="auto"/>
              <w:ind w:right="324"/>
              <w:jc w:val="right"/>
              <w:rPr>
                <w:sz w:val="22"/>
                <w:szCs w:val="22"/>
              </w:rPr>
            </w:pPr>
            <w:r>
              <w:rPr>
                <w:sz w:val="22"/>
                <w:szCs w:val="22"/>
              </w:rPr>
              <w:t>737</w:t>
            </w:r>
          </w:p>
        </w:tc>
        <w:tc>
          <w:tcPr>
            <w:tcW w:w="1316" w:type="dxa"/>
            <w:vAlign w:val="bottom"/>
          </w:tcPr>
          <w:p w:rsidR="00000000" w:rsidRDefault="00000000">
            <w:pPr>
              <w:spacing w:before="40" w:after="40" w:line="216" w:lineRule="auto"/>
              <w:ind w:right="324"/>
              <w:jc w:val="right"/>
              <w:rPr>
                <w:sz w:val="22"/>
                <w:szCs w:val="22"/>
              </w:rPr>
            </w:pPr>
            <w:r>
              <w:rPr>
                <w:sz w:val="22"/>
                <w:szCs w:val="22"/>
              </w:rPr>
              <w:t>90,6</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Porto</w:t>
            </w:r>
          </w:p>
        </w:tc>
        <w:tc>
          <w:tcPr>
            <w:tcW w:w="1200" w:type="dxa"/>
            <w:vAlign w:val="bottom"/>
          </w:tcPr>
          <w:p w:rsidR="00000000" w:rsidRDefault="00000000">
            <w:pPr>
              <w:spacing w:before="40" w:after="40" w:line="216" w:lineRule="auto"/>
              <w:ind w:right="324"/>
              <w:jc w:val="right"/>
              <w:rPr>
                <w:sz w:val="22"/>
                <w:szCs w:val="22"/>
              </w:rPr>
            </w:pPr>
            <w:r>
              <w:rPr>
                <w:sz w:val="22"/>
                <w:szCs w:val="22"/>
              </w:rPr>
              <w:t>1 103</w:t>
            </w:r>
          </w:p>
        </w:tc>
        <w:tc>
          <w:tcPr>
            <w:tcW w:w="1200" w:type="dxa"/>
            <w:vAlign w:val="bottom"/>
          </w:tcPr>
          <w:p w:rsidR="00000000" w:rsidRDefault="00000000">
            <w:pPr>
              <w:spacing w:before="40" w:after="40" w:line="216" w:lineRule="auto"/>
              <w:ind w:right="324"/>
              <w:jc w:val="right"/>
              <w:rPr>
                <w:sz w:val="22"/>
                <w:szCs w:val="22"/>
              </w:rPr>
            </w:pPr>
            <w:r>
              <w:rPr>
                <w:sz w:val="22"/>
                <w:szCs w:val="22"/>
              </w:rPr>
              <w:t>720</w:t>
            </w:r>
          </w:p>
        </w:tc>
        <w:tc>
          <w:tcPr>
            <w:tcW w:w="1320" w:type="dxa"/>
            <w:vAlign w:val="bottom"/>
          </w:tcPr>
          <w:p w:rsidR="00000000" w:rsidRDefault="00000000">
            <w:pPr>
              <w:spacing w:before="40" w:after="40" w:line="216" w:lineRule="auto"/>
              <w:ind w:right="324"/>
              <w:jc w:val="right"/>
              <w:rPr>
                <w:sz w:val="22"/>
                <w:szCs w:val="22"/>
              </w:rPr>
            </w:pPr>
            <w:r>
              <w:rPr>
                <w:sz w:val="22"/>
                <w:szCs w:val="22"/>
              </w:rPr>
              <w:t>153,2</w:t>
            </w:r>
          </w:p>
        </w:tc>
        <w:tc>
          <w:tcPr>
            <w:tcW w:w="1080" w:type="dxa"/>
            <w:vAlign w:val="bottom"/>
          </w:tcPr>
          <w:p w:rsidR="00000000" w:rsidRDefault="00000000">
            <w:pPr>
              <w:spacing w:before="40" w:after="40" w:line="216" w:lineRule="auto"/>
              <w:ind w:right="324"/>
              <w:jc w:val="right"/>
              <w:rPr>
                <w:sz w:val="22"/>
                <w:szCs w:val="22"/>
              </w:rPr>
            </w:pPr>
            <w:r>
              <w:rPr>
                <w:sz w:val="22"/>
                <w:szCs w:val="22"/>
              </w:rPr>
              <w:t>1 094</w:t>
            </w:r>
          </w:p>
        </w:tc>
        <w:tc>
          <w:tcPr>
            <w:tcW w:w="1200" w:type="dxa"/>
            <w:vAlign w:val="bottom"/>
          </w:tcPr>
          <w:p w:rsidR="00000000" w:rsidRDefault="00000000">
            <w:pPr>
              <w:spacing w:before="40" w:after="40" w:line="216" w:lineRule="auto"/>
              <w:ind w:right="324"/>
              <w:jc w:val="right"/>
              <w:rPr>
                <w:sz w:val="22"/>
                <w:szCs w:val="22"/>
              </w:rPr>
            </w:pPr>
            <w:r>
              <w:rPr>
                <w:sz w:val="22"/>
                <w:szCs w:val="22"/>
              </w:rPr>
              <w:t>720</w:t>
            </w:r>
          </w:p>
        </w:tc>
        <w:tc>
          <w:tcPr>
            <w:tcW w:w="1316" w:type="dxa"/>
            <w:vAlign w:val="bottom"/>
          </w:tcPr>
          <w:p w:rsidR="00000000" w:rsidRDefault="00000000">
            <w:pPr>
              <w:spacing w:before="40" w:after="40" w:line="216" w:lineRule="auto"/>
              <w:ind w:right="324"/>
              <w:jc w:val="right"/>
              <w:rPr>
                <w:sz w:val="22"/>
                <w:szCs w:val="22"/>
              </w:rPr>
            </w:pPr>
            <w:r>
              <w:rPr>
                <w:sz w:val="22"/>
                <w:szCs w:val="22"/>
              </w:rPr>
              <w:t>151,9</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Santarém</w:t>
            </w:r>
          </w:p>
        </w:tc>
        <w:tc>
          <w:tcPr>
            <w:tcW w:w="1200" w:type="dxa"/>
            <w:vAlign w:val="bottom"/>
          </w:tcPr>
          <w:p w:rsidR="00000000" w:rsidRDefault="00000000">
            <w:pPr>
              <w:spacing w:before="40" w:after="40" w:line="216" w:lineRule="auto"/>
              <w:ind w:right="324"/>
              <w:jc w:val="right"/>
              <w:rPr>
                <w:sz w:val="22"/>
                <w:szCs w:val="22"/>
              </w:rPr>
            </w:pPr>
            <w:r>
              <w:rPr>
                <w:sz w:val="22"/>
                <w:szCs w:val="22"/>
              </w:rPr>
              <w:t>38</w:t>
            </w:r>
          </w:p>
        </w:tc>
        <w:tc>
          <w:tcPr>
            <w:tcW w:w="1200" w:type="dxa"/>
            <w:vAlign w:val="bottom"/>
          </w:tcPr>
          <w:p w:rsidR="00000000" w:rsidRDefault="00000000">
            <w:pPr>
              <w:spacing w:before="40" w:after="40" w:line="216" w:lineRule="auto"/>
              <w:ind w:right="324"/>
              <w:jc w:val="right"/>
              <w:rPr>
                <w:sz w:val="22"/>
                <w:szCs w:val="22"/>
              </w:rPr>
            </w:pPr>
            <w:r>
              <w:rPr>
                <w:sz w:val="22"/>
                <w:szCs w:val="22"/>
              </w:rPr>
              <w:t>36</w:t>
            </w:r>
          </w:p>
        </w:tc>
        <w:tc>
          <w:tcPr>
            <w:tcW w:w="1320" w:type="dxa"/>
            <w:vAlign w:val="bottom"/>
          </w:tcPr>
          <w:p w:rsidR="00000000" w:rsidRDefault="00000000">
            <w:pPr>
              <w:spacing w:before="40" w:after="40" w:line="216" w:lineRule="auto"/>
              <w:ind w:right="324"/>
              <w:jc w:val="right"/>
              <w:rPr>
                <w:sz w:val="22"/>
                <w:szCs w:val="22"/>
              </w:rPr>
            </w:pPr>
            <w:r>
              <w:rPr>
                <w:sz w:val="22"/>
                <w:szCs w:val="22"/>
              </w:rPr>
              <w:t>105,6</w:t>
            </w:r>
          </w:p>
        </w:tc>
        <w:tc>
          <w:tcPr>
            <w:tcW w:w="1080" w:type="dxa"/>
            <w:vAlign w:val="bottom"/>
          </w:tcPr>
          <w:p w:rsidR="00000000" w:rsidRDefault="00000000">
            <w:pPr>
              <w:spacing w:before="40" w:after="40" w:line="216" w:lineRule="auto"/>
              <w:ind w:right="324"/>
              <w:jc w:val="right"/>
              <w:rPr>
                <w:sz w:val="22"/>
                <w:szCs w:val="22"/>
              </w:rPr>
            </w:pPr>
            <w:r>
              <w:rPr>
                <w:sz w:val="22"/>
                <w:szCs w:val="22"/>
              </w:rPr>
              <w:t>35</w:t>
            </w:r>
          </w:p>
        </w:tc>
        <w:tc>
          <w:tcPr>
            <w:tcW w:w="1200" w:type="dxa"/>
            <w:vAlign w:val="bottom"/>
          </w:tcPr>
          <w:p w:rsidR="00000000" w:rsidRDefault="00000000">
            <w:pPr>
              <w:spacing w:before="40" w:after="40" w:line="216" w:lineRule="auto"/>
              <w:ind w:right="324"/>
              <w:jc w:val="right"/>
              <w:rPr>
                <w:sz w:val="22"/>
                <w:szCs w:val="22"/>
              </w:rPr>
            </w:pPr>
            <w:r>
              <w:rPr>
                <w:sz w:val="22"/>
                <w:szCs w:val="22"/>
              </w:rPr>
              <w:t>36</w:t>
            </w:r>
          </w:p>
        </w:tc>
        <w:tc>
          <w:tcPr>
            <w:tcW w:w="1316" w:type="dxa"/>
            <w:vAlign w:val="bottom"/>
          </w:tcPr>
          <w:p w:rsidR="00000000" w:rsidRDefault="00000000">
            <w:pPr>
              <w:spacing w:before="40" w:after="40" w:line="216" w:lineRule="auto"/>
              <w:ind w:right="324"/>
              <w:jc w:val="right"/>
              <w:rPr>
                <w:sz w:val="22"/>
                <w:szCs w:val="22"/>
              </w:rPr>
            </w:pPr>
            <w:r>
              <w:rPr>
                <w:sz w:val="22"/>
                <w:szCs w:val="22"/>
              </w:rPr>
              <w:t>97,2</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S. C. do Bispo</w:t>
            </w:r>
          </w:p>
        </w:tc>
        <w:tc>
          <w:tcPr>
            <w:tcW w:w="1200" w:type="dxa"/>
            <w:vAlign w:val="bottom"/>
          </w:tcPr>
          <w:p w:rsidR="00000000" w:rsidRDefault="00000000">
            <w:pPr>
              <w:spacing w:before="40" w:after="40" w:line="216" w:lineRule="auto"/>
              <w:ind w:right="324"/>
              <w:jc w:val="right"/>
              <w:rPr>
                <w:sz w:val="22"/>
                <w:szCs w:val="22"/>
              </w:rPr>
            </w:pPr>
            <w:r>
              <w:rPr>
                <w:sz w:val="22"/>
                <w:szCs w:val="22"/>
              </w:rPr>
              <w:t>362</w:t>
            </w:r>
          </w:p>
        </w:tc>
        <w:tc>
          <w:tcPr>
            <w:tcW w:w="1200" w:type="dxa"/>
            <w:vAlign w:val="bottom"/>
          </w:tcPr>
          <w:p w:rsidR="00000000" w:rsidRDefault="00000000">
            <w:pPr>
              <w:spacing w:before="40" w:after="40" w:line="216" w:lineRule="auto"/>
              <w:ind w:right="324"/>
              <w:jc w:val="right"/>
              <w:rPr>
                <w:sz w:val="22"/>
                <w:szCs w:val="22"/>
              </w:rPr>
            </w:pPr>
            <w:r>
              <w:rPr>
                <w:sz w:val="22"/>
                <w:szCs w:val="22"/>
              </w:rPr>
              <w:t>342</w:t>
            </w:r>
          </w:p>
        </w:tc>
        <w:tc>
          <w:tcPr>
            <w:tcW w:w="1320" w:type="dxa"/>
            <w:vAlign w:val="bottom"/>
          </w:tcPr>
          <w:p w:rsidR="00000000" w:rsidRDefault="00000000">
            <w:pPr>
              <w:spacing w:before="40" w:after="40" w:line="216" w:lineRule="auto"/>
              <w:ind w:right="324"/>
              <w:jc w:val="right"/>
              <w:rPr>
                <w:sz w:val="22"/>
                <w:szCs w:val="22"/>
              </w:rPr>
            </w:pPr>
            <w:r>
              <w:rPr>
                <w:sz w:val="22"/>
                <w:szCs w:val="22"/>
              </w:rPr>
              <w:t>105,8</w:t>
            </w:r>
          </w:p>
        </w:tc>
        <w:tc>
          <w:tcPr>
            <w:tcW w:w="1080" w:type="dxa"/>
            <w:vAlign w:val="bottom"/>
          </w:tcPr>
          <w:p w:rsidR="00000000" w:rsidRDefault="00000000">
            <w:pPr>
              <w:spacing w:before="40" w:after="40" w:line="216" w:lineRule="auto"/>
              <w:ind w:right="324"/>
              <w:jc w:val="right"/>
              <w:rPr>
                <w:sz w:val="22"/>
                <w:szCs w:val="22"/>
              </w:rPr>
            </w:pPr>
            <w:r>
              <w:rPr>
                <w:sz w:val="22"/>
                <w:szCs w:val="22"/>
              </w:rPr>
              <w:t>373</w:t>
            </w:r>
          </w:p>
        </w:tc>
        <w:tc>
          <w:tcPr>
            <w:tcW w:w="1200" w:type="dxa"/>
            <w:vAlign w:val="bottom"/>
          </w:tcPr>
          <w:p w:rsidR="00000000" w:rsidRDefault="00000000">
            <w:pPr>
              <w:spacing w:before="40" w:after="40" w:line="216" w:lineRule="auto"/>
              <w:ind w:right="324"/>
              <w:jc w:val="right"/>
              <w:rPr>
                <w:sz w:val="22"/>
                <w:szCs w:val="22"/>
              </w:rPr>
            </w:pPr>
            <w:r>
              <w:rPr>
                <w:sz w:val="22"/>
                <w:szCs w:val="22"/>
              </w:rPr>
              <w:t>342</w:t>
            </w:r>
          </w:p>
        </w:tc>
        <w:tc>
          <w:tcPr>
            <w:tcW w:w="1316" w:type="dxa"/>
            <w:vAlign w:val="bottom"/>
          </w:tcPr>
          <w:p w:rsidR="00000000" w:rsidRDefault="00000000">
            <w:pPr>
              <w:spacing w:before="40" w:after="40" w:line="216" w:lineRule="auto"/>
              <w:ind w:right="324"/>
              <w:jc w:val="right"/>
              <w:rPr>
                <w:sz w:val="22"/>
                <w:szCs w:val="22"/>
              </w:rPr>
            </w:pPr>
            <w:r>
              <w:rPr>
                <w:sz w:val="22"/>
                <w:szCs w:val="22"/>
              </w:rPr>
              <w:t>109,1</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Sintra</w:t>
            </w:r>
          </w:p>
        </w:tc>
        <w:tc>
          <w:tcPr>
            <w:tcW w:w="1200" w:type="dxa"/>
            <w:vAlign w:val="bottom"/>
          </w:tcPr>
          <w:p w:rsidR="00000000" w:rsidRDefault="00000000">
            <w:pPr>
              <w:spacing w:before="40" w:after="40" w:line="216" w:lineRule="auto"/>
              <w:ind w:right="324"/>
              <w:jc w:val="right"/>
              <w:rPr>
                <w:sz w:val="22"/>
                <w:szCs w:val="22"/>
              </w:rPr>
            </w:pPr>
            <w:r>
              <w:rPr>
                <w:sz w:val="22"/>
                <w:szCs w:val="22"/>
              </w:rPr>
              <w:t>662</w:t>
            </w:r>
          </w:p>
        </w:tc>
        <w:tc>
          <w:tcPr>
            <w:tcW w:w="1200" w:type="dxa"/>
            <w:vAlign w:val="bottom"/>
          </w:tcPr>
          <w:p w:rsidR="00000000" w:rsidRDefault="00000000">
            <w:pPr>
              <w:spacing w:before="40" w:after="40" w:line="216" w:lineRule="auto"/>
              <w:ind w:right="324"/>
              <w:jc w:val="right"/>
              <w:rPr>
                <w:sz w:val="22"/>
                <w:szCs w:val="22"/>
              </w:rPr>
            </w:pPr>
            <w:r>
              <w:rPr>
                <w:sz w:val="22"/>
                <w:szCs w:val="22"/>
              </w:rPr>
              <w:t>729</w:t>
            </w:r>
          </w:p>
        </w:tc>
        <w:tc>
          <w:tcPr>
            <w:tcW w:w="1320" w:type="dxa"/>
            <w:vAlign w:val="bottom"/>
          </w:tcPr>
          <w:p w:rsidR="00000000" w:rsidRDefault="00000000">
            <w:pPr>
              <w:spacing w:before="40" w:after="40" w:line="216" w:lineRule="auto"/>
              <w:ind w:right="324"/>
              <w:jc w:val="right"/>
              <w:rPr>
                <w:sz w:val="22"/>
                <w:szCs w:val="22"/>
              </w:rPr>
            </w:pPr>
            <w:r>
              <w:rPr>
                <w:sz w:val="22"/>
                <w:szCs w:val="22"/>
              </w:rPr>
              <w:t>90,8</w:t>
            </w:r>
          </w:p>
        </w:tc>
        <w:tc>
          <w:tcPr>
            <w:tcW w:w="1080" w:type="dxa"/>
            <w:vAlign w:val="bottom"/>
          </w:tcPr>
          <w:p w:rsidR="00000000" w:rsidRDefault="00000000">
            <w:pPr>
              <w:spacing w:before="40" w:after="40" w:line="216" w:lineRule="auto"/>
              <w:ind w:right="324"/>
              <w:jc w:val="right"/>
              <w:rPr>
                <w:sz w:val="22"/>
                <w:szCs w:val="22"/>
              </w:rPr>
            </w:pPr>
            <w:r>
              <w:rPr>
                <w:sz w:val="22"/>
                <w:szCs w:val="22"/>
              </w:rPr>
              <w:t>673</w:t>
            </w:r>
          </w:p>
        </w:tc>
        <w:tc>
          <w:tcPr>
            <w:tcW w:w="1200" w:type="dxa"/>
            <w:vAlign w:val="bottom"/>
          </w:tcPr>
          <w:p w:rsidR="00000000" w:rsidRDefault="00000000">
            <w:pPr>
              <w:spacing w:before="40" w:after="40" w:line="216" w:lineRule="auto"/>
              <w:ind w:right="324"/>
              <w:jc w:val="right"/>
              <w:rPr>
                <w:sz w:val="22"/>
                <w:szCs w:val="22"/>
              </w:rPr>
            </w:pPr>
            <w:r>
              <w:rPr>
                <w:sz w:val="22"/>
                <w:szCs w:val="22"/>
              </w:rPr>
              <w:t>729</w:t>
            </w:r>
          </w:p>
        </w:tc>
        <w:tc>
          <w:tcPr>
            <w:tcW w:w="1316" w:type="dxa"/>
            <w:vAlign w:val="bottom"/>
          </w:tcPr>
          <w:p w:rsidR="00000000" w:rsidRDefault="00000000">
            <w:pPr>
              <w:spacing w:before="40" w:after="40" w:line="216" w:lineRule="auto"/>
              <w:ind w:right="324"/>
              <w:jc w:val="right"/>
              <w:rPr>
                <w:sz w:val="22"/>
                <w:szCs w:val="22"/>
              </w:rPr>
            </w:pPr>
            <w:r>
              <w:rPr>
                <w:sz w:val="22"/>
                <w:szCs w:val="22"/>
              </w:rPr>
              <w:t>92,3</w:t>
            </w:r>
          </w:p>
        </w:tc>
      </w:tr>
      <w:tr w:rsidR="00000000">
        <w:trPr>
          <w:jc w:val="center"/>
        </w:trPr>
        <w:tc>
          <w:tcPr>
            <w:tcW w:w="2063" w:type="dxa"/>
            <w:vAlign w:val="center"/>
          </w:tcPr>
          <w:p w:rsidR="00000000" w:rsidRDefault="00000000">
            <w:pPr>
              <w:spacing w:before="40" w:after="40" w:line="216" w:lineRule="auto"/>
              <w:rPr>
                <w:sz w:val="22"/>
                <w:szCs w:val="22"/>
              </w:rPr>
            </w:pPr>
            <w:r>
              <w:rPr>
                <w:sz w:val="22"/>
                <w:szCs w:val="22"/>
              </w:rPr>
              <w:t>Vale de Judeus</w:t>
            </w:r>
          </w:p>
        </w:tc>
        <w:tc>
          <w:tcPr>
            <w:tcW w:w="1200" w:type="dxa"/>
            <w:vAlign w:val="bottom"/>
          </w:tcPr>
          <w:p w:rsidR="00000000" w:rsidRDefault="00000000">
            <w:pPr>
              <w:spacing w:before="40" w:after="40" w:line="216" w:lineRule="auto"/>
              <w:ind w:right="324"/>
              <w:jc w:val="right"/>
              <w:rPr>
                <w:sz w:val="22"/>
                <w:szCs w:val="22"/>
              </w:rPr>
            </w:pPr>
            <w:r>
              <w:rPr>
                <w:sz w:val="22"/>
                <w:szCs w:val="22"/>
              </w:rPr>
              <w:t>517</w:t>
            </w:r>
          </w:p>
        </w:tc>
        <w:tc>
          <w:tcPr>
            <w:tcW w:w="1200" w:type="dxa"/>
            <w:vAlign w:val="bottom"/>
          </w:tcPr>
          <w:p w:rsidR="00000000" w:rsidRDefault="00000000">
            <w:pPr>
              <w:spacing w:before="40" w:after="40" w:line="216" w:lineRule="auto"/>
              <w:ind w:right="324"/>
              <w:jc w:val="right"/>
              <w:rPr>
                <w:sz w:val="22"/>
                <w:szCs w:val="22"/>
              </w:rPr>
            </w:pPr>
            <w:r>
              <w:rPr>
                <w:sz w:val="22"/>
                <w:szCs w:val="22"/>
              </w:rPr>
              <w:t>504</w:t>
            </w:r>
          </w:p>
        </w:tc>
        <w:tc>
          <w:tcPr>
            <w:tcW w:w="1320" w:type="dxa"/>
            <w:vAlign w:val="bottom"/>
          </w:tcPr>
          <w:p w:rsidR="00000000" w:rsidRDefault="00000000">
            <w:pPr>
              <w:spacing w:before="40" w:after="40" w:line="216" w:lineRule="auto"/>
              <w:ind w:right="324"/>
              <w:jc w:val="right"/>
              <w:rPr>
                <w:sz w:val="22"/>
                <w:szCs w:val="22"/>
              </w:rPr>
            </w:pPr>
            <w:r>
              <w:rPr>
                <w:sz w:val="22"/>
                <w:szCs w:val="22"/>
              </w:rPr>
              <w:t>102,6</w:t>
            </w:r>
          </w:p>
        </w:tc>
        <w:tc>
          <w:tcPr>
            <w:tcW w:w="1080" w:type="dxa"/>
            <w:vAlign w:val="bottom"/>
          </w:tcPr>
          <w:p w:rsidR="00000000" w:rsidRDefault="00000000">
            <w:pPr>
              <w:spacing w:before="40" w:after="40" w:line="216" w:lineRule="auto"/>
              <w:ind w:right="324"/>
              <w:jc w:val="right"/>
              <w:rPr>
                <w:sz w:val="22"/>
                <w:szCs w:val="22"/>
              </w:rPr>
            </w:pPr>
            <w:r>
              <w:rPr>
                <w:sz w:val="22"/>
                <w:szCs w:val="22"/>
              </w:rPr>
              <w:t>519</w:t>
            </w:r>
          </w:p>
        </w:tc>
        <w:tc>
          <w:tcPr>
            <w:tcW w:w="1200" w:type="dxa"/>
            <w:vAlign w:val="bottom"/>
          </w:tcPr>
          <w:p w:rsidR="00000000" w:rsidRDefault="00000000">
            <w:pPr>
              <w:spacing w:before="40" w:after="40" w:line="216" w:lineRule="auto"/>
              <w:ind w:right="324"/>
              <w:jc w:val="right"/>
              <w:rPr>
                <w:sz w:val="22"/>
                <w:szCs w:val="22"/>
              </w:rPr>
            </w:pPr>
            <w:r>
              <w:rPr>
                <w:sz w:val="22"/>
                <w:szCs w:val="22"/>
              </w:rPr>
              <w:t>504</w:t>
            </w:r>
          </w:p>
        </w:tc>
        <w:tc>
          <w:tcPr>
            <w:tcW w:w="1316" w:type="dxa"/>
            <w:vAlign w:val="bottom"/>
          </w:tcPr>
          <w:p w:rsidR="00000000" w:rsidRDefault="00000000">
            <w:pPr>
              <w:spacing w:before="40" w:after="40" w:line="216" w:lineRule="auto"/>
              <w:ind w:right="324"/>
              <w:jc w:val="right"/>
              <w:rPr>
                <w:sz w:val="22"/>
                <w:szCs w:val="22"/>
              </w:rPr>
            </w:pPr>
            <w:r>
              <w:rPr>
                <w:sz w:val="22"/>
                <w:szCs w:val="22"/>
              </w:rPr>
              <w:t>103,0</w:t>
            </w:r>
          </w:p>
        </w:tc>
      </w:tr>
      <w:tr w:rsidR="00000000">
        <w:trPr>
          <w:jc w:val="center"/>
        </w:trPr>
        <w:tc>
          <w:tcPr>
            <w:tcW w:w="2063" w:type="dxa"/>
            <w:vAlign w:val="center"/>
          </w:tcPr>
          <w:p w:rsidR="00000000" w:rsidRDefault="00000000">
            <w:pPr>
              <w:spacing w:before="40" w:after="40" w:line="216" w:lineRule="auto"/>
              <w:rPr>
                <w:b/>
                <w:bCs/>
                <w:sz w:val="22"/>
                <w:szCs w:val="22"/>
              </w:rPr>
            </w:pPr>
            <w:r>
              <w:rPr>
                <w:b/>
                <w:bCs/>
                <w:sz w:val="22"/>
                <w:szCs w:val="22"/>
              </w:rPr>
              <w:t>Total partiel</w:t>
            </w:r>
          </w:p>
        </w:tc>
        <w:tc>
          <w:tcPr>
            <w:tcW w:w="1200" w:type="dxa"/>
            <w:vAlign w:val="bottom"/>
          </w:tcPr>
          <w:p w:rsidR="00000000" w:rsidRDefault="00000000">
            <w:pPr>
              <w:spacing w:before="40" w:after="40" w:line="216" w:lineRule="auto"/>
              <w:ind w:right="324"/>
              <w:jc w:val="right"/>
              <w:rPr>
                <w:sz w:val="22"/>
                <w:szCs w:val="22"/>
              </w:rPr>
            </w:pPr>
            <w:r>
              <w:rPr>
                <w:sz w:val="22"/>
                <w:szCs w:val="22"/>
              </w:rPr>
              <w:t>8 613</w:t>
            </w:r>
          </w:p>
        </w:tc>
        <w:tc>
          <w:tcPr>
            <w:tcW w:w="1200" w:type="dxa"/>
            <w:vAlign w:val="bottom"/>
          </w:tcPr>
          <w:p w:rsidR="00000000" w:rsidRDefault="00000000">
            <w:pPr>
              <w:spacing w:before="40" w:after="40" w:line="216" w:lineRule="auto"/>
              <w:ind w:right="324"/>
              <w:jc w:val="right"/>
              <w:rPr>
                <w:sz w:val="22"/>
                <w:szCs w:val="22"/>
              </w:rPr>
            </w:pPr>
            <w:r>
              <w:rPr>
                <w:sz w:val="22"/>
                <w:szCs w:val="22"/>
              </w:rPr>
              <w:t>7 639</w:t>
            </w:r>
          </w:p>
        </w:tc>
        <w:tc>
          <w:tcPr>
            <w:tcW w:w="1320" w:type="dxa"/>
            <w:vAlign w:val="bottom"/>
          </w:tcPr>
          <w:p w:rsidR="00000000" w:rsidRDefault="00000000">
            <w:pPr>
              <w:spacing w:before="40" w:after="40" w:line="216" w:lineRule="auto"/>
              <w:ind w:right="324"/>
              <w:jc w:val="right"/>
              <w:rPr>
                <w:sz w:val="22"/>
                <w:szCs w:val="22"/>
              </w:rPr>
            </w:pPr>
            <w:r>
              <w:rPr>
                <w:sz w:val="22"/>
                <w:szCs w:val="22"/>
              </w:rPr>
              <w:t>112,8</w:t>
            </w:r>
          </w:p>
        </w:tc>
        <w:tc>
          <w:tcPr>
            <w:tcW w:w="1080" w:type="dxa"/>
            <w:vAlign w:val="bottom"/>
          </w:tcPr>
          <w:p w:rsidR="00000000" w:rsidRDefault="00000000">
            <w:pPr>
              <w:spacing w:before="40" w:after="40" w:line="216" w:lineRule="auto"/>
              <w:ind w:right="324"/>
              <w:jc w:val="right"/>
              <w:rPr>
                <w:sz w:val="22"/>
                <w:szCs w:val="22"/>
              </w:rPr>
            </w:pPr>
            <w:r>
              <w:rPr>
                <w:sz w:val="22"/>
                <w:szCs w:val="22"/>
              </w:rPr>
              <w:t>8 700</w:t>
            </w:r>
          </w:p>
        </w:tc>
        <w:tc>
          <w:tcPr>
            <w:tcW w:w="1200" w:type="dxa"/>
            <w:vAlign w:val="bottom"/>
          </w:tcPr>
          <w:p w:rsidR="00000000" w:rsidRDefault="00000000">
            <w:pPr>
              <w:spacing w:before="40" w:after="40" w:line="216" w:lineRule="auto"/>
              <w:ind w:right="324"/>
              <w:jc w:val="right"/>
              <w:rPr>
                <w:sz w:val="22"/>
                <w:szCs w:val="22"/>
              </w:rPr>
            </w:pPr>
            <w:r>
              <w:rPr>
                <w:sz w:val="22"/>
                <w:szCs w:val="22"/>
              </w:rPr>
              <w:t>7 733</w:t>
            </w:r>
          </w:p>
        </w:tc>
        <w:tc>
          <w:tcPr>
            <w:tcW w:w="1316" w:type="dxa"/>
            <w:vAlign w:val="bottom"/>
          </w:tcPr>
          <w:p w:rsidR="00000000" w:rsidRDefault="00000000">
            <w:pPr>
              <w:spacing w:before="40" w:after="40" w:line="216" w:lineRule="auto"/>
              <w:ind w:right="324"/>
              <w:jc w:val="right"/>
              <w:rPr>
                <w:sz w:val="22"/>
                <w:szCs w:val="22"/>
              </w:rPr>
            </w:pPr>
            <w:r>
              <w:rPr>
                <w:sz w:val="22"/>
                <w:szCs w:val="22"/>
              </w:rPr>
              <w:t>112,5</w:t>
            </w:r>
          </w:p>
        </w:tc>
      </w:tr>
      <w:tr w:rsidR="00000000">
        <w:trPr>
          <w:jc w:val="center"/>
        </w:trPr>
        <w:tc>
          <w:tcPr>
            <w:tcW w:w="2063" w:type="dxa"/>
            <w:vAlign w:val="center"/>
          </w:tcPr>
          <w:p w:rsidR="00000000" w:rsidRDefault="00000000">
            <w:pPr>
              <w:keepNext/>
              <w:spacing w:before="40" w:after="40" w:line="216" w:lineRule="auto"/>
              <w:rPr>
                <w:b/>
                <w:bCs/>
                <w:sz w:val="22"/>
                <w:szCs w:val="22"/>
              </w:rPr>
            </w:pPr>
            <w:r>
              <w:rPr>
                <w:b/>
                <w:bCs/>
                <w:sz w:val="22"/>
                <w:szCs w:val="22"/>
              </w:rPr>
              <w:t>Établissements spéciaux</w:t>
            </w:r>
          </w:p>
        </w:tc>
        <w:tc>
          <w:tcPr>
            <w:tcW w:w="1200" w:type="dxa"/>
            <w:vAlign w:val="bottom"/>
          </w:tcPr>
          <w:p w:rsidR="00000000" w:rsidRDefault="00000000">
            <w:pPr>
              <w:spacing w:before="40" w:after="40" w:line="216" w:lineRule="auto"/>
              <w:ind w:right="324"/>
              <w:jc w:val="right"/>
              <w:rPr>
                <w:sz w:val="22"/>
                <w:szCs w:val="22"/>
              </w:rPr>
            </w:pPr>
          </w:p>
        </w:tc>
        <w:tc>
          <w:tcPr>
            <w:tcW w:w="1200" w:type="dxa"/>
            <w:vAlign w:val="bottom"/>
          </w:tcPr>
          <w:p w:rsidR="00000000" w:rsidRDefault="00000000">
            <w:pPr>
              <w:spacing w:before="40" w:after="40" w:line="216" w:lineRule="auto"/>
              <w:ind w:right="324"/>
              <w:jc w:val="right"/>
              <w:rPr>
                <w:sz w:val="22"/>
                <w:szCs w:val="22"/>
              </w:rPr>
            </w:pPr>
          </w:p>
        </w:tc>
        <w:tc>
          <w:tcPr>
            <w:tcW w:w="1320" w:type="dxa"/>
            <w:vAlign w:val="bottom"/>
          </w:tcPr>
          <w:p w:rsidR="00000000" w:rsidRDefault="00000000">
            <w:pPr>
              <w:spacing w:before="40" w:after="40" w:line="216" w:lineRule="auto"/>
              <w:ind w:right="324"/>
              <w:jc w:val="right"/>
              <w:rPr>
                <w:sz w:val="22"/>
                <w:szCs w:val="22"/>
              </w:rPr>
            </w:pPr>
          </w:p>
        </w:tc>
        <w:tc>
          <w:tcPr>
            <w:tcW w:w="1080" w:type="dxa"/>
            <w:vAlign w:val="bottom"/>
          </w:tcPr>
          <w:p w:rsidR="00000000" w:rsidRDefault="00000000">
            <w:pPr>
              <w:spacing w:before="40" w:after="40" w:line="216" w:lineRule="auto"/>
              <w:ind w:right="324"/>
              <w:jc w:val="right"/>
              <w:rPr>
                <w:sz w:val="22"/>
                <w:szCs w:val="22"/>
              </w:rPr>
            </w:pPr>
          </w:p>
        </w:tc>
        <w:tc>
          <w:tcPr>
            <w:tcW w:w="1200" w:type="dxa"/>
            <w:vAlign w:val="bottom"/>
          </w:tcPr>
          <w:p w:rsidR="00000000" w:rsidRDefault="00000000">
            <w:pPr>
              <w:spacing w:before="40" w:after="40" w:line="216" w:lineRule="auto"/>
              <w:ind w:right="324"/>
              <w:jc w:val="right"/>
              <w:rPr>
                <w:sz w:val="22"/>
                <w:szCs w:val="22"/>
              </w:rPr>
            </w:pPr>
          </w:p>
        </w:tc>
        <w:tc>
          <w:tcPr>
            <w:tcW w:w="1316" w:type="dxa"/>
            <w:vAlign w:val="bottom"/>
          </w:tcPr>
          <w:p w:rsidR="00000000" w:rsidRDefault="00000000">
            <w:pPr>
              <w:spacing w:before="40" w:after="40" w:line="216" w:lineRule="auto"/>
              <w:ind w:right="324"/>
              <w:jc w:val="right"/>
              <w:rPr>
                <w:sz w:val="22"/>
                <w:szCs w:val="22"/>
              </w:rPr>
            </w:pPr>
          </w:p>
        </w:tc>
      </w:tr>
      <w:tr w:rsidR="00000000">
        <w:trPr>
          <w:jc w:val="center"/>
        </w:trPr>
        <w:tc>
          <w:tcPr>
            <w:tcW w:w="2063" w:type="dxa"/>
            <w:vAlign w:val="center"/>
          </w:tcPr>
          <w:p w:rsidR="00000000" w:rsidRDefault="00000000">
            <w:pPr>
              <w:keepNext/>
              <w:spacing w:before="40" w:after="40" w:line="216" w:lineRule="auto"/>
              <w:rPr>
                <w:sz w:val="22"/>
                <w:szCs w:val="22"/>
              </w:rPr>
            </w:pPr>
            <w:r>
              <w:rPr>
                <w:sz w:val="22"/>
                <w:szCs w:val="22"/>
              </w:rPr>
              <w:t>Leiria</w:t>
            </w:r>
          </w:p>
        </w:tc>
        <w:tc>
          <w:tcPr>
            <w:tcW w:w="1200" w:type="dxa"/>
            <w:vAlign w:val="bottom"/>
          </w:tcPr>
          <w:p w:rsidR="00000000" w:rsidRDefault="00000000">
            <w:pPr>
              <w:spacing w:before="40" w:after="40" w:line="216" w:lineRule="auto"/>
              <w:ind w:right="324"/>
              <w:jc w:val="right"/>
              <w:rPr>
                <w:sz w:val="22"/>
                <w:szCs w:val="22"/>
              </w:rPr>
            </w:pPr>
            <w:r>
              <w:rPr>
                <w:sz w:val="22"/>
                <w:szCs w:val="22"/>
              </w:rPr>
              <w:t>275</w:t>
            </w:r>
          </w:p>
        </w:tc>
        <w:tc>
          <w:tcPr>
            <w:tcW w:w="1200" w:type="dxa"/>
            <w:vAlign w:val="bottom"/>
          </w:tcPr>
          <w:p w:rsidR="00000000" w:rsidRDefault="00000000">
            <w:pPr>
              <w:spacing w:before="40" w:after="40" w:line="216" w:lineRule="auto"/>
              <w:ind w:right="324"/>
              <w:jc w:val="right"/>
              <w:rPr>
                <w:sz w:val="22"/>
                <w:szCs w:val="22"/>
              </w:rPr>
            </w:pPr>
            <w:r>
              <w:rPr>
                <w:sz w:val="22"/>
                <w:szCs w:val="22"/>
              </w:rPr>
              <w:t>347</w:t>
            </w:r>
          </w:p>
        </w:tc>
        <w:tc>
          <w:tcPr>
            <w:tcW w:w="1320" w:type="dxa"/>
            <w:vAlign w:val="bottom"/>
          </w:tcPr>
          <w:p w:rsidR="00000000" w:rsidRDefault="00000000">
            <w:pPr>
              <w:spacing w:before="40" w:after="40" w:line="216" w:lineRule="auto"/>
              <w:ind w:right="324"/>
              <w:jc w:val="right"/>
              <w:rPr>
                <w:sz w:val="22"/>
                <w:szCs w:val="22"/>
              </w:rPr>
            </w:pPr>
            <w:r>
              <w:rPr>
                <w:sz w:val="22"/>
                <w:szCs w:val="22"/>
              </w:rPr>
              <w:t>79,3</w:t>
            </w:r>
          </w:p>
        </w:tc>
        <w:tc>
          <w:tcPr>
            <w:tcW w:w="1080" w:type="dxa"/>
            <w:vAlign w:val="bottom"/>
          </w:tcPr>
          <w:p w:rsidR="00000000" w:rsidRDefault="00000000">
            <w:pPr>
              <w:spacing w:before="40" w:after="40" w:line="216" w:lineRule="auto"/>
              <w:ind w:right="324"/>
              <w:jc w:val="right"/>
              <w:rPr>
                <w:sz w:val="22"/>
                <w:szCs w:val="22"/>
              </w:rPr>
            </w:pPr>
            <w:r>
              <w:rPr>
                <w:sz w:val="22"/>
                <w:szCs w:val="22"/>
              </w:rPr>
              <w:t>295</w:t>
            </w:r>
          </w:p>
        </w:tc>
        <w:tc>
          <w:tcPr>
            <w:tcW w:w="1200" w:type="dxa"/>
            <w:vAlign w:val="bottom"/>
          </w:tcPr>
          <w:p w:rsidR="00000000" w:rsidRDefault="00000000">
            <w:pPr>
              <w:spacing w:before="40" w:after="40" w:line="216" w:lineRule="auto"/>
              <w:ind w:right="324"/>
              <w:jc w:val="right"/>
              <w:rPr>
                <w:sz w:val="22"/>
                <w:szCs w:val="22"/>
              </w:rPr>
            </w:pPr>
            <w:r>
              <w:rPr>
                <w:sz w:val="22"/>
                <w:szCs w:val="22"/>
              </w:rPr>
              <w:t>347</w:t>
            </w:r>
          </w:p>
        </w:tc>
        <w:tc>
          <w:tcPr>
            <w:tcW w:w="1316" w:type="dxa"/>
            <w:vAlign w:val="bottom"/>
          </w:tcPr>
          <w:p w:rsidR="00000000" w:rsidRDefault="00000000">
            <w:pPr>
              <w:spacing w:before="40" w:after="40" w:line="216" w:lineRule="auto"/>
              <w:ind w:right="324"/>
              <w:jc w:val="right"/>
              <w:rPr>
                <w:sz w:val="22"/>
                <w:szCs w:val="22"/>
              </w:rPr>
            </w:pPr>
            <w:r>
              <w:rPr>
                <w:sz w:val="22"/>
                <w:szCs w:val="22"/>
              </w:rPr>
              <w:t>85,0</w:t>
            </w:r>
          </w:p>
        </w:tc>
      </w:tr>
      <w:tr w:rsidR="00000000">
        <w:trPr>
          <w:jc w:val="center"/>
        </w:trPr>
        <w:tc>
          <w:tcPr>
            <w:tcW w:w="2063" w:type="dxa"/>
            <w:vAlign w:val="center"/>
          </w:tcPr>
          <w:p w:rsidR="00000000" w:rsidRDefault="00000000">
            <w:pPr>
              <w:keepNext/>
              <w:spacing w:before="40" w:after="40" w:line="216" w:lineRule="auto"/>
              <w:rPr>
                <w:sz w:val="22"/>
                <w:szCs w:val="22"/>
              </w:rPr>
            </w:pPr>
            <w:r>
              <w:rPr>
                <w:sz w:val="22"/>
                <w:szCs w:val="22"/>
              </w:rPr>
              <w:t>Tires</w:t>
            </w:r>
          </w:p>
        </w:tc>
        <w:tc>
          <w:tcPr>
            <w:tcW w:w="1200" w:type="dxa"/>
            <w:vAlign w:val="bottom"/>
          </w:tcPr>
          <w:p w:rsidR="00000000" w:rsidRDefault="00000000">
            <w:pPr>
              <w:spacing w:before="40" w:after="40" w:line="216" w:lineRule="auto"/>
              <w:ind w:right="324"/>
              <w:jc w:val="right"/>
              <w:rPr>
                <w:sz w:val="22"/>
                <w:szCs w:val="22"/>
              </w:rPr>
            </w:pPr>
            <w:r>
              <w:rPr>
                <w:sz w:val="22"/>
                <w:szCs w:val="22"/>
              </w:rPr>
              <w:t>646</w:t>
            </w:r>
          </w:p>
        </w:tc>
        <w:tc>
          <w:tcPr>
            <w:tcW w:w="1200" w:type="dxa"/>
            <w:vAlign w:val="bottom"/>
          </w:tcPr>
          <w:p w:rsidR="00000000" w:rsidRDefault="00000000">
            <w:pPr>
              <w:spacing w:before="40" w:after="40" w:line="216" w:lineRule="auto"/>
              <w:ind w:right="324"/>
              <w:jc w:val="right"/>
              <w:rPr>
                <w:sz w:val="22"/>
                <w:szCs w:val="22"/>
              </w:rPr>
            </w:pPr>
            <w:r>
              <w:rPr>
                <w:sz w:val="22"/>
                <w:szCs w:val="22"/>
              </w:rPr>
              <w:t>633</w:t>
            </w:r>
          </w:p>
        </w:tc>
        <w:tc>
          <w:tcPr>
            <w:tcW w:w="1320" w:type="dxa"/>
            <w:vAlign w:val="bottom"/>
          </w:tcPr>
          <w:p w:rsidR="00000000" w:rsidRDefault="00000000">
            <w:pPr>
              <w:spacing w:before="40" w:after="40" w:line="216" w:lineRule="auto"/>
              <w:ind w:right="324"/>
              <w:jc w:val="right"/>
              <w:rPr>
                <w:sz w:val="22"/>
                <w:szCs w:val="22"/>
              </w:rPr>
            </w:pPr>
            <w:r>
              <w:rPr>
                <w:sz w:val="22"/>
                <w:szCs w:val="22"/>
              </w:rPr>
              <w:t>102,1</w:t>
            </w:r>
          </w:p>
        </w:tc>
        <w:tc>
          <w:tcPr>
            <w:tcW w:w="1080" w:type="dxa"/>
            <w:vAlign w:val="bottom"/>
          </w:tcPr>
          <w:p w:rsidR="00000000" w:rsidRDefault="00000000">
            <w:pPr>
              <w:spacing w:before="40" w:after="40" w:line="216" w:lineRule="auto"/>
              <w:ind w:right="324"/>
              <w:jc w:val="right"/>
              <w:rPr>
                <w:sz w:val="22"/>
                <w:szCs w:val="22"/>
              </w:rPr>
            </w:pPr>
            <w:r>
              <w:rPr>
                <w:sz w:val="22"/>
                <w:szCs w:val="22"/>
              </w:rPr>
              <w:t>809</w:t>
            </w:r>
          </w:p>
        </w:tc>
        <w:tc>
          <w:tcPr>
            <w:tcW w:w="1200" w:type="dxa"/>
            <w:vAlign w:val="bottom"/>
          </w:tcPr>
          <w:p w:rsidR="00000000" w:rsidRDefault="00000000">
            <w:pPr>
              <w:spacing w:before="40" w:after="40" w:line="216" w:lineRule="auto"/>
              <w:ind w:right="324"/>
              <w:jc w:val="right"/>
              <w:rPr>
                <w:sz w:val="22"/>
                <w:szCs w:val="22"/>
              </w:rPr>
            </w:pPr>
            <w:r>
              <w:rPr>
                <w:sz w:val="22"/>
                <w:szCs w:val="22"/>
              </w:rPr>
              <w:t>633</w:t>
            </w:r>
          </w:p>
        </w:tc>
        <w:tc>
          <w:tcPr>
            <w:tcW w:w="1316" w:type="dxa"/>
            <w:vAlign w:val="bottom"/>
          </w:tcPr>
          <w:p w:rsidR="00000000" w:rsidRDefault="00000000">
            <w:pPr>
              <w:spacing w:before="40" w:after="40" w:line="216" w:lineRule="auto"/>
              <w:ind w:right="324"/>
              <w:jc w:val="right"/>
              <w:rPr>
                <w:sz w:val="22"/>
                <w:szCs w:val="22"/>
              </w:rPr>
            </w:pPr>
            <w:r>
              <w:rPr>
                <w:sz w:val="22"/>
                <w:szCs w:val="22"/>
              </w:rPr>
              <w:t>127,8</w:t>
            </w:r>
          </w:p>
        </w:tc>
      </w:tr>
      <w:tr w:rsidR="00000000">
        <w:trPr>
          <w:jc w:val="center"/>
        </w:trPr>
        <w:tc>
          <w:tcPr>
            <w:tcW w:w="2063" w:type="dxa"/>
            <w:vAlign w:val="center"/>
          </w:tcPr>
          <w:p w:rsidR="00000000" w:rsidRDefault="00000000">
            <w:pPr>
              <w:keepNext/>
              <w:spacing w:before="40" w:after="40" w:line="216" w:lineRule="auto"/>
              <w:rPr>
                <w:sz w:val="22"/>
                <w:szCs w:val="22"/>
              </w:rPr>
            </w:pPr>
            <w:r>
              <w:rPr>
                <w:sz w:val="22"/>
                <w:szCs w:val="22"/>
              </w:rPr>
              <w:t>Hôpital São João de Deus</w:t>
            </w:r>
            <w:r>
              <w:rPr>
                <w:b/>
                <w:bCs/>
                <w:sz w:val="22"/>
                <w:szCs w:val="22"/>
                <w:vertAlign w:val="superscript"/>
              </w:rPr>
              <w:t>b</w:t>
            </w:r>
          </w:p>
        </w:tc>
        <w:tc>
          <w:tcPr>
            <w:tcW w:w="1200" w:type="dxa"/>
            <w:vAlign w:val="bottom"/>
          </w:tcPr>
          <w:p w:rsidR="00000000" w:rsidRDefault="00000000">
            <w:pPr>
              <w:spacing w:before="40" w:after="40" w:line="216" w:lineRule="auto"/>
              <w:ind w:right="324"/>
              <w:jc w:val="right"/>
              <w:rPr>
                <w:sz w:val="22"/>
                <w:szCs w:val="22"/>
              </w:rPr>
            </w:pPr>
            <w:r>
              <w:rPr>
                <w:sz w:val="22"/>
                <w:szCs w:val="22"/>
              </w:rPr>
              <w:t>26</w:t>
            </w:r>
          </w:p>
        </w:tc>
        <w:tc>
          <w:tcPr>
            <w:tcW w:w="1200" w:type="dxa"/>
            <w:vAlign w:val="bottom"/>
          </w:tcPr>
          <w:p w:rsidR="00000000" w:rsidRDefault="00000000">
            <w:pPr>
              <w:spacing w:before="40" w:after="40" w:line="216" w:lineRule="auto"/>
              <w:ind w:right="324"/>
              <w:jc w:val="right"/>
              <w:rPr>
                <w:sz w:val="22"/>
                <w:szCs w:val="22"/>
              </w:rPr>
            </w:pPr>
            <w:r>
              <w:rPr>
                <w:sz w:val="22"/>
                <w:szCs w:val="22"/>
              </w:rPr>
              <w:t>195</w:t>
            </w:r>
          </w:p>
        </w:tc>
        <w:tc>
          <w:tcPr>
            <w:tcW w:w="1320" w:type="dxa"/>
            <w:vAlign w:val="bottom"/>
          </w:tcPr>
          <w:p w:rsidR="00000000" w:rsidRDefault="00000000">
            <w:pPr>
              <w:spacing w:before="40" w:after="40" w:line="216" w:lineRule="auto"/>
              <w:ind w:right="324"/>
              <w:jc w:val="right"/>
              <w:rPr>
                <w:sz w:val="22"/>
                <w:szCs w:val="22"/>
              </w:rPr>
            </w:pPr>
            <w:r>
              <w:rPr>
                <w:sz w:val="22"/>
                <w:szCs w:val="22"/>
              </w:rPr>
              <w:t>13,3</w:t>
            </w:r>
          </w:p>
        </w:tc>
        <w:tc>
          <w:tcPr>
            <w:tcW w:w="1080" w:type="dxa"/>
            <w:vAlign w:val="bottom"/>
          </w:tcPr>
          <w:p w:rsidR="00000000" w:rsidRDefault="00000000">
            <w:pPr>
              <w:spacing w:before="40" w:after="40" w:line="216" w:lineRule="auto"/>
              <w:ind w:right="324"/>
              <w:jc w:val="right"/>
              <w:rPr>
                <w:sz w:val="22"/>
                <w:szCs w:val="22"/>
              </w:rPr>
            </w:pPr>
            <w:r>
              <w:rPr>
                <w:sz w:val="22"/>
                <w:szCs w:val="22"/>
              </w:rPr>
              <w:t>15</w:t>
            </w:r>
          </w:p>
        </w:tc>
        <w:tc>
          <w:tcPr>
            <w:tcW w:w="1200" w:type="dxa"/>
            <w:vAlign w:val="bottom"/>
          </w:tcPr>
          <w:p w:rsidR="00000000" w:rsidRDefault="00000000">
            <w:pPr>
              <w:spacing w:before="40" w:after="40" w:line="216" w:lineRule="auto"/>
              <w:ind w:right="324"/>
              <w:jc w:val="right"/>
              <w:rPr>
                <w:sz w:val="22"/>
                <w:szCs w:val="22"/>
              </w:rPr>
            </w:pPr>
            <w:r>
              <w:rPr>
                <w:sz w:val="22"/>
                <w:szCs w:val="22"/>
              </w:rPr>
              <w:t>195</w:t>
            </w:r>
          </w:p>
        </w:tc>
        <w:tc>
          <w:tcPr>
            <w:tcW w:w="1316" w:type="dxa"/>
            <w:vAlign w:val="bottom"/>
          </w:tcPr>
          <w:p w:rsidR="00000000" w:rsidRDefault="00000000">
            <w:pPr>
              <w:spacing w:before="40" w:after="40" w:line="216" w:lineRule="auto"/>
              <w:ind w:right="324"/>
              <w:jc w:val="right"/>
              <w:rPr>
                <w:sz w:val="22"/>
                <w:szCs w:val="22"/>
              </w:rPr>
            </w:pPr>
            <w:r>
              <w:rPr>
                <w:sz w:val="22"/>
                <w:szCs w:val="22"/>
              </w:rPr>
              <w:t>7,7</w:t>
            </w:r>
          </w:p>
        </w:tc>
      </w:tr>
      <w:tr w:rsidR="00000000">
        <w:trPr>
          <w:jc w:val="center"/>
        </w:trPr>
        <w:tc>
          <w:tcPr>
            <w:tcW w:w="2063" w:type="dxa"/>
            <w:vAlign w:val="center"/>
          </w:tcPr>
          <w:p w:rsidR="00000000" w:rsidRDefault="00000000">
            <w:pPr>
              <w:keepNext/>
              <w:spacing w:before="40" w:after="40" w:line="216" w:lineRule="auto"/>
              <w:rPr>
                <w:b/>
                <w:bCs/>
                <w:sz w:val="22"/>
                <w:szCs w:val="22"/>
              </w:rPr>
            </w:pPr>
            <w:r>
              <w:rPr>
                <w:b/>
                <w:bCs/>
                <w:sz w:val="22"/>
                <w:szCs w:val="22"/>
              </w:rPr>
              <w:t>Total partiel</w:t>
            </w:r>
          </w:p>
        </w:tc>
        <w:tc>
          <w:tcPr>
            <w:tcW w:w="1200" w:type="dxa"/>
            <w:vAlign w:val="bottom"/>
          </w:tcPr>
          <w:p w:rsidR="00000000" w:rsidRDefault="00000000">
            <w:pPr>
              <w:spacing w:before="40" w:after="40" w:line="216" w:lineRule="auto"/>
              <w:ind w:right="324"/>
              <w:jc w:val="right"/>
              <w:rPr>
                <w:sz w:val="22"/>
                <w:szCs w:val="22"/>
              </w:rPr>
            </w:pPr>
            <w:r>
              <w:rPr>
                <w:sz w:val="22"/>
                <w:szCs w:val="22"/>
              </w:rPr>
              <w:t>9 560</w:t>
            </w:r>
          </w:p>
        </w:tc>
        <w:tc>
          <w:tcPr>
            <w:tcW w:w="1200" w:type="dxa"/>
            <w:vAlign w:val="bottom"/>
          </w:tcPr>
          <w:p w:rsidR="00000000" w:rsidRDefault="00000000">
            <w:pPr>
              <w:spacing w:before="40" w:after="40" w:line="216" w:lineRule="auto"/>
              <w:ind w:right="324"/>
              <w:jc w:val="right"/>
              <w:rPr>
                <w:sz w:val="22"/>
                <w:szCs w:val="22"/>
              </w:rPr>
            </w:pPr>
            <w:r>
              <w:rPr>
                <w:sz w:val="22"/>
                <w:szCs w:val="22"/>
              </w:rPr>
              <w:t>8 814</w:t>
            </w:r>
          </w:p>
        </w:tc>
        <w:tc>
          <w:tcPr>
            <w:tcW w:w="1320" w:type="dxa"/>
            <w:vAlign w:val="bottom"/>
          </w:tcPr>
          <w:p w:rsidR="00000000" w:rsidRDefault="00000000">
            <w:pPr>
              <w:spacing w:before="40" w:after="40" w:line="216" w:lineRule="auto"/>
              <w:ind w:right="324"/>
              <w:jc w:val="right"/>
              <w:rPr>
                <w:sz w:val="22"/>
                <w:szCs w:val="22"/>
              </w:rPr>
            </w:pPr>
            <w:r>
              <w:rPr>
                <w:sz w:val="22"/>
                <w:szCs w:val="22"/>
              </w:rPr>
              <w:t>108,5</w:t>
            </w:r>
          </w:p>
        </w:tc>
        <w:tc>
          <w:tcPr>
            <w:tcW w:w="1080" w:type="dxa"/>
            <w:vAlign w:val="bottom"/>
          </w:tcPr>
          <w:p w:rsidR="00000000" w:rsidRDefault="00000000">
            <w:pPr>
              <w:spacing w:before="40" w:after="40" w:line="216" w:lineRule="auto"/>
              <w:ind w:right="324"/>
              <w:jc w:val="right"/>
              <w:rPr>
                <w:sz w:val="22"/>
                <w:szCs w:val="22"/>
              </w:rPr>
            </w:pPr>
            <w:r>
              <w:rPr>
                <w:sz w:val="22"/>
                <w:szCs w:val="22"/>
              </w:rPr>
              <w:t>9 819</w:t>
            </w:r>
          </w:p>
        </w:tc>
        <w:tc>
          <w:tcPr>
            <w:tcW w:w="1200" w:type="dxa"/>
            <w:vAlign w:val="bottom"/>
          </w:tcPr>
          <w:p w:rsidR="00000000" w:rsidRDefault="00000000">
            <w:pPr>
              <w:spacing w:before="40" w:after="40" w:line="216" w:lineRule="auto"/>
              <w:ind w:right="324"/>
              <w:jc w:val="right"/>
              <w:rPr>
                <w:sz w:val="22"/>
                <w:szCs w:val="22"/>
              </w:rPr>
            </w:pPr>
            <w:r>
              <w:rPr>
                <w:sz w:val="22"/>
                <w:szCs w:val="22"/>
              </w:rPr>
              <w:t>8 908</w:t>
            </w:r>
          </w:p>
        </w:tc>
        <w:tc>
          <w:tcPr>
            <w:tcW w:w="1316" w:type="dxa"/>
            <w:vAlign w:val="bottom"/>
          </w:tcPr>
          <w:p w:rsidR="00000000" w:rsidRDefault="00000000">
            <w:pPr>
              <w:spacing w:before="40" w:after="40" w:line="216" w:lineRule="auto"/>
              <w:ind w:right="324"/>
              <w:jc w:val="right"/>
              <w:rPr>
                <w:sz w:val="22"/>
                <w:szCs w:val="22"/>
              </w:rPr>
            </w:pPr>
            <w:r>
              <w:rPr>
                <w:sz w:val="22"/>
                <w:szCs w:val="22"/>
              </w:rPr>
              <w:t>110,2</w:t>
            </w:r>
          </w:p>
        </w:tc>
      </w:tr>
      <w:tr w:rsidR="00000000">
        <w:trPr>
          <w:jc w:val="center"/>
        </w:trPr>
        <w:tc>
          <w:tcPr>
            <w:tcW w:w="2063" w:type="dxa"/>
            <w:vAlign w:val="center"/>
          </w:tcPr>
          <w:p w:rsidR="00000000" w:rsidRDefault="00000000">
            <w:pPr>
              <w:spacing w:before="40" w:after="40" w:line="216" w:lineRule="auto"/>
              <w:rPr>
                <w:b/>
                <w:bCs/>
                <w:sz w:val="22"/>
                <w:szCs w:val="22"/>
              </w:rPr>
            </w:pPr>
            <w:r>
              <w:rPr>
                <w:b/>
                <w:bCs/>
                <w:sz w:val="22"/>
                <w:szCs w:val="22"/>
              </w:rPr>
              <w:t>Établissements régionaux</w:t>
            </w:r>
            <w:r>
              <w:rPr>
                <w:b/>
                <w:bCs/>
                <w:sz w:val="22"/>
                <w:szCs w:val="22"/>
                <w:vertAlign w:val="superscript"/>
              </w:rPr>
              <w:t>c</w:t>
            </w:r>
          </w:p>
        </w:tc>
        <w:tc>
          <w:tcPr>
            <w:tcW w:w="1200" w:type="dxa"/>
            <w:vAlign w:val="bottom"/>
          </w:tcPr>
          <w:p w:rsidR="00000000" w:rsidRDefault="00000000">
            <w:pPr>
              <w:spacing w:before="40" w:after="40" w:line="216" w:lineRule="auto"/>
              <w:ind w:right="324"/>
              <w:jc w:val="right"/>
              <w:rPr>
                <w:sz w:val="22"/>
                <w:szCs w:val="22"/>
              </w:rPr>
            </w:pPr>
            <w:r>
              <w:rPr>
                <w:sz w:val="22"/>
                <w:szCs w:val="22"/>
              </w:rPr>
              <w:t>3 552</w:t>
            </w:r>
          </w:p>
        </w:tc>
        <w:tc>
          <w:tcPr>
            <w:tcW w:w="1200" w:type="dxa"/>
            <w:vAlign w:val="bottom"/>
          </w:tcPr>
          <w:p w:rsidR="00000000" w:rsidRDefault="00000000">
            <w:pPr>
              <w:spacing w:before="40" w:after="40" w:line="216" w:lineRule="auto"/>
              <w:ind w:right="324"/>
              <w:jc w:val="right"/>
              <w:rPr>
                <w:sz w:val="22"/>
                <w:szCs w:val="22"/>
              </w:rPr>
            </w:pPr>
            <w:r>
              <w:rPr>
                <w:sz w:val="22"/>
                <w:szCs w:val="22"/>
              </w:rPr>
              <w:t>2 557</w:t>
            </w:r>
          </w:p>
        </w:tc>
        <w:tc>
          <w:tcPr>
            <w:tcW w:w="1320" w:type="dxa"/>
            <w:vAlign w:val="bottom"/>
          </w:tcPr>
          <w:p w:rsidR="00000000" w:rsidRDefault="00000000">
            <w:pPr>
              <w:spacing w:before="40" w:after="40" w:line="216" w:lineRule="auto"/>
              <w:ind w:right="324"/>
              <w:jc w:val="right"/>
              <w:rPr>
                <w:sz w:val="22"/>
                <w:szCs w:val="22"/>
              </w:rPr>
            </w:pPr>
            <w:r>
              <w:rPr>
                <w:sz w:val="22"/>
                <w:szCs w:val="22"/>
              </w:rPr>
              <w:t>138,9</w:t>
            </w:r>
          </w:p>
        </w:tc>
        <w:tc>
          <w:tcPr>
            <w:tcW w:w="1080" w:type="dxa"/>
            <w:vAlign w:val="bottom"/>
          </w:tcPr>
          <w:p w:rsidR="00000000" w:rsidRDefault="00000000">
            <w:pPr>
              <w:spacing w:before="40" w:after="40" w:line="216" w:lineRule="auto"/>
              <w:ind w:right="324"/>
              <w:jc w:val="right"/>
              <w:rPr>
                <w:sz w:val="22"/>
                <w:szCs w:val="22"/>
              </w:rPr>
            </w:pPr>
            <w:r>
              <w:rPr>
                <w:sz w:val="22"/>
                <w:szCs w:val="22"/>
              </w:rPr>
              <w:t>3 953</w:t>
            </w:r>
          </w:p>
        </w:tc>
        <w:tc>
          <w:tcPr>
            <w:tcW w:w="1200" w:type="dxa"/>
            <w:vAlign w:val="bottom"/>
          </w:tcPr>
          <w:p w:rsidR="00000000" w:rsidRDefault="00000000">
            <w:pPr>
              <w:spacing w:before="40" w:after="40" w:line="216" w:lineRule="auto"/>
              <w:ind w:right="324"/>
              <w:jc w:val="right"/>
              <w:rPr>
                <w:sz w:val="22"/>
                <w:szCs w:val="22"/>
              </w:rPr>
            </w:pPr>
            <w:r>
              <w:rPr>
                <w:sz w:val="22"/>
                <w:szCs w:val="22"/>
              </w:rPr>
              <w:t>2 557</w:t>
            </w:r>
          </w:p>
        </w:tc>
        <w:tc>
          <w:tcPr>
            <w:tcW w:w="1316" w:type="dxa"/>
            <w:vAlign w:val="bottom"/>
          </w:tcPr>
          <w:p w:rsidR="00000000" w:rsidRDefault="00000000">
            <w:pPr>
              <w:spacing w:before="40" w:after="40" w:line="216" w:lineRule="auto"/>
              <w:ind w:right="324"/>
              <w:jc w:val="right"/>
              <w:rPr>
                <w:sz w:val="22"/>
                <w:szCs w:val="22"/>
              </w:rPr>
            </w:pPr>
            <w:r>
              <w:rPr>
                <w:sz w:val="22"/>
                <w:szCs w:val="22"/>
              </w:rPr>
              <w:t>154,6</w:t>
            </w:r>
          </w:p>
        </w:tc>
      </w:tr>
      <w:tr w:rsidR="00000000">
        <w:trPr>
          <w:jc w:val="center"/>
        </w:trPr>
        <w:tc>
          <w:tcPr>
            <w:tcW w:w="2063" w:type="dxa"/>
            <w:vAlign w:val="center"/>
          </w:tcPr>
          <w:p w:rsidR="00000000" w:rsidRDefault="00000000">
            <w:pPr>
              <w:spacing w:before="40" w:after="40" w:line="216" w:lineRule="auto"/>
              <w:rPr>
                <w:sz w:val="22"/>
                <w:szCs w:val="22"/>
              </w:rPr>
            </w:pPr>
            <w:r>
              <w:rPr>
                <w:b/>
                <w:sz w:val="22"/>
                <w:szCs w:val="22"/>
              </w:rPr>
              <w:t>Total</w:t>
            </w:r>
          </w:p>
        </w:tc>
        <w:tc>
          <w:tcPr>
            <w:tcW w:w="1200" w:type="dxa"/>
            <w:vAlign w:val="bottom"/>
          </w:tcPr>
          <w:p w:rsidR="00000000" w:rsidRDefault="00000000">
            <w:pPr>
              <w:spacing w:before="40" w:after="40" w:line="216" w:lineRule="auto"/>
              <w:ind w:right="324"/>
              <w:jc w:val="right"/>
              <w:rPr>
                <w:b/>
                <w:sz w:val="22"/>
                <w:szCs w:val="22"/>
              </w:rPr>
            </w:pPr>
            <w:r>
              <w:rPr>
                <w:b/>
                <w:sz w:val="22"/>
                <w:szCs w:val="22"/>
              </w:rPr>
              <w:t>13 112</w:t>
            </w:r>
          </w:p>
        </w:tc>
        <w:tc>
          <w:tcPr>
            <w:tcW w:w="1200" w:type="dxa"/>
            <w:vAlign w:val="bottom"/>
          </w:tcPr>
          <w:p w:rsidR="00000000" w:rsidRDefault="00000000">
            <w:pPr>
              <w:spacing w:before="40" w:after="40" w:line="216" w:lineRule="auto"/>
              <w:ind w:right="324"/>
              <w:jc w:val="right"/>
              <w:rPr>
                <w:b/>
                <w:sz w:val="22"/>
                <w:szCs w:val="22"/>
              </w:rPr>
            </w:pPr>
            <w:r>
              <w:rPr>
                <w:b/>
                <w:sz w:val="22"/>
                <w:szCs w:val="22"/>
              </w:rPr>
              <w:t>11 371</w:t>
            </w:r>
          </w:p>
        </w:tc>
        <w:tc>
          <w:tcPr>
            <w:tcW w:w="1320" w:type="dxa"/>
            <w:vAlign w:val="bottom"/>
          </w:tcPr>
          <w:p w:rsidR="00000000" w:rsidRDefault="00000000">
            <w:pPr>
              <w:spacing w:before="40" w:after="40" w:line="216" w:lineRule="auto"/>
              <w:ind w:right="324"/>
              <w:jc w:val="right"/>
              <w:rPr>
                <w:b/>
                <w:sz w:val="22"/>
                <w:szCs w:val="22"/>
              </w:rPr>
            </w:pPr>
            <w:r>
              <w:rPr>
                <w:b/>
                <w:sz w:val="22"/>
                <w:szCs w:val="22"/>
              </w:rPr>
              <w:t>115,3</w:t>
            </w:r>
          </w:p>
        </w:tc>
        <w:tc>
          <w:tcPr>
            <w:tcW w:w="1080" w:type="dxa"/>
            <w:vAlign w:val="bottom"/>
          </w:tcPr>
          <w:p w:rsidR="00000000" w:rsidRDefault="00000000">
            <w:pPr>
              <w:spacing w:before="40" w:after="40" w:line="216" w:lineRule="auto"/>
              <w:ind w:right="324"/>
              <w:jc w:val="right"/>
              <w:rPr>
                <w:b/>
                <w:sz w:val="22"/>
                <w:szCs w:val="22"/>
              </w:rPr>
            </w:pPr>
            <w:r>
              <w:rPr>
                <w:b/>
                <w:sz w:val="22"/>
                <w:szCs w:val="22"/>
              </w:rPr>
              <w:t>13 772</w:t>
            </w:r>
          </w:p>
        </w:tc>
        <w:tc>
          <w:tcPr>
            <w:tcW w:w="1200" w:type="dxa"/>
            <w:vAlign w:val="bottom"/>
          </w:tcPr>
          <w:p w:rsidR="00000000" w:rsidRDefault="00000000">
            <w:pPr>
              <w:spacing w:before="40" w:after="40" w:line="216" w:lineRule="auto"/>
              <w:ind w:right="324"/>
              <w:jc w:val="right"/>
              <w:rPr>
                <w:b/>
                <w:sz w:val="22"/>
                <w:szCs w:val="22"/>
              </w:rPr>
            </w:pPr>
            <w:r>
              <w:rPr>
                <w:b/>
                <w:sz w:val="22"/>
                <w:szCs w:val="22"/>
              </w:rPr>
              <w:t>11 465</w:t>
            </w:r>
          </w:p>
        </w:tc>
        <w:tc>
          <w:tcPr>
            <w:tcW w:w="1316" w:type="dxa"/>
            <w:vAlign w:val="bottom"/>
          </w:tcPr>
          <w:p w:rsidR="00000000" w:rsidRDefault="00000000">
            <w:pPr>
              <w:spacing w:before="40" w:after="40" w:line="216" w:lineRule="auto"/>
              <w:ind w:right="324"/>
              <w:jc w:val="right"/>
              <w:rPr>
                <w:b/>
                <w:sz w:val="22"/>
                <w:szCs w:val="22"/>
              </w:rPr>
            </w:pPr>
            <w:r>
              <w:rPr>
                <w:b/>
                <w:sz w:val="22"/>
                <w:szCs w:val="22"/>
              </w:rPr>
              <w:t>120,1</w:t>
            </w:r>
          </w:p>
        </w:tc>
      </w:tr>
    </w:tbl>
    <w:p w:rsidR="00000000" w:rsidRDefault="00000000">
      <w:pPr>
        <w:spacing w:before="200" w:after="240"/>
      </w:pPr>
      <w:r>
        <w:rPr>
          <w:b/>
          <w:bCs/>
          <w:vertAlign w:val="superscript"/>
        </w:rPr>
        <w:t>a</w:t>
      </w:r>
      <w:r>
        <w:t xml:space="preserve"> L’établissement de Carregueira n’est entré en fonctionnement qu’en 2002 avec une occupation provisoire; les chiffres ne concernent donc que la phase du début d’activité.</w:t>
      </w:r>
    </w:p>
    <w:p w:rsidR="00000000" w:rsidRDefault="00000000">
      <w:pPr>
        <w:spacing w:after="240"/>
      </w:pPr>
      <w:r>
        <w:rPr>
          <w:b/>
          <w:bCs/>
          <w:szCs w:val="22"/>
          <w:vertAlign w:val="superscript"/>
        </w:rPr>
        <w:t xml:space="preserve">b </w:t>
      </w:r>
      <w:r>
        <w:t xml:space="preserve">Pour l’hôpital de São João de Deus, on ne comptabilise que les </w:t>
      </w:r>
      <w:r>
        <w:rPr>
          <w:bCs/>
        </w:rPr>
        <w:t xml:space="preserve">détenus </w:t>
      </w:r>
      <w:r>
        <w:t>qui y sont affectés.</w:t>
      </w:r>
    </w:p>
    <w:p w:rsidR="00000000" w:rsidRDefault="00000000">
      <w:pPr>
        <w:spacing w:after="240"/>
      </w:pPr>
      <w:r>
        <w:rPr>
          <w:b/>
          <w:bCs/>
          <w:szCs w:val="22"/>
          <w:vertAlign w:val="superscript"/>
        </w:rPr>
        <w:t>c</w:t>
      </w:r>
      <w:r>
        <w:rPr>
          <w:b/>
          <w:bCs/>
          <w:szCs w:val="22"/>
        </w:rPr>
        <w:t xml:space="preserve"> </w:t>
      </w:r>
      <w:r>
        <w:rPr>
          <w:szCs w:val="22"/>
        </w:rPr>
        <w:t>Les chiffres des établissements régionaux ont été reportés du tableau 6-B ci</w:t>
      </w:r>
      <w:r>
        <w:rPr>
          <w:szCs w:val="22"/>
        </w:rPr>
        <w:noBreakHyphen/>
        <w:t>dessous.</w:t>
      </w:r>
    </w:p>
    <w:p w:rsidR="00000000" w:rsidRDefault="00000000">
      <w:pPr>
        <w:spacing w:after="240"/>
        <w:jc w:val="center"/>
      </w:pPr>
      <w:r>
        <w:br w:type="page"/>
      </w:r>
      <w:r>
        <w:rPr>
          <w:b/>
          <w:bCs/>
        </w:rPr>
        <w:t xml:space="preserve">Tableau 6-B.  </w:t>
      </w:r>
      <w:r>
        <w:rPr>
          <w:b/>
        </w:rPr>
        <w:t>Population carcérale par établissement, occupation et taux d’occupation</w:t>
      </w:r>
      <w:r>
        <w:rPr>
          <w:b/>
        </w:rPr>
        <w:br/>
        <w:t>(au 31 décembre de 2001 et 2002)</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53"/>
        <w:gridCol w:w="1080"/>
        <w:gridCol w:w="1320"/>
        <w:gridCol w:w="1320"/>
        <w:gridCol w:w="1080"/>
        <w:gridCol w:w="1200"/>
        <w:gridCol w:w="1306"/>
      </w:tblGrid>
      <w:tr w:rsidR="00000000">
        <w:trPr>
          <w:cantSplit/>
          <w:trHeight w:val="397"/>
          <w:tblHeader/>
          <w:jc w:val="center"/>
        </w:trPr>
        <w:tc>
          <w:tcPr>
            <w:tcW w:w="2053" w:type="dxa"/>
            <w:vMerge w:val="restart"/>
            <w:vAlign w:val="center"/>
          </w:tcPr>
          <w:p w:rsidR="00000000" w:rsidRDefault="00000000">
            <w:pPr>
              <w:spacing w:before="60" w:after="60" w:line="216" w:lineRule="auto"/>
              <w:jc w:val="center"/>
              <w:rPr>
                <w:b/>
                <w:sz w:val="22"/>
                <w:szCs w:val="22"/>
              </w:rPr>
            </w:pPr>
            <w:r>
              <w:rPr>
                <w:b/>
                <w:sz w:val="22"/>
                <w:szCs w:val="22"/>
              </w:rPr>
              <w:t>Établissements</w:t>
            </w:r>
          </w:p>
        </w:tc>
        <w:tc>
          <w:tcPr>
            <w:tcW w:w="3720" w:type="dxa"/>
            <w:gridSpan w:val="3"/>
            <w:vAlign w:val="center"/>
          </w:tcPr>
          <w:p w:rsidR="00000000" w:rsidRDefault="00000000">
            <w:pPr>
              <w:spacing w:before="60" w:after="60" w:line="216" w:lineRule="auto"/>
              <w:jc w:val="center"/>
              <w:rPr>
                <w:b/>
                <w:sz w:val="22"/>
                <w:szCs w:val="22"/>
              </w:rPr>
            </w:pPr>
            <w:r>
              <w:rPr>
                <w:b/>
                <w:sz w:val="22"/>
                <w:szCs w:val="22"/>
              </w:rPr>
              <w:t>2001</w:t>
            </w:r>
          </w:p>
        </w:tc>
        <w:tc>
          <w:tcPr>
            <w:tcW w:w="3586" w:type="dxa"/>
            <w:gridSpan w:val="3"/>
            <w:vAlign w:val="center"/>
          </w:tcPr>
          <w:p w:rsidR="00000000" w:rsidRDefault="00000000">
            <w:pPr>
              <w:spacing w:before="60" w:after="60" w:line="216" w:lineRule="auto"/>
              <w:jc w:val="center"/>
              <w:rPr>
                <w:b/>
                <w:sz w:val="22"/>
                <w:szCs w:val="22"/>
              </w:rPr>
            </w:pPr>
            <w:r>
              <w:rPr>
                <w:b/>
                <w:sz w:val="22"/>
                <w:szCs w:val="22"/>
              </w:rPr>
              <w:t>2002</w:t>
            </w:r>
          </w:p>
        </w:tc>
      </w:tr>
      <w:tr w:rsidR="00000000">
        <w:trPr>
          <w:cantSplit/>
          <w:tblHeader/>
          <w:jc w:val="center"/>
        </w:trPr>
        <w:tc>
          <w:tcPr>
            <w:tcW w:w="2053" w:type="dxa"/>
            <w:vMerge/>
            <w:vAlign w:val="center"/>
          </w:tcPr>
          <w:p w:rsidR="00000000" w:rsidRDefault="00000000">
            <w:pPr>
              <w:spacing w:before="60" w:after="60" w:line="216" w:lineRule="auto"/>
              <w:jc w:val="center"/>
              <w:rPr>
                <w:b/>
                <w:sz w:val="22"/>
                <w:szCs w:val="22"/>
              </w:rPr>
            </w:pPr>
          </w:p>
        </w:tc>
        <w:tc>
          <w:tcPr>
            <w:tcW w:w="1080" w:type="dxa"/>
            <w:vAlign w:val="center"/>
          </w:tcPr>
          <w:p w:rsidR="00000000" w:rsidRDefault="00000000">
            <w:pPr>
              <w:spacing w:before="60" w:after="60" w:line="216" w:lineRule="auto"/>
              <w:jc w:val="center"/>
              <w:rPr>
                <w:b/>
                <w:sz w:val="22"/>
              </w:rPr>
            </w:pPr>
            <w:r>
              <w:rPr>
                <w:b/>
                <w:sz w:val="22"/>
              </w:rPr>
              <w:t>Nombre de détenus</w:t>
            </w:r>
          </w:p>
        </w:tc>
        <w:tc>
          <w:tcPr>
            <w:tcW w:w="1320" w:type="dxa"/>
            <w:vAlign w:val="center"/>
          </w:tcPr>
          <w:p w:rsidR="00000000" w:rsidRDefault="00000000">
            <w:pPr>
              <w:spacing w:before="60" w:after="60" w:line="216" w:lineRule="auto"/>
              <w:jc w:val="center"/>
              <w:rPr>
                <w:b/>
                <w:sz w:val="22"/>
              </w:rPr>
            </w:pPr>
            <w:r>
              <w:rPr>
                <w:b/>
                <w:sz w:val="22"/>
              </w:rPr>
              <w:t>Occupation</w:t>
            </w:r>
          </w:p>
        </w:tc>
        <w:tc>
          <w:tcPr>
            <w:tcW w:w="1320" w:type="dxa"/>
            <w:vAlign w:val="center"/>
          </w:tcPr>
          <w:p w:rsidR="00000000" w:rsidRDefault="00000000">
            <w:pPr>
              <w:spacing w:before="60" w:after="60" w:line="216" w:lineRule="auto"/>
              <w:jc w:val="center"/>
              <w:rPr>
                <w:b/>
                <w:sz w:val="22"/>
              </w:rPr>
            </w:pPr>
            <w:r>
              <w:rPr>
                <w:b/>
                <w:sz w:val="22"/>
              </w:rPr>
              <w:t>Taux d’occupation en %</w:t>
            </w:r>
          </w:p>
        </w:tc>
        <w:tc>
          <w:tcPr>
            <w:tcW w:w="1080" w:type="dxa"/>
            <w:vAlign w:val="center"/>
          </w:tcPr>
          <w:p w:rsidR="00000000" w:rsidRDefault="00000000">
            <w:pPr>
              <w:spacing w:before="60" w:after="60" w:line="216" w:lineRule="auto"/>
              <w:jc w:val="center"/>
              <w:rPr>
                <w:b/>
                <w:sz w:val="22"/>
              </w:rPr>
            </w:pPr>
            <w:r>
              <w:rPr>
                <w:b/>
                <w:sz w:val="22"/>
              </w:rPr>
              <w:t>Nombre de détenus</w:t>
            </w:r>
          </w:p>
        </w:tc>
        <w:tc>
          <w:tcPr>
            <w:tcW w:w="1200" w:type="dxa"/>
            <w:vAlign w:val="center"/>
          </w:tcPr>
          <w:p w:rsidR="00000000" w:rsidRDefault="00000000">
            <w:pPr>
              <w:spacing w:before="60" w:after="60" w:line="216" w:lineRule="auto"/>
              <w:jc w:val="center"/>
              <w:rPr>
                <w:b/>
                <w:sz w:val="22"/>
              </w:rPr>
            </w:pPr>
            <w:r>
              <w:rPr>
                <w:b/>
                <w:sz w:val="22"/>
              </w:rPr>
              <w:t>Occupation</w:t>
            </w:r>
          </w:p>
        </w:tc>
        <w:tc>
          <w:tcPr>
            <w:tcW w:w="1306" w:type="dxa"/>
            <w:vAlign w:val="center"/>
          </w:tcPr>
          <w:p w:rsidR="00000000" w:rsidRDefault="00000000">
            <w:pPr>
              <w:spacing w:before="60" w:after="60" w:line="216" w:lineRule="auto"/>
              <w:jc w:val="center"/>
              <w:rPr>
                <w:b/>
                <w:sz w:val="22"/>
              </w:rPr>
            </w:pPr>
            <w:r>
              <w:rPr>
                <w:b/>
                <w:sz w:val="22"/>
              </w:rPr>
              <w:t>Taux d’occupation en %</w:t>
            </w:r>
          </w:p>
        </w:tc>
      </w:tr>
      <w:tr w:rsidR="00000000">
        <w:trPr>
          <w:trHeight w:val="397"/>
          <w:jc w:val="center"/>
        </w:trPr>
        <w:tc>
          <w:tcPr>
            <w:tcW w:w="2053" w:type="dxa"/>
            <w:vAlign w:val="center"/>
          </w:tcPr>
          <w:p w:rsidR="00000000" w:rsidRDefault="00000000">
            <w:pPr>
              <w:spacing w:before="60" w:after="60" w:line="216" w:lineRule="auto"/>
              <w:rPr>
                <w:b/>
                <w:bCs/>
                <w:sz w:val="22"/>
                <w:szCs w:val="22"/>
              </w:rPr>
            </w:pPr>
            <w:r>
              <w:rPr>
                <w:b/>
                <w:bCs/>
                <w:sz w:val="22"/>
                <w:szCs w:val="22"/>
              </w:rPr>
              <w:t>Établissements régionaux</w:t>
            </w:r>
          </w:p>
        </w:tc>
        <w:tc>
          <w:tcPr>
            <w:tcW w:w="1080" w:type="dxa"/>
            <w:vAlign w:val="center"/>
          </w:tcPr>
          <w:p w:rsidR="00000000" w:rsidRDefault="00000000">
            <w:pPr>
              <w:spacing w:before="60" w:after="60" w:line="216" w:lineRule="auto"/>
              <w:jc w:val="right"/>
              <w:rPr>
                <w:sz w:val="22"/>
                <w:szCs w:val="22"/>
              </w:rPr>
            </w:pPr>
          </w:p>
        </w:tc>
        <w:tc>
          <w:tcPr>
            <w:tcW w:w="1320" w:type="dxa"/>
            <w:vAlign w:val="center"/>
          </w:tcPr>
          <w:p w:rsidR="00000000" w:rsidRDefault="00000000">
            <w:pPr>
              <w:spacing w:before="60" w:after="60" w:line="216" w:lineRule="auto"/>
              <w:jc w:val="right"/>
              <w:rPr>
                <w:sz w:val="22"/>
                <w:szCs w:val="22"/>
              </w:rPr>
            </w:pPr>
          </w:p>
        </w:tc>
        <w:tc>
          <w:tcPr>
            <w:tcW w:w="1320" w:type="dxa"/>
            <w:vAlign w:val="center"/>
          </w:tcPr>
          <w:p w:rsidR="00000000" w:rsidRDefault="00000000">
            <w:pPr>
              <w:spacing w:before="60" w:after="60" w:line="216" w:lineRule="auto"/>
              <w:jc w:val="right"/>
              <w:rPr>
                <w:sz w:val="22"/>
                <w:szCs w:val="22"/>
              </w:rPr>
            </w:pPr>
          </w:p>
        </w:tc>
        <w:tc>
          <w:tcPr>
            <w:tcW w:w="1080" w:type="dxa"/>
            <w:vAlign w:val="center"/>
          </w:tcPr>
          <w:p w:rsidR="00000000" w:rsidRDefault="00000000">
            <w:pPr>
              <w:spacing w:before="60" w:after="60" w:line="216" w:lineRule="auto"/>
              <w:jc w:val="right"/>
              <w:rPr>
                <w:sz w:val="22"/>
                <w:szCs w:val="22"/>
              </w:rPr>
            </w:pPr>
          </w:p>
        </w:tc>
        <w:tc>
          <w:tcPr>
            <w:tcW w:w="1200" w:type="dxa"/>
            <w:vAlign w:val="center"/>
          </w:tcPr>
          <w:p w:rsidR="00000000" w:rsidRDefault="00000000">
            <w:pPr>
              <w:spacing w:before="60" w:after="60" w:line="216" w:lineRule="auto"/>
              <w:jc w:val="right"/>
              <w:rPr>
                <w:sz w:val="22"/>
                <w:szCs w:val="22"/>
              </w:rPr>
            </w:pPr>
          </w:p>
        </w:tc>
        <w:tc>
          <w:tcPr>
            <w:tcW w:w="1306" w:type="dxa"/>
            <w:vAlign w:val="center"/>
          </w:tcPr>
          <w:p w:rsidR="00000000" w:rsidRDefault="00000000">
            <w:pPr>
              <w:spacing w:before="60" w:after="60" w:line="216" w:lineRule="auto"/>
              <w:jc w:val="right"/>
              <w:rPr>
                <w:sz w:val="22"/>
                <w:szCs w:val="22"/>
              </w:rPr>
            </w:pP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Angra do Heroísmo</w:t>
            </w:r>
          </w:p>
        </w:tc>
        <w:tc>
          <w:tcPr>
            <w:tcW w:w="1080" w:type="dxa"/>
            <w:vAlign w:val="center"/>
          </w:tcPr>
          <w:p w:rsidR="00000000" w:rsidRDefault="00000000">
            <w:pPr>
              <w:spacing w:before="60" w:after="60" w:line="216" w:lineRule="auto"/>
              <w:ind w:right="204"/>
              <w:jc w:val="right"/>
              <w:rPr>
                <w:sz w:val="22"/>
                <w:szCs w:val="22"/>
              </w:rPr>
            </w:pPr>
            <w:r>
              <w:rPr>
                <w:sz w:val="22"/>
                <w:szCs w:val="22"/>
              </w:rPr>
              <w:t>81</w:t>
            </w:r>
          </w:p>
        </w:tc>
        <w:tc>
          <w:tcPr>
            <w:tcW w:w="1320" w:type="dxa"/>
            <w:vAlign w:val="center"/>
          </w:tcPr>
          <w:p w:rsidR="00000000" w:rsidRDefault="00000000">
            <w:pPr>
              <w:spacing w:before="60" w:after="60" w:line="216" w:lineRule="auto"/>
              <w:ind w:right="204"/>
              <w:jc w:val="right"/>
              <w:rPr>
                <w:sz w:val="22"/>
                <w:szCs w:val="22"/>
              </w:rPr>
            </w:pPr>
            <w:r>
              <w:rPr>
                <w:sz w:val="22"/>
                <w:szCs w:val="22"/>
              </w:rPr>
              <w:t>39</w:t>
            </w:r>
          </w:p>
        </w:tc>
        <w:tc>
          <w:tcPr>
            <w:tcW w:w="1320" w:type="dxa"/>
            <w:vAlign w:val="center"/>
          </w:tcPr>
          <w:p w:rsidR="00000000" w:rsidRDefault="00000000">
            <w:pPr>
              <w:spacing w:before="60" w:after="60" w:line="216" w:lineRule="auto"/>
              <w:ind w:right="204"/>
              <w:jc w:val="right"/>
              <w:rPr>
                <w:sz w:val="22"/>
                <w:szCs w:val="22"/>
              </w:rPr>
            </w:pPr>
            <w:r>
              <w:rPr>
                <w:sz w:val="22"/>
                <w:szCs w:val="22"/>
              </w:rPr>
              <w:t>207,7</w:t>
            </w:r>
          </w:p>
        </w:tc>
        <w:tc>
          <w:tcPr>
            <w:tcW w:w="1080" w:type="dxa"/>
            <w:vAlign w:val="center"/>
          </w:tcPr>
          <w:p w:rsidR="00000000" w:rsidRDefault="00000000">
            <w:pPr>
              <w:spacing w:before="60" w:after="60" w:line="216" w:lineRule="auto"/>
              <w:ind w:right="204"/>
              <w:jc w:val="right"/>
              <w:rPr>
                <w:sz w:val="22"/>
                <w:szCs w:val="22"/>
              </w:rPr>
            </w:pPr>
            <w:r>
              <w:rPr>
                <w:sz w:val="22"/>
                <w:szCs w:val="22"/>
              </w:rPr>
              <w:t>79</w:t>
            </w:r>
          </w:p>
        </w:tc>
        <w:tc>
          <w:tcPr>
            <w:tcW w:w="1200" w:type="dxa"/>
            <w:vAlign w:val="center"/>
          </w:tcPr>
          <w:p w:rsidR="00000000" w:rsidRDefault="00000000">
            <w:pPr>
              <w:spacing w:before="60" w:after="60" w:line="216" w:lineRule="auto"/>
              <w:ind w:right="204"/>
              <w:jc w:val="right"/>
              <w:rPr>
                <w:sz w:val="22"/>
                <w:szCs w:val="22"/>
              </w:rPr>
            </w:pPr>
            <w:r>
              <w:rPr>
                <w:sz w:val="22"/>
                <w:szCs w:val="22"/>
              </w:rPr>
              <w:t>39</w:t>
            </w:r>
          </w:p>
        </w:tc>
        <w:tc>
          <w:tcPr>
            <w:tcW w:w="1306" w:type="dxa"/>
            <w:vAlign w:val="center"/>
          </w:tcPr>
          <w:p w:rsidR="00000000" w:rsidRDefault="00000000">
            <w:pPr>
              <w:spacing w:before="60" w:after="60" w:line="216" w:lineRule="auto"/>
              <w:ind w:right="204"/>
              <w:jc w:val="right"/>
              <w:rPr>
                <w:sz w:val="22"/>
                <w:szCs w:val="22"/>
              </w:rPr>
            </w:pPr>
            <w:r>
              <w:rPr>
                <w:sz w:val="22"/>
                <w:szCs w:val="22"/>
              </w:rPr>
              <w:t>202.6</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Prison d’appui de Horta</w:t>
            </w:r>
            <w:r>
              <w:rPr>
                <w:b/>
                <w:bCs/>
                <w:sz w:val="22"/>
                <w:szCs w:val="22"/>
                <w:vertAlign w:val="superscript"/>
              </w:rPr>
              <w:t>a</w:t>
            </w:r>
          </w:p>
        </w:tc>
        <w:tc>
          <w:tcPr>
            <w:tcW w:w="1080" w:type="dxa"/>
            <w:vAlign w:val="center"/>
          </w:tcPr>
          <w:p w:rsidR="00000000" w:rsidRDefault="00000000">
            <w:pPr>
              <w:spacing w:before="60" w:after="60" w:line="216" w:lineRule="auto"/>
              <w:ind w:right="204"/>
              <w:jc w:val="right"/>
              <w:rPr>
                <w:sz w:val="22"/>
                <w:szCs w:val="22"/>
              </w:rPr>
            </w:pPr>
            <w:r>
              <w:rPr>
                <w:sz w:val="22"/>
                <w:szCs w:val="22"/>
              </w:rPr>
              <w:t>20</w:t>
            </w:r>
          </w:p>
        </w:tc>
        <w:tc>
          <w:tcPr>
            <w:tcW w:w="1320" w:type="dxa"/>
            <w:vAlign w:val="center"/>
          </w:tcPr>
          <w:p w:rsidR="00000000" w:rsidRDefault="00000000">
            <w:pPr>
              <w:spacing w:before="60" w:after="60" w:line="216" w:lineRule="auto"/>
              <w:ind w:right="204"/>
              <w:jc w:val="right"/>
              <w:rPr>
                <w:sz w:val="22"/>
                <w:szCs w:val="22"/>
              </w:rPr>
            </w:pPr>
            <w:r>
              <w:rPr>
                <w:sz w:val="22"/>
                <w:szCs w:val="22"/>
              </w:rPr>
              <w:t>17</w:t>
            </w:r>
          </w:p>
        </w:tc>
        <w:tc>
          <w:tcPr>
            <w:tcW w:w="1320" w:type="dxa"/>
            <w:vAlign w:val="center"/>
          </w:tcPr>
          <w:p w:rsidR="00000000" w:rsidRDefault="00000000">
            <w:pPr>
              <w:spacing w:before="60" w:after="60" w:line="216" w:lineRule="auto"/>
              <w:ind w:right="204"/>
              <w:jc w:val="right"/>
              <w:rPr>
                <w:sz w:val="22"/>
                <w:szCs w:val="22"/>
              </w:rPr>
            </w:pPr>
            <w:r>
              <w:rPr>
                <w:sz w:val="22"/>
                <w:szCs w:val="22"/>
              </w:rPr>
              <w:t>117,6</w:t>
            </w:r>
          </w:p>
        </w:tc>
        <w:tc>
          <w:tcPr>
            <w:tcW w:w="1080" w:type="dxa"/>
            <w:vAlign w:val="center"/>
          </w:tcPr>
          <w:p w:rsidR="00000000" w:rsidRDefault="00000000">
            <w:pPr>
              <w:spacing w:before="60" w:after="60" w:line="216" w:lineRule="auto"/>
              <w:ind w:right="204"/>
              <w:jc w:val="right"/>
              <w:rPr>
                <w:sz w:val="22"/>
                <w:szCs w:val="22"/>
              </w:rPr>
            </w:pPr>
            <w:r>
              <w:rPr>
                <w:sz w:val="22"/>
                <w:szCs w:val="22"/>
              </w:rPr>
              <w:t>28</w:t>
            </w:r>
          </w:p>
        </w:tc>
        <w:tc>
          <w:tcPr>
            <w:tcW w:w="1200" w:type="dxa"/>
            <w:vAlign w:val="center"/>
          </w:tcPr>
          <w:p w:rsidR="00000000" w:rsidRDefault="00000000">
            <w:pPr>
              <w:spacing w:before="60" w:after="60" w:line="216" w:lineRule="auto"/>
              <w:ind w:right="204"/>
              <w:jc w:val="right"/>
              <w:rPr>
                <w:sz w:val="22"/>
                <w:szCs w:val="22"/>
              </w:rPr>
            </w:pPr>
            <w:r>
              <w:rPr>
                <w:sz w:val="22"/>
                <w:szCs w:val="22"/>
              </w:rPr>
              <w:t>17</w:t>
            </w:r>
          </w:p>
        </w:tc>
        <w:tc>
          <w:tcPr>
            <w:tcW w:w="1306" w:type="dxa"/>
            <w:vAlign w:val="center"/>
          </w:tcPr>
          <w:p w:rsidR="00000000" w:rsidRDefault="00000000">
            <w:pPr>
              <w:spacing w:before="60" w:after="60" w:line="216" w:lineRule="auto"/>
              <w:ind w:right="204"/>
              <w:jc w:val="right"/>
              <w:rPr>
                <w:sz w:val="22"/>
                <w:szCs w:val="22"/>
              </w:rPr>
            </w:pPr>
            <w:r>
              <w:rPr>
                <w:sz w:val="22"/>
                <w:szCs w:val="22"/>
              </w:rPr>
              <w:t>164,7</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Aveiro</w:t>
            </w:r>
          </w:p>
        </w:tc>
        <w:tc>
          <w:tcPr>
            <w:tcW w:w="1080" w:type="dxa"/>
            <w:vAlign w:val="center"/>
          </w:tcPr>
          <w:p w:rsidR="00000000" w:rsidRDefault="00000000">
            <w:pPr>
              <w:spacing w:before="60" w:after="60" w:line="216" w:lineRule="auto"/>
              <w:ind w:right="204"/>
              <w:jc w:val="right"/>
              <w:rPr>
                <w:sz w:val="22"/>
                <w:szCs w:val="22"/>
              </w:rPr>
            </w:pPr>
            <w:r>
              <w:rPr>
                <w:sz w:val="22"/>
                <w:szCs w:val="22"/>
              </w:rPr>
              <w:t>142</w:t>
            </w:r>
          </w:p>
        </w:tc>
        <w:tc>
          <w:tcPr>
            <w:tcW w:w="1320" w:type="dxa"/>
            <w:vAlign w:val="center"/>
          </w:tcPr>
          <w:p w:rsidR="00000000" w:rsidRDefault="00000000">
            <w:pPr>
              <w:spacing w:before="60" w:after="60" w:line="216" w:lineRule="auto"/>
              <w:ind w:right="204"/>
              <w:jc w:val="right"/>
              <w:rPr>
                <w:sz w:val="22"/>
                <w:szCs w:val="22"/>
              </w:rPr>
            </w:pPr>
            <w:r>
              <w:rPr>
                <w:sz w:val="22"/>
                <w:szCs w:val="22"/>
              </w:rPr>
              <w:t>88</w:t>
            </w:r>
          </w:p>
        </w:tc>
        <w:tc>
          <w:tcPr>
            <w:tcW w:w="1320" w:type="dxa"/>
            <w:vAlign w:val="center"/>
          </w:tcPr>
          <w:p w:rsidR="00000000" w:rsidRDefault="00000000">
            <w:pPr>
              <w:spacing w:before="60" w:after="60" w:line="216" w:lineRule="auto"/>
              <w:ind w:right="204"/>
              <w:jc w:val="right"/>
              <w:rPr>
                <w:sz w:val="22"/>
                <w:szCs w:val="22"/>
              </w:rPr>
            </w:pPr>
            <w:r>
              <w:rPr>
                <w:sz w:val="22"/>
                <w:szCs w:val="22"/>
              </w:rPr>
              <w:t>161,4</w:t>
            </w:r>
          </w:p>
        </w:tc>
        <w:tc>
          <w:tcPr>
            <w:tcW w:w="1080" w:type="dxa"/>
            <w:vAlign w:val="center"/>
          </w:tcPr>
          <w:p w:rsidR="00000000" w:rsidRDefault="00000000">
            <w:pPr>
              <w:spacing w:before="60" w:after="60" w:line="216" w:lineRule="auto"/>
              <w:ind w:right="204"/>
              <w:jc w:val="right"/>
              <w:rPr>
                <w:sz w:val="22"/>
                <w:szCs w:val="22"/>
              </w:rPr>
            </w:pPr>
            <w:r>
              <w:rPr>
                <w:sz w:val="22"/>
                <w:szCs w:val="22"/>
              </w:rPr>
              <w:t>140</w:t>
            </w:r>
          </w:p>
        </w:tc>
        <w:tc>
          <w:tcPr>
            <w:tcW w:w="1200" w:type="dxa"/>
            <w:vAlign w:val="center"/>
          </w:tcPr>
          <w:p w:rsidR="00000000" w:rsidRDefault="00000000">
            <w:pPr>
              <w:spacing w:before="60" w:after="60" w:line="216" w:lineRule="auto"/>
              <w:ind w:right="204"/>
              <w:jc w:val="right"/>
              <w:rPr>
                <w:sz w:val="22"/>
                <w:szCs w:val="22"/>
              </w:rPr>
            </w:pPr>
            <w:r>
              <w:rPr>
                <w:sz w:val="22"/>
                <w:szCs w:val="22"/>
              </w:rPr>
              <w:t>88</w:t>
            </w:r>
          </w:p>
        </w:tc>
        <w:tc>
          <w:tcPr>
            <w:tcW w:w="1306" w:type="dxa"/>
            <w:vAlign w:val="center"/>
          </w:tcPr>
          <w:p w:rsidR="00000000" w:rsidRDefault="00000000">
            <w:pPr>
              <w:spacing w:before="60" w:after="60" w:line="216" w:lineRule="auto"/>
              <w:ind w:right="204"/>
              <w:jc w:val="right"/>
              <w:rPr>
                <w:sz w:val="22"/>
                <w:szCs w:val="22"/>
              </w:rPr>
            </w:pPr>
            <w:r>
              <w:rPr>
                <w:sz w:val="22"/>
                <w:szCs w:val="22"/>
              </w:rPr>
              <w:t>159,1</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Beja</w:t>
            </w:r>
          </w:p>
        </w:tc>
        <w:tc>
          <w:tcPr>
            <w:tcW w:w="1080" w:type="dxa"/>
            <w:vAlign w:val="center"/>
          </w:tcPr>
          <w:p w:rsidR="00000000" w:rsidRDefault="00000000">
            <w:pPr>
              <w:spacing w:before="60" w:after="60" w:line="216" w:lineRule="auto"/>
              <w:ind w:right="204"/>
              <w:jc w:val="right"/>
              <w:rPr>
                <w:sz w:val="22"/>
                <w:szCs w:val="22"/>
              </w:rPr>
            </w:pPr>
            <w:r>
              <w:rPr>
                <w:sz w:val="22"/>
                <w:szCs w:val="22"/>
              </w:rPr>
              <w:t>86</w:t>
            </w:r>
          </w:p>
        </w:tc>
        <w:tc>
          <w:tcPr>
            <w:tcW w:w="1320" w:type="dxa"/>
            <w:vAlign w:val="center"/>
          </w:tcPr>
          <w:p w:rsidR="00000000" w:rsidRDefault="00000000">
            <w:pPr>
              <w:spacing w:before="60" w:after="60" w:line="216" w:lineRule="auto"/>
              <w:ind w:right="204"/>
              <w:jc w:val="right"/>
              <w:rPr>
                <w:sz w:val="22"/>
                <w:szCs w:val="22"/>
              </w:rPr>
            </w:pPr>
            <w:r>
              <w:rPr>
                <w:sz w:val="22"/>
                <w:szCs w:val="22"/>
              </w:rPr>
              <w:t>48</w:t>
            </w:r>
          </w:p>
        </w:tc>
        <w:tc>
          <w:tcPr>
            <w:tcW w:w="1320" w:type="dxa"/>
            <w:vAlign w:val="center"/>
          </w:tcPr>
          <w:p w:rsidR="00000000" w:rsidRDefault="00000000">
            <w:pPr>
              <w:spacing w:before="60" w:after="60" w:line="216" w:lineRule="auto"/>
              <w:ind w:right="204"/>
              <w:jc w:val="right"/>
              <w:rPr>
                <w:sz w:val="22"/>
                <w:szCs w:val="22"/>
              </w:rPr>
            </w:pPr>
            <w:r>
              <w:rPr>
                <w:sz w:val="22"/>
                <w:szCs w:val="22"/>
              </w:rPr>
              <w:t>179,2</w:t>
            </w:r>
          </w:p>
        </w:tc>
        <w:tc>
          <w:tcPr>
            <w:tcW w:w="1080" w:type="dxa"/>
            <w:vAlign w:val="center"/>
          </w:tcPr>
          <w:p w:rsidR="00000000" w:rsidRDefault="00000000">
            <w:pPr>
              <w:spacing w:before="60" w:after="60" w:line="216" w:lineRule="auto"/>
              <w:ind w:right="204"/>
              <w:jc w:val="right"/>
              <w:rPr>
                <w:sz w:val="22"/>
                <w:szCs w:val="22"/>
              </w:rPr>
            </w:pPr>
            <w:r>
              <w:rPr>
                <w:sz w:val="22"/>
                <w:szCs w:val="22"/>
              </w:rPr>
              <w:t>101</w:t>
            </w:r>
          </w:p>
        </w:tc>
        <w:tc>
          <w:tcPr>
            <w:tcW w:w="1200" w:type="dxa"/>
            <w:vAlign w:val="center"/>
          </w:tcPr>
          <w:p w:rsidR="00000000" w:rsidRDefault="00000000">
            <w:pPr>
              <w:spacing w:before="60" w:after="60" w:line="216" w:lineRule="auto"/>
              <w:ind w:right="204"/>
              <w:jc w:val="right"/>
              <w:rPr>
                <w:sz w:val="22"/>
                <w:szCs w:val="22"/>
              </w:rPr>
            </w:pPr>
            <w:r>
              <w:rPr>
                <w:sz w:val="22"/>
                <w:szCs w:val="22"/>
              </w:rPr>
              <w:t>48</w:t>
            </w:r>
          </w:p>
        </w:tc>
        <w:tc>
          <w:tcPr>
            <w:tcW w:w="1306" w:type="dxa"/>
            <w:vAlign w:val="center"/>
          </w:tcPr>
          <w:p w:rsidR="00000000" w:rsidRDefault="00000000">
            <w:pPr>
              <w:spacing w:before="60" w:after="60" w:line="216" w:lineRule="auto"/>
              <w:ind w:right="204"/>
              <w:jc w:val="right"/>
              <w:rPr>
                <w:sz w:val="22"/>
                <w:szCs w:val="22"/>
              </w:rPr>
            </w:pPr>
            <w:r>
              <w:rPr>
                <w:sz w:val="22"/>
                <w:szCs w:val="22"/>
              </w:rPr>
              <w:t>210,4</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Braga</w:t>
            </w:r>
          </w:p>
        </w:tc>
        <w:tc>
          <w:tcPr>
            <w:tcW w:w="1080" w:type="dxa"/>
            <w:vAlign w:val="center"/>
          </w:tcPr>
          <w:p w:rsidR="00000000" w:rsidRDefault="00000000">
            <w:pPr>
              <w:spacing w:before="60" w:after="60" w:line="216" w:lineRule="auto"/>
              <w:ind w:right="204"/>
              <w:jc w:val="right"/>
              <w:rPr>
                <w:sz w:val="22"/>
                <w:szCs w:val="22"/>
              </w:rPr>
            </w:pPr>
            <w:r>
              <w:rPr>
                <w:sz w:val="22"/>
                <w:szCs w:val="22"/>
              </w:rPr>
              <w:t>151</w:t>
            </w:r>
          </w:p>
        </w:tc>
        <w:tc>
          <w:tcPr>
            <w:tcW w:w="1320" w:type="dxa"/>
            <w:vAlign w:val="center"/>
          </w:tcPr>
          <w:p w:rsidR="00000000" w:rsidRDefault="00000000">
            <w:pPr>
              <w:spacing w:before="60" w:after="60" w:line="216" w:lineRule="auto"/>
              <w:ind w:right="204"/>
              <w:jc w:val="right"/>
              <w:rPr>
                <w:sz w:val="22"/>
                <w:szCs w:val="22"/>
              </w:rPr>
            </w:pPr>
            <w:r>
              <w:rPr>
                <w:sz w:val="22"/>
                <w:szCs w:val="22"/>
              </w:rPr>
              <w:t>72</w:t>
            </w:r>
          </w:p>
        </w:tc>
        <w:tc>
          <w:tcPr>
            <w:tcW w:w="1320" w:type="dxa"/>
            <w:vAlign w:val="center"/>
          </w:tcPr>
          <w:p w:rsidR="00000000" w:rsidRDefault="00000000">
            <w:pPr>
              <w:spacing w:before="60" w:after="60" w:line="216" w:lineRule="auto"/>
              <w:ind w:right="204"/>
              <w:jc w:val="right"/>
              <w:rPr>
                <w:sz w:val="22"/>
                <w:szCs w:val="22"/>
              </w:rPr>
            </w:pPr>
            <w:r>
              <w:rPr>
                <w:sz w:val="22"/>
                <w:szCs w:val="22"/>
              </w:rPr>
              <w:t>209,7</w:t>
            </w:r>
          </w:p>
        </w:tc>
        <w:tc>
          <w:tcPr>
            <w:tcW w:w="1080" w:type="dxa"/>
            <w:vAlign w:val="center"/>
          </w:tcPr>
          <w:p w:rsidR="00000000" w:rsidRDefault="00000000">
            <w:pPr>
              <w:spacing w:before="60" w:after="60" w:line="216" w:lineRule="auto"/>
              <w:ind w:right="204"/>
              <w:jc w:val="right"/>
              <w:rPr>
                <w:sz w:val="22"/>
                <w:szCs w:val="22"/>
              </w:rPr>
            </w:pPr>
            <w:r>
              <w:rPr>
                <w:sz w:val="22"/>
                <w:szCs w:val="22"/>
              </w:rPr>
              <w:t>154</w:t>
            </w:r>
          </w:p>
        </w:tc>
        <w:tc>
          <w:tcPr>
            <w:tcW w:w="1200" w:type="dxa"/>
            <w:vAlign w:val="center"/>
          </w:tcPr>
          <w:p w:rsidR="00000000" w:rsidRDefault="00000000">
            <w:pPr>
              <w:spacing w:before="60" w:after="60" w:line="216" w:lineRule="auto"/>
              <w:ind w:right="204"/>
              <w:jc w:val="right"/>
              <w:rPr>
                <w:sz w:val="22"/>
                <w:szCs w:val="22"/>
              </w:rPr>
            </w:pPr>
            <w:r>
              <w:rPr>
                <w:sz w:val="22"/>
                <w:szCs w:val="22"/>
              </w:rPr>
              <w:t>72</w:t>
            </w:r>
          </w:p>
        </w:tc>
        <w:tc>
          <w:tcPr>
            <w:tcW w:w="1306" w:type="dxa"/>
            <w:vAlign w:val="center"/>
          </w:tcPr>
          <w:p w:rsidR="00000000" w:rsidRDefault="00000000">
            <w:pPr>
              <w:spacing w:before="60" w:after="60" w:line="216" w:lineRule="auto"/>
              <w:ind w:right="204"/>
              <w:jc w:val="right"/>
              <w:rPr>
                <w:sz w:val="22"/>
                <w:szCs w:val="22"/>
              </w:rPr>
            </w:pPr>
            <w:r>
              <w:rPr>
                <w:sz w:val="22"/>
                <w:szCs w:val="22"/>
              </w:rPr>
              <w:t>213,9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Bragança</w:t>
            </w:r>
          </w:p>
        </w:tc>
        <w:tc>
          <w:tcPr>
            <w:tcW w:w="1080" w:type="dxa"/>
            <w:vAlign w:val="center"/>
          </w:tcPr>
          <w:p w:rsidR="00000000" w:rsidRDefault="00000000">
            <w:pPr>
              <w:spacing w:before="60" w:after="60" w:line="216" w:lineRule="auto"/>
              <w:ind w:right="204"/>
              <w:jc w:val="right"/>
              <w:rPr>
                <w:sz w:val="22"/>
                <w:szCs w:val="22"/>
              </w:rPr>
            </w:pPr>
            <w:r>
              <w:rPr>
                <w:sz w:val="22"/>
                <w:szCs w:val="22"/>
              </w:rPr>
              <w:t>67</w:t>
            </w:r>
          </w:p>
        </w:tc>
        <w:tc>
          <w:tcPr>
            <w:tcW w:w="1320" w:type="dxa"/>
            <w:vAlign w:val="center"/>
          </w:tcPr>
          <w:p w:rsidR="00000000" w:rsidRDefault="00000000">
            <w:pPr>
              <w:spacing w:before="60" w:after="60" w:line="216" w:lineRule="auto"/>
              <w:ind w:right="204"/>
              <w:jc w:val="right"/>
              <w:rPr>
                <w:sz w:val="22"/>
                <w:szCs w:val="22"/>
              </w:rPr>
            </w:pPr>
            <w:r>
              <w:rPr>
                <w:sz w:val="22"/>
                <w:szCs w:val="22"/>
              </w:rPr>
              <w:t>75</w:t>
            </w:r>
          </w:p>
        </w:tc>
        <w:tc>
          <w:tcPr>
            <w:tcW w:w="1320" w:type="dxa"/>
            <w:vAlign w:val="center"/>
          </w:tcPr>
          <w:p w:rsidR="00000000" w:rsidRDefault="00000000">
            <w:pPr>
              <w:spacing w:before="60" w:after="60" w:line="216" w:lineRule="auto"/>
              <w:ind w:right="204"/>
              <w:jc w:val="right"/>
              <w:rPr>
                <w:sz w:val="22"/>
                <w:szCs w:val="22"/>
              </w:rPr>
            </w:pPr>
            <w:r>
              <w:rPr>
                <w:sz w:val="22"/>
                <w:szCs w:val="22"/>
              </w:rPr>
              <w:t>89,3</w:t>
            </w:r>
          </w:p>
        </w:tc>
        <w:tc>
          <w:tcPr>
            <w:tcW w:w="1080" w:type="dxa"/>
            <w:vAlign w:val="center"/>
          </w:tcPr>
          <w:p w:rsidR="00000000" w:rsidRDefault="00000000">
            <w:pPr>
              <w:spacing w:before="60" w:after="60" w:line="216" w:lineRule="auto"/>
              <w:ind w:right="204"/>
              <w:jc w:val="right"/>
              <w:rPr>
                <w:sz w:val="22"/>
                <w:szCs w:val="22"/>
              </w:rPr>
            </w:pPr>
            <w:r>
              <w:rPr>
                <w:sz w:val="22"/>
                <w:szCs w:val="22"/>
              </w:rPr>
              <w:t>88</w:t>
            </w:r>
          </w:p>
        </w:tc>
        <w:tc>
          <w:tcPr>
            <w:tcW w:w="1200" w:type="dxa"/>
            <w:vAlign w:val="center"/>
          </w:tcPr>
          <w:p w:rsidR="00000000" w:rsidRDefault="00000000">
            <w:pPr>
              <w:spacing w:before="60" w:after="60" w:line="216" w:lineRule="auto"/>
              <w:ind w:right="204"/>
              <w:jc w:val="right"/>
              <w:rPr>
                <w:sz w:val="22"/>
                <w:szCs w:val="22"/>
              </w:rPr>
            </w:pPr>
            <w:r>
              <w:rPr>
                <w:sz w:val="22"/>
                <w:szCs w:val="22"/>
              </w:rPr>
              <w:t>75</w:t>
            </w:r>
          </w:p>
        </w:tc>
        <w:tc>
          <w:tcPr>
            <w:tcW w:w="1306" w:type="dxa"/>
            <w:vAlign w:val="center"/>
          </w:tcPr>
          <w:p w:rsidR="00000000" w:rsidRDefault="00000000">
            <w:pPr>
              <w:spacing w:before="60" w:after="60" w:line="216" w:lineRule="auto"/>
              <w:ind w:right="204"/>
              <w:jc w:val="right"/>
              <w:rPr>
                <w:sz w:val="22"/>
                <w:szCs w:val="22"/>
              </w:rPr>
            </w:pPr>
            <w:r>
              <w:rPr>
                <w:sz w:val="22"/>
                <w:szCs w:val="22"/>
              </w:rPr>
              <w:t>117,3</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Caldas da Raínha</w:t>
            </w:r>
          </w:p>
        </w:tc>
        <w:tc>
          <w:tcPr>
            <w:tcW w:w="1080" w:type="dxa"/>
            <w:vAlign w:val="center"/>
          </w:tcPr>
          <w:p w:rsidR="00000000" w:rsidRDefault="00000000">
            <w:pPr>
              <w:spacing w:before="60" w:after="60" w:line="216" w:lineRule="auto"/>
              <w:ind w:right="204"/>
              <w:jc w:val="right"/>
              <w:rPr>
                <w:sz w:val="22"/>
                <w:szCs w:val="22"/>
              </w:rPr>
            </w:pPr>
            <w:r>
              <w:rPr>
                <w:sz w:val="22"/>
                <w:szCs w:val="22"/>
              </w:rPr>
              <w:t>160</w:t>
            </w:r>
          </w:p>
        </w:tc>
        <w:tc>
          <w:tcPr>
            <w:tcW w:w="1320" w:type="dxa"/>
            <w:vAlign w:val="center"/>
          </w:tcPr>
          <w:p w:rsidR="00000000" w:rsidRDefault="00000000">
            <w:pPr>
              <w:spacing w:before="60" w:after="60" w:line="216" w:lineRule="auto"/>
              <w:ind w:right="204"/>
              <w:jc w:val="right"/>
              <w:rPr>
                <w:sz w:val="22"/>
                <w:szCs w:val="22"/>
              </w:rPr>
            </w:pPr>
            <w:r>
              <w:rPr>
                <w:sz w:val="22"/>
                <w:szCs w:val="22"/>
              </w:rPr>
              <w:t>104</w:t>
            </w:r>
          </w:p>
        </w:tc>
        <w:tc>
          <w:tcPr>
            <w:tcW w:w="1320" w:type="dxa"/>
            <w:vAlign w:val="center"/>
          </w:tcPr>
          <w:p w:rsidR="00000000" w:rsidRDefault="00000000">
            <w:pPr>
              <w:spacing w:before="60" w:after="60" w:line="216" w:lineRule="auto"/>
              <w:ind w:right="204"/>
              <w:jc w:val="right"/>
              <w:rPr>
                <w:sz w:val="22"/>
                <w:szCs w:val="22"/>
              </w:rPr>
            </w:pPr>
            <w:r>
              <w:rPr>
                <w:sz w:val="22"/>
                <w:szCs w:val="22"/>
              </w:rPr>
              <w:t>153,8</w:t>
            </w:r>
          </w:p>
        </w:tc>
        <w:tc>
          <w:tcPr>
            <w:tcW w:w="1080" w:type="dxa"/>
            <w:vAlign w:val="center"/>
          </w:tcPr>
          <w:p w:rsidR="00000000" w:rsidRDefault="00000000">
            <w:pPr>
              <w:spacing w:before="60" w:after="60" w:line="216" w:lineRule="auto"/>
              <w:ind w:right="204"/>
              <w:jc w:val="right"/>
              <w:rPr>
                <w:sz w:val="22"/>
                <w:szCs w:val="22"/>
              </w:rPr>
            </w:pPr>
            <w:r>
              <w:rPr>
                <w:sz w:val="22"/>
                <w:szCs w:val="22"/>
              </w:rPr>
              <w:t>178</w:t>
            </w:r>
          </w:p>
        </w:tc>
        <w:tc>
          <w:tcPr>
            <w:tcW w:w="1200" w:type="dxa"/>
            <w:vAlign w:val="center"/>
          </w:tcPr>
          <w:p w:rsidR="00000000" w:rsidRDefault="00000000">
            <w:pPr>
              <w:spacing w:before="60" w:after="60" w:line="216" w:lineRule="auto"/>
              <w:ind w:right="204"/>
              <w:jc w:val="right"/>
              <w:rPr>
                <w:sz w:val="22"/>
                <w:szCs w:val="22"/>
              </w:rPr>
            </w:pPr>
            <w:r>
              <w:rPr>
                <w:sz w:val="22"/>
                <w:szCs w:val="22"/>
              </w:rPr>
              <w:t>104</w:t>
            </w:r>
          </w:p>
        </w:tc>
        <w:tc>
          <w:tcPr>
            <w:tcW w:w="1306" w:type="dxa"/>
            <w:vAlign w:val="center"/>
          </w:tcPr>
          <w:p w:rsidR="00000000" w:rsidRDefault="00000000">
            <w:pPr>
              <w:spacing w:before="60" w:after="60" w:line="216" w:lineRule="auto"/>
              <w:ind w:right="204"/>
              <w:jc w:val="right"/>
              <w:rPr>
                <w:sz w:val="22"/>
                <w:szCs w:val="22"/>
              </w:rPr>
            </w:pPr>
            <w:r>
              <w:rPr>
                <w:sz w:val="22"/>
                <w:szCs w:val="22"/>
              </w:rPr>
              <w:t>171,2</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Castelo Branco</w:t>
            </w:r>
          </w:p>
        </w:tc>
        <w:tc>
          <w:tcPr>
            <w:tcW w:w="1080" w:type="dxa"/>
            <w:vAlign w:val="center"/>
          </w:tcPr>
          <w:p w:rsidR="00000000" w:rsidRDefault="00000000">
            <w:pPr>
              <w:spacing w:before="60" w:after="60" w:line="216" w:lineRule="auto"/>
              <w:ind w:right="204"/>
              <w:jc w:val="right"/>
              <w:rPr>
                <w:sz w:val="22"/>
                <w:szCs w:val="22"/>
              </w:rPr>
            </w:pPr>
            <w:r>
              <w:rPr>
                <w:sz w:val="22"/>
                <w:szCs w:val="22"/>
              </w:rPr>
              <w:t>67</w:t>
            </w:r>
          </w:p>
        </w:tc>
        <w:tc>
          <w:tcPr>
            <w:tcW w:w="1320" w:type="dxa"/>
            <w:vAlign w:val="center"/>
          </w:tcPr>
          <w:p w:rsidR="00000000" w:rsidRDefault="00000000">
            <w:pPr>
              <w:spacing w:before="60" w:after="60" w:line="216" w:lineRule="auto"/>
              <w:ind w:right="204"/>
              <w:jc w:val="right"/>
              <w:rPr>
                <w:sz w:val="22"/>
                <w:szCs w:val="22"/>
              </w:rPr>
            </w:pPr>
            <w:r>
              <w:rPr>
                <w:sz w:val="22"/>
                <w:szCs w:val="22"/>
              </w:rPr>
              <w:t>31</w:t>
            </w:r>
          </w:p>
        </w:tc>
        <w:tc>
          <w:tcPr>
            <w:tcW w:w="1320" w:type="dxa"/>
            <w:vAlign w:val="center"/>
          </w:tcPr>
          <w:p w:rsidR="00000000" w:rsidRDefault="00000000">
            <w:pPr>
              <w:spacing w:before="60" w:after="60" w:line="216" w:lineRule="auto"/>
              <w:ind w:right="204"/>
              <w:jc w:val="right"/>
              <w:rPr>
                <w:sz w:val="22"/>
                <w:szCs w:val="22"/>
              </w:rPr>
            </w:pPr>
            <w:r>
              <w:rPr>
                <w:sz w:val="22"/>
                <w:szCs w:val="22"/>
              </w:rPr>
              <w:t>216,1</w:t>
            </w:r>
          </w:p>
        </w:tc>
        <w:tc>
          <w:tcPr>
            <w:tcW w:w="1080" w:type="dxa"/>
            <w:vAlign w:val="center"/>
          </w:tcPr>
          <w:p w:rsidR="00000000" w:rsidRDefault="00000000">
            <w:pPr>
              <w:spacing w:before="60" w:after="60" w:line="216" w:lineRule="auto"/>
              <w:ind w:right="204"/>
              <w:jc w:val="right"/>
              <w:rPr>
                <w:sz w:val="22"/>
                <w:szCs w:val="22"/>
              </w:rPr>
            </w:pPr>
            <w:r>
              <w:rPr>
                <w:sz w:val="22"/>
                <w:szCs w:val="22"/>
              </w:rPr>
              <w:t>74</w:t>
            </w:r>
          </w:p>
        </w:tc>
        <w:tc>
          <w:tcPr>
            <w:tcW w:w="1200" w:type="dxa"/>
            <w:vAlign w:val="center"/>
          </w:tcPr>
          <w:p w:rsidR="00000000" w:rsidRDefault="00000000">
            <w:pPr>
              <w:spacing w:before="60" w:after="60" w:line="216" w:lineRule="auto"/>
              <w:ind w:right="204"/>
              <w:jc w:val="right"/>
              <w:rPr>
                <w:sz w:val="22"/>
                <w:szCs w:val="22"/>
              </w:rPr>
            </w:pPr>
            <w:r>
              <w:rPr>
                <w:sz w:val="22"/>
                <w:szCs w:val="22"/>
              </w:rPr>
              <w:t>31</w:t>
            </w:r>
          </w:p>
        </w:tc>
        <w:tc>
          <w:tcPr>
            <w:tcW w:w="1306" w:type="dxa"/>
            <w:vAlign w:val="center"/>
          </w:tcPr>
          <w:p w:rsidR="00000000" w:rsidRDefault="00000000">
            <w:pPr>
              <w:spacing w:before="60" w:after="60" w:line="216" w:lineRule="auto"/>
              <w:ind w:right="204"/>
              <w:jc w:val="right"/>
              <w:rPr>
                <w:sz w:val="22"/>
                <w:szCs w:val="22"/>
              </w:rPr>
            </w:pPr>
            <w:r>
              <w:rPr>
                <w:sz w:val="22"/>
                <w:szCs w:val="22"/>
              </w:rPr>
              <w:t>238,7</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Chaves</w:t>
            </w:r>
          </w:p>
        </w:tc>
        <w:tc>
          <w:tcPr>
            <w:tcW w:w="1080" w:type="dxa"/>
            <w:vAlign w:val="center"/>
          </w:tcPr>
          <w:p w:rsidR="00000000" w:rsidRDefault="00000000">
            <w:pPr>
              <w:spacing w:before="60" w:after="60" w:line="216" w:lineRule="auto"/>
              <w:ind w:right="204"/>
              <w:jc w:val="right"/>
              <w:rPr>
                <w:sz w:val="22"/>
                <w:szCs w:val="22"/>
              </w:rPr>
            </w:pPr>
            <w:r>
              <w:rPr>
                <w:sz w:val="22"/>
                <w:szCs w:val="22"/>
              </w:rPr>
              <w:t>62</w:t>
            </w:r>
          </w:p>
        </w:tc>
        <w:tc>
          <w:tcPr>
            <w:tcW w:w="1320" w:type="dxa"/>
            <w:vAlign w:val="center"/>
          </w:tcPr>
          <w:p w:rsidR="00000000" w:rsidRDefault="00000000">
            <w:pPr>
              <w:spacing w:before="60" w:after="60" w:line="216" w:lineRule="auto"/>
              <w:ind w:right="204"/>
              <w:jc w:val="right"/>
              <w:rPr>
                <w:sz w:val="22"/>
                <w:szCs w:val="22"/>
              </w:rPr>
            </w:pPr>
            <w:r>
              <w:rPr>
                <w:sz w:val="22"/>
                <w:szCs w:val="22"/>
              </w:rPr>
              <w:t>71</w:t>
            </w:r>
          </w:p>
        </w:tc>
        <w:tc>
          <w:tcPr>
            <w:tcW w:w="1320" w:type="dxa"/>
            <w:vAlign w:val="center"/>
          </w:tcPr>
          <w:p w:rsidR="00000000" w:rsidRDefault="00000000">
            <w:pPr>
              <w:spacing w:before="60" w:after="60" w:line="216" w:lineRule="auto"/>
              <w:ind w:right="204"/>
              <w:jc w:val="right"/>
              <w:rPr>
                <w:sz w:val="22"/>
                <w:szCs w:val="22"/>
              </w:rPr>
            </w:pPr>
            <w:r>
              <w:rPr>
                <w:sz w:val="22"/>
                <w:szCs w:val="22"/>
              </w:rPr>
              <w:t>87,3</w:t>
            </w:r>
          </w:p>
        </w:tc>
        <w:tc>
          <w:tcPr>
            <w:tcW w:w="1080" w:type="dxa"/>
            <w:vAlign w:val="center"/>
          </w:tcPr>
          <w:p w:rsidR="00000000" w:rsidRDefault="00000000">
            <w:pPr>
              <w:spacing w:before="60" w:after="60" w:line="216" w:lineRule="auto"/>
              <w:ind w:right="204"/>
              <w:jc w:val="right"/>
              <w:rPr>
                <w:sz w:val="22"/>
                <w:szCs w:val="22"/>
              </w:rPr>
            </w:pPr>
            <w:r>
              <w:rPr>
                <w:sz w:val="22"/>
                <w:szCs w:val="22"/>
              </w:rPr>
              <w:t>66</w:t>
            </w:r>
          </w:p>
        </w:tc>
        <w:tc>
          <w:tcPr>
            <w:tcW w:w="1200" w:type="dxa"/>
            <w:vAlign w:val="center"/>
          </w:tcPr>
          <w:p w:rsidR="00000000" w:rsidRDefault="00000000">
            <w:pPr>
              <w:spacing w:before="60" w:after="60" w:line="216" w:lineRule="auto"/>
              <w:ind w:right="204"/>
              <w:jc w:val="right"/>
              <w:rPr>
                <w:sz w:val="22"/>
                <w:szCs w:val="22"/>
              </w:rPr>
            </w:pPr>
            <w:r>
              <w:rPr>
                <w:sz w:val="22"/>
                <w:szCs w:val="22"/>
              </w:rPr>
              <w:t>71</w:t>
            </w:r>
          </w:p>
        </w:tc>
        <w:tc>
          <w:tcPr>
            <w:tcW w:w="1306" w:type="dxa"/>
            <w:vAlign w:val="center"/>
          </w:tcPr>
          <w:p w:rsidR="00000000" w:rsidRDefault="00000000">
            <w:pPr>
              <w:spacing w:before="60" w:after="60" w:line="216" w:lineRule="auto"/>
              <w:ind w:right="204"/>
              <w:jc w:val="right"/>
              <w:rPr>
                <w:sz w:val="22"/>
                <w:szCs w:val="22"/>
              </w:rPr>
            </w:pPr>
            <w:r>
              <w:rPr>
                <w:sz w:val="22"/>
                <w:szCs w:val="22"/>
              </w:rPr>
              <w:t>93,0</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Coimbra</w:t>
            </w:r>
          </w:p>
        </w:tc>
        <w:tc>
          <w:tcPr>
            <w:tcW w:w="1080" w:type="dxa"/>
            <w:vAlign w:val="center"/>
          </w:tcPr>
          <w:p w:rsidR="00000000" w:rsidRDefault="00000000">
            <w:pPr>
              <w:spacing w:before="60" w:after="60" w:line="216" w:lineRule="auto"/>
              <w:ind w:right="204"/>
              <w:jc w:val="right"/>
              <w:rPr>
                <w:sz w:val="22"/>
                <w:szCs w:val="22"/>
              </w:rPr>
            </w:pPr>
            <w:r>
              <w:rPr>
                <w:sz w:val="22"/>
                <w:szCs w:val="22"/>
              </w:rPr>
              <w:t>233</w:t>
            </w:r>
          </w:p>
        </w:tc>
        <w:tc>
          <w:tcPr>
            <w:tcW w:w="1320" w:type="dxa"/>
            <w:vAlign w:val="center"/>
          </w:tcPr>
          <w:p w:rsidR="00000000" w:rsidRDefault="00000000">
            <w:pPr>
              <w:spacing w:before="60" w:after="60" w:line="216" w:lineRule="auto"/>
              <w:ind w:right="204"/>
              <w:jc w:val="right"/>
              <w:rPr>
                <w:sz w:val="22"/>
                <w:szCs w:val="22"/>
              </w:rPr>
            </w:pPr>
            <w:r>
              <w:rPr>
                <w:sz w:val="22"/>
                <w:szCs w:val="22"/>
              </w:rPr>
              <w:t>243</w:t>
            </w:r>
          </w:p>
        </w:tc>
        <w:tc>
          <w:tcPr>
            <w:tcW w:w="1320" w:type="dxa"/>
            <w:vAlign w:val="center"/>
          </w:tcPr>
          <w:p w:rsidR="00000000" w:rsidRDefault="00000000">
            <w:pPr>
              <w:spacing w:before="60" w:after="60" w:line="216" w:lineRule="auto"/>
              <w:ind w:right="204"/>
              <w:jc w:val="right"/>
              <w:rPr>
                <w:sz w:val="22"/>
                <w:szCs w:val="22"/>
              </w:rPr>
            </w:pPr>
            <w:r>
              <w:rPr>
                <w:sz w:val="22"/>
                <w:szCs w:val="22"/>
              </w:rPr>
              <w:t>95,9</w:t>
            </w:r>
          </w:p>
        </w:tc>
        <w:tc>
          <w:tcPr>
            <w:tcW w:w="1080" w:type="dxa"/>
            <w:vAlign w:val="center"/>
          </w:tcPr>
          <w:p w:rsidR="00000000" w:rsidRDefault="00000000">
            <w:pPr>
              <w:spacing w:before="60" w:after="60" w:line="216" w:lineRule="auto"/>
              <w:ind w:right="204"/>
              <w:jc w:val="right"/>
              <w:rPr>
                <w:sz w:val="22"/>
                <w:szCs w:val="22"/>
              </w:rPr>
            </w:pPr>
            <w:r>
              <w:rPr>
                <w:sz w:val="22"/>
                <w:szCs w:val="22"/>
              </w:rPr>
              <w:t>224</w:t>
            </w:r>
          </w:p>
        </w:tc>
        <w:tc>
          <w:tcPr>
            <w:tcW w:w="1200" w:type="dxa"/>
            <w:vAlign w:val="center"/>
          </w:tcPr>
          <w:p w:rsidR="00000000" w:rsidRDefault="00000000">
            <w:pPr>
              <w:spacing w:before="60" w:after="60" w:line="216" w:lineRule="auto"/>
              <w:ind w:right="204"/>
              <w:jc w:val="right"/>
              <w:rPr>
                <w:sz w:val="22"/>
                <w:szCs w:val="22"/>
              </w:rPr>
            </w:pPr>
            <w:r>
              <w:rPr>
                <w:sz w:val="22"/>
                <w:szCs w:val="22"/>
              </w:rPr>
              <w:t>243</w:t>
            </w:r>
          </w:p>
        </w:tc>
        <w:tc>
          <w:tcPr>
            <w:tcW w:w="1306" w:type="dxa"/>
            <w:vAlign w:val="center"/>
          </w:tcPr>
          <w:p w:rsidR="00000000" w:rsidRDefault="00000000">
            <w:pPr>
              <w:spacing w:before="60" w:after="60" w:line="216" w:lineRule="auto"/>
              <w:ind w:right="204"/>
              <w:jc w:val="right"/>
              <w:rPr>
                <w:sz w:val="22"/>
                <w:szCs w:val="22"/>
              </w:rPr>
            </w:pPr>
            <w:r>
              <w:rPr>
                <w:sz w:val="22"/>
                <w:szCs w:val="22"/>
              </w:rPr>
              <w:t>92,2</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Covilhã</w:t>
            </w:r>
          </w:p>
        </w:tc>
        <w:tc>
          <w:tcPr>
            <w:tcW w:w="1080" w:type="dxa"/>
            <w:vAlign w:val="center"/>
          </w:tcPr>
          <w:p w:rsidR="00000000" w:rsidRDefault="00000000">
            <w:pPr>
              <w:spacing w:before="60" w:after="60" w:line="216" w:lineRule="auto"/>
              <w:ind w:right="204"/>
              <w:jc w:val="right"/>
              <w:rPr>
                <w:sz w:val="22"/>
                <w:szCs w:val="22"/>
              </w:rPr>
            </w:pPr>
            <w:r>
              <w:rPr>
                <w:sz w:val="22"/>
                <w:szCs w:val="22"/>
              </w:rPr>
              <w:t>104</w:t>
            </w:r>
          </w:p>
        </w:tc>
        <w:tc>
          <w:tcPr>
            <w:tcW w:w="1320" w:type="dxa"/>
            <w:vAlign w:val="center"/>
          </w:tcPr>
          <w:p w:rsidR="00000000" w:rsidRDefault="00000000">
            <w:pPr>
              <w:spacing w:before="60" w:after="60" w:line="216" w:lineRule="auto"/>
              <w:ind w:right="204"/>
              <w:jc w:val="right"/>
              <w:rPr>
                <w:sz w:val="22"/>
                <w:szCs w:val="22"/>
              </w:rPr>
            </w:pPr>
            <w:r>
              <w:rPr>
                <w:sz w:val="22"/>
                <w:szCs w:val="22"/>
              </w:rPr>
              <w:t>105</w:t>
            </w:r>
          </w:p>
        </w:tc>
        <w:tc>
          <w:tcPr>
            <w:tcW w:w="1320" w:type="dxa"/>
            <w:vAlign w:val="center"/>
          </w:tcPr>
          <w:p w:rsidR="00000000" w:rsidRDefault="00000000">
            <w:pPr>
              <w:spacing w:before="60" w:after="60" w:line="216" w:lineRule="auto"/>
              <w:ind w:right="204"/>
              <w:jc w:val="right"/>
              <w:rPr>
                <w:sz w:val="22"/>
                <w:szCs w:val="22"/>
              </w:rPr>
            </w:pPr>
            <w:r>
              <w:rPr>
                <w:sz w:val="22"/>
                <w:szCs w:val="22"/>
              </w:rPr>
              <w:t>99,0</w:t>
            </w:r>
          </w:p>
        </w:tc>
        <w:tc>
          <w:tcPr>
            <w:tcW w:w="1080" w:type="dxa"/>
            <w:vAlign w:val="center"/>
          </w:tcPr>
          <w:p w:rsidR="00000000" w:rsidRDefault="00000000">
            <w:pPr>
              <w:spacing w:before="60" w:after="60" w:line="216" w:lineRule="auto"/>
              <w:ind w:right="204"/>
              <w:jc w:val="right"/>
              <w:rPr>
                <w:sz w:val="22"/>
                <w:szCs w:val="22"/>
              </w:rPr>
            </w:pPr>
            <w:r>
              <w:rPr>
                <w:sz w:val="22"/>
                <w:szCs w:val="22"/>
              </w:rPr>
              <w:t>133</w:t>
            </w:r>
          </w:p>
        </w:tc>
        <w:tc>
          <w:tcPr>
            <w:tcW w:w="1200" w:type="dxa"/>
            <w:vAlign w:val="center"/>
          </w:tcPr>
          <w:p w:rsidR="00000000" w:rsidRDefault="00000000">
            <w:pPr>
              <w:spacing w:before="60" w:after="60" w:line="216" w:lineRule="auto"/>
              <w:ind w:right="204"/>
              <w:jc w:val="right"/>
              <w:rPr>
                <w:sz w:val="22"/>
                <w:szCs w:val="22"/>
              </w:rPr>
            </w:pPr>
            <w:r>
              <w:rPr>
                <w:sz w:val="22"/>
                <w:szCs w:val="22"/>
              </w:rPr>
              <w:t>105</w:t>
            </w:r>
          </w:p>
        </w:tc>
        <w:tc>
          <w:tcPr>
            <w:tcW w:w="1306" w:type="dxa"/>
            <w:vAlign w:val="center"/>
          </w:tcPr>
          <w:p w:rsidR="00000000" w:rsidRDefault="00000000">
            <w:pPr>
              <w:spacing w:before="60" w:after="60" w:line="216" w:lineRule="auto"/>
              <w:ind w:right="204"/>
              <w:jc w:val="right"/>
              <w:rPr>
                <w:sz w:val="22"/>
                <w:szCs w:val="22"/>
              </w:rPr>
            </w:pPr>
            <w:r>
              <w:rPr>
                <w:sz w:val="22"/>
                <w:szCs w:val="22"/>
              </w:rPr>
              <w:t>126,7</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Elvas</w:t>
            </w:r>
          </w:p>
        </w:tc>
        <w:tc>
          <w:tcPr>
            <w:tcW w:w="1080" w:type="dxa"/>
            <w:vAlign w:val="center"/>
          </w:tcPr>
          <w:p w:rsidR="00000000" w:rsidRDefault="00000000">
            <w:pPr>
              <w:spacing w:before="60" w:after="60" w:line="216" w:lineRule="auto"/>
              <w:ind w:right="204"/>
              <w:jc w:val="right"/>
              <w:rPr>
                <w:sz w:val="22"/>
                <w:szCs w:val="22"/>
              </w:rPr>
            </w:pPr>
            <w:r>
              <w:rPr>
                <w:sz w:val="22"/>
                <w:szCs w:val="22"/>
              </w:rPr>
              <w:t>60</w:t>
            </w:r>
          </w:p>
        </w:tc>
        <w:tc>
          <w:tcPr>
            <w:tcW w:w="1320" w:type="dxa"/>
            <w:vAlign w:val="center"/>
          </w:tcPr>
          <w:p w:rsidR="00000000" w:rsidRDefault="00000000">
            <w:pPr>
              <w:spacing w:before="60" w:after="60" w:line="216" w:lineRule="auto"/>
              <w:ind w:right="204"/>
              <w:jc w:val="right"/>
              <w:rPr>
                <w:sz w:val="22"/>
                <w:szCs w:val="22"/>
              </w:rPr>
            </w:pPr>
            <w:r>
              <w:rPr>
                <w:sz w:val="22"/>
                <w:szCs w:val="22"/>
              </w:rPr>
              <w:t>29</w:t>
            </w:r>
          </w:p>
        </w:tc>
        <w:tc>
          <w:tcPr>
            <w:tcW w:w="1320" w:type="dxa"/>
            <w:vAlign w:val="center"/>
          </w:tcPr>
          <w:p w:rsidR="00000000" w:rsidRDefault="00000000">
            <w:pPr>
              <w:spacing w:before="60" w:after="60" w:line="216" w:lineRule="auto"/>
              <w:ind w:right="204"/>
              <w:jc w:val="right"/>
              <w:rPr>
                <w:sz w:val="22"/>
                <w:szCs w:val="22"/>
              </w:rPr>
            </w:pPr>
            <w:r>
              <w:rPr>
                <w:sz w:val="22"/>
                <w:szCs w:val="22"/>
              </w:rPr>
              <w:t>206,9</w:t>
            </w:r>
          </w:p>
        </w:tc>
        <w:tc>
          <w:tcPr>
            <w:tcW w:w="1080" w:type="dxa"/>
            <w:vAlign w:val="center"/>
          </w:tcPr>
          <w:p w:rsidR="00000000" w:rsidRDefault="00000000">
            <w:pPr>
              <w:spacing w:before="60" w:after="60" w:line="216" w:lineRule="auto"/>
              <w:ind w:right="204"/>
              <w:jc w:val="right"/>
              <w:rPr>
                <w:sz w:val="22"/>
                <w:szCs w:val="22"/>
              </w:rPr>
            </w:pPr>
            <w:r>
              <w:rPr>
                <w:sz w:val="22"/>
                <w:szCs w:val="22"/>
              </w:rPr>
              <w:t>65</w:t>
            </w:r>
          </w:p>
        </w:tc>
        <w:tc>
          <w:tcPr>
            <w:tcW w:w="1200" w:type="dxa"/>
            <w:vAlign w:val="center"/>
          </w:tcPr>
          <w:p w:rsidR="00000000" w:rsidRDefault="00000000">
            <w:pPr>
              <w:spacing w:before="60" w:after="60" w:line="216" w:lineRule="auto"/>
              <w:ind w:right="204"/>
              <w:jc w:val="right"/>
              <w:rPr>
                <w:sz w:val="22"/>
                <w:szCs w:val="22"/>
              </w:rPr>
            </w:pPr>
            <w:r>
              <w:rPr>
                <w:sz w:val="22"/>
                <w:szCs w:val="22"/>
              </w:rPr>
              <w:t>29</w:t>
            </w:r>
          </w:p>
        </w:tc>
        <w:tc>
          <w:tcPr>
            <w:tcW w:w="1306" w:type="dxa"/>
            <w:vAlign w:val="center"/>
          </w:tcPr>
          <w:p w:rsidR="00000000" w:rsidRDefault="00000000">
            <w:pPr>
              <w:spacing w:before="60" w:after="60" w:line="216" w:lineRule="auto"/>
              <w:ind w:right="204"/>
              <w:jc w:val="right"/>
              <w:rPr>
                <w:sz w:val="22"/>
                <w:szCs w:val="22"/>
              </w:rPr>
            </w:pPr>
            <w:r>
              <w:rPr>
                <w:sz w:val="22"/>
                <w:szCs w:val="22"/>
              </w:rPr>
              <w:t>224,1</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Évora</w:t>
            </w:r>
          </w:p>
        </w:tc>
        <w:tc>
          <w:tcPr>
            <w:tcW w:w="1080" w:type="dxa"/>
            <w:vAlign w:val="center"/>
          </w:tcPr>
          <w:p w:rsidR="00000000" w:rsidRDefault="00000000">
            <w:pPr>
              <w:spacing w:before="60" w:after="60" w:line="216" w:lineRule="auto"/>
              <w:ind w:right="204"/>
              <w:jc w:val="right"/>
              <w:rPr>
                <w:sz w:val="22"/>
                <w:szCs w:val="22"/>
              </w:rPr>
            </w:pPr>
            <w:r>
              <w:rPr>
                <w:sz w:val="22"/>
                <w:szCs w:val="22"/>
              </w:rPr>
              <w:t>60</w:t>
            </w:r>
          </w:p>
        </w:tc>
        <w:tc>
          <w:tcPr>
            <w:tcW w:w="1320" w:type="dxa"/>
            <w:vAlign w:val="center"/>
          </w:tcPr>
          <w:p w:rsidR="00000000" w:rsidRDefault="00000000">
            <w:pPr>
              <w:spacing w:before="60" w:after="60" w:line="216" w:lineRule="auto"/>
              <w:ind w:right="204"/>
              <w:jc w:val="right"/>
              <w:rPr>
                <w:sz w:val="22"/>
                <w:szCs w:val="22"/>
              </w:rPr>
            </w:pPr>
            <w:r>
              <w:rPr>
                <w:sz w:val="22"/>
                <w:szCs w:val="22"/>
              </w:rPr>
              <w:t>46</w:t>
            </w:r>
          </w:p>
        </w:tc>
        <w:tc>
          <w:tcPr>
            <w:tcW w:w="1320" w:type="dxa"/>
            <w:vAlign w:val="center"/>
          </w:tcPr>
          <w:p w:rsidR="00000000" w:rsidRDefault="00000000">
            <w:pPr>
              <w:spacing w:before="60" w:after="60" w:line="216" w:lineRule="auto"/>
              <w:ind w:right="204"/>
              <w:jc w:val="right"/>
              <w:rPr>
                <w:sz w:val="22"/>
                <w:szCs w:val="22"/>
              </w:rPr>
            </w:pPr>
            <w:r>
              <w:rPr>
                <w:sz w:val="22"/>
                <w:szCs w:val="22"/>
              </w:rPr>
              <w:t>130,4</w:t>
            </w:r>
          </w:p>
        </w:tc>
        <w:tc>
          <w:tcPr>
            <w:tcW w:w="1080" w:type="dxa"/>
            <w:vAlign w:val="center"/>
          </w:tcPr>
          <w:p w:rsidR="00000000" w:rsidRDefault="00000000">
            <w:pPr>
              <w:spacing w:before="60" w:after="60" w:line="216" w:lineRule="auto"/>
              <w:ind w:right="204"/>
              <w:jc w:val="right"/>
              <w:rPr>
                <w:sz w:val="22"/>
                <w:szCs w:val="22"/>
              </w:rPr>
            </w:pPr>
            <w:r>
              <w:rPr>
                <w:sz w:val="22"/>
                <w:szCs w:val="22"/>
              </w:rPr>
              <w:t>71</w:t>
            </w:r>
          </w:p>
        </w:tc>
        <w:tc>
          <w:tcPr>
            <w:tcW w:w="1200" w:type="dxa"/>
            <w:vAlign w:val="center"/>
          </w:tcPr>
          <w:p w:rsidR="00000000" w:rsidRDefault="00000000">
            <w:pPr>
              <w:spacing w:before="60" w:after="60" w:line="216" w:lineRule="auto"/>
              <w:ind w:right="204"/>
              <w:jc w:val="right"/>
              <w:rPr>
                <w:sz w:val="22"/>
                <w:szCs w:val="22"/>
              </w:rPr>
            </w:pPr>
            <w:r>
              <w:rPr>
                <w:sz w:val="22"/>
                <w:szCs w:val="22"/>
              </w:rPr>
              <w:t>46</w:t>
            </w:r>
          </w:p>
        </w:tc>
        <w:tc>
          <w:tcPr>
            <w:tcW w:w="1306" w:type="dxa"/>
            <w:vAlign w:val="center"/>
          </w:tcPr>
          <w:p w:rsidR="00000000" w:rsidRDefault="00000000">
            <w:pPr>
              <w:spacing w:before="60" w:after="60" w:line="216" w:lineRule="auto"/>
              <w:ind w:right="204"/>
              <w:jc w:val="right"/>
              <w:rPr>
                <w:sz w:val="22"/>
                <w:szCs w:val="22"/>
              </w:rPr>
            </w:pPr>
            <w:r>
              <w:rPr>
                <w:sz w:val="22"/>
                <w:szCs w:val="22"/>
              </w:rPr>
              <w:t>154,3</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Faro</w:t>
            </w:r>
          </w:p>
        </w:tc>
        <w:tc>
          <w:tcPr>
            <w:tcW w:w="1080" w:type="dxa"/>
            <w:vAlign w:val="center"/>
          </w:tcPr>
          <w:p w:rsidR="00000000" w:rsidRDefault="00000000">
            <w:pPr>
              <w:spacing w:before="60" w:after="60" w:line="216" w:lineRule="auto"/>
              <w:ind w:right="204"/>
              <w:jc w:val="right"/>
              <w:rPr>
                <w:sz w:val="22"/>
                <w:szCs w:val="22"/>
              </w:rPr>
            </w:pPr>
            <w:r>
              <w:rPr>
                <w:sz w:val="22"/>
                <w:szCs w:val="22"/>
              </w:rPr>
              <w:t>216</w:t>
            </w:r>
          </w:p>
        </w:tc>
        <w:tc>
          <w:tcPr>
            <w:tcW w:w="1320" w:type="dxa"/>
            <w:vAlign w:val="center"/>
          </w:tcPr>
          <w:p w:rsidR="00000000" w:rsidRDefault="00000000">
            <w:pPr>
              <w:spacing w:before="60" w:after="60" w:line="216" w:lineRule="auto"/>
              <w:ind w:right="204"/>
              <w:jc w:val="right"/>
              <w:rPr>
                <w:sz w:val="22"/>
                <w:szCs w:val="22"/>
              </w:rPr>
            </w:pPr>
            <w:r>
              <w:rPr>
                <w:sz w:val="22"/>
                <w:szCs w:val="22"/>
              </w:rPr>
              <w:t>120</w:t>
            </w:r>
          </w:p>
        </w:tc>
        <w:tc>
          <w:tcPr>
            <w:tcW w:w="1320" w:type="dxa"/>
            <w:vAlign w:val="center"/>
          </w:tcPr>
          <w:p w:rsidR="00000000" w:rsidRDefault="00000000">
            <w:pPr>
              <w:spacing w:before="60" w:after="60" w:line="216" w:lineRule="auto"/>
              <w:ind w:right="204"/>
              <w:jc w:val="right"/>
              <w:rPr>
                <w:sz w:val="22"/>
                <w:szCs w:val="22"/>
              </w:rPr>
            </w:pPr>
            <w:r>
              <w:rPr>
                <w:sz w:val="22"/>
                <w:szCs w:val="22"/>
              </w:rPr>
              <w:t>180,0</w:t>
            </w:r>
          </w:p>
        </w:tc>
        <w:tc>
          <w:tcPr>
            <w:tcW w:w="1080" w:type="dxa"/>
            <w:vAlign w:val="center"/>
          </w:tcPr>
          <w:p w:rsidR="00000000" w:rsidRDefault="00000000">
            <w:pPr>
              <w:spacing w:before="60" w:after="60" w:line="216" w:lineRule="auto"/>
              <w:ind w:right="204"/>
              <w:jc w:val="right"/>
              <w:rPr>
                <w:sz w:val="22"/>
                <w:szCs w:val="22"/>
              </w:rPr>
            </w:pPr>
            <w:r>
              <w:rPr>
                <w:sz w:val="22"/>
                <w:szCs w:val="22"/>
              </w:rPr>
              <w:t>240</w:t>
            </w:r>
          </w:p>
        </w:tc>
        <w:tc>
          <w:tcPr>
            <w:tcW w:w="1200" w:type="dxa"/>
            <w:vAlign w:val="center"/>
          </w:tcPr>
          <w:p w:rsidR="00000000" w:rsidRDefault="00000000">
            <w:pPr>
              <w:spacing w:before="60" w:after="60" w:line="216" w:lineRule="auto"/>
              <w:ind w:right="204"/>
              <w:jc w:val="right"/>
              <w:rPr>
                <w:sz w:val="22"/>
                <w:szCs w:val="22"/>
              </w:rPr>
            </w:pPr>
            <w:r>
              <w:rPr>
                <w:sz w:val="22"/>
                <w:szCs w:val="22"/>
              </w:rPr>
              <w:t>120</w:t>
            </w:r>
          </w:p>
        </w:tc>
        <w:tc>
          <w:tcPr>
            <w:tcW w:w="1306" w:type="dxa"/>
            <w:vAlign w:val="center"/>
          </w:tcPr>
          <w:p w:rsidR="00000000" w:rsidRDefault="00000000">
            <w:pPr>
              <w:spacing w:before="60" w:after="60" w:line="216" w:lineRule="auto"/>
              <w:ind w:right="204"/>
              <w:jc w:val="right"/>
              <w:rPr>
                <w:sz w:val="22"/>
                <w:szCs w:val="22"/>
              </w:rPr>
            </w:pPr>
            <w:r>
              <w:rPr>
                <w:sz w:val="22"/>
                <w:szCs w:val="22"/>
              </w:rPr>
              <w:t>200,0</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Felgueiras</w:t>
            </w:r>
          </w:p>
        </w:tc>
        <w:tc>
          <w:tcPr>
            <w:tcW w:w="1080" w:type="dxa"/>
            <w:vAlign w:val="center"/>
          </w:tcPr>
          <w:p w:rsidR="00000000" w:rsidRDefault="00000000">
            <w:pPr>
              <w:spacing w:before="60" w:after="60" w:line="216" w:lineRule="auto"/>
              <w:ind w:right="204"/>
              <w:jc w:val="right"/>
              <w:rPr>
                <w:sz w:val="22"/>
                <w:szCs w:val="22"/>
              </w:rPr>
            </w:pPr>
            <w:r>
              <w:rPr>
                <w:sz w:val="22"/>
                <w:szCs w:val="22"/>
              </w:rPr>
              <w:t>46</w:t>
            </w:r>
          </w:p>
        </w:tc>
        <w:tc>
          <w:tcPr>
            <w:tcW w:w="1320" w:type="dxa"/>
            <w:vAlign w:val="center"/>
          </w:tcPr>
          <w:p w:rsidR="00000000" w:rsidRDefault="00000000">
            <w:pPr>
              <w:spacing w:before="60" w:after="60" w:line="216" w:lineRule="auto"/>
              <w:ind w:right="204"/>
              <w:jc w:val="right"/>
              <w:rPr>
                <w:sz w:val="22"/>
                <w:szCs w:val="22"/>
              </w:rPr>
            </w:pPr>
            <w:r>
              <w:rPr>
                <w:sz w:val="22"/>
                <w:szCs w:val="22"/>
              </w:rPr>
              <w:t>33</w:t>
            </w:r>
          </w:p>
        </w:tc>
        <w:tc>
          <w:tcPr>
            <w:tcW w:w="1320" w:type="dxa"/>
            <w:vAlign w:val="center"/>
          </w:tcPr>
          <w:p w:rsidR="00000000" w:rsidRDefault="00000000">
            <w:pPr>
              <w:spacing w:before="60" w:after="60" w:line="216" w:lineRule="auto"/>
              <w:ind w:right="204"/>
              <w:jc w:val="right"/>
              <w:rPr>
                <w:sz w:val="22"/>
                <w:szCs w:val="22"/>
              </w:rPr>
            </w:pPr>
            <w:r>
              <w:rPr>
                <w:sz w:val="22"/>
                <w:szCs w:val="22"/>
              </w:rPr>
              <w:t>139,4</w:t>
            </w:r>
          </w:p>
        </w:tc>
        <w:tc>
          <w:tcPr>
            <w:tcW w:w="1080" w:type="dxa"/>
            <w:vAlign w:val="center"/>
          </w:tcPr>
          <w:p w:rsidR="00000000" w:rsidRDefault="00000000">
            <w:pPr>
              <w:spacing w:before="60" w:after="60" w:line="216" w:lineRule="auto"/>
              <w:ind w:right="204"/>
              <w:jc w:val="right"/>
              <w:rPr>
                <w:sz w:val="22"/>
                <w:szCs w:val="22"/>
              </w:rPr>
            </w:pPr>
            <w:r>
              <w:rPr>
                <w:sz w:val="22"/>
                <w:szCs w:val="22"/>
              </w:rPr>
              <w:t>54</w:t>
            </w:r>
          </w:p>
        </w:tc>
        <w:tc>
          <w:tcPr>
            <w:tcW w:w="1200" w:type="dxa"/>
            <w:vAlign w:val="center"/>
          </w:tcPr>
          <w:p w:rsidR="00000000" w:rsidRDefault="00000000">
            <w:pPr>
              <w:spacing w:before="60" w:after="60" w:line="216" w:lineRule="auto"/>
              <w:ind w:right="204"/>
              <w:jc w:val="right"/>
              <w:rPr>
                <w:sz w:val="22"/>
                <w:szCs w:val="22"/>
              </w:rPr>
            </w:pPr>
            <w:r>
              <w:rPr>
                <w:sz w:val="22"/>
                <w:szCs w:val="22"/>
              </w:rPr>
              <w:t>33</w:t>
            </w:r>
          </w:p>
        </w:tc>
        <w:tc>
          <w:tcPr>
            <w:tcW w:w="1306" w:type="dxa"/>
            <w:vAlign w:val="center"/>
          </w:tcPr>
          <w:p w:rsidR="00000000" w:rsidRDefault="00000000">
            <w:pPr>
              <w:spacing w:before="60" w:after="60" w:line="216" w:lineRule="auto"/>
              <w:ind w:right="204"/>
              <w:jc w:val="right"/>
              <w:rPr>
                <w:sz w:val="22"/>
                <w:szCs w:val="22"/>
              </w:rPr>
            </w:pPr>
            <w:r>
              <w:rPr>
                <w:sz w:val="22"/>
                <w:szCs w:val="22"/>
              </w:rPr>
              <w:t>163,6</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Funchal</w:t>
            </w:r>
          </w:p>
        </w:tc>
        <w:tc>
          <w:tcPr>
            <w:tcW w:w="1080" w:type="dxa"/>
            <w:vAlign w:val="center"/>
          </w:tcPr>
          <w:p w:rsidR="00000000" w:rsidRDefault="00000000">
            <w:pPr>
              <w:spacing w:before="60" w:after="60" w:line="216" w:lineRule="auto"/>
              <w:ind w:right="204"/>
              <w:jc w:val="right"/>
              <w:rPr>
                <w:sz w:val="22"/>
                <w:szCs w:val="22"/>
              </w:rPr>
            </w:pPr>
            <w:r>
              <w:rPr>
                <w:sz w:val="22"/>
                <w:szCs w:val="22"/>
              </w:rPr>
              <w:t>46</w:t>
            </w:r>
          </w:p>
        </w:tc>
        <w:tc>
          <w:tcPr>
            <w:tcW w:w="1320" w:type="dxa"/>
            <w:vAlign w:val="center"/>
          </w:tcPr>
          <w:p w:rsidR="00000000" w:rsidRDefault="00000000">
            <w:pPr>
              <w:spacing w:before="60" w:after="60" w:line="216" w:lineRule="auto"/>
              <w:ind w:right="204"/>
              <w:jc w:val="right"/>
              <w:rPr>
                <w:sz w:val="22"/>
                <w:szCs w:val="22"/>
              </w:rPr>
            </w:pPr>
            <w:r>
              <w:rPr>
                <w:sz w:val="22"/>
                <w:szCs w:val="22"/>
              </w:rPr>
              <w:t>100</w:t>
            </w:r>
          </w:p>
        </w:tc>
        <w:tc>
          <w:tcPr>
            <w:tcW w:w="1320" w:type="dxa"/>
            <w:vAlign w:val="center"/>
          </w:tcPr>
          <w:p w:rsidR="00000000" w:rsidRDefault="00000000">
            <w:pPr>
              <w:spacing w:before="60" w:after="60" w:line="216" w:lineRule="auto"/>
              <w:ind w:right="204"/>
              <w:jc w:val="right"/>
              <w:rPr>
                <w:sz w:val="22"/>
                <w:szCs w:val="22"/>
              </w:rPr>
            </w:pPr>
            <w:r>
              <w:rPr>
                <w:sz w:val="22"/>
                <w:szCs w:val="22"/>
              </w:rPr>
              <w:t>46,0</w:t>
            </w:r>
          </w:p>
        </w:tc>
        <w:tc>
          <w:tcPr>
            <w:tcW w:w="1080" w:type="dxa"/>
            <w:vAlign w:val="center"/>
          </w:tcPr>
          <w:p w:rsidR="00000000" w:rsidRDefault="00000000">
            <w:pPr>
              <w:spacing w:before="60" w:after="60" w:line="216" w:lineRule="auto"/>
              <w:ind w:right="204"/>
              <w:jc w:val="right"/>
              <w:rPr>
                <w:sz w:val="22"/>
                <w:szCs w:val="22"/>
              </w:rPr>
            </w:pPr>
            <w:r>
              <w:rPr>
                <w:sz w:val="22"/>
                <w:szCs w:val="22"/>
              </w:rPr>
              <w:t>48</w:t>
            </w:r>
          </w:p>
        </w:tc>
        <w:tc>
          <w:tcPr>
            <w:tcW w:w="1200" w:type="dxa"/>
            <w:vAlign w:val="center"/>
          </w:tcPr>
          <w:p w:rsidR="00000000" w:rsidRDefault="00000000">
            <w:pPr>
              <w:spacing w:before="60" w:after="60" w:line="216" w:lineRule="auto"/>
              <w:ind w:right="204"/>
              <w:jc w:val="right"/>
              <w:rPr>
                <w:sz w:val="22"/>
                <w:szCs w:val="22"/>
              </w:rPr>
            </w:pPr>
            <w:r>
              <w:rPr>
                <w:sz w:val="22"/>
                <w:szCs w:val="22"/>
              </w:rPr>
              <w:t>100</w:t>
            </w:r>
          </w:p>
        </w:tc>
        <w:tc>
          <w:tcPr>
            <w:tcW w:w="1306" w:type="dxa"/>
            <w:vAlign w:val="center"/>
          </w:tcPr>
          <w:p w:rsidR="00000000" w:rsidRDefault="00000000">
            <w:pPr>
              <w:spacing w:before="60" w:after="60" w:line="216" w:lineRule="auto"/>
              <w:ind w:right="204"/>
              <w:jc w:val="right"/>
              <w:rPr>
                <w:sz w:val="22"/>
                <w:szCs w:val="22"/>
              </w:rPr>
            </w:pPr>
            <w:r>
              <w:rPr>
                <w:sz w:val="22"/>
                <w:szCs w:val="22"/>
              </w:rPr>
              <w:t>48,0</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Guarda</w:t>
            </w:r>
          </w:p>
        </w:tc>
        <w:tc>
          <w:tcPr>
            <w:tcW w:w="1080" w:type="dxa"/>
            <w:vAlign w:val="center"/>
          </w:tcPr>
          <w:p w:rsidR="00000000" w:rsidRDefault="00000000">
            <w:pPr>
              <w:spacing w:before="60" w:after="60" w:line="216" w:lineRule="auto"/>
              <w:ind w:right="204"/>
              <w:jc w:val="right"/>
              <w:rPr>
                <w:sz w:val="22"/>
                <w:szCs w:val="22"/>
              </w:rPr>
            </w:pPr>
            <w:r>
              <w:rPr>
                <w:sz w:val="22"/>
                <w:szCs w:val="22"/>
              </w:rPr>
              <w:t>125</w:t>
            </w:r>
          </w:p>
        </w:tc>
        <w:tc>
          <w:tcPr>
            <w:tcW w:w="1320" w:type="dxa"/>
            <w:vAlign w:val="center"/>
          </w:tcPr>
          <w:p w:rsidR="00000000" w:rsidRDefault="00000000">
            <w:pPr>
              <w:spacing w:before="60" w:after="60" w:line="216" w:lineRule="auto"/>
              <w:ind w:right="204"/>
              <w:jc w:val="right"/>
              <w:rPr>
                <w:sz w:val="22"/>
                <w:szCs w:val="22"/>
              </w:rPr>
            </w:pPr>
            <w:r>
              <w:rPr>
                <w:sz w:val="22"/>
                <w:szCs w:val="22"/>
              </w:rPr>
              <w:t>171</w:t>
            </w:r>
          </w:p>
        </w:tc>
        <w:tc>
          <w:tcPr>
            <w:tcW w:w="1320" w:type="dxa"/>
            <w:vAlign w:val="center"/>
          </w:tcPr>
          <w:p w:rsidR="00000000" w:rsidRDefault="00000000">
            <w:pPr>
              <w:spacing w:before="60" w:after="60" w:line="216" w:lineRule="auto"/>
              <w:ind w:right="204"/>
              <w:jc w:val="right"/>
              <w:rPr>
                <w:sz w:val="22"/>
                <w:szCs w:val="22"/>
              </w:rPr>
            </w:pPr>
            <w:r>
              <w:rPr>
                <w:sz w:val="22"/>
                <w:szCs w:val="22"/>
              </w:rPr>
              <w:t>73,1</w:t>
            </w:r>
          </w:p>
        </w:tc>
        <w:tc>
          <w:tcPr>
            <w:tcW w:w="1080" w:type="dxa"/>
            <w:vAlign w:val="center"/>
          </w:tcPr>
          <w:p w:rsidR="00000000" w:rsidRDefault="00000000">
            <w:pPr>
              <w:spacing w:before="60" w:after="60" w:line="216" w:lineRule="auto"/>
              <w:ind w:right="204"/>
              <w:jc w:val="right"/>
              <w:rPr>
                <w:sz w:val="22"/>
                <w:szCs w:val="22"/>
              </w:rPr>
            </w:pPr>
            <w:r>
              <w:rPr>
                <w:sz w:val="22"/>
                <w:szCs w:val="22"/>
              </w:rPr>
              <w:t>134</w:t>
            </w:r>
          </w:p>
        </w:tc>
        <w:tc>
          <w:tcPr>
            <w:tcW w:w="1200" w:type="dxa"/>
            <w:vAlign w:val="center"/>
          </w:tcPr>
          <w:p w:rsidR="00000000" w:rsidRDefault="00000000">
            <w:pPr>
              <w:spacing w:before="60" w:after="60" w:line="216" w:lineRule="auto"/>
              <w:ind w:right="204"/>
              <w:jc w:val="right"/>
              <w:rPr>
                <w:sz w:val="22"/>
                <w:szCs w:val="22"/>
              </w:rPr>
            </w:pPr>
            <w:r>
              <w:rPr>
                <w:sz w:val="22"/>
                <w:szCs w:val="22"/>
              </w:rPr>
              <w:t>171</w:t>
            </w:r>
          </w:p>
        </w:tc>
        <w:tc>
          <w:tcPr>
            <w:tcW w:w="1306" w:type="dxa"/>
            <w:vAlign w:val="center"/>
          </w:tcPr>
          <w:p w:rsidR="00000000" w:rsidRDefault="00000000">
            <w:pPr>
              <w:spacing w:before="60" w:after="60" w:line="216" w:lineRule="auto"/>
              <w:ind w:right="204"/>
              <w:jc w:val="right"/>
              <w:rPr>
                <w:sz w:val="22"/>
                <w:szCs w:val="22"/>
              </w:rPr>
            </w:pPr>
            <w:r>
              <w:rPr>
                <w:sz w:val="22"/>
                <w:szCs w:val="22"/>
              </w:rPr>
              <w:t>78,4</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Guimarães</w:t>
            </w:r>
          </w:p>
        </w:tc>
        <w:tc>
          <w:tcPr>
            <w:tcW w:w="1080" w:type="dxa"/>
            <w:vAlign w:val="center"/>
          </w:tcPr>
          <w:p w:rsidR="00000000" w:rsidRDefault="00000000">
            <w:pPr>
              <w:spacing w:before="60" w:after="60" w:line="216" w:lineRule="auto"/>
              <w:ind w:right="204"/>
              <w:jc w:val="right"/>
              <w:rPr>
                <w:sz w:val="22"/>
                <w:szCs w:val="22"/>
              </w:rPr>
            </w:pPr>
            <w:r>
              <w:rPr>
                <w:sz w:val="22"/>
                <w:szCs w:val="22"/>
              </w:rPr>
              <w:t>107</w:t>
            </w:r>
          </w:p>
        </w:tc>
        <w:tc>
          <w:tcPr>
            <w:tcW w:w="1320" w:type="dxa"/>
            <w:vAlign w:val="center"/>
          </w:tcPr>
          <w:p w:rsidR="00000000" w:rsidRDefault="00000000">
            <w:pPr>
              <w:spacing w:before="60" w:after="60" w:line="216" w:lineRule="auto"/>
              <w:ind w:right="204"/>
              <w:jc w:val="right"/>
              <w:rPr>
                <w:sz w:val="22"/>
                <w:szCs w:val="22"/>
              </w:rPr>
            </w:pPr>
            <w:r>
              <w:rPr>
                <w:sz w:val="22"/>
                <w:szCs w:val="22"/>
              </w:rPr>
              <w:t>48</w:t>
            </w:r>
          </w:p>
        </w:tc>
        <w:tc>
          <w:tcPr>
            <w:tcW w:w="1320" w:type="dxa"/>
            <w:vAlign w:val="center"/>
          </w:tcPr>
          <w:p w:rsidR="00000000" w:rsidRDefault="00000000">
            <w:pPr>
              <w:spacing w:before="60" w:after="60" w:line="216" w:lineRule="auto"/>
              <w:ind w:right="204"/>
              <w:jc w:val="right"/>
              <w:rPr>
                <w:sz w:val="22"/>
                <w:szCs w:val="22"/>
              </w:rPr>
            </w:pPr>
            <w:r>
              <w:rPr>
                <w:sz w:val="22"/>
                <w:szCs w:val="22"/>
              </w:rPr>
              <w:t>222,9</w:t>
            </w:r>
          </w:p>
        </w:tc>
        <w:tc>
          <w:tcPr>
            <w:tcW w:w="1080" w:type="dxa"/>
            <w:vAlign w:val="center"/>
          </w:tcPr>
          <w:p w:rsidR="00000000" w:rsidRDefault="00000000">
            <w:pPr>
              <w:spacing w:before="60" w:after="60" w:line="216" w:lineRule="auto"/>
              <w:ind w:right="204"/>
              <w:jc w:val="right"/>
              <w:rPr>
                <w:sz w:val="22"/>
                <w:szCs w:val="22"/>
              </w:rPr>
            </w:pPr>
            <w:r>
              <w:rPr>
                <w:sz w:val="22"/>
                <w:szCs w:val="22"/>
              </w:rPr>
              <w:t>109</w:t>
            </w:r>
          </w:p>
        </w:tc>
        <w:tc>
          <w:tcPr>
            <w:tcW w:w="1200" w:type="dxa"/>
            <w:vAlign w:val="center"/>
          </w:tcPr>
          <w:p w:rsidR="00000000" w:rsidRDefault="00000000">
            <w:pPr>
              <w:spacing w:before="60" w:after="60" w:line="216" w:lineRule="auto"/>
              <w:ind w:right="204"/>
              <w:jc w:val="right"/>
              <w:rPr>
                <w:sz w:val="22"/>
                <w:szCs w:val="22"/>
              </w:rPr>
            </w:pPr>
            <w:r>
              <w:rPr>
                <w:sz w:val="22"/>
                <w:szCs w:val="22"/>
              </w:rPr>
              <w:t>48</w:t>
            </w:r>
          </w:p>
        </w:tc>
        <w:tc>
          <w:tcPr>
            <w:tcW w:w="1306" w:type="dxa"/>
            <w:vAlign w:val="center"/>
          </w:tcPr>
          <w:p w:rsidR="00000000" w:rsidRDefault="00000000">
            <w:pPr>
              <w:spacing w:before="60" w:after="60" w:line="216" w:lineRule="auto"/>
              <w:ind w:right="204"/>
              <w:jc w:val="right"/>
              <w:rPr>
                <w:sz w:val="22"/>
                <w:szCs w:val="22"/>
              </w:rPr>
            </w:pPr>
            <w:r>
              <w:rPr>
                <w:sz w:val="22"/>
                <w:szCs w:val="22"/>
              </w:rPr>
              <w:t>227,1</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Lamego</w:t>
            </w:r>
          </w:p>
        </w:tc>
        <w:tc>
          <w:tcPr>
            <w:tcW w:w="1080" w:type="dxa"/>
            <w:vAlign w:val="center"/>
          </w:tcPr>
          <w:p w:rsidR="00000000" w:rsidRDefault="00000000">
            <w:pPr>
              <w:spacing w:before="60" w:after="60" w:line="216" w:lineRule="auto"/>
              <w:ind w:right="204"/>
              <w:jc w:val="right"/>
              <w:rPr>
                <w:sz w:val="22"/>
                <w:szCs w:val="22"/>
              </w:rPr>
            </w:pPr>
            <w:r>
              <w:rPr>
                <w:sz w:val="22"/>
                <w:szCs w:val="22"/>
              </w:rPr>
              <w:t>74</w:t>
            </w:r>
          </w:p>
        </w:tc>
        <w:tc>
          <w:tcPr>
            <w:tcW w:w="1320" w:type="dxa"/>
            <w:vAlign w:val="center"/>
          </w:tcPr>
          <w:p w:rsidR="00000000" w:rsidRDefault="00000000">
            <w:pPr>
              <w:spacing w:before="60" w:after="60" w:line="216" w:lineRule="auto"/>
              <w:ind w:right="204"/>
              <w:jc w:val="right"/>
              <w:rPr>
                <w:sz w:val="22"/>
                <w:szCs w:val="22"/>
              </w:rPr>
            </w:pPr>
            <w:r>
              <w:rPr>
                <w:sz w:val="22"/>
                <w:szCs w:val="22"/>
              </w:rPr>
              <w:t>67</w:t>
            </w:r>
          </w:p>
        </w:tc>
        <w:tc>
          <w:tcPr>
            <w:tcW w:w="1320" w:type="dxa"/>
            <w:vAlign w:val="center"/>
          </w:tcPr>
          <w:p w:rsidR="00000000" w:rsidRDefault="00000000">
            <w:pPr>
              <w:spacing w:before="60" w:after="60" w:line="216" w:lineRule="auto"/>
              <w:ind w:right="204"/>
              <w:jc w:val="right"/>
              <w:rPr>
                <w:sz w:val="22"/>
                <w:szCs w:val="22"/>
              </w:rPr>
            </w:pPr>
            <w:r>
              <w:rPr>
                <w:sz w:val="22"/>
                <w:szCs w:val="22"/>
              </w:rPr>
              <w:t>110,4</w:t>
            </w:r>
          </w:p>
        </w:tc>
        <w:tc>
          <w:tcPr>
            <w:tcW w:w="1080" w:type="dxa"/>
            <w:vAlign w:val="center"/>
          </w:tcPr>
          <w:p w:rsidR="00000000" w:rsidRDefault="00000000">
            <w:pPr>
              <w:spacing w:before="60" w:after="60" w:line="216" w:lineRule="auto"/>
              <w:ind w:right="204"/>
              <w:jc w:val="right"/>
              <w:rPr>
                <w:sz w:val="22"/>
                <w:szCs w:val="22"/>
              </w:rPr>
            </w:pPr>
            <w:r>
              <w:rPr>
                <w:sz w:val="22"/>
                <w:szCs w:val="22"/>
              </w:rPr>
              <w:t>87</w:t>
            </w:r>
          </w:p>
        </w:tc>
        <w:tc>
          <w:tcPr>
            <w:tcW w:w="1200" w:type="dxa"/>
            <w:vAlign w:val="center"/>
          </w:tcPr>
          <w:p w:rsidR="00000000" w:rsidRDefault="00000000">
            <w:pPr>
              <w:spacing w:before="60" w:after="60" w:line="216" w:lineRule="auto"/>
              <w:ind w:right="204"/>
              <w:jc w:val="right"/>
              <w:rPr>
                <w:sz w:val="22"/>
                <w:szCs w:val="22"/>
              </w:rPr>
            </w:pPr>
            <w:r>
              <w:rPr>
                <w:sz w:val="22"/>
                <w:szCs w:val="22"/>
              </w:rPr>
              <w:t>67</w:t>
            </w:r>
          </w:p>
        </w:tc>
        <w:tc>
          <w:tcPr>
            <w:tcW w:w="1306" w:type="dxa"/>
            <w:vAlign w:val="center"/>
          </w:tcPr>
          <w:p w:rsidR="00000000" w:rsidRDefault="00000000">
            <w:pPr>
              <w:spacing w:before="60" w:after="60" w:line="216" w:lineRule="auto"/>
              <w:ind w:right="204"/>
              <w:jc w:val="right"/>
              <w:rPr>
                <w:sz w:val="22"/>
                <w:szCs w:val="22"/>
              </w:rPr>
            </w:pPr>
            <w:r>
              <w:rPr>
                <w:sz w:val="22"/>
                <w:szCs w:val="22"/>
              </w:rPr>
              <w:t>129,9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Leiria</w:t>
            </w:r>
          </w:p>
        </w:tc>
        <w:tc>
          <w:tcPr>
            <w:tcW w:w="1080" w:type="dxa"/>
            <w:vAlign w:val="center"/>
          </w:tcPr>
          <w:p w:rsidR="00000000" w:rsidRDefault="00000000">
            <w:pPr>
              <w:spacing w:before="60" w:after="60" w:line="216" w:lineRule="auto"/>
              <w:ind w:right="204"/>
              <w:jc w:val="right"/>
              <w:rPr>
                <w:sz w:val="22"/>
                <w:szCs w:val="22"/>
              </w:rPr>
            </w:pPr>
            <w:r>
              <w:rPr>
                <w:sz w:val="22"/>
                <w:szCs w:val="22"/>
              </w:rPr>
              <w:t>161</w:t>
            </w:r>
          </w:p>
        </w:tc>
        <w:tc>
          <w:tcPr>
            <w:tcW w:w="1320" w:type="dxa"/>
            <w:vAlign w:val="center"/>
          </w:tcPr>
          <w:p w:rsidR="00000000" w:rsidRDefault="00000000">
            <w:pPr>
              <w:spacing w:before="60" w:after="60" w:line="216" w:lineRule="auto"/>
              <w:ind w:right="204"/>
              <w:jc w:val="right"/>
              <w:rPr>
                <w:sz w:val="22"/>
                <w:szCs w:val="22"/>
              </w:rPr>
            </w:pPr>
            <w:r>
              <w:rPr>
                <w:sz w:val="22"/>
                <w:szCs w:val="22"/>
              </w:rPr>
              <w:t>110</w:t>
            </w:r>
          </w:p>
        </w:tc>
        <w:tc>
          <w:tcPr>
            <w:tcW w:w="1320" w:type="dxa"/>
            <w:vAlign w:val="center"/>
          </w:tcPr>
          <w:p w:rsidR="00000000" w:rsidRDefault="00000000">
            <w:pPr>
              <w:spacing w:before="60" w:after="60" w:line="216" w:lineRule="auto"/>
              <w:ind w:right="204"/>
              <w:jc w:val="right"/>
              <w:rPr>
                <w:sz w:val="22"/>
                <w:szCs w:val="22"/>
              </w:rPr>
            </w:pPr>
            <w:r>
              <w:rPr>
                <w:sz w:val="22"/>
                <w:szCs w:val="22"/>
              </w:rPr>
              <w:t>146,4</w:t>
            </w:r>
          </w:p>
        </w:tc>
        <w:tc>
          <w:tcPr>
            <w:tcW w:w="1080" w:type="dxa"/>
            <w:vAlign w:val="center"/>
          </w:tcPr>
          <w:p w:rsidR="00000000" w:rsidRDefault="00000000">
            <w:pPr>
              <w:spacing w:before="60" w:after="60" w:line="216" w:lineRule="auto"/>
              <w:ind w:right="204"/>
              <w:jc w:val="right"/>
              <w:rPr>
                <w:sz w:val="22"/>
                <w:szCs w:val="22"/>
              </w:rPr>
            </w:pPr>
            <w:r>
              <w:rPr>
                <w:sz w:val="22"/>
                <w:szCs w:val="22"/>
              </w:rPr>
              <w:t>222</w:t>
            </w:r>
          </w:p>
        </w:tc>
        <w:tc>
          <w:tcPr>
            <w:tcW w:w="1200" w:type="dxa"/>
            <w:vAlign w:val="center"/>
          </w:tcPr>
          <w:p w:rsidR="00000000" w:rsidRDefault="00000000">
            <w:pPr>
              <w:spacing w:before="60" w:after="60" w:line="216" w:lineRule="auto"/>
              <w:ind w:right="204"/>
              <w:jc w:val="right"/>
              <w:rPr>
                <w:sz w:val="22"/>
                <w:szCs w:val="22"/>
              </w:rPr>
            </w:pPr>
            <w:r>
              <w:rPr>
                <w:sz w:val="22"/>
                <w:szCs w:val="22"/>
              </w:rPr>
              <w:t>110</w:t>
            </w:r>
          </w:p>
        </w:tc>
        <w:tc>
          <w:tcPr>
            <w:tcW w:w="1306" w:type="dxa"/>
            <w:vAlign w:val="center"/>
          </w:tcPr>
          <w:p w:rsidR="00000000" w:rsidRDefault="00000000">
            <w:pPr>
              <w:spacing w:before="60" w:after="60" w:line="216" w:lineRule="auto"/>
              <w:ind w:right="204"/>
              <w:jc w:val="right"/>
              <w:rPr>
                <w:sz w:val="22"/>
                <w:szCs w:val="22"/>
              </w:rPr>
            </w:pPr>
            <w:r>
              <w:rPr>
                <w:sz w:val="22"/>
                <w:szCs w:val="22"/>
              </w:rPr>
              <w:t>201,8</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Monção</w:t>
            </w:r>
          </w:p>
        </w:tc>
        <w:tc>
          <w:tcPr>
            <w:tcW w:w="1080" w:type="dxa"/>
            <w:vAlign w:val="center"/>
          </w:tcPr>
          <w:p w:rsidR="00000000" w:rsidRDefault="00000000">
            <w:pPr>
              <w:spacing w:before="60" w:after="60" w:line="216" w:lineRule="auto"/>
              <w:ind w:right="204"/>
              <w:jc w:val="right"/>
              <w:rPr>
                <w:sz w:val="22"/>
                <w:szCs w:val="22"/>
              </w:rPr>
            </w:pPr>
            <w:r>
              <w:rPr>
                <w:sz w:val="22"/>
                <w:szCs w:val="22"/>
              </w:rPr>
              <w:t>38</w:t>
            </w:r>
          </w:p>
        </w:tc>
        <w:tc>
          <w:tcPr>
            <w:tcW w:w="1320" w:type="dxa"/>
            <w:vAlign w:val="center"/>
          </w:tcPr>
          <w:p w:rsidR="00000000" w:rsidRDefault="00000000">
            <w:pPr>
              <w:spacing w:before="60" w:after="60" w:line="216" w:lineRule="auto"/>
              <w:ind w:right="204"/>
              <w:jc w:val="right"/>
              <w:rPr>
                <w:sz w:val="22"/>
                <w:szCs w:val="22"/>
              </w:rPr>
            </w:pPr>
            <w:r>
              <w:rPr>
                <w:sz w:val="22"/>
                <w:szCs w:val="22"/>
              </w:rPr>
              <w:t>34</w:t>
            </w:r>
          </w:p>
        </w:tc>
        <w:tc>
          <w:tcPr>
            <w:tcW w:w="1320" w:type="dxa"/>
            <w:vAlign w:val="center"/>
          </w:tcPr>
          <w:p w:rsidR="00000000" w:rsidRDefault="00000000">
            <w:pPr>
              <w:spacing w:before="60" w:after="60" w:line="216" w:lineRule="auto"/>
              <w:ind w:right="204"/>
              <w:jc w:val="right"/>
              <w:rPr>
                <w:sz w:val="22"/>
                <w:szCs w:val="22"/>
              </w:rPr>
            </w:pPr>
            <w:r>
              <w:rPr>
                <w:sz w:val="22"/>
                <w:szCs w:val="22"/>
              </w:rPr>
              <w:t>111,8</w:t>
            </w:r>
          </w:p>
        </w:tc>
        <w:tc>
          <w:tcPr>
            <w:tcW w:w="1080" w:type="dxa"/>
            <w:vAlign w:val="center"/>
          </w:tcPr>
          <w:p w:rsidR="00000000" w:rsidRDefault="00000000">
            <w:pPr>
              <w:spacing w:before="60" w:after="60" w:line="216" w:lineRule="auto"/>
              <w:ind w:right="204"/>
              <w:jc w:val="right"/>
              <w:rPr>
                <w:sz w:val="22"/>
                <w:szCs w:val="22"/>
              </w:rPr>
            </w:pPr>
            <w:r>
              <w:rPr>
                <w:sz w:val="22"/>
                <w:szCs w:val="22"/>
              </w:rPr>
              <w:t>50</w:t>
            </w:r>
          </w:p>
        </w:tc>
        <w:tc>
          <w:tcPr>
            <w:tcW w:w="1200" w:type="dxa"/>
            <w:vAlign w:val="center"/>
          </w:tcPr>
          <w:p w:rsidR="00000000" w:rsidRDefault="00000000">
            <w:pPr>
              <w:spacing w:before="60" w:after="60" w:line="216" w:lineRule="auto"/>
              <w:ind w:right="204"/>
              <w:jc w:val="right"/>
              <w:rPr>
                <w:sz w:val="22"/>
                <w:szCs w:val="22"/>
              </w:rPr>
            </w:pPr>
            <w:r>
              <w:rPr>
                <w:sz w:val="22"/>
                <w:szCs w:val="22"/>
              </w:rPr>
              <w:t>34</w:t>
            </w:r>
          </w:p>
        </w:tc>
        <w:tc>
          <w:tcPr>
            <w:tcW w:w="1306" w:type="dxa"/>
            <w:vAlign w:val="center"/>
          </w:tcPr>
          <w:p w:rsidR="00000000" w:rsidRDefault="00000000">
            <w:pPr>
              <w:spacing w:before="60" w:after="60" w:line="216" w:lineRule="auto"/>
              <w:ind w:right="204"/>
              <w:jc w:val="right"/>
              <w:rPr>
                <w:sz w:val="22"/>
                <w:szCs w:val="22"/>
              </w:rPr>
            </w:pPr>
            <w:r>
              <w:rPr>
                <w:sz w:val="22"/>
                <w:szCs w:val="22"/>
              </w:rPr>
              <w:t>147,1</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Montijo</w:t>
            </w:r>
          </w:p>
        </w:tc>
        <w:tc>
          <w:tcPr>
            <w:tcW w:w="1080" w:type="dxa"/>
            <w:vAlign w:val="center"/>
          </w:tcPr>
          <w:p w:rsidR="00000000" w:rsidRDefault="00000000">
            <w:pPr>
              <w:spacing w:before="60" w:after="60" w:line="216" w:lineRule="auto"/>
              <w:ind w:right="204"/>
              <w:jc w:val="right"/>
              <w:rPr>
                <w:sz w:val="22"/>
                <w:szCs w:val="22"/>
              </w:rPr>
            </w:pPr>
            <w:r>
              <w:rPr>
                <w:sz w:val="22"/>
                <w:szCs w:val="22"/>
              </w:rPr>
              <w:t>227</w:t>
            </w:r>
          </w:p>
        </w:tc>
        <w:tc>
          <w:tcPr>
            <w:tcW w:w="1320" w:type="dxa"/>
            <w:vAlign w:val="center"/>
          </w:tcPr>
          <w:p w:rsidR="00000000" w:rsidRDefault="00000000">
            <w:pPr>
              <w:spacing w:before="60" w:after="60" w:line="216" w:lineRule="auto"/>
              <w:ind w:right="204"/>
              <w:jc w:val="right"/>
              <w:rPr>
                <w:sz w:val="22"/>
                <w:szCs w:val="22"/>
              </w:rPr>
            </w:pPr>
            <w:r>
              <w:rPr>
                <w:sz w:val="22"/>
                <w:szCs w:val="22"/>
              </w:rPr>
              <w:t>105</w:t>
            </w:r>
          </w:p>
        </w:tc>
        <w:tc>
          <w:tcPr>
            <w:tcW w:w="1320" w:type="dxa"/>
            <w:vAlign w:val="center"/>
          </w:tcPr>
          <w:p w:rsidR="00000000" w:rsidRDefault="00000000">
            <w:pPr>
              <w:spacing w:before="60" w:after="60" w:line="216" w:lineRule="auto"/>
              <w:ind w:right="204"/>
              <w:jc w:val="right"/>
              <w:rPr>
                <w:sz w:val="22"/>
                <w:szCs w:val="22"/>
              </w:rPr>
            </w:pPr>
            <w:r>
              <w:rPr>
                <w:sz w:val="22"/>
                <w:szCs w:val="22"/>
              </w:rPr>
              <w:t>216,2</w:t>
            </w:r>
          </w:p>
        </w:tc>
        <w:tc>
          <w:tcPr>
            <w:tcW w:w="1080" w:type="dxa"/>
            <w:vAlign w:val="center"/>
          </w:tcPr>
          <w:p w:rsidR="00000000" w:rsidRDefault="00000000">
            <w:pPr>
              <w:spacing w:before="60" w:after="60" w:line="216" w:lineRule="auto"/>
              <w:ind w:right="204"/>
              <w:jc w:val="right"/>
              <w:rPr>
                <w:sz w:val="22"/>
                <w:szCs w:val="22"/>
              </w:rPr>
            </w:pPr>
            <w:r>
              <w:rPr>
                <w:sz w:val="22"/>
                <w:szCs w:val="22"/>
              </w:rPr>
              <w:t>269</w:t>
            </w:r>
          </w:p>
        </w:tc>
        <w:tc>
          <w:tcPr>
            <w:tcW w:w="1200" w:type="dxa"/>
            <w:vAlign w:val="center"/>
          </w:tcPr>
          <w:p w:rsidR="00000000" w:rsidRDefault="00000000">
            <w:pPr>
              <w:spacing w:before="60" w:after="60" w:line="216" w:lineRule="auto"/>
              <w:ind w:right="204"/>
              <w:jc w:val="right"/>
              <w:rPr>
                <w:sz w:val="22"/>
                <w:szCs w:val="22"/>
              </w:rPr>
            </w:pPr>
            <w:r>
              <w:rPr>
                <w:sz w:val="22"/>
                <w:szCs w:val="22"/>
              </w:rPr>
              <w:t>105</w:t>
            </w:r>
          </w:p>
        </w:tc>
        <w:tc>
          <w:tcPr>
            <w:tcW w:w="1306" w:type="dxa"/>
            <w:vAlign w:val="center"/>
          </w:tcPr>
          <w:p w:rsidR="00000000" w:rsidRDefault="00000000">
            <w:pPr>
              <w:spacing w:before="60" w:after="60" w:line="216" w:lineRule="auto"/>
              <w:ind w:right="204"/>
              <w:jc w:val="right"/>
              <w:rPr>
                <w:sz w:val="22"/>
                <w:szCs w:val="22"/>
              </w:rPr>
            </w:pPr>
            <w:r>
              <w:rPr>
                <w:sz w:val="22"/>
                <w:szCs w:val="22"/>
              </w:rPr>
              <w:t>256,2</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Odemira</w:t>
            </w:r>
          </w:p>
        </w:tc>
        <w:tc>
          <w:tcPr>
            <w:tcW w:w="1080" w:type="dxa"/>
            <w:vAlign w:val="center"/>
          </w:tcPr>
          <w:p w:rsidR="00000000" w:rsidRDefault="00000000">
            <w:pPr>
              <w:spacing w:before="60" w:after="60" w:line="216" w:lineRule="auto"/>
              <w:ind w:right="204"/>
              <w:jc w:val="right"/>
              <w:rPr>
                <w:sz w:val="22"/>
                <w:szCs w:val="22"/>
              </w:rPr>
            </w:pPr>
            <w:r>
              <w:rPr>
                <w:sz w:val="22"/>
                <w:szCs w:val="22"/>
              </w:rPr>
              <w:t>87</w:t>
            </w:r>
          </w:p>
        </w:tc>
        <w:tc>
          <w:tcPr>
            <w:tcW w:w="1320" w:type="dxa"/>
            <w:vAlign w:val="center"/>
          </w:tcPr>
          <w:p w:rsidR="00000000" w:rsidRDefault="00000000">
            <w:pPr>
              <w:spacing w:before="60" w:after="60" w:line="216" w:lineRule="auto"/>
              <w:ind w:right="204"/>
              <w:jc w:val="right"/>
              <w:rPr>
                <w:sz w:val="22"/>
                <w:szCs w:val="22"/>
              </w:rPr>
            </w:pPr>
            <w:r>
              <w:rPr>
                <w:sz w:val="22"/>
                <w:szCs w:val="22"/>
              </w:rPr>
              <w:t>56</w:t>
            </w:r>
          </w:p>
        </w:tc>
        <w:tc>
          <w:tcPr>
            <w:tcW w:w="1320" w:type="dxa"/>
            <w:vAlign w:val="center"/>
          </w:tcPr>
          <w:p w:rsidR="00000000" w:rsidRDefault="00000000">
            <w:pPr>
              <w:spacing w:before="60" w:after="60" w:line="216" w:lineRule="auto"/>
              <w:ind w:right="204"/>
              <w:jc w:val="right"/>
              <w:rPr>
                <w:sz w:val="22"/>
                <w:szCs w:val="22"/>
              </w:rPr>
            </w:pPr>
            <w:r>
              <w:rPr>
                <w:sz w:val="22"/>
                <w:szCs w:val="22"/>
              </w:rPr>
              <w:t>155,4</w:t>
            </w:r>
          </w:p>
        </w:tc>
        <w:tc>
          <w:tcPr>
            <w:tcW w:w="1080" w:type="dxa"/>
            <w:vAlign w:val="center"/>
          </w:tcPr>
          <w:p w:rsidR="00000000" w:rsidRDefault="00000000">
            <w:pPr>
              <w:spacing w:before="60" w:after="60" w:line="216" w:lineRule="auto"/>
              <w:ind w:right="204"/>
              <w:jc w:val="right"/>
              <w:rPr>
                <w:sz w:val="22"/>
                <w:szCs w:val="22"/>
              </w:rPr>
            </w:pPr>
            <w:r>
              <w:rPr>
                <w:sz w:val="22"/>
                <w:szCs w:val="22"/>
              </w:rPr>
              <w:t>94</w:t>
            </w:r>
          </w:p>
        </w:tc>
        <w:tc>
          <w:tcPr>
            <w:tcW w:w="1200" w:type="dxa"/>
            <w:vAlign w:val="center"/>
          </w:tcPr>
          <w:p w:rsidR="00000000" w:rsidRDefault="00000000">
            <w:pPr>
              <w:spacing w:before="60" w:after="60" w:line="216" w:lineRule="auto"/>
              <w:ind w:right="204"/>
              <w:jc w:val="right"/>
              <w:rPr>
                <w:sz w:val="22"/>
                <w:szCs w:val="22"/>
              </w:rPr>
            </w:pPr>
            <w:r>
              <w:rPr>
                <w:sz w:val="22"/>
                <w:szCs w:val="22"/>
              </w:rPr>
              <w:t>56</w:t>
            </w:r>
          </w:p>
        </w:tc>
        <w:tc>
          <w:tcPr>
            <w:tcW w:w="1306" w:type="dxa"/>
            <w:vAlign w:val="center"/>
          </w:tcPr>
          <w:p w:rsidR="00000000" w:rsidRDefault="00000000">
            <w:pPr>
              <w:spacing w:before="60" w:after="60" w:line="216" w:lineRule="auto"/>
              <w:ind w:right="204"/>
              <w:jc w:val="right"/>
              <w:rPr>
                <w:sz w:val="22"/>
                <w:szCs w:val="22"/>
              </w:rPr>
            </w:pPr>
            <w:r>
              <w:rPr>
                <w:sz w:val="22"/>
                <w:szCs w:val="22"/>
              </w:rPr>
              <w:t>167,9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Olhão</w:t>
            </w:r>
          </w:p>
        </w:tc>
        <w:tc>
          <w:tcPr>
            <w:tcW w:w="1080" w:type="dxa"/>
            <w:vAlign w:val="center"/>
          </w:tcPr>
          <w:p w:rsidR="00000000" w:rsidRDefault="00000000">
            <w:pPr>
              <w:spacing w:before="60" w:after="60" w:line="216" w:lineRule="auto"/>
              <w:ind w:right="204"/>
              <w:jc w:val="right"/>
              <w:rPr>
                <w:sz w:val="22"/>
                <w:szCs w:val="22"/>
              </w:rPr>
            </w:pPr>
          </w:p>
        </w:tc>
        <w:tc>
          <w:tcPr>
            <w:tcW w:w="1320" w:type="dxa"/>
            <w:vAlign w:val="center"/>
          </w:tcPr>
          <w:p w:rsidR="00000000" w:rsidRDefault="00000000">
            <w:pPr>
              <w:spacing w:before="60" w:after="60" w:line="216" w:lineRule="auto"/>
              <w:ind w:right="204"/>
              <w:jc w:val="right"/>
              <w:rPr>
                <w:sz w:val="22"/>
                <w:szCs w:val="22"/>
              </w:rPr>
            </w:pPr>
            <w:r>
              <w:rPr>
                <w:sz w:val="22"/>
                <w:szCs w:val="22"/>
              </w:rPr>
              <w:t>42</w:t>
            </w:r>
          </w:p>
        </w:tc>
        <w:tc>
          <w:tcPr>
            <w:tcW w:w="1320" w:type="dxa"/>
            <w:vAlign w:val="center"/>
          </w:tcPr>
          <w:p w:rsidR="00000000" w:rsidRDefault="00000000">
            <w:pPr>
              <w:spacing w:before="60" w:after="60" w:line="216" w:lineRule="auto"/>
              <w:ind w:right="204"/>
              <w:jc w:val="right"/>
              <w:rPr>
                <w:sz w:val="22"/>
                <w:szCs w:val="22"/>
              </w:rPr>
            </w:pPr>
            <w:r>
              <w:rPr>
                <w:sz w:val="22"/>
                <w:szCs w:val="22"/>
              </w:rPr>
              <w:t>0,0</w:t>
            </w:r>
          </w:p>
        </w:tc>
        <w:tc>
          <w:tcPr>
            <w:tcW w:w="1080" w:type="dxa"/>
            <w:vAlign w:val="center"/>
          </w:tcPr>
          <w:p w:rsidR="00000000" w:rsidRDefault="00000000">
            <w:pPr>
              <w:spacing w:before="60" w:after="60" w:line="216" w:lineRule="auto"/>
              <w:ind w:right="204"/>
              <w:jc w:val="right"/>
              <w:rPr>
                <w:sz w:val="22"/>
                <w:szCs w:val="22"/>
              </w:rPr>
            </w:pPr>
          </w:p>
        </w:tc>
        <w:tc>
          <w:tcPr>
            <w:tcW w:w="1200" w:type="dxa"/>
            <w:vAlign w:val="center"/>
          </w:tcPr>
          <w:p w:rsidR="00000000" w:rsidRDefault="00000000">
            <w:pPr>
              <w:spacing w:before="60" w:after="60" w:line="216" w:lineRule="auto"/>
              <w:ind w:right="204"/>
              <w:jc w:val="right"/>
              <w:rPr>
                <w:sz w:val="22"/>
                <w:szCs w:val="22"/>
              </w:rPr>
            </w:pPr>
            <w:r>
              <w:rPr>
                <w:sz w:val="22"/>
                <w:szCs w:val="22"/>
              </w:rPr>
              <w:t>42</w:t>
            </w:r>
          </w:p>
        </w:tc>
        <w:tc>
          <w:tcPr>
            <w:tcW w:w="1306" w:type="dxa"/>
            <w:vAlign w:val="center"/>
          </w:tcPr>
          <w:p w:rsidR="00000000" w:rsidRDefault="00000000">
            <w:pPr>
              <w:spacing w:before="60" w:after="60" w:line="216" w:lineRule="auto"/>
              <w:ind w:right="204"/>
              <w:jc w:val="right"/>
              <w:rPr>
                <w:sz w:val="22"/>
                <w:szCs w:val="22"/>
              </w:rPr>
            </w:pPr>
            <w:r>
              <w:rPr>
                <w:sz w:val="22"/>
                <w:szCs w:val="22"/>
              </w:rPr>
              <w:t>0,0</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Ponta Delgada</w:t>
            </w:r>
          </w:p>
        </w:tc>
        <w:tc>
          <w:tcPr>
            <w:tcW w:w="1080" w:type="dxa"/>
            <w:vAlign w:val="center"/>
          </w:tcPr>
          <w:p w:rsidR="00000000" w:rsidRDefault="00000000">
            <w:pPr>
              <w:spacing w:before="60" w:after="60" w:line="216" w:lineRule="auto"/>
              <w:ind w:right="204"/>
              <w:jc w:val="right"/>
              <w:rPr>
                <w:sz w:val="22"/>
                <w:szCs w:val="22"/>
              </w:rPr>
            </w:pPr>
            <w:r>
              <w:rPr>
                <w:sz w:val="22"/>
                <w:szCs w:val="22"/>
              </w:rPr>
              <w:t>133</w:t>
            </w:r>
          </w:p>
        </w:tc>
        <w:tc>
          <w:tcPr>
            <w:tcW w:w="1320" w:type="dxa"/>
            <w:vAlign w:val="center"/>
          </w:tcPr>
          <w:p w:rsidR="00000000" w:rsidRDefault="00000000">
            <w:pPr>
              <w:spacing w:before="60" w:after="60" w:line="216" w:lineRule="auto"/>
              <w:ind w:right="204"/>
              <w:jc w:val="right"/>
              <w:rPr>
                <w:sz w:val="22"/>
                <w:szCs w:val="22"/>
              </w:rPr>
            </w:pPr>
            <w:r>
              <w:rPr>
                <w:sz w:val="22"/>
                <w:szCs w:val="22"/>
              </w:rPr>
              <w:t>141</w:t>
            </w:r>
          </w:p>
        </w:tc>
        <w:tc>
          <w:tcPr>
            <w:tcW w:w="1320" w:type="dxa"/>
            <w:vAlign w:val="center"/>
          </w:tcPr>
          <w:p w:rsidR="00000000" w:rsidRDefault="00000000">
            <w:pPr>
              <w:spacing w:before="60" w:after="60" w:line="216" w:lineRule="auto"/>
              <w:ind w:right="204"/>
              <w:jc w:val="right"/>
              <w:rPr>
                <w:sz w:val="22"/>
                <w:szCs w:val="22"/>
              </w:rPr>
            </w:pPr>
            <w:r>
              <w:rPr>
                <w:sz w:val="22"/>
                <w:szCs w:val="22"/>
              </w:rPr>
              <w:t>94,3</w:t>
            </w:r>
          </w:p>
        </w:tc>
        <w:tc>
          <w:tcPr>
            <w:tcW w:w="1080" w:type="dxa"/>
            <w:vAlign w:val="center"/>
          </w:tcPr>
          <w:p w:rsidR="00000000" w:rsidRDefault="00000000">
            <w:pPr>
              <w:spacing w:before="60" w:after="60" w:line="216" w:lineRule="auto"/>
              <w:ind w:right="204"/>
              <w:jc w:val="right"/>
              <w:rPr>
                <w:sz w:val="22"/>
                <w:szCs w:val="22"/>
              </w:rPr>
            </w:pPr>
            <w:r>
              <w:rPr>
                <w:sz w:val="22"/>
                <w:szCs w:val="22"/>
              </w:rPr>
              <w:t>150</w:t>
            </w:r>
          </w:p>
        </w:tc>
        <w:tc>
          <w:tcPr>
            <w:tcW w:w="1200" w:type="dxa"/>
            <w:vAlign w:val="center"/>
          </w:tcPr>
          <w:p w:rsidR="00000000" w:rsidRDefault="00000000">
            <w:pPr>
              <w:spacing w:before="60" w:after="60" w:line="216" w:lineRule="auto"/>
              <w:ind w:right="204"/>
              <w:jc w:val="right"/>
              <w:rPr>
                <w:sz w:val="22"/>
                <w:szCs w:val="22"/>
              </w:rPr>
            </w:pPr>
            <w:r>
              <w:rPr>
                <w:sz w:val="22"/>
                <w:szCs w:val="22"/>
              </w:rPr>
              <w:t>141</w:t>
            </w:r>
          </w:p>
        </w:tc>
        <w:tc>
          <w:tcPr>
            <w:tcW w:w="1306" w:type="dxa"/>
            <w:vAlign w:val="center"/>
          </w:tcPr>
          <w:p w:rsidR="00000000" w:rsidRDefault="00000000">
            <w:pPr>
              <w:spacing w:before="60" w:after="60" w:line="216" w:lineRule="auto"/>
              <w:ind w:right="204"/>
              <w:jc w:val="right"/>
              <w:rPr>
                <w:sz w:val="22"/>
                <w:szCs w:val="22"/>
              </w:rPr>
            </w:pPr>
            <w:r>
              <w:rPr>
                <w:sz w:val="22"/>
                <w:szCs w:val="22"/>
              </w:rPr>
              <w:t>106,4</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Portimão</w:t>
            </w:r>
          </w:p>
        </w:tc>
        <w:tc>
          <w:tcPr>
            <w:tcW w:w="1080" w:type="dxa"/>
            <w:vAlign w:val="center"/>
          </w:tcPr>
          <w:p w:rsidR="00000000" w:rsidRDefault="00000000">
            <w:pPr>
              <w:spacing w:before="60" w:after="60" w:line="216" w:lineRule="auto"/>
              <w:ind w:right="204"/>
              <w:jc w:val="right"/>
              <w:rPr>
                <w:sz w:val="22"/>
                <w:szCs w:val="22"/>
              </w:rPr>
            </w:pPr>
            <w:r>
              <w:rPr>
                <w:sz w:val="22"/>
                <w:szCs w:val="22"/>
              </w:rPr>
              <w:t>82</w:t>
            </w:r>
          </w:p>
        </w:tc>
        <w:tc>
          <w:tcPr>
            <w:tcW w:w="1320" w:type="dxa"/>
            <w:vAlign w:val="center"/>
          </w:tcPr>
          <w:p w:rsidR="00000000" w:rsidRDefault="00000000">
            <w:pPr>
              <w:spacing w:before="60" w:after="60" w:line="216" w:lineRule="auto"/>
              <w:ind w:right="204"/>
              <w:jc w:val="right"/>
              <w:rPr>
                <w:sz w:val="22"/>
                <w:szCs w:val="22"/>
              </w:rPr>
            </w:pPr>
            <w:r>
              <w:rPr>
                <w:sz w:val="22"/>
                <w:szCs w:val="22"/>
              </w:rPr>
              <w:t>28</w:t>
            </w:r>
          </w:p>
        </w:tc>
        <w:tc>
          <w:tcPr>
            <w:tcW w:w="1320" w:type="dxa"/>
            <w:vAlign w:val="center"/>
          </w:tcPr>
          <w:p w:rsidR="00000000" w:rsidRDefault="00000000">
            <w:pPr>
              <w:spacing w:before="60" w:after="60" w:line="216" w:lineRule="auto"/>
              <w:ind w:right="204"/>
              <w:jc w:val="right"/>
              <w:rPr>
                <w:sz w:val="22"/>
                <w:szCs w:val="22"/>
              </w:rPr>
            </w:pPr>
            <w:r>
              <w:rPr>
                <w:sz w:val="22"/>
                <w:szCs w:val="22"/>
              </w:rPr>
              <w:t>292,9</w:t>
            </w:r>
          </w:p>
        </w:tc>
        <w:tc>
          <w:tcPr>
            <w:tcW w:w="1080" w:type="dxa"/>
            <w:vAlign w:val="center"/>
          </w:tcPr>
          <w:p w:rsidR="00000000" w:rsidRDefault="00000000">
            <w:pPr>
              <w:spacing w:before="60" w:after="60" w:line="216" w:lineRule="auto"/>
              <w:ind w:right="204"/>
              <w:jc w:val="right"/>
              <w:rPr>
                <w:sz w:val="22"/>
                <w:szCs w:val="22"/>
              </w:rPr>
            </w:pPr>
            <w:r>
              <w:rPr>
                <w:sz w:val="22"/>
                <w:szCs w:val="22"/>
              </w:rPr>
              <w:t>72</w:t>
            </w:r>
          </w:p>
        </w:tc>
        <w:tc>
          <w:tcPr>
            <w:tcW w:w="1200" w:type="dxa"/>
            <w:vAlign w:val="center"/>
          </w:tcPr>
          <w:p w:rsidR="00000000" w:rsidRDefault="00000000">
            <w:pPr>
              <w:spacing w:before="60" w:after="60" w:line="216" w:lineRule="auto"/>
              <w:ind w:right="204"/>
              <w:jc w:val="right"/>
              <w:rPr>
                <w:sz w:val="22"/>
                <w:szCs w:val="22"/>
              </w:rPr>
            </w:pPr>
            <w:r>
              <w:rPr>
                <w:sz w:val="22"/>
                <w:szCs w:val="22"/>
              </w:rPr>
              <w:t>28</w:t>
            </w:r>
          </w:p>
        </w:tc>
        <w:tc>
          <w:tcPr>
            <w:tcW w:w="1306" w:type="dxa"/>
            <w:vAlign w:val="center"/>
          </w:tcPr>
          <w:p w:rsidR="00000000" w:rsidRDefault="00000000">
            <w:pPr>
              <w:spacing w:before="60" w:after="60" w:line="216" w:lineRule="auto"/>
              <w:ind w:right="204"/>
              <w:jc w:val="right"/>
              <w:rPr>
                <w:sz w:val="22"/>
                <w:szCs w:val="22"/>
              </w:rPr>
            </w:pPr>
            <w:r>
              <w:rPr>
                <w:sz w:val="22"/>
                <w:szCs w:val="22"/>
              </w:rPr>
              <w:t>257,1</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S. Pedro do Sul</w:t>
            </w:r>
          </w:p>
        </w:tc>
        <w:tc>
          <w:tcPr>
            <w:tcW w:w="1080" w:type="dxa"/>
            <w:vAlign w:val="center"/>
          </w:tcPr>
          <w:p w:rsidR="00000000" w:rsidRDefault="00000000">
            <w:pPr>
              <w:spacing w:before="60" w:after="60" w:line="216" w:lineRule="auto"/>
              <w:ind w:right="204"/>
              <w:jc w:val="right"/>
              <w:rPr>
                <w:sz w:val="22"/>
                <w:szCs w:val="22"/>
              </w:rPr>
            </w:pPr>
            <w:r>
              <w:rPr>
                <w:sz w:val="22"/>
                <w:szCs w:val="22"/>
              </w:rPr>
              <w:t>61</w:t>
            </w:r>
          </w:p>
        </w:tc>
        <w:tc>
          <w:tcPr>
            <w:tcW w:w="1320" w:type="dxa"/>
            <w:vAlign w:val="center"/>
          </w:tcPr>
          <w:p w:rsidR="00000000" w:rsidRDefault="00000000">
            <w:pPr>
              <w:spacing w:before="60" w:after="60" w:line="216" w:lineRule="auto"/>
              <w:ind w:right="204"/>
              <w:jc w:val="right"/>
              <w:rPr>
                <w:sz w:val="22"/>
                <w:szCs w:val="22"/>
              </w:rPr>
            </w:pPr>
            <w:r>
              <w:rPr>
                <w:sz w:val="22"/>
                <w:szCs w:val="22"/>
              </w:rPr>
              <w:t>29</w:t>
            </w:r>
          </w:p>
        </w:tc>
        <w:tc>
          <w:tcPr>
            <w:tcW w:w="1320" w:type="dxa"/>
            <w:vAlign w:val="center"/>
          </w:tcPr>
          <w:p w:rsidR="00000000" w:rsidRDefault="00000000">
            <w:pPr>
              <w:spacing w:before="60" w:after="60" w:line="216" w:lineRule="auto"/>
              <w:ind w:right="204"/>
              <w:jc w:val="right"/>
              <w:rPr>
                <w:sz w:val="22"/>
                <w:szCs w:val="22"/>
              </w:rPr>
            </w:pPr>
            <w:r>
              <w:rPr>
                <w:sz w:val="22"/>
                <w:szCs w:val="22"/>
              </w:rPr>
              <w:t>210,3</w:t>
            </w:r>
          </w:p>
        </w:tc>
        <w:tc>
          <w:tcPr>
            <w:tcW w:w="1080" w:type="dxa"/>
            <w:vAlign w:val="center"/>
          </w:tcPr>
          <w:p w:rsidR="00000000" w:rsidRDefault="00000000">
            <w:pPr>
              <w:spacing w:before="60" w:after="60" w:line="216" w:lineRule="auto"/>
              <w:ind w:right="204"/>
              <w:jc w:val="right"/>
              <w:rPr>
                <w:sz w:val="22"/>
                <w:szCs w:val="22"/>
              </w:rPr>
            </w:pPr>
            <w:r>
              <w:rPr>
                <w:sz w:val="22"/>
                <w:szCs w:val="22"/>
              </w:rPr>
              <w:t>80</w:t>
            </w:r>
          </w:p>
        </w:tc>
        <w:tc>
          <w:tcPr>
            <w:tcW w:w="1200" w:type="dxa"/>
            <w:vAlign w:val="center"/>
          </w:tcPr>
          <w:p w:rsidR="00000000" w:rsidRDefault="00000000">
            <w:pPr>
              <w:spacing w:before="60" w:after="60" w:line="216" w:lineRule="auto"/>
              <w:ind w:right="204"/>
              <w:jc w:val="right"/>
              <w:rPr>
                <w:sz w:val="22"/>
                <w:szCs w:val="22"/>
              </w:rPr>
            </w:pPr>
            <w:r>
              <w:rPr>
                <w:sz w:val="22"/>
                <w:szCs w:val="22"/>
              </w:rPr>
              <w:t>29</w:t>
            </w:r>
          </w:p>
        </w:tc>
        <w:tc>
          <w:tcPr>
            <w:tcW w:w="1306" w:type="dxa"/>
            <w:vAlign w:val="center"/>
          </w:tcPr>
          <w:p w:rsidR="00000000" w:rsidRDefault="00000000">
            <w:pPr>
              <w:spacing w:before="60" w:after="60" w:line="216" w:lineRule="auto"/>
              <w:ind w:right="204"/>
              <w:jc w:val="right"/>
              <w:rPr>
                <w:sz w:val="22"/>
                <w:szCs w:val="22"/>
              </w:rPr>
            </w:pPr>
            <w:r>
              <w:rPr>
                <w:sz w:val="22"/>
                <w:szCs w:val="22"/>
              </w:rPr>
              <w:t>275,9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Setúbal</w:t>
            </w:r>
          </w:p>
        </w:tc>
        <w:tc>
          <w:tcPr>
            <w:tcW w:w="1080" w:type="dxa"/>
            <w:vAlign w:val="center"/>
          </w:tcPr>
          <w:p w:rsidR="00000000" w:rsidRDefault="00000000">
            <w:pPr>
              <w:spacing w:before="60" w:after="60" w:line="216" w:lineRule="auto"/>
              <w:ind w:right="204"/>
              <w:jc w:val="right"/>
              <w:rPr>
                <w:sz w:val="22"/>
                <w:szCs w:val="22"/>
              </w:rPr>
            </w:pPr>
            <w:r>
              <w:rPr>
                <w:sz w:val="22"/>
                <w:szCs w:val="22"/>
              </w:rPr>
              <w:t>298</w:t>
            </w:r>
          </w:p>
        </w:tc>
        <w:tc>
          <w:tcPr>
            <w:tcW w:w="1320" w:type="dxa"/>
            <w:vAlign w:val="center"/>
          </w:tcPr>
          <w:p w:rsidR="00000000" w:rsidRDefault="00000000">
            <w:pPr>
              <w:spacing w:before="60" w:after="60" w:line="216" w:lineRule="auto"/>
              <w:ind w:right="204"/>
              <w:jc w:val="right"/>
              <w:rPr>
                <w:sz w:val="22"/>
                <w:szCs w:val="22"/>
              </w:rPr>
            </w:pPr>
            <w:r>
              <w:rPr>
                <w:sz w:val="22"/>
                <w:szCs w:val="22"/>
              </w:rPr>
              <w:t>131</w:t>
            </w:r>
          </w:p>
        </w:tc>
        <w:tc>
          <w:tcPr>
            <w:tcW w:w="1320" w:type="dxa"/>
            <w:vAlign w:val="center"/>
          </w:tcPr>
          <w:p w:rsidR="00000000" w:rsidRDefault="00000000">
            <w:pPr>
              <w:spacing w:before="60" w:after="60" w:line="216" w:lineRule="auto"/>
              <w:ind w:right="204"/>
              <w:jc w:val="right"/>
              <w:rPr>
                <w:sz w:val="22"/>
                <w:szCs w:val="22"/>
              </w:rPr>
            </w:pPr>
            <w:r>
              <w:rPr>
                <w:sz w:val="22"/>
                <w:szCs w:val="22"/>
              </w:rPr>
              <w:t>227,5</w:t>
            </w:r>
          </w:p>
        </w:tc>
        <w:tc>
          <w:tcPr>
            <w:tcW w:w="1080" w:type="dxa"/>
            <w:vAlign w:val="center"/>
          </w:tcPr>
          <w:p w:rsidR="00000000" w:rsidRDefault="00000000">
            <w:pPr>
              <w:spacing w:before="60" w:after="60" w:line="216" w:lineRule="auto"/>
              <w:ind w:right="204"/>
              <w:jc w:val="right"/>
              <w:rPr>
                <w:sz w:val="22"/>
                <w:szCs w:val="22"/>
              </w:rPr>
            </w:pPr>
            <w:r>
              <w:rPr>
                <w:sz w:val="22"/>
                <w:szCs w:val="22"/>
              </w:rPr>
              <w:t>310</w:t>
            </w:r>
          </w:p>
        </w:tc>
        <w:tc>
          <w:tcPr>
            <w:tcW w:w="1200" w:type="dxa"/>
            <w:vAlign w:val="center"/>
          </w:tcPr>
          <w:p w:rsidR="00000000" w:rsidRDefault="00000000">
            <w:pPr>
              <w:spacing w:before="60" w:after="60" w:line="216" w:lineRule="auto"/>
              <w:ind w:right="204"/>
              <w:jc w:val="right"/>
              <w:rPr>
                <w:sz w:val="22"/>
                <w:szCs w:val="22"/>
              </w:rPr>
            </w:pPr>
            <w:r>
              <w:rPr>
                <w:sz w:val="22"/>
                <w:szCs w:val="22"/>
              </w:rPr>
              <w:t>131</w:t>
            </w:r>
          </w:p>
        </w:tc>
        <w:tc>
          <w:tcPr>
            <w:tcW w:w="1306" w:type="dxa"/>
            <w:vAlign w:val="center"/>
          </w:tcPr>
          <w:p w:rsidR="00000000" w:rsidRDefault="00000000">
            <w:pPr>
              <w:spacing w:before="60" w:after="60" w:line="216" w:lineRule="auto"/>
              <w:ind w:right="204"/>
              <w:jc w:val="right"/>
              <w:rPr>
                <w:sz w:val="22"/>
                <w:szCs w:val="22"/>
              </w:rPr>
            </w:pPr>
            <w:r>
              <w:rPr>
                <w:sz w:val="22"/>
                <w:szCs w:val="22"/>
              </w:rPr>
              <w:t>236,6</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Silves</w:t>
            </w:r>
          </w:p>
        </w:tc>
        <w:tc>
          <w:tcPr>
            <w:tcW w:w="1080" w:type="dxa"/>
            <w:vAlign w:val="center"/>
          </w:tcPr>
          <w:p w:rsidR="00000000" w:rsidRDefault="00000000">
            <w:pPr>
              <w:spacing w:before="60" w:after="60" w:line="216" w:lineRule="auto"/>
              <w:ind w:right="204"/>
              <w:jc w:val="right"/>
              <w:rPr>
                <w:sz w:val="22"/>
                <w:szCs w:val="22"/>
              </w:rPr>
            </w:pPr>
            <w:r>
              <w:rPr>
                <w:sz w:val="22"/>
                <w:szCs w:val="22"/>
              </w:rPr>
              <w:t>89</w:t>
            </w:r>
          </w:p>
        </w:tc>
        <w:tc>
          <w:tcPr>
            <w:tcW w:w="1320" w:type="dxa"/>
            <w:vAlign w:val="center"/>
          </w:tcPr>
          <w:p w:rsidR="00000000" w:rsidRDefault="00000000">
            <w:pPr>
              <w:spacing w:before="60" w:after="60" w:line="216" w:lineRule="auto"/>
              <w:ind w:right="204"/>
              <w:jc w:val="right"/>
              <w:rPr>
                <w:sz w:val="22"/>
                <w:szCs w:val="22"/>
              </w:rPr>
            </w:pPr>
            <w:r>
              <w:rPr>
                <w:sz w:val="22"/>
                <w:szCs w:val="22"/>
              </w:rPr>
              <w:t>58</w:t>
            </w:r>
          </w:p>
        </w:tc>
        <w:tc>
          <w:tcPr>
            <w:tcW w:w="1320" w:type="dxa"/>
            <w:vAlign w:val="center"/>
          </w:tcPr>
          <w:p w:rsidR="00000000" w:rsidRDefault="00000000">
            <w:pPr>
              <w:spacing w:before="60" w:after="60" w:line="216" w:lineRule="auto"/>
              <w:ind w:right="204"/>
              <w:jc w:val="right"/>
              <w:rPr>
                <w:sz w:val="22"/>
                <w:szCs w:val="22"/>
              </w:rPr>
            </w:pPr>
            <w:r>
              <w:rPr>
                <w:sz w:val="22"/>
                <w:szCs w:val="22"/>
              </w:rPr>
              <w:t>153,4</w:t>
            </w:r>
          </w:p>
        </w:tc>
        <w:tc>
          <w:tcPr>
            <w:tcW w:w="1080" w:type="dxa"/>
            <w:vAlign w:val="center"/>
          </w:tcPr>
          <w:p w:rsidR="00000000" w:rsidRDefault="00000000">
            <w:pPr>
              <w:spacing w:before="60" w:after="60" w:line="216" w:lineRule="auto"/>
              <w:ind w:right="204"/>
              <w:jc w:val="right"/>
              <w:rPr>
                <w:sz w:val="22"/>
                <w:szCs w:val="22"/>
              </w:rPr>
            </w:pPr>
            <w:r>
              <w:rPr>
                <w:sz w:val="22"/>
                <w:szCs w:val="22"/>
              </w:rPr>
              <w:t>100</w:t>
            </w:r>
          </w:p>
        </w:tc>
        <w:tc>
          <w:tcPr>
            <w:tcW w:w="1200" w:type="dxa"/>
            <w:vAlign w:val="center"/>
          </w:tcPr>
          <w:p w:rsidR="00000000" w:rsidRDefault="00000000">
            <w:pPr>
              <w:spacing w:before="60" w:after="60" w:line="216" w:lineRule="auto"/>
              <w:ind w:right="204"/>
              <w:jc w:val="right"/>
              <w:rPr>
                <w:sz w:val="22"/>
                <w:szCs w:val="22"/>
              </w:rPr>
            </w:pPr>
            <w:r>
              <w:rPr>
                <w:sz w:val="22"/>
                <w:szCs w:val="22"/>
              </w:rPr>
              <w:t>58</w:t>
            </w:r>
          </w:p>
        </w:tc>
        <w:tc>
          <w:tcPr>
            <w:tcW w:w="1306" w:type="dxa"/>
            <w:vAlign w:val="center"/>
          </w:tcPr>
          <w:p w:rsidR="00000000" w:rsidRDefault="00000000">
            <w:pPr>
              <w:spacing w:before="60" w:after="60" w:line="216" w:lineRule="auto"/>
              <w:ind w:right="204"/>
              <w:jc w:val="right"/>
              <w:rPr>
                <w:sz w:val="22"/>
                <w:szCs w:val="22"/>
              </w:rPr>
            </w:pPr>
            <w:r>
              <w:rPr>
                <w:sz w:val="22"/>
                <w:szCs w:val="22"/>
              </w:rPr>
              <w:t>172,4</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Torres Novas</w:t>
            </w:r>
          </w:p>
        </w:tc>
        <w:tc>
          <w:tcPr>
            <w:tcW w:w="1080" w:type="dxa"/>
            <w:vAlign w:val="center"/>
          </w:tcPr>
          <w:p w:rsidR="00000000" w:rsidRDefault="00000000">
            <w:pPr>
              <w:spacing w:before="60" w:after="60" w:line="216" w:lineRule="auto"/>
              <w:ind w:right="204"/>
              <w:jc w:val="right"/>
              <w:rPr>
                <w:sz w:val="22"/>
                <w:szCs w:val="22"/>
              </w:rPr>
            </w:pPr>
            <w:r>
              <w:rPr>
                <w:sz w:val="22"/>
                <w:szCs w:val="22"/>
              </w:rPr>
              <w:t>74</w:t>
            </w:r>
          </w:p>
        </w:tc>
        <w:tc>
          <w:tcPr>
            <w:tcW w:w="1320" w:type="dxa"/>
            <w:vAlign w:val="center"/>
          </w:tcPr>
          <w:p w:rsidR="00000000" w:rsidRDefault="00000000">
            <w:pPr>
              <w:spacing w:before="60" w:after="60" w:line="216" w:lineRule="auto"/>
              <w:ind w:right="204"/>
              <w:jc w:val="right"/>
              <w:rPr>
                <w:sz w:val="22"/>
                <w:szCs w:val="22"/>
              </w:rPr>
            </w:pPr>
            <w:r>
              <w:rPr>
                <w:sz w:val="22"/>
                <w:szCs w:val="22"/>
              </w:rPr>
              <w:t>38</w:t>
            </w:r>
          </w:p>
        </w:tc>
        <w:tc>
          <w:tcPr>
            <w:tcW w:w="1320" w:type="dxa"/>
            <w:vAlign w:val="center"/>
          </w:tcPr>
          <w:p w:rsidR="00000000" w:rsidRDefault="00000000">
            <w:pPr>
              <w:spacing w:before="60" w:after="60" w:line="216" w:lineRule="auto"/>
              <w:ind w:right="204"/>
              <w:jc w:val="right"/>
              <w:rPr>
                <w:sz w:val="22"/>
                <w:szCs w:val="22"/>
              </w:rPr>
            </w:pPr>
            <w:r>
              <w:rPr>
                <w:sz w:val="22"/>
                <w:szCs w:val="22"/>
              </w:rPr>
              <w:t>194,7</w:t>
            </w:r>
          </w:p>
        </w:tc>
        <w:tc>
          <w:tcPr>
            <w:tcW w:w="1080" w:type="dxa"/>
            <w:vAlign w:val="center"/>
          </w:tcPr>
          <w:p w:rsidR="00000000" w:rsidRDefault="00000000">
            <w:pPr>
              <w:spacing w:before="60" w:after="60" w:line="216" w:lineRule="auto"/>
              <w:ind w:right="204"/>
              <w:jc w:val="right"/>
              <w:rPr>
                <w:sz w:val="22"/>
                <w:szCs w:val="22"/>
              </w:rPr>
            </w:pPr>
            <w:r>
              <w:rPr>
                <w:sz w:val="22"/>
                <w:szCs w:val="22"/>
              </w:rPr>
              <w:t>79</w:t>
            </w:r>
          </w:p>
        </w:tc>
        <w:tc>
          <w:tcPr>
            <w:tcW w:w="1200" w:type="dxa"/>
            <w:vAlign w:val="center"/>
          </w:tcPr>
          <w:p w:rsidR="00000000" w:rsidRDefault="00000000">
            <w:pPr>
              <w:spacing w:before="60" w:after="60" w:line="216" w:lineRule="auto"/>
              <w:ind w:right="204"/>
              <w:jc w:val="right"/>
              <w:rPr>
                <w:sz w:val="22"/>
                <w:szCs w:val="22"/>
              </w:rPr>
            </w:pPr>
            <w:r>
              <w:rPr>
                <w:sz w:val="22"/>
                <w:szCs w:val="22"/>
              </w:rPr>
              <w:t>38</w:t>
            </w:r>
          </w:p>
        </w:tc>
        <w:tc>
          <w:tcPr>
            <w:tcW w:w="1306" w:type="dxa"/>
            <w:vAlign w:val="center"/>
          </w:tcPr>
          <w:p w:rsidR="00000000" w:rsidRDefault="00000000">
            <w:pPr>
              <w:spacing w:before="60" w:after="60" w:line="216" w:lineRule="auto"/>
              <w:ind w:right="204"/>
              <w:jc w:val="right"/>
              <w:rPr>
                <w:sz w:val="22"/>
                <w:szCs w:val="22"/>
              </w:rPr>
            </w:pPr>
            <w:r>
              <w:rPr>
                <w:sz w:val="22"/>
                <w:szCs w:val="22"/>
              </w:rPr>
              <w:t>207,9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Viana do Castelo</w:t>
            </w:r>
          </w:p>
        </w:tc>
        <w:tc>
          <w:tcPr>
            <w:tcW w:w="1080" w:type="dxa"/>
            <w:vAlign w:val="center"/>
          </w:tcPr>
          <w:p w:rsidR="00000000" w:rsidRDefault="00000000">
            <w:pPr>
              <w:spacing w:before="60" w:after="60" w:line="216" w:lineRule="auto"/>
              <w:ind w:right="204"/>
              <w:jc w:val="right"/>
              <w:rPr>
                <w:sz w:val="22"/>
                <w:szCs w:val="22"/>
              </w:rPr>
            </w:pPr>
            <w:r>
              <w:rPr>
                <w:sz w:val="22"/>
                <w:szCs w:val="22"/>
              </w:rPr>
              <w:t>78</w:t>
            </w:r>
          </w:p>
        </w:tc>
        <w:tc>
          <w:tcPr>
            <w:tcW w:w="1320" w:type="dxa"/>
            <w:vAlign w:val="center"/>
          </w:tcPr>
          <w:p w:rsidR="00000000" w:rsidRDefault="00000000">
            <w:pPr>
              <w:spacing w:before="60" w:after="60" w:line="216" w:lineRule="auto"/>
              <w:ind w:right="204"/>
              <w:jc w:val="right"/>
              <w:rPr>
                <w:sz w:val="22"/>
                <w:szCs w:val="22"/>
              </w:rPr>
            </w:pPr>
            <w:r>
              <w:rPr>
                <w:sz w:val="22"/>
                <w:szCs w:val="22"/>
              </w:rPr>
              <w:t>44</w:t>
            </w:r>
          </w:p>
        </w:tc>
        <w:tc>
          <w:tcPr>
            <w:tcW w:w="1320" w:type="dxa"/>
            <w:vAlign w:val="center"/>
          </w:tcPr>
          <w:p w:rsidR="00000000" w:rsidRDefault="00000000">
            <w:pPr>
              <w:spacing w:before="60" w:after="60" w:line="216" w:lineRule="auto"/>
              <w:ind w:right="204"/>
              <w:jc w:val="right"/>
              <w:rPr>
                <w:sz w:val="22"/>
                <w:szCs w:val="22"/>
              </w:rPr>
            </w:pPr>
            <w:r>
              <w:rPr>
                <w:sz w:val="22"/>
                <w:szCs w:val="22"/>
              </w:rPr>
              <w:t>177,3</w:t>
            </w:r>
          </w:p>
        </w:tc>
        <w:tc>
          <w:tcPr>
            <w:tcW w:w="1080" w:type="dxa"/>
            <w:vAlign w:val="center"/>
          </w:tcPr>
          <w:p w:rsidR="00000000" w:rsidRDefault="00000000">
            <w:pPr>
              <w:spacing w:before="60" w:after="60" w:line="216" w:lineRule="auto"/>
              <w:ind w:right="204"/>
              <w:jc w:val="right"/>
              <w:rPr>
                <w:sz w:val="22"/>
                <w:szCs w:val="22"/>
              </w:rPr>
            </w:pPr>
            <w:r>
              <w:rPr>
                <w:sz w:val="22"/>
                <w:szCs w:val="22"/>
              </w:rPr>
              <w:t>117</w:t>
            </w:r>
          </w:p>
        </w:tc>
        <w:tc>
          <w:tcPr>
            <w:tcW w:w="1200" w:type="dxa"/>
            <w:vAlign w:val="center"/>
          </w:tcPr>
          <w:p w:rsidR="00000000" w:rsidRDefault="00000000">
            <w:pPr>
              <w:spacing w:before="60" w:after="60" w:line="216" w:lineRule="auto"/>
              <w:ind w:right="204"/>
              <w:jc w:val="right"/>
              <w:rPr>
                <w:sz w:val="22"/>
                <w:szCs w:val="22"/>
              </w:rPr>
            </w:pPr>
            <w:r>
              <w:rPr>
                <w:sz w:val="22"/>
                <w:szCs w:val="22"/>
              </w:rPr>
              <w:t>44</w:t>
            </w:r>
          </w:p>
        </w:tc>
        <w:tc>
          <w:tcPr>
            <w:tcW w:w="1306" w:type="dxa"/>
            <w:vAlign w:val="center"/>
          </w:tcPr>
          <w:p w:rsidR="00000000" w:rsidRDefault="00000000">
            <w:pPr>
              <w:spacing w:before="60" w:after="60" w:line="216" w:lineRule="auto"/>
              <w:ind w:right="204"/>
              <w:jc w:val="right"/>
              <w:rPr>
                <w:sz w:val="22"/>
                <w:szCs w:val="22"/>
              </w:rPr>
            </w:pPr>
            <w:r>
              <w:rPr>
                <w:sz w:val="22"/>
                <w:szCs w:val="22"/>
              </w:rPr>
              <w:t>265,9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Vila Real</w:t>
            </w:r>
          </w:p>
        </w:tc>
        <w:tc>
          <w:tcPr>
            <w:tcW w:w="1080" w:type="dxa"/>
            <w:vAlign w:val="center"/>
          </w:tcPr>
          <w:p w:rsidR="00000000" w:rsidRDefault="00000000">
            <w:pPr>
              <w:spacing w:before="60" w:after="60" w:line="216" w:lineRule="auto"/>
              <w:ind w:right="204"/>
              <w:jc w:val="right"/>
              <w:rPr>
                <w:sz w:val="22"/>
                <w:szCs w:val="22"/>
              </w:rPr>
            </w:pPr>
            <w:r>
              <w:rPr>
                <w:sz w:val="22"/>
                <w:szCs w:val="22"/>
              </w:rPr>
              <w:t>108</w:t>
            </w:r>
          </w:p>
        </w:tc>
        <w:tc>
          <w:tcPr>
            <w:tcW w:w="1320" w:type="dxa"/>
            <w:vAlign w:val="center"/>
          </w:tcPr>
          <w:p w:rsidR="00000000" w:rsidRDefault="00000000">
            <w:pPr>
              <w:spacing w:before="60" w:after="60" w:line="216" w:lineRule="auto"/>
              <w:ind w:right="204"/>
              <w:jc w:val="right"/>
              <w:rPr>
                <w:sz w:val="22"/>
                <w:szCs w:val="22"/>
              </w:rPr>
            </w:pPr>
            <w:r>
              <w:rPr>
                <w:sz w:val="22"/>
                <w:szCs w:val="22"/>
              </w:rPr>
              <w:t>68</w:t>
            </w:r>
          </w:p>
        </w:tc>
        <w:tc>
          <w:tcPr>
            <w:tcW w:w="1320" w:type="dxa"/>
            <w:vAlign w:val="center"/>
          </w:tcPr>
          <w:p w:rsidR="00000000" w:rsidRDefault="00000000">
            <w:pPr>
              <w:spacing w:before="60" w:after="60" w:line="216" w:lineRule="auto"/>
              <w:ind w:right="204"/>
              <w:jc w:val="right"/>
              <w:rPr>
                <w:sz w:val="22"/>
                <w:szCs w:val="22"/>
              </w:rPr>
            </w:pPr>
            <w:r>
              <w:rPr>
                <w:sz w:val="22"/>
                <w:szCs w:val="22"/>
              </w:rPr>
              <w:t>158,8</w:t>
            </w:r>
          </w:p>
        </w:tc>
        <w:tc>
          <w:tcPr>
            <w:tcW w:w="1080" w:type="dxa"/>
            <w:vAlign w:val="center"/>
          </w:tcPr>
          <w:p w:rsidR="00000000" w:rsidRDefault="00000000">
            <w:pPr>
              <w:spacing w:before="60" w:after="60" w:line="216" w:lineRule="auto"/>
              <w:ind w:right="204"/>
              <w:jc w:val="right"/>
              <w:rPr>
                <w:sz w:val="22"/>
                <w:szCs w:val="22"/>
              </w:rPr>
            </w:pPr>
            <w:r>
              <w:rPr>
                <w:sz w:val="22"/>
                <w:szCs w:val="22"/>
              </w:rPr>
              <w:t>116</w:t>
            </w:r>
          </w:p>
        </w:tc>
        <w:tc>
          <w:tcPr>
            <w:tcW w:w="1200" w:type="dxa"/>
            <w:vAlign w:val="center"/>
          </w:tcPr>
          <w:p w:rsidR="00000000" w:rsidRDefault="00000000">
            <w:pPr>
              <w:spacing w:before="60" w:after="60" w:line="216" w:lineRule="auto"/>
              <w:ind w:right="204"/>
              <w:jc w:val="right"/>
              <w:rPr>
                <w:sz w:val="22"/>
                <w:szCs w:val="22"/>
              </w:rPr>
            </w:pPr>
            <w:r>
              <w:rPr>
                <w:sz w:val="22"/>
                <w:szCs w:val="22"/>
              </w:rPr>
              <w:t>68</w:t>
            </w:r>
          </w:p>
        </w:tc>
        <w:tc>
          <w:tcPr>
            <w:tcW w:w="1306" w:type="dxa"/>
            <w:vAlign w:val="center"/>
          </w:tcPr>
          <w:p w:rsidR="00000000" w:rsidRDefault="00000000">
            <w:pPr>
              <w:spacing w:before="60" w:after="60" w:line="216" w:lineRule="auto"/>
              <w:ind w:right="204"/>
              <w:jc w:val="right"/>
              <w:rPr>
                <w:sz w:val="22"/>
                <w:szCs w:val="22"/>
              </w:rPr>
            </w:pPr>
            <w:r>
              <w:rPr>
                <w:sz w:val="22"/>
                <w:szCs w:val="22"/>
              </w:rPr>
              <w:t>170,6</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Viseu</w:t>
            </w:r>
          </w:p>
        </w:tc>
        <w:tc>
          <w:tcPr>
            <w:tcW w:w="1080" w:type="dxa"/>
            <w:vAlign w:val="center"/>
          </w:tcPr>
          <w:p w:rsidR="00000000" w:rsidRDefault="00000000">
            <w:pPr>
              <w:spacing w:before="60" w:after="60" w:line="216" w:lineRule="auto"/>
              <w:ind w:right="204"/>
              <w:jc w:val="right"/>
              <w:rPr>
                <w:sz w:val="22"/>
                <w:szCs w:val="22"/>
              </w:rPr>
            </w:pPr>
            <w:r>
              <w:rPr>
                <w:sz w:val="22"/>
                <w:szCs w:val="22"/>
              </w:rPr>
              <w:t>46</w:t>
            </w:r>
          </w:p>
        </w:tc>
        <w:tc>
          <w:tcPr>
            <w:tcW w:w="1320" w:type="dxa"/>
            <w:vAlign w:val="center"/>
          </w:tcPr>
          <w:p w:rsidR="00000000" w:rsidRDefault="00000000">
            <w:pPr>
              <w:spacing w:before="60" w:after="60" w:line="216" w:lineRule="auto"/>
              <w:ind w:right="204"/>
              <w:jc w:val="right"/>
              <w:rPr>
                <w:sz w:val="22"/>
                <w:szCs w:val="22"/>
              </w:rPr>
            </w:pPr>
            <w:r>
              <w:rPr>
                <w:sz w:val="22"/>
                <w:szCs w:val="22"/>
              </w:rPr>
              <w:t>46</w:t>
            </w:r>
          </w:p>
        </w:tc>
        <w:tc>
          <w:tcPr>
            <w:tcW w:w="1320" w:type="dxa"/>
            <w:vAlign w:val="center"/>
          </w:tcPr>
          <w:p w:rsidR="00000000" w:rsidRDefault="00000000">
            <w:pPr>
              <w:spacing w:before="60" w:after="60" w:line="216" w:lineRule="auto"/>
              <w:ind w:right="204"/>
              <w:jc w:val="right"/>
              <w:rPr>
                <w:sz w:val="22"/>
                <w:szCs w:val="22"/>
              </w:rPr>
            </w:pPr>
            <w:r>
              <w:rPr>
                <w:sz w:val="22"/>
                <w:szCs w:val="22"/>
              </w:rPr>
              <w:t>100,0</w:t>
            </w:r>
          </w:p>
        </w:tc>
        <w:tc>
          <w:tcPr>
            <w:tcW w:w="1080" w:type="dxa"/>
            <w:vAlign w:val="center"/>
          </w:tcPr>
          <w:p w:rsidR="00000000" w:rsidRDefault="00000000">
            <w:pPr>
              <w:spacing w:before="60" w:after="60" w:line="216" w:lineRule="auto"/>
              <w:ind w:right="204"/>
              <w:jc w:val="right"/>
              <w:rPr>
                <w:sz w:val="22"/>
                <w:szCs w:val="22"/>
              </w:rPr>
            </w:pPr>
            <w:r>
              <w:rPr>
                <w:sz w:val="22"/>
                <w:szCs w:val="22"/>
              </w:rPr>
              <w:t>57</w:t>
            </w:r>
          </w:p>
        </w:tc>
        <w:tc>
          <w:tcPr>
            <w:tcW w:w="1200" w:type="dxa"/>
            <w:vAlign w:val="center"/>
          </w:tcPr>
          <w:p w:rsidR="00000000" w:rsidRDefault="00000000">
            <w:pPr>
              <w:spacing w:before="60" w:after="60" w:line="216" w:lineRule="auto"/>
              <w:ind w:right="204"/>
              <w:jc w:val="right"/>
              <w:rPr>
                <w:sz w:val="22"/>
                <w:szCs w:val="22"/>
              </w:rPr>
            </w:pPr>
            <w:r>
              <w:rPr>
                <w:sz w:val="22"/>
                <w:szCs w:val="22"/>
              </w:rPr>
              <w:t>46</w:t>
            </w:r>
          </w:p>
        </w:tc>
        <w:tc>
          <w:tcPr>
            <w:tcW w:w="1306" w:type="dxa"/>
            <w:vAlign w:val="center"/>
          </w:tcPr>
          <w:p w:rsidR="00000000" w:rsidRDefault="00000000">
            <w:pPr>
              <w:spacing w:before="60" w:after="60" w:line="216" w:lineRule="auto"/>
              <w:ind w:right="204"/>
              <w:jc w:val="right"/>
              <w:rPr>
                <w:sz w:val="22"/>
                <w:szCs w:val="22"/>
              </w:rPr>
            </w:pPr>
            <w:r>
              <w:rPr>
                <w:sz w:val="22"/>
                <w:szCs w:val="22"/>
              </w:rPr>
              <w:t>123,9</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P.J. Lisboa</w:t>
            </w:r>
          </w:p>
        </w:tc>
        <w:tc>
          <w:tcPr>
            <w:tcW w:w="1080" w:type="dxa"/>
            <w:vAlign w:val="center"/>
          </w:tcPr>
          <w:p w:rsidR="00000000" w:rsidRDefault="00000000">
            <w:pPr>
              <w:spacing w:before="60" w:after="60" w:line="216" w:lineRule="auto"/>
              <w:ind w:right="204"/>
              <w:jc w:val="right"/>
              <w:rPr>
                <w:sz w:val="22"/>
                <w:szCs w:val="22"/>
              </w:rPr>
            </w:pPr>
            <w:r>
              <w:rPr>
                <w:sz w:val="22"/>
                <w:szCs w:val="22"/>
              </w:rPr>
              <w:t>128</w:t>
            </w:r>
          </w:p>
        </w:tc>
        <w:tc>
          <w:tcPr>
            <w:tcW w:w="1320" w:type="dxa"/>
            <w:vAlign w:val="center"/>
          </w:tcPr>
          <w:p w:rsidR="00000000" w:rsidRDefault="00000000">
            <w:pPr>
              <w:spacing w:before="60" w:after="60" w:line="216" w:lineRule="auto"/>
              <w:ind w:right="204"/>
              <w:jc w:val="right"/>
              <w:rPr>
                <w:sz w:val="22"/>
                <w:szCs w:val="22"/>
              </w:rPr>
            </w:pPr>
            <w:r>
              <w:rPr>
                <w:sz w:val="22"/>
                <w:szCs w:val="22"/>
              </w:rPr>
              <w:t>88</w:t>
            </w:r>
          </w:p>
        </w:tc>
        <w:tc>
          <w:tcPr>
            <w:tcW w:w="1320" w:type="dxa"/>
            <w:vAlign w:val="center"/>
          </w:tcPr>
          <w:p w:rsidR="00000000" w:rsidRDefault="00000000">
            <w:pPr>
              <w:spacing w:before="60" w:after="60" w:line="216" w:lineRule="auto"/>
              <w:ind w:right="204"/>
              <w:jc w:val="right"/>
              <w:rPr>
                <w:sz w:val="22"/>
                <w:szCs w:val="22"/>
              </w:rPr>
            </w:pPr>
            <w:r>
              <w:rPr>
                <w:sz w:val="22"/>
                <w:szCs w:val="22"/>
              </w:rPr>
              <w:t>145,5</w:t>
            </w:r>
          </w:p>
        </w:tc>
        <w:tc>
          <w:tcPr>
            <w:tcW w:w="1080" w:type="dxa"/>
            <w:vAlign w:val="center"/>
          </w:tcPr>
          <w:p w:rsidR="00000000" w:rsidRDefault="00000000">
            <w:pPr>
              <w:spacing w:before="60" w:after="60" w:line="216" w:lineRule="auto"/>
              <w:ind w:right="204"/>
              <w:jc w:val="right"/>
              <w:rPr>
                <w:sz w:val="22"/>
                <w:szCs w:val="22"/>
              </w:rPr>
            </w:pPr>
            <w:r>
              <w:rPr>
                <w:sz w:val="22"/>
                <w:szCs w:val="22"/>
              </w:rPr>
              <w:t>142</w:t>
            </w:r>
          </w:p>
        </w:tc>
        <w:tc>
          <w:tcPr>
            <w:tcW w:w="1200" w:type="dxa"/>
            <w:vAlign w:val="center"/>
          </w:tcPr>
          <w:p w:rsidR="00000000" w:rsidRDefault="00000000">
            <w:pPr>
              <w:spacing w:before="60" w:after="60" w:line="216" w:lineRule="auto"/>
              <w:ind w:right="204"/>
              <w:jc w:val="right"/>
              <w:rPr>
                <w:sz w:val="22"/>
                <w:szCs w:val="22"/>
              </w:rPr>
            </w:pPr>
            <w:r>
              <w:rPr>
                <w:sz w:val="22"/>
                <w:szCs w:val="22"/>
              </w:rPr>
              <w:t>88</w:t>
            </w:r>
          </w:p>
        </w:tc>
        <w:tc>
          <w:tcPr>
            <w:tcW w:w="1306" w:type="dxa"/>
            <w:vAlign w:val="center"/>
          </w:tcPr>
          <w:p w:rsidR="00000000" w:rsidRDefault="00000000">
            <w:pPr>
              <w:spacing w:before="60" w:after="60" w:line="216" w:lineRule="auto"/>
              <w:ind w:right="204"/>
              <w:jc w:val="right"/>
              <w:rPr>
                <w:sz w:val="22"/>
                <w:szCs w:val="22"/>
              </w:rPr>
            </w:pPr>
            <w:r>
              <w:rPr>
                <w:sz w:val="22"/>
                <w:szCs w:val="22"/>
              </w:rPr>
              <w:t>161,4</w:t>
            </w:r>
          </w:p>
        </w:tc>
      </w:tr>
      <w:tr w:rsidR="00000000">
        <w:trPr>
          <w:jc w:val="center"/>
        </w:trPr>
        <w:tc>
          <w:tcPr>
            <w:tcW w:w="2053" w:type="dxa"/>
            <w:vAlign w:val="center"/>
          </w:tcPr>
          <w:p w:rsidR="00000000" w:rsidRDefault="00000000">
            <w:pPr>
              <w:spacing w:before="60" w:after="60" w:line="216" w:lineRule="auto"/>
              <w:rPr>
                <w:sz w:val="22"/>
                <w:szCs w:val="22"/>
              </w:rPr>
            </w:pPr>
            <w:r>
              <w:rPr>
                <w:sz w:val="22"/>
                <w:szCs w:val="22"/>
              </w:rPr>
              <w:t>P.J. Porto</w:t>
            </w:r>
          </w:p>
        </w:tc>
        <w:tc>
          <w:tcPr>
            <w:tcW w:w="1080" w:type="dxa"/>
            <w:vAlign w:val="center"/>
          </w:tcPr>
          <w:p w:rsidR="00000000" w:rsidRDefault="00000000">
            <w:pPr>
              <w:spacing w:before="60" w:after="60" w:line="216" w:lineRule="auto"/>
              <w:ind w:right="204"/>
              <w:jc w:val="right"/>
              <w:rPr>
                <w:sz w:val="22"/>
                <w:szCs w:val="22"/>
              </w:rPr>
            </w:pPr>
            <w:r>
              <w:rPr>
                <w:sz w:val="22"/>
                <w:szCs w:val="22"/>
              </w:rPr>
              <w:t>35</w:t>
            </w:r>
          </w:p>
        </w:tc>
        <w:tc>
          <w:tcPr>
            <w:tcW w:w="1320" w:type="dxa"/>
            <w:vAlign w:val="center"/>
          </w:tcPr>
          <w:p w:rsidR="00000000" w:rsidRDefault="00000000">
            <w:pPr>
              <w:spacing w:before="60" w:after="60" w:line="216" w:lineRule="auto"/>
              <w:ind w:right="204"/>
              <w:jc w:val="right"/>
              <w:rPr>
                <w:sz w:val="22"/>
                <w:szCs w:val="22"/>
              </w:rPr>
            </w:pPr>
            <w:r>
              <w:rPr>
                <w:sz w:val="22"/>
                <w:szCs w:val="22"/>
              </w:rPr>
              <w:t>32</w:t>
            </w:r>
          </w:p>
        </w:tc>
        <w:tc>
          <w:tcPr>
            <w:tcW w:w="1320" w:type="dxa"/>
            <w:vAlign w:val="center"/>
          </w:tcPr>
          <w:p w:rsidR="00000000" w:rsidRDefault="00000000">
            <w:pPr>
              <w:spacing w:before="60" w:after="60" w:line="216" w:lineRule="auto"/>
              <w:ind w:right="204"/>
              <w:jc w:val="right"/>
              <w:rPr>
                <w:sz w:val="22"/>
                <w:szCs w:val="22"/>
              </w:rPr>
            </w:pPr>
            <w:r>
              <w:rPr>
                <w:sz w:val="22"/>
                <w:szCs w:val="22"/>
              </w:rPr>
              <w:t>109,4</w:t>
            </w:r>
          </w:p>
        </w:tc>
        <w:tc>
          <w:tcPr>
            <w:tcW w:w="1080" w:type="dxa"/>
            <w:vAlign w:val="center"/>
          </w:tcPr>
          <w:p w:rsidR="00000000" w:rsidRDefault="00000000">
            <w:pPr>
              <w:spacing w:before="60" w:after="60" w:line="216" w:lineRule="auto"/>
              <w:ind w:right="204"/>
              <w:jc w:val="right"/>
              <w:rPr>
                <w:sz w:val="22"/>
                <w:szCs w:val="22"/>
              </w:rPr>
            </w:pPr>
            <w:r>
              <w:rPr>
                <w:sz w:val="22"/>
                <w:szCs w:val="22"/>
              </w:rPr>
              <w:t>22</w:t>
            </w:r>
          </w:p>
        </w:tc>
        <w:tc>
          <w:tcPr>
            <w:tcW w:w="1200" w:type="dxa"/>
            <w:vAlign w:val="center"/>
          </w:tcPr>
          <w:p w:rsidR="00000000" w:rsidRDefault="00000000">
            <w:pPr>
              <w:spacing w:before="60" w:after="60" w:line="216" w:lineRule="auto"/>
              <w:ind w:right="204"/>
              <w:jc w:val="right"/>
              <w:rPr>
                <w:sz w:val="22"/>
                <w:szCs w:val="22"/>
              </w:rPr>
            </w:pPr>
            <w:r>
              <w:rPr>
                <w:sz w:val="22"/>
                <w:szCs w:val="22"/>
              </w:rPr>
              <w:t>32</w:t>
            </w:r>
          </w:p>
        </w:tc>
        <w:tc>
          <w:tcPr>
            <w:tcW w:w="1306" w:type="dxa"/>
            <w:vAlign w:val="center"/>
          </w:tcPr>
          <w:p w:rsidR="00000000" w:rsidRDefault="00000000">
            <w:pPr>
              <w:spacing w:before="60" w:after="60" w:line="216" w:lineRule="auto"/>
              <w:ind w:right="204"/>
              <w:jc w:val="right"/>
              <w:rPr>
                <w:sz w:val="22"/>
                <w:szCs w:val="22"/>
              </w:rPr>
            </w:pPr>
            <w:r>
              <w:rPr>
                <w:sz w:val="22"/>
                <w:szCs w:val="22"/>
              </w:rPr>
              <w:t>68,8</w:t>
            </w:r>
          </w:p>
        </w:tc>
      </w:tr>
      <w:tr w:rsidR="00000000">
        <w:trPr>
          <w:trHeight w:val="397"/>
          <w:jc w:val="center"/>
        </w:trPr>
        <w:tc>
          <w:tcPr>
            <w:tcW w:w="2053" w:type="dxa"/>
            <w:vAlign w:val="center"/>
          </w:tcPr>
          <w:p w:rsidR="00000000" w:rsidRDefault="00000000">
            <w:pPr>
              <w:spacing w:before="60" w:after="60" w:line="216" w:lineRule="auto"/>
              <w:rPr>
                <w:sz w:val="22"/>
                <w:szCs w:val="22"/>
              </w:rPr>
            </w:pPr>
            <w:r>
              <w:rPr>
                <w:b/>
                <w:sz w:val="22"/>
                <w:szCs w:val="22"/>
              </w:rPr>
              <w:t>Total</w:t>
            </w:r>
            <w:r>
              <w:rPr>
                <w:b/>
                <w:sz w:val="22"/>
                <w:szCs w:val="22"/>
                <w:vertAlign w:val="superscript"/>
              </w:rPr>
              <w:t>b</w:t>
            </w:r>
          </w:p>
        </w:tc>
        <w:tc>
          <w:tcPr>
            <w:tcW w:w="1080" w:type="dxa"/>
            <w:vAlign w:val="center"/>
          </w:tcPr>
          <w:p w:rsidR="00000000" w:rsidRDefault="00000000">
            <w:pPr>
              <w:spacing w:before="60" w:after="60" w:line="216" w:lineRule="auto"/>
              <w:ind w:right="204"/>
              <w:jc w:val="right"/>
              <w:rPr>
                <w:sz w:val="22"/>
                <w:szCs w:val="22"/>
              </w:rPr>
            </w:pPr>
            <w:r>
              <w:rPr>
                <w:sz w:val="22"/>
                <w:szCs w:val="22"/>
              </w:rPr>
              <w:t>3 552</w:t>
            </w:r>
          </w:p>
        </w:tc>
        <w:tc>
          <w:tcPr>
            <w:tcW w:w="1320" w:type="dxa"/>
            <w:vAlign w:val="center"/>
          </w:tcPr>
          <w:p w:rsidR="00000000" w:rsidRDefault="00000000">
            <w:pPr>
              <w:spacing w:before="60" w:after="60" w:line="216" w:lineRule="auto"/>
              <w:ind w:right="204"/>
              <w:jc w:val="right"/>
              <w:rPr>
                <w:sz w:val="22"/>
                <w:szCs w:val="22"/>
              </w:rPr>
            </w:pPr>
            <w:r>
              <w:rPr>
                <w:sz w:val="22"/>
                <w:szCs w:val="22"/>
              </w:rPr>
              <w:t>2 557</w:t>
            </w:r>
          </w:p>
        </w:tc>
        <w:tc>
          <w:tcPr>
            <w:tcW w:w="1320" w:type="dxa"/>
            <w:vAlign w:val="center"/>
          </w:tcPr>
          <w:p w:rsidR="00000000" w:rsidRDefault="00000000">
            <w:pPr>
              <w:spacing w:before="60" w:after="60" w:line="216" w:lineRule="auto"/>
              <w:ind w:right="204"/>
              <w:jc w:val="right"/>
              <w:rPr>
                <w:sz w:val="22"/>
                <w:szCs w:val="22"/>
              </w:rPr>
            </w:pPr>
            <w:r>
              <w:rPr>
                <w:sz w:val="22"/>
                <w:szCs w:val="22"/>
              </w:rPr>
              <w:t>138,9</w:t>
            </w:r>
          </w:p>
        </w:tc>
        <w:tc>
          <w:tcPr>
            <w:tcW w:w="1080" w:type="dxa"/>
            <w:vAlign w:val="center"/>
          </w:tcPr>
          <w:p w:rsidR="00000000" w:rsidRDefault="00000000">
            <w:pPr>
              <w:spacing w:before="60" w:after="60" w:line="216" w:lineRule="auto"/>
              <w:ind w:right="204"/>
              <w:jc w:val="right"/>
              <w:rPr>
                <w:sz w:val="22"/>
                <w:szCs w:val="22"/>
              </w:rPr>
            </w:pPr>
            <w:r>
              <w:rPr>
                <w:sz w:val="22"/>
                <w:szCs w:val="22"/>
              </w:rPr>
              <w:t>3 953</w:t>
            </w:r>
          </w:p>
        </w:tc>
        <w:tc>
          <w:tcPr>
            <w:tcW w:w="1200" w:type="dxa"/>
            <w:vAlign w:val="center"/>
          </w:tcPr>
          <w:p w:rsidR="00000000" w:rsidRDefault="00000000">
            <w:pPr>
              <w:spacing w:before="60" w:after="60" w:line="216" w:lineRule="auto"/>
              <w:ind w:right="204"/>
              <w:jc w:val="right"/>
              <w:rPr>
                <w:sz w:val="22"/>
                <w:szCs w:val="22"/>
              </w:rPr>
            </w:pPr>
            <w:r>
              <w:rPr>
                <w:sz w:val="22"/>
                <w:szCs w:val="22"/>
              </w:rPr>
              <w:t>2 557</w:t>
            </w:r>
          </w:p>
        </w:tc>
        <w:tc>
          <w:tcPr>
            <w:tcW w:w="1306" w:type="dxa"/>
            <w:vAlign w:val="center"/>
          </w:tcPr>
          <w:p w:rsidR="00000000" w:rsidRDefault="00000000">
            <w:pPr>
              <w:spacing w:before="60" w:after="60" w:line="216" w:lineRule="auto"/>
              <w:ind w:right="204"/>
              <w:jc w:val="right"/>
              <w:rPr>
                <w:sz w:val="22"/>
                <w:szCs w:val="22"/>
              </w:rPr>
            </w:pPr>
            <w:r>
              <w:rPr>
                <w:sz w:val="22"/>
                <w:szCs w:val="22"/>
              </w:rPr>
              <w:t>154,6</w:t>
            </w:r>
          </w:p>
        </w:tc>
      </w:tr>
    </w:tbl>
    <w:p w:rsidR="00000000" w:rsidRDefault="00000000">
      <w:pPr>
        <w:spacing w:before="200" w:after="240"/>
      </w:pPr>
      <w:r>
        <w:rPr>
          <w:b/>
          <w:bCs/>
          <w:vertAlign w:val="superscript"/>
        </w:rPr>
        <w:t>a</w:t>
      </w:r>
      <w:r>
        <w:t xml:space="preserve"> Les établissements de Horta, Olhão et São Pedro do Sul étaient classés comme prison d’appui. São Pedro do Sul et Olhão sont devenus des établissements pénitentiaires régionaux. L’établissement d’Olhão se trouvait fermé pour travaux.</w:t>
      </w:r>
    </w:p>
    <w:p w:rsidR="00000000" w:rsidRDefault="00000000">
      <w:pPr>
        <w:spacing w:after="240"/>
      </w:pPr>
      <w:r>
        <w:rPr>
          <w:b/>
          <w:bCs/>
          <w:vertAlign w:val="superscript"/>
        </w:rPr>
        <w:t>b</w:t>
      </w:r>
      <w:r>
        <w:t xml:space="preserve"> Ces totaux sont reportés à l’avant</w:t>
      </w:r>
      <w:r>
        <w:noBreakHyphen/>
        <w:t>dernière ligne du tableau 6-A ci</w:t>
      </w:r>
      <w:r>
        <w:noBreakHyphen/>
        <w:t>dessus.</w:t>
      </w:r>
    </w:p>
    <w:p w:rsidR="00000000" w:rsidRDefault="00000000">
      <w:pPr>
        <w:spacing w:after="200"/>
        <w:jc w:val="center"/>
      </w:pPr>
      <w:r>
        <w:br w:type="page"/>
      </w:r>
      <w:r>
        <w:rPr>
          <w:b/>
          <w:bCs/>
        </w:rPr>
        <w:t xml:space="preserve">Tableau 7-A. </w:t>
      </w:r>
      <w:r>
        <w:t xml:space="preserve"> </w:t>
      </w:r>
      <w:r>
        <w:rPr>
          <w:b/>
        </w:rPr>
        <w:t xml:space="preserve">Population carcérale par établissement, occupation et taux d’occupation </w:t>
      </w:r>
      <w:r>
        <w:rPr>
          <w:b/>
        </w:rPr>
        <w:br/>
        <w:t>(au 31 décembre de 2003 et 2004)</w:t>
      </w: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08"/>
        <w:gridCol w:w="1080"/>
        <w:gridCol w:w="1200"/>
        <w:gridCol w:w="1341"/>
        <w:gridCol w:w="1059"/>
        <w:gridCol w:w="1200"/>
        <w:gridCol w:w="1342"/>
      </w:tblGrid>
      <w:tr w:rsidR="00000000">
        <w:trPr>
          <w:cantSplit/>
          <w:trHeight w:hRule="exact" w:val="397"/>
          <w:jc w:val="center"/>
        </w:trPr>
        <w:tc>
          <w:tcPr>
            <w:tcW w:w="2208" w:type="dxa"/>
            <w:vMerge w:val="restart"/>
            <w:vAlign w:val="center"/>
          </w:tcPr>
          <w:p w:rsidR="00000000" w:rsidRDefault="00000000">
            <w:pPr>
              <w:spacing w:before="40" w:after="40" w:line="192" w:lineRule="auto"/>
              <w:jc w:val="center"/>
              <w:rPr>
                <w:b/>
                <w:sz w:val="22"/>
                <w:szCs w:val="22"/>
              </w:rPr>
            </w:pPr>
            <w:r>
              <w:rPr>
                <w:b/>
                <w:sz w:val="22"/>
                <w:szCs w:val="22"/>
              </w:rPr>
              <w:t>Établissements</w:t>
            </w:r>
          </w:p>
        </w:tc>
        <w:tc>
          <w:tcPr>
            <w:tcW w:w="3621" w:type="dxa"/>
            <w:gridSpan w:val="3"/>
            <w:vAlign w:val="center"/>
          </w:tcPr>
          <w:p w:rsidR="00000000" w:rsidRDefault="00000000">
            <w:pPr>
              <w:spacing w:before="40" w:after="40" w:line="192" w:lineRule="auto"/>
              <w:jc w:val="center"/>
              <w:rPr>
                <w:b/>
                <w:sz w:val="22"/>
                <w:szCs w:val="22"/>
              </w:rPr>
            </w:pPr>
            <w:r>
              <w:rPr>
                <w:b/>
                <w:sz w:val="22"/>
                <w:szCs w:val="22"/>
              </w:rPr>
              <w:t>2003</w:t>
            </w:r>
          </w:p>
        </w:tc>
        <w:tc>
          <w:tcPr>
            <w:tcW w:w="3601" w:type="dxa"/>
            <w:gridSpan w:val="3"/>
            <w:vAlign w:val="center"/>
          </w:tcPr>
          <w:p w:rsidR="00000000" w:rsidRDefault="00000000">
            <w:pPr>
              <w:spacing w:before="40" w:after="40" w:line="192" w:lineRule="auto"/>
              <w:jc w:val="center"/>
              <w:rPr>
                <w:b/>
                <w:sz w:val="22"/>
                <w:szCs w:val="22"/>
              </w:rPr>
            </w:pPr>
            <w:r>
              <w:rPr>
                <w:b/>
                <w:sz w:val="22"/>
                <w:szCs w:val="22"/>
              </w:rPr>
              <w:t>2004</w:t>
            </w:r>
            <w:r>
              <w:rPr>
                <w:b/>
                <w:sz w:val="22"/>
                <w:szCs w:val="22"/>
                <w:vertAlign w:val="superscript"/>
              </w:rPr>
              <w:t>a</w:t>
            </w:r>
          </w:p>
        </w:tc>
      </w:tr>
      <w:tr w:rsidR="00000000">
        <w:trPr>
          <w:cantSplit/>
          <w:jc w:val="center"/>
        </w:trPr>
        <w:tc>
          <w:tcPr>
            <w:tcW w:w="2208" w:type="dxa"/>
            <w:vMerge/>
            <w:vAlign w:val="center"/>
          </w:tcPr>
          <w:p w:rsidR="00000000" w:rsidRDefault="00000000">
            <w:pPr>
              <w:spacing w:before="40" w:after="40" w:line="192" w:lineRule="auto"/>
              <w:jc w:val="center"/>
              <w:rPr>
                <w:b/>
                <w:sz w:val="22"/>
                <w:szCs w:val="22"/>
              </w:rPr>
            </w:pPr>
          </w:p>
        </w:tc>
        <w:tc>
          <w:tcPr>
            <w:tcW w:w="1080" w:type="dxa"/>
            <w:vAlign w:val="center"/>
          </w:tcPr>
          <w:p w:rsidR="00000000" w:rsidRDefault="00000000">
            <w:pPr>
              <w:spacing w:before="40" w:after="40" w:line="192" w:lineRule="auto"/>
              <w:jc w:val="center"/>
              <w:rPr>
                <w:b/>
                <w:sz w:val="22"/>
              </w:rPr>
            </w:pPr>
            <w:r>
              <w:rPr>
                <w:b/>
                <w:sz w:val="22"/>
              </w:rPr>
              <w:t>Nombre de détenus</w:t>
            </w:r>
          </w:p>
        </w:tc>
        <w:tc>
          <w:tcPr>
            <w:tcW w:w="1200" w:type="dxa"/>
            <w:vAlign w:val="center"/>
          </w:tcPr>
          <w:p w:rsidR="00000000" w:rsidRDefault="00000000">
            <w:pPr>
              <w:spacing w:before="40" w:after="40" w:line="192" w:lineRule="auto"/>
              <w:jc w:val="center"/>
              <w:rPr>
                <w:b/>
                <w:sz w:val="22"/>
              </w:rPr>
            </w:pPr>
            <w:r>
              <w:rPr>
                <w:b/>
                <w:sz w:val="22"/>
              </w:rPr>
              <w:t>Occupation</w:t>
            </w:r>
          </w:p>
        </w:tc>
        <w:tc>
          <w:tcPr>
            <w:tcW w:w="1341" w:type="dxa"/>
            <w:vAlign w:val="center"/>
          </w:tcPr>
          <w:p w:rsidR="00000000" w:rsidRDefault="00000000">
            <w:pPr>
              <w:spacing w:before="40" w:after="40" w:line="192" w:lineRule="auto"/>
              <w:jc w:val="center"/>
              <w:rPr>
                <w:b/>
                <w:sz w:val="22"/>
              </w:rPr>
            </w:pPr>
            <w:r>
              <w:rPr>
                <w:b/>
                <w:sz w:val="22"/>
              </w:rPr>
              <w:t>Taux d’occupation en %</w:t>
            </w:r>
          </w:p>
        </w:tc>
        <w:tc>
          <w:tcPr>
            <w:tcW w:w="1059" w:type="dxa"/>
            <w:vAlign w:val="center"/>
          </w:tcPr>
          <w:p w:rsidR="00000000" w:rsidRDefault="00000000">
            <w:pPr>
              <w:spacing w:before="40" w:after="40" w:line="192" w:lineRule="auto"/>
              <w:jc w:val="center"/>
              <w:rPr>
                <w:b/>
                <w:sz w:val="22"/>
              </w:rPr>
            </w:pPr>
            <w:r>
              <w:rPr>
                <w:b/>
                <w:sz w:val="22"/>
              </w:rPr>
              <w:t>Nombre de détenus</w:t>
            </w:r>
          </w:p>
        </w:tc>
        <w:tc>
          <w:tcPr>
            <w:tcW w:w="1200" w:type="dxa"/>
            <w:vAlign w:val="center"/>
          </w:tcPr>
          <w:p w:rsidR="00000000" w:rsidRDefault="00000000">
            <w:pPr>
              <w:spacing w:before="40" w:after="40" w:line="192" w:lineRule="auto"/>
              <w:jc w:val="center"/>
              <w:rPr>
                <w:b/>
                <w:sz w:val="22"/>
              </w:rPr>
            </w:pPr>
            <w:r>
              <w:rPr>
                <w:b/>
                <w:sz w:val="22"/>
              </w:rPr>
              <w:t>Occupation</w:t>
            </w:r>
          </w:p>
        </w:tc>
        <w:tc>
          <w:tcPr>
            <w:tcW w:w="1342" w:type="dxa"/>
            <w:vAlign w:val="center"/>
          </w:tcPr>
          <w:p w:rsidR="00000000" w:rsidRDefault="00000000">
            <w:pPr>
              <w:spacing w:before="40" w:after="40" w:line="192" w:lineRule="auto"/>
              <w:jc w:val="center"/>
              <w:rPr>
                <w:b/>
                <w:sz w:val="22"/>
              </w:rPr>
            </w:pPr>
            <w:r>
              <w:rPr>
                <w:b/>
                <w:sz w:val="22"/>
              </w:rPr>
              <w:t>Taux d’occupation en %</w:t>
            </w:r>
          </w:p>
        </w:tc>
      </w:tr>
      <w:tr w:rsidR="00000000">
        <w:trPr>
          <w:jc w:val="center"/>
        </w:trPr>
        <w:tc>
          <w:tcPr>
            <w:tcW w:w="2208" w:type="dxa"/>
            <w:vAlign w:val="center"/>
          </w:tcPr>
          <w:p w:rsidR="00000000" w:rsidRDefault="00000000">
            <w:pPr>
              <w:spacing w:before="40" w:after="40" w:line="192" w:lineRule="auto"/>
              <w:rPr>
                <w:b/>
                <w:bCs/>
                <w:sz w:val="22"/>
                <w:szCs w:val="22"/>
              </w:rPr>
            </w:pPr>
            <w:r>
              <w:rPr>
                <w:b/>
                <w:bCs/>
                <w:sz w:val="22"/>
                <w:szCs w:val="22"/>
              </w:rPr>
              <w:t>Établissements centraux</w:t>
            </w:r>
          </w:p>
        </w:tc>
        <w:tc>
          <w:tcPr>
            <w:tcW w:w="1080" w:type="dxa"/>
            <w:vAlign w:val="bottom"/>
          </w:tcPr>
          <w:p w:rsidR="00000000" w:rsidRDefault="00000000">
            <w:pPr>
              <w:spacing w:before="40" w:after="40" w:line="192" w:lineRule="auto"/>
              <w:ind w:right="223"/>
              <w:jc w:val="right"/>
              <w:rPr>
                <w:sz w:val="22"/>
                <w:szCs w:val="22"/>
              </w:rPr>
            </w:pPr>
          </w:p>
        </w:tc>
        <w:tc>
          <w:tcPr>
            <w:tcW w:w="1200" w:type="dxa"/>
            <w:vAlign w:val="bottom"/>
          </w:tcPr>
          <w:p w:rsidR="00000000" w:rsidRDefault="00000000">
            <w:pPr>
              <w:spacing w:before="40" w:after="40" w:line="192" w:lineRule="auto"/>
              <w:ind w:right="223"/>
              <w:jc w:val="right"/>
              <w:rPr>
                <w:sz w:val="22"/>
                <w:szCs w:val="22"/>
              </w:rPr>
            </w:pPr>
          </w:p>
        </w:tc>
        <w:tc>
          <w:tcPr>
            <w:tcW w:w="1341" w:type="dxa"/>
            <w:vAlign w:val="bottom"/>
          </w:tcPr>
          <w:p w:rsidR="00000000" w:rsidRDefault="00000000">
            <w:pPr>
              <w:spacing w:before="40" w:after="40" w:line="192" w:lineRule="auto"/>
              <w:ind w:right="223"/>
              <w:jc w:val="right"/>
              <w:rPr>
                <w:sz w:val="22"/>
                <w:szCs w:val="22"/>
              </w:rPr>
            </w:pPr>
          </w:p>
        </w:tc>
        <w:tc>
          <w:tcPr>
            <w:tcW w:w="1059" w:type="dxa"/>
            <w:vAlign w:val="bottom"/>
          </w:tcPr>
          <w:p w:rsidR="00000000" w:rsidRDefault="00000000">
            <w:pPr>
              <w:spacing w:before="40" w:after="40" w:line="192" w:lineRule="auto"/>
              <w:ind w:right="223"/>
              <w:jc w:val="right"/>
              <w:rPr>
                <w:sz w:val="22"/>
                <w:szCs w:val="22"/>
              </w:rPr>
            </w:pPr>
          </w:p>
        </w:tc>
        <w:tc>
          <w:tcPr>
            <w:tcW w:w="1200" w:type="dxa"/>
            <w:vAlign w:val="bottom"/>
          </w:tcPr>
          <w:p w:rsidR="00000000" w:rsidRDefault="00000000">
            <w:pPr>
              <w:spacing w:before="40" w:after="40" w:line="192" w:lineRule="auto"/>
              <w:ind w:right="223"/>
              <w:jc w:val="right"/>
              <w:rPr>
                <w:sz w:val="22"/>
                <w:szCs w:val="22"/>
              </w:rPr>
            </w:pPr>
          </w:p>
        </w:tc>
        <w:tc>
          <w:tcPr>
            <w:tcW w:w="1342" w:type="dxa"/>
            <w:vAlign w:val="bottom"/>
          </w:tcPr>
          <w:p w:rsidR="00000000" w:rsidRDefault="00000000">
            <w:pPr>
              <w:spacing w:before="40" w:after="40" w:line="192" w:lineRule="auto"/>
              <w:ind w:right="223"/>
              <w:jc w:val="right"/>
              <w:rPr>
                <w:sz w:val="22"/>
                <w:szCs w:val="22"/>
              </w:rPr>
            </w:pP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Alcoentre</w:t>
            </w:r>
          </w:p>
        </w:tc>
        <w:tc>
          <w:tcPr>
            <w:tcW w:w="1080" w:type="dxa"/>
            <w:vAlign w:val="bottom"/>
          </w:tcPr>
          <w:p w:rsidR="00000000" w:rsidRDefault="00000000">
            <w:pPr>
              <w:spacing w:before="40" w:after="40" w:line="192" w:lineRule="auto"/>
              <w:ind w:right="223"/>
              <w:jc w:val="right"/>
              <w:rPr>
                <w:sz w:val="22"/>
                <w:szCs w:val="22"/>
              </w:rPr>
            </w:pPr>
            <w:r>
              <w:rPr>
                <w:sz w:val="22"/>
                <w:szCs w:val="22"/>
              </w:rPr>
              <w:t>714</w:t>
            </w:r>
          </w:p>
        </w:tc>
        <w:tc>
          <w:tcPr>
            <w:tcW w:w="1200" w:type="dxa"/>
            <w:vAlign w:val="bottom"/>
          </w:tcPr>
          <w:p w:rsidR="00000000" w:rsidRDefault="00000000">
            <w:pPr>
              <w:spacing w:before="40" w:after="40" w:line="192" w:lineRule="auto"/>
              <w:ind w:right="223"/>
              <w:jc w:val="right"/>
              <w:rPr>
                <w:sz w:val="22"/>
                <w:szCs w:val="22"/>
              </w:rPr>
            </w:pPr>
            <w:r>
              <w:rPr>
                <w:sz w:val="22"/>
                <w:szCs w:val="22"/>
              </w:rPr>
              <w:t>663</w:t>
            </w:r>
          </w:p>
        </w:tc>
        <w:tc>
          <w:tcPr>
            <w:tcW w:w="1341" w:type="dxa"/>
            <w:vAlign w:val="bottom"/>
          </w:tcPr>
          <w:p w:rsidR="00000000" w:rsidRDefault="00000000">
            <w:pPr>
              <w:spacing w:before="40" w:after="40" w:line="192" w:lineRule="auto"/>
              <w:ind w:right="223"/>
              <w:jc w:val="right"/>
              <w:rPr>
                <w:sz w:val="22"/>
                <w:szCs w:val="22"/>
              </w:rPr>
            </w:pPr>
            <w:r>
              <w:rPr>
                <w:sz w:val="22"/>
                <w:szCs w:val="22"/>
              </w:rPr>
              <w:t>107,7</w:t>
            </w:r>
          </w:p>
        </w:tc>
        <w:tc>
          <w:tcPr>
            <w:tcW w:w="1059" w:type="dxa"/>
            <w:vAlign w:val="bottom"/>
          </w:tcPr>
          <w:p w:rsidR="00000000" w:rsidRDefault="00000000">
            <w:pPr>
              <w:spacing w:before="40" w:after="40" w:line="192" w:lineRule="auto"/>
              <w:ind w:right="223"/>
              <w:jc w:val="right"/>
              <w:rPr>
                <w:sz w:val="22"/>
                <w:szCs w:val="22"/>
              </w:rPr>
            </w:pPr>
            <w:r>
              <w:rPr>
                <w:sz w:val="22"/>
                <w:szCs w:val="22"/>
              </w:rPr>
              <w:t>709</w:t>
            </w:r>
          </w:p>
        </w:tc>
        <w:tc>
          <w:tcPr>
            <w:tcW w:w="1200" w:type="dxa"/>
            <w:vAlign w:val="bottom"/>
          </w:tcPr>
          <w:p w:rsidR="00000000" w:rsidRDefault="00000000">
            <w:pPr>
              <w:spacing w:before="40" w:after="40" w:line="192" w:lineRule="auto"/>
              <w:ind w:right="223"/>
              <w:jc w:val="right"/>
              <w:rPr>
                <w:sz w:val="22"/>
                <w:szCs w:val="22"/>
              </w:rPr>
            </w:pPr>
            <w:r>
              <w:rPr>
                <w:sz w:val="22"/>
                <w:szCs w:val="22"/>
              </w:rPr>
              <w:t>663</w:t>
            </w:r>
          </w:p>
        </w:tc>
        <w:tc>
          <w:tcPr>
            <w:tcW w:w="1342" w:type="dxa"/>
            <w:vAlign w:val="bottom"/>
          </w:tcPr>
          <w:p w:rsidR="00000000" w:rsidRDefault="00000000">
            <w:pPr>
              <w:spacing w:before="40" w:after="40" w:line="192" w:lineRule="auto"/>
              <w:ind w:right="223"/>
              <w:jc w:val="right"/>
              <w:rPr>
                <w:sz w:val="22"/>
                <w:szCs w:val="22"/>
              </w:rPr>
            </w:pPr>
            <w:r>
              <w:rPr>
                <w:sz w:val="22"/>
                <w:szCs w:val="22"/>
              </w:rPr>
              <w:t>106,9</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Carregueira</w:t>
            </w:r>
            <w:r>
              <w:rPr>
                <w:b/>
                <w:bCs/>
                <w:sz w:val="22"/>
                <w:szCs w:val="22"/>
                <w:vertAlign w:val="superscript"/>
              </w:rPr>
              <w:t>b</w:t>
            </w:r>
          </w:p>
        </w:tc>
        <w:tc>
          <w:tcPr>
            <w:tcW w:w="1080" w:type="dxa"/>
            <w:vAlign w:val="bottom"/>
          </w:tcPr>
          <w:p w:rsidR="00000000" w:rsidRDefault="00000000">
            <w:pPr>
              <w:spacing w:before="40" w:after="40" w:line="192" w:lineRule="auto"/>
              <w:ind w:right="223"/>
              <w:jc w:val="right"/>
              <w:rPr>
                <w:sz w:val="22"/>
                <w:szCs w:val="22"/>
              </w:rPr>
            </w:pPr>
            <w:r>
              <w:rPr>
                <w:sz w:val="22"/>
                <w:szCs w:val="22"/>
              </w:rPr>
              <w:t>347</w:t>
            </w:r>
          </w:p>
        </w:tc>
        <w:tc>
          <w:tcPr>
            <w:tcW w:w="1200" w:type="dxa"/>
            <w:vAlign w:val="bottom"/>
          </w:tcPr>
          <w:p w:rsidR="00000000" w:rsidRDefault="00000000">
            <w:pPr>
              <w:spacing w:before="40" w:after="40" w:line="192" w:lineRule="auto"/>
              <w:ind w:right="223"/>
              <w:jc w:val="right"/>
              <w:rPr>
                <w:sz w:val="22"/>
                <w:szCs w:val="22"/>
              </w:rPr>
            </w:pPr>
            <w:r>
              <w:rPr>
                <w:sz w:val="22"/>
                <w:szCs w:val="22"/>
              </w:rPr>
              <w:t>300</w:t>
            </w:r>
          </w:p>
        </w:tc>
        <w:tc>
          <w:tcPr>
            <w:tcW w:w="1341" w:type="dxa"/>
            <w:vAlign w:val="bottom"/>
          </w:tcPr>
          <w:p w:rsidR="00000000" w:rsidRDefault="00000000">
            <w:pPr>
              <w:spacing w:before="40" w:after="40" w:line="192" w:lineRule="auto"/>
              <w:ind w:right="223"/>
              <w:jc w:val="right"/>
              <w:rPr>
                <w:sz w:val="22"/>
                <w:szCs w:val="22"/>
              </w:rPr>
            </w:pPr>
            <w:r>
              <w:rPr>
                <w:sz w:val="22"/>
                <w:szCs w:val="22"/>
              </w:rPr>
              <w:t>115,7</w:t>
            </w:r>
          </w:p>
        </w:tc>
        <w:tc>
          <w:tcPr>
            <w:tcW w:w="1059" w:type="dxa"/>
            <w:vAlign w:val="bottom"/>
          </w:tcPr>
          <w:p w:rsidR="00000000" w:rsidRDefault="00000000">
            <w:pPr>
              <w:spacing w:before="40" w:after="40" w:line="192" w:lineRule="auto"/>
              <w:ind w:right="223"/>
              <w:jc w:val="right"/>
              <w:rPr>
                <w:sz w:val="22"/>
                <w:szCs w:val="22"/>
              </w:rPr>
            </w:pPr>
            <w:r>
              <w:rPr>
                <w:sz w:val="22"/>
                <w:szCs w:val="22"/>
              </w:rPr>
              <w:t>452</w:t>
            </w:r>
          </w:p>
        </w:tc>
        <w:tc>
          <w:tcPr>
            <w:tcW w:w="1200" w:type="dxa"/>
            <w:vAlign w:val="bottom"/>
          </w:tcPr>
          <w:p w:rsidR="00000000" w:rsidRDefault="00000000">
            <w:pPr>
              <w:spacing w:before="40" w:after="40" w:line="192" w:lineRule="auto"/>
              <w:ind w:right="223"/>
              <w:jc w:val="right"/>
              <w:rPr>
                <w:sz w:val="22"/>
                <w:szCs w:val="22"/>
              </w:rPr>
            </w:pPr>
            <w:r>
              <w:rPr>
                <w:sz w:val="22"/>
                <w:szCs w:val="22"/>
              </w:rPr>
              <w:t>450</w:t>
            </w:r>
          </w:p>
        </w:tc>
        <w:tc>
          <w:tcPr>
            <w:tcW w:w="1342" w:type="dxa"/>
            <w:vAlign w:val="bottom"/>
          </w:tcPr>
          <w:p w:rsidR="00000000" w:rsidRDefault="00000000">
            <w:pPr>
              <w:spacing w:before="40" w:after="40" w:line="192" w:lineRule="auto"/>
              <w:ind w:right="223"/>
              <w:jc w:val="right"/>
              <w:rPr>
                <w:sz w:val="22"/>
                <w:szCs w:val="22"/>
              </w:rPr>
            </w:pPr>
            <w:r>
              <w:rPr>
                <w:sz w:val="22"/>
                <w:szCs w:val="22"/>
              </w:rPr>
              <w:t>100,4</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Castelo Branco</w:t>
            </w:r>
          </w:p>
        </w:tc>
        <w:tc>
          <w:tcPr>
            <w:tcW w:w="1080" w:type="dxa"/>
            <w:vAlign w:val="bottom"/>
          </w:tcPr>
          <w:p w:rsidR="00000000" w:rsidRDefault="00000000">
            <w:pPr>
              <w:spacing w:before="40" w:after="40" w:line="192" w:lineRule="auto"/>
              <w:ind w:right="223"/>
              <w:jc w:val="right"/>
              <w:rPr>
                <w:sz w:val="22"/>
                <w:szCs w:val="22"/>
              </w:rPr>
            </w:pPr>
            <w:r>
              <w:rPr>
                <w:sz w:val="22"/>
                <w:szCs w:val="22"/>
              </w:rPr>
              <w:t>90</w:t>
            </w:r>
          </w:p>
        </w:tc>
        <w:tc>
          <w:tcPr>
            <w:tcW w:w="1200" w:type="dxa"/>
            <w:vAlign w:val="bottom"/>
          </w:tcPr>
          <w:p w:rsidR="00000000" w:rsidRDefault="00000000">
            <w:pPr>
              <w:spacing w:before="40" w:after="40" w:line="192" w:lineRule="auto"/>
              <w:ind w:right="223"/>
              <w:jc w:val="right"/>
              <w:rPr>
                <w:sz w:val="22"/>
                <w:szCs w:val="22"/>
              </w:rPr>
            </w:pPr>
            <w:r>
              <w:rPr>
                <w:sz w:val="22"/>
                <w:szCs w:val="22"/>
              </w:rPr>
              <w:t>168</w:t>
            </w:r>
          </w:p>
        </w:tc>
        <w:tc>
          <w:tcPr>
            <w:tcW w:w="1341" w:type="dxa"/>
            <w:vAlign w:val="bottom"/>
          </w:tcPr>
          <w:p w:rsidR="00000000" w:rsidRDefault="00000000">
            <w:pPr>
              <w:spacing w:before="40" w:after="40" w:line="192" w:lineRule="auto"/>
              <w:ind w:right="223"/>
              <w:jc w:val="right"/>
              <w:rPr>
                <w:sz w:val="22"/>
                <w:szCs w:val="22"/>
              </w:rPr>
            </w:pPr>
            <w:r>
              <w:rPr>
                <w:sz w:val="22"/>
                <w:szCs w:val="22"/>
              </w:rPr>
              <w:t>53,6</w:t>
            </w:r>
          </w:p>
        </w:tc>
        <w:tc>
          <w:tcPr>
            <w:tcW w:w="1059" w:type="dxa"/>
            <w:vAlign w:val="bottom"/>
          </w:tcPr>
          <w:p w:rsidR="00000000" w:rsidRDefault="00000000">
            <w:pPr>
              <w:spacing w:before="40" w:after="40" w:line="192" w:lineRule="auto"/>
              <w:ind w:right="223"/>
              <w:jc w:val="right"/>
              <w:rPr>
                <w:sz w:val="22"/>
                <w:szCs w:val="22"/>
              </w:rPr>
            </w:pPr>
            <w:r>
              <w:rPr>
                <w:sz w:val="22"/>
                <w:szCs w:val="22"/>
              </w:rPr>
              <w:t>88</w:t>
            </w:r>
          </w:p>
        </w:tc>
        <w:tc>
          <w:tcPr>
            <w:tcW w:w="1200" w:type="dxa"/>
            <w:vAlign w:val="bottom"/>
          </w:tcPr>
          <w:p w:rsidR="00000000" w:rsidRDefault="00000000">
            <w:pPr>
              <w:spacing w:before="40" w:after="40" w:line="192" w:lineRule="auto"/>
              <w:ind w:right="223"/>
              <w:jc w:val="right"/>
              <w:rPr>
                <w:sz w:val="22"/>
                <w:szCs w:val="22"/>
              </w:rPr>
            </w:pPr>
            <w:r>
              <w:rPr>
                <w:sz w:val="22"/>
                <w:szCs w:val="22"/>
              </w:rPr>
              <w:t>168</w:t>
            </w:r>
          </w:p>
        </w:tc>
        <w:tc>
          <w:tcPr>
            <w:tcW w:w="1342" w:type="dxa"/>
            <w:vAlign w:val="bottom"/>
          </w:tcPr>
          <w:p w:rsidR="00000000" w:rsidRDefault="00000000">
            <w:pPr>
              <w:spacing w:before="40" w:after="40" w:line="192" w:lineRule="auto"/>
              <w:ind w:right="223"/>
              <w:jc w:val="right"/>
              <w:rPr>
                <w:sz w:val="22"/>
                <w:szCs w:val="22"/>
              </w:rPr>
            </w:pPr>
            <w:r>
              <w:rPr>
                <w:sz w:val="22"/>
                <w:szCs w:val="22"/>
              </w:rPr>
              <w:t>52,4</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Caxias</w:t>
            </w:r>
          </w:p>
        </w:tc>
        <w:tc>
          <w:tcPr>
            <w:tcW w:w="1080" w:type="dxa"/>
            <w:vAlign w:val="bottom"/>
          </w:tcPr>
          <w:p w:rsidR="00000000" w:rsidRDefault="00000000">
            <w:pPr>
              <w:spacing w:before="40" w:after="40" w:line="192" w:lineRule="auto"/>
              <w:ind w:right="223"/>
              <w:jc w:val="right"/>
              <w:rPr>
                <w:sz w:val="22"/>
                <w:szCs w:val="22"/>
              </w:rPr>
            </w:pPr>
            <w:r>
              <w:rPr>
                <w:sz w:val="22"/>
                <w:szCs w:val="22"/>
              </w:rPr>
              <w:t>559</w:t>
            </w:r>
          </w:p>
        </w:tc>
        <w:tc>
          <w:tcPr>
            <w:tcW w:w="1200" w:type="dxa"/>
            <w:vAlign w:val="bottom"/>
          </w:tcPr>
          <w:p w:rsidR="00000000" w:rsidRDefault="00000000">
            <w:pPr>
              <w:spacing w:before="40" w:after="40" w:line="192" w:lineRule="auto"/>
              <w:ind w:right="223"/>
              <w:jc w:val="right"/>
              <w:rPr>
                <w:sz w:val="22"/>
                <w:szCs w:val="22"/>
              </w:rPr>
            </w:pPr>
            <w:r>
              <w:rPr>
                <w:sz w:val="22"/>
                <w:szCs w:val="22"/>
              </w:rPr>
              <w:t>474</w:t>
            </w:r>
          </w:p>
        </w:tc>
        <w:tc>
          <w:tcPr>
            <w:tcW w:w="1341" w:type="dxa"/>
            <w:vAlign w:val="bottom"/>
          </w:tcPr>
          <w:p w:rsidR="00000000" w:rsidRDefault="00000000">
            <w:pPr>
              <w:spacing w:before="40" w:after="40" w:line="192" w:lineRule="auto"/>
              <w:ind w:right="223"/>
              <w:jc w:val="right"/>
              <w:rPr>
                <w:sz w:val="22"/>
                <w:szCs w:val="22"/>
              </w:rPr>
            </w:pPr>
            <w:r>
              <w:rPr>
                <w:sz w:val="22"/>
                <w:szCs w:val="22"/>
              </w:rPr>
              <w:t>117,9</w:t>
            </w:r>
          </w:p>
        </w:tc>
        <w:tc>
          <w:tcPr>
            <w:tcW w:w="1059" w:type="dxa"/>
            <w:vAlign w:val="bottom"/>
          </w:tcPr>
          <w:p w:rsidR="00000000" w:rsidRDefault="00000000">
            <w:pPr>
              <w:spacing w:before="40" w:after="40" w:line="192" w:lineRule="auto"/>
              <w:ind w:right="223"/>
              <w:jc w:val="right"/>
              <w:rPr>
                <w:sz w:val="22"/>
                <w:szCs w:val="22"/>
              </w:rPr>
            </w:pPr>
            <w:r>
              <w:rPr>
                <w:sz w:val="22"/>
                <w:szCs w:val="22"/>
              </w:rPr>
              <w:t>559</w:t>
            </w:r>
          </w:p>
        </w:tc>
        <w:tc>
          <w:tcPr>
            <w:tcW w:w="1200" w:type="dxa"/>
            <w:vAlign w:val="bottom"/>
          </w:tcPr>
          <w:p w:rsidR="00000000" w:rsidRDefault="00000000">
            <w:pPr>
              <w:spacing w:before="40" w:after="40" w:line="192" w:lineRule="auto"/>
              <w:ind w:right="223"/>
              <w:jc w:val="right"/>
              <w:rPr>
                <w:sz w:val="22"/>
                <w:szCs w:val="22"/>
              </w:rPr>
            </w:pPr>
            <w:r>
              <w:rPr>
                <w:sz w:val="22"/>
                <w:szCs w:val="22"/>
              </w:rPr>
              <w:t>474</w:t>
            </w:r>
          </w:p>
        </w:tc>
        <w:tc>
          <w:tcPr>
            <w:tcW w:w="1342" w:type="dxa"/>
            <w:vAlign w:val="bottom"/>
          </w:tcPr>
          <w:p w:rsidR="00000000" w:rsidRDefault="00000000">
            <w:pPr>
              <w:spacing w:before="40" w:after="40" w:line="192" w:lineRule="auto"/>
              <w:ind w:right="223"/>
              <w:jc w:val="right"/>
              <w:rPr>
                <w:sz w:val="22"/>
                <w:szCs w:val="22"/>
              </w:rPr>
            </w:pPr>
            <w:r>
              <w:rPr>
                <w:sz w:val="22"/>
                <w:szCs w:val="22"/>
              </w:rPr>
              <w:t>117,9</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Coimbra</w:t>
            </w:r>
          </w:p>
        </w:tc>
        <w:tc>
          <w:tcPr>
            <w:tcW w:w="1080" w:type="dxa"/>
            <w:vAlign w:val="bottom"/>
          </w:tcPr>
          <w:p w:rsidR="00000000" w:rsidRDefault="00000000">
            <w:pPr>
              <w:spacing w:before="40" w:after="40" w:line="192" w:lineRule="auto"/>
              <w:ind w:right="223"/>
              <w:jc w:val="right"/>
              <w:rPr>
                <w:sz w:val="22"/>
                <w:szCs w:val="22"/>
              </w:rPr>
            </w:pPr>
            <w:r>
              <w:rPr>
                <w:sz w:val="22"/>
                <w:szCs w:val="22"/>
              </w:rPr>
              <w:t>450</w:t>
            </w:r>
          </w:p>
        </w:tc>
        <w:tc>
          <w:tcPr>
            <w:tcW w:w="1200" w:type="dxa"/>
            <w:vAlign w:val="bottom"/>
          </w:tcPr>
          <w:p w:rsidR="00000000" w:rsidRDefault="00000000">
            <w:pPr>
              <w:spacing w:before="40" w:after="40" w:line="192" w:lineRule="auto"/>
              <w:ind w:right="223"/>
              <w:jc w:val="right"/>
              <w:rPr>
                <w:sz w:val="22"/>
                <w:szCs w:val="22"/>
              </w:rPr>
            </w:pPr>
            <w:r>
              <w:rPr>
                <w:sz w:val="22"/>
                <w:szCs w:val="22"/>
              </w:rPr>
              <w:t>421</w:t>
            </w:r>
          </w:p>
        </w:tc>
        <w:tc>
          <w:tcPr>
            <w:tcW w:w="1341" w:type="dxa"/>
            <w:vAlign w:val="bottom"/>
          </w:tcPr>
          <w:p w:rsidR="00000000" w:rsidRDefault="00000000">
            <w:pPr>
              <w:spacing w:before="40" w:after="40" w:line="192" w:lineRule="auto"/>
              <w:ind w:right="223"/>
              <w:jc w:val="right"/>
              <w:rPr>
                <w:sz w:val="22"/>
                <w:szCs w:val="22"/>
              </w:rPr>
            </w:pPr>
            <w:r>
              <w:rPr>
                <w:sz w:val="22"/>
                <w:szCs w:val="22"/>
              </w:rPr>
              <w:t>106,9</w:t>
            </w:r>
          </w:p>
        </w:tc>
        <w:tc>
          <w:tcPr>
            <w:tcW w:w="1059" w:type="dxa"/>
            <w:vAlign w:val="bottom"/>
          </w:tcPr>
          <w:p w:rsidR="00000000" w:rsidRDefault="00000000">
            <w:pPr>
              <w:spacing w:before="40" w:after="40" w:line="192" w:lineRule="auto"/>
              <w:ind w:right="223"/>
              <w:jc w:val="right"/>
              <w:rPr>
                <w:sz w:val="22"/>
                <w:szCs w:val="22"/>
              </w:rPr>
            </w:pPr>
            <w:r>
              <w:rPr>
                <w:sz w:val="22"/>
                <w:szCs w:val="22"/>
              </w:rPr>
              <w:t>395</w:t>
            </w:r>
          </w:p>
        </w:tc>
        <w:tc>
          <w:tcPr>
            <w:tcW w:w="1200" w:type="dxa"/>
            <w:vAlign w:val="bottom"/>
          </w:tcPr>
          <w:p w:rsidR="00000000" w:rsidRDefault="00000000">
            <w:pPr>
              <w:spacing w:before="40" w:after="40" w:line="192" w:lineRule="auto"/>
              <w:ind w:right="223"/>
              <w:jc w:val="right"/>
              <w:rPr>
                <w:sz w:val="22"/>
                <w:szCs w:val="22"/>
              </w:rPr>
            </w:pPr>
            <w:r>
              <w:rPr>
                <w:sz w:val="22"/>
                <w:szCs w:val="22"/>
              </w:rPr>
              <w:t>421</w:t>
            </w:r>
          </w:p>
        </w:tc>
        <w:tc>
          <w:tcPr>
            <w:tcW w:w="1342" w:type="dxa"/>
            <w:vAlign w:val="bottom"/>
          </w:tcPr>
          <w:p w:rsidR="00000000" w:rsidRDefault="00000000">
            <w:pPr>
              <w:spacing w:before="40" w:after="40" w:line="192" w:lineRule="auto"/>
              <w:ind w:right="223"/>
              <w:jc w:val="right"/>
              <w:rPr>
                <w:sz w:val="22"/>
                <w:szCs w:val="22"/>
              </w:rPr>
            </w:pPr>
            <w:r>
              <w:rPr>
                <w:sz w:val="22"/>
                <w:szCs w:val="22"/>
              </w:rPr>
              <w:t>93,8</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Funchal</w:t>
            </w:r>
          </w:p>
        </w:tc>
        <w:tc>
          <w:tcPr>
            <w:tcW w:w="1080" w:type="dxa"/>
            <w:vAlign w:val="bottom"/>
          </w:tcPr>
          <w:p w:rsidR="00000000" w:rsidRDefault="00000000">
            <w:pPr>
              <w:spacing w:before="40" w:after="40" w:line="192" w:lineRule="auto"/>
              <w:ind w:right="223"/>
              <w:jc w:val="right"/>
              <w:rPr>
                <w:sz w:val="22"/>
                <w:szCs w:val="22"/>
              </w:rPr>
            </w:pPr>
            <w:r>
              <w:rPr>
                <w:sz w:val="22"/>
                <w:szCs w:val="22"/>
              </w:rPr>
              <w:t>329</w:t>
            </w:r>
          </w:p>
        </w:tc>
        <w:tc>
          <w:tcPr>
            <w:tcW w:w="1200" w:type="dxa"/>
            <w:vAlign w:val="bottom"/>
          </w:tcPr>
          <w:p w:rsidR="00000000" w:rsidRDefault="00000000">
            <w:pPr>
              <w:spacing w:before="40" w:after="40" w:line="192" w:lineRule="auto"/>
              <w:ind w:right="223"/>
              <w:jc w:val="right"/>
              <w:rPr>
                <w:sz w:val="22"/>
                <w:szCs w:val="22"/>
              </w:rPr>
            </w:pPr>
            <w:r>
              <w:rPr>
                <w:sz w:val="22"/>
                <w:szCs w:val="22"/>
              </w:rPr>
              <w:t>349</w:t>
            </w:r>
          </w:p>
        </w:tc>
        <w:tc>
          <w:tcPr>
            <w:tcW w:w="1341" w:type="dxa"/>
            <w:vAlign w:val="bottom"/>
          </w:tcPr>
          <w:p w:rsidR="00000000" w:rsidRDefault="00000000">
            <w:pPr>
              <w:spacing w:before="40" w:after="40" w:line="192" w:lineRule="auto"/>
              <w:ind w:right="223"/>
              <w:jc w:val="right"/>
              <w:rPr>
                <w:sz w:val="22"/>
                <w:szCs w:val="22"/>
              </w:rPr>
            </w:pPr>
            <w:r>
              <w:rPr>
                <w:sz w:val="22"/>
                <w:szCs w:val="22"/>
              </w:rPr>
              <w:t>94,3</w:t>
            </w:r>
          </w:p>
        </w:tc>
        <w:tc>
          <w:tcPr>
            <w:tcW w:w="1059" w:type="dxa"/>
            <w:vAlign w:val="bottom"/>
          </w:tcPr>
          <w:p w:rsidR="00000000" w:rsidRDefault="00000000">
            <w:pPr>
              <w:spacing w:before="40" w:after="40" w:line="192" w:lineRule="auto"/>
              <w:ind w:right="223"/>
              <w:jc w:val="right"/>
              <w:rPr>
                <w:sz w:val="22"/>
                <w:szCs w:val="22"/>
              </w:rPr>
            </w:pPr>
            <w:r>
              <w:rPr>
                <w:sz w:val="22"/>
                <w:szCs w:val="22"/>
              </w:rPr>
              <w:t>314</w:t>
            </w:r>
          </w:p>
        </w:tc>
        <w:tc>
          <w:tcPr>
            <w:tcW w:w="1200" w:type="dxa"/>
            <w:vAlign w:val="bottom"/>
          </w:tcPr>
          <w:p w:rsidR="00000000" w:rsidRDefault="00000000">
            <w:pPr>
              <w:spacing w:before="40" w:after="40" w:line="192" w:lineRule="auto"/>
              <w:ind w:right="223"/>
              <w:jc w:val="right"/>
              <w:rPr>
                <w:sz w:val="22"/>
                <w:szCs w:val="22"/>
              </w:rPr>
            </w:pPr>
            <w:r>
              <w:rPr>
                <w:sz w:val="22"/>
                <w:szCs w:val="22"/>
              </w:rPr>
              <w:t>349</w:t>
            </w:r>
          </w:p>
        </w:tc>
        <w:tc>
          <w:tcPr>
            <w:tcW w:w="1342" w:type="dxa"/>
            <w:vAlign w:val="bottom"/>
          </w:tcPr>
          <w:p w:rsidR="00000000" w:rsidRDefault="00000000">
            <w:pPr>
              <w:spacing w:before="40" w:after="40" w:line="192" w:lineRule="auto"/>
              <w:ind w:right="223"/>
              <w:jc w:val="right"/>
              <w:rPr>
                <w:sz w:val="22"/>
                <w:szCs w:val="22"/>
              </w:rPr>
            </w:pPr>
            <w:r>
              <w:rPr>
                <w:sz w:val="22"/>
                <w:szCs w:val="22"/>
              </w:rPr>
              <w:t>90,0</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Izeda</w:t>
            </w:r>
          </w:p>
        </w:tc>
        <w:tc>
          <w:tcPr>
            <w:tcW w:w="1080" w:type="dxa"/>
            <w:vAlign w:val="bottom"/>
          </w:tcPr>
          <w:p w:rsidR="00000000" w:rsidRDefault="00000000">
            <w:pPr>
              <w:spacing w:before="40" w:after="40" w:line="192" w:lineRule="auto"/>
              <w:ind w:right="223"/>
              <w:jc w:val="right"/>
              <w:rPr>
                <w:sz w:val="22"/>
                <w:szCs w:val="22"/>
              </w:rPr>
            </w:pPr>
            <w:r>
              <w:rPr>
                <w:sz w:val="22"/>
                <w:szCs w:val="22"/>
              </w:rPr>
              <w:t>220</w:t>
            </w:r>
          </w:p>
        </w:tc>
        <w:tc>
          <w:tcPr>
            <w:tcW w:w="1200" w:type="dxa"/>
            <w:vAlign w:val="bottom"/>
          </w:tcPr>
          <w:p w:rsidR="00000000" w:rsidRDefault="00000000">
            <w:pPr>
              <w:spacing w:before="40" w:after="40" w:line="192" w:lineRule="auto"/>
              <w:ind w:right="223"/>
              <w:jc w:val="right"/>
              <w:rPr>
                <w:sz w:val="22"/>
                <w:szCs w:val="22"/>
              </w:rPr>
            </w:pPr>
            <w:r>
              <w:rPr>
                <w:sz w:val="22"/>
                <w:szCs w:val="22"/>
              </w:rPr>
              <w:t>289</w:t>
            </w:r>
          </w:p>
        </w:tc>
        <w:tc>
          <w:tcPr>
            <w:tcW w:w="1341" w:type="dxa"/>
            <w:vAlign w:val="bottom"/>
          </w:tcPr>
          <w:p w:rsidR="00000000" w:rsidRDefault="00000000">
            <w:pPr>
              <w:spacing w:before="40" w:after="40" w:line="192" w:lineRule="auto"/>
              <w:ind w:right="223"/>
              <w:jc w:val="right"/>
              <w:rPr>
                <w:sz w:val="22"/>
                <w:szCs w:val="22"/>
              </w:rPr>
            </w:pPr>
            <w:r>
              <w:rPr>
                <w:sz w:val="22"/>
                <w:szCs w:val="22"/>
              </w:rPr>
              <w:t>76,1</w:t>
            </w:r>
          </w:p>
        </w:tc>
        <w:tc>
          <w:tcPr>
            <w:tcW w:w="1059" w:type="dxa"/>
            <w:vAlign w:val="bottom"/>
          </w:tcPr>
          <w:p w:rsidR="00000000" w:rsidRDefault="00000000">
            <w:pPr>
              <w:spacing w:before="40" w:after="40" w:line="192" w:lineRule="auto"/>
              <w:ind w:right="223"/>
              <w:jc w:val="right"/>
              <w:rPr>
                <w:sz w:val="22"/>
                <w:szCs w:val="22"/>
              </w:rPr>
            </w:pPr>
            <w:r>
              <w:rPr>
                <w:sz w:val="22"/>
                <w:szCs w:val="22"/>
              </w:rPr>
              <w:t>250</w:t>
            </w:r>
          </w:p>
        </w:tc>
        <w:tc>
          <w:tcPr>
            <w:tcW w:w="1200" w:type="dxa"/>
            <w:vAlign w:val="bottom"/>
          </w:tcPr>
          <w:p w:rsidR="00000000" w:rsidRDefault="00000000">
            <w:pPr>
              <w:spacing w:before="40" w:after="40" w:line="192" w:lineRule="auto"/>
              <w:ind w:right="223"/>
              <w:jc w:val="right"/>
              <w:rPr>
                <w:sz w:val="22"/>
                <w:szCs w:val="22"/>
              </w:rPr>
            </w:pPr>
            <w:r>
              <w:rPr>
                <w:sz w:val="22"/>
                <w:szCs w:val="22"/>
              </w:rPr>
              <w:t>289</w:t>
            </w:r>
          </w:p>
        </w:tc>
        <w:tc>
          <w:tcPr>
            <w:tcW w:w="1342" w:type="dxa"/>
            <w:vAlign w:val="bottom"/>
          </w:tcPr>
          <w:p w:rsidR="00000000" w:rsidRDefault="00000000">
            <w:pPr>
              <w:spacing w:before="40" w:after="40" w:line="192" w:lineRule="auto"/>
              <w:ind w:right="223"/>
              <w:jc w:val="right"/>
              <w:rPr>
                <w:sz w:val="22"/>
                <w:szCs w:val="22"/>
              </w:rPr>
            </w:pPr>
            <w:r>
              <w:rPr>
                <w:sz w:val="22"/>
                <w:szCs w:val="22"/>
              </w:rPr>
              <w:t>86,5</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Linhó</w:t>
            </w:r>
          </w:p>
        </w:tc>
        <w:tc>
          <w:tcPr>
            <w:tcW w:w="1080" w:type="dxa"/>
            <w:vAlign w:val="bottom"/>
          </w:tcPr>
          <w:p w:rsidR="00000000" w:rsidRDefault="00000000">
            <w:pPr>
              <w:spacing w:before="40" w:after="40" w:line="192" w:lineRule="auto"/>
              <w:ind w:right="223"/>
              <w:jc w:val="right"/>
              <w:rPr>
                <w:sz w:val="22"/>
                <w:szCs w:val="22"/>
              </w:rPr>
            </w:pPr>
            <w:r>
              <w:rPr>
                <w:sz w:val="22"/>
                <w:szCs w:val="22"/>
              </w:rPr>
              <w:t>636</w:t>
            </w:r>
          </w:p>
        </w:tc>
        <w:tc>
          <w:tcPr>
            <w:tcW w:w="1200" w:type="dxa"/>
            <w:vAlign w:val="bottom"/>
          </w:tcPr>
          <w:p w:rsidR="00000000" w:rsidRDefault="00000000">
            <w:pPr>
              <w:spacing w:before="40" w:after="40" w:line="192" w:lineRule="auto"/>
              <w:ind w:right="223"/>
              <w:jc w:val="right"/>
              <w:rPr>
                <w:sz w:val="22"/>
                <w:szCs w:val="22"/>
              </w:rPr>
            </w:pPr>
            <w:r>
              <w:rPr>
                <w:sz w:val="22"/>
                <w:szCs w:val="22"/>
              </w:rPr>
              <w:t>584</w:t>
            </w:r>
          </w:p>
        </w:tc>
        <w:tc>
          <w:tcPr>
            <w:tcW w:w="1341" w:type="dxa"/>
            <w:vAlign w:val="bottom"/>
          </w:tcPr>
          <w:p w:rsidR="00000000" w:rsidRDefault="00000000">
            <w:pPr>
              <w:spacing w:before="40" w:after="40" w:line="192" w:lineRule="auto"/>
              <w:ind w:right="223"/>
              <w:jc w:val="right"/>
              <w:rPr>
                <w:sz w:val="22"/>
                <w:szCs w:val="22"/>
              </w:rPr>
            </w:pPr>
            <w:r>
              <w:rPr>
                <w:sz w:val="22"/>
                <w:szCs w:val="22"/>
              </w:rPr>
              <w:t>108,9</w:t>
            </w:r>
          </w:p>
        </w:tc>
        <w:tc>
          <w:tcPr>
            <w:tcW w:w="1059" w:type="dxa"/>
            <w:vAlign w:val="bottom"/>
          </w:tcPr>
          <w:p w:rsidR="00000000" w:rsidRDefault="00000000">
            <w:pPr>
              <w:spacing w:before="40" w:after="40" w:line="192" w:lineRule="auto"/>
              <w:ind w:right="223"/>
              <w:jc w:val="right"/>
              <w:rPr>
                <w:sz w:val="22"/>
                <w:szCs w:val="22"/>
              </w:rPr>
            </w:pPr>
            <w:r>
              <w:rPr>
                <w:sz w:val="22"/>
                <w:szCs w:val="22"/>
              </w:rPr>
              <w:t>635</w:t>
            </w:r>
          </w:p>
        </w:tc>
        <w:tc>
          <w:tcPr>
            <w:tcW w:w="1200" w:type="dxa"/>
            <w:vAlign w:val="bottom"/>
          </w:tcPr>
          <w:p w:rsidR="00000000" w:rsidRDefault="00000000">
            <w:pPr>
              <w:spacing w:before="40" w:after="40" w:line="192" w:lineRule="auto"/>
              <w:ind w:right="223"/>
              <w:jc w:val="right"/>
              <w:rPr>
                <w:sz w:val="22"/>
                <w:szCs w:val="22"/>
              </w:rPr>
            </w:pPr>
            <w:r>
              <w:rPr>
                <w:sz w:val="22"/>
                <w:szCs w:val="22"/>
              </w:rPr>
              <w:t>584</w:t>
            </w:r>
          </w:p>
        </w:tc>
        <w:tc>
          <w:tcPr>
            <w:tcW w:w="1342" w:type="dxa"/>
            <w:vAlign w:val="bottom"/>
          </w:tcPr>
          <w:p w:rsidR="00000000" w:rsidRDefault="00000000">
            <w:pPr>
              <w:spacing w:before="40" w:after="40" w:line="192" w:lineRule="auto"/>
              <w:ind w:right="223"/>
              <w:jc w:val="right"/>
              <w:rPr>
                <w:sz w:val="22"/>
                <w:szCs w:val="22"/>
              </w:rPr>
            </w:pPr>
            <w:r>
              <w:rPr>
                <w:sz w:val="22"/>
                <w:szCs w:val="22"/>
              </w:rPr>
              <w:t>108,7</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Lisboa</w:t>
            </w:r>
          </w:p>
        </w:tc>
        <w:tc>
          <w:tcPr>
            <w:tcW w:w="1080" w:type="dxa"/>
            <w:vAlign w:val="bottom"/>
          </w:tcPr>
          <w:p w:rsidR="00000000" w:rsidRDefault="00000000">
            <w:pPr>
              <w:spacing w:before="40" w:after="40" w:line="192" w:lineRule="auto"/>
              <w:ind w:right="223"/>
              <w:jc w:val="right"/>
              <w:rPr>
                <w:sz w:val="22"/>
                <w:szCs w:val="22"/>
              </w:rPr>
            </w:pPr>
            <w:r>
              <w:rPr>
                <w:sz w:val="22"/>
                <w:szCs w:val="22"/>
              </w:rPr>
              <w:t>1 120</w:t>
            </w:r>
          </w:p>
        </w:tc>
        <w:tc>
          <w:tcPr>
            <w:tcW w:w="1200" w:type="dxa"/>
            <w:vAlign w:val="bottom"/>
          </w:tcPr>
          <w:p w:rsidR="00000000" w:rsidRDefault="00000000">
            <w:pPr>
              <w:spacing w:before="40" w:after="40" w:line="192" w:lineRule="auto"/>
              <w:ind w:right="223"/>
              <w:jc w:val="right"/>
              <w:rPr>
                <w:sz w:val="22"/>
                <w:szCs w:val="22"/>
              </w:rPr>
            </w:pPr>
            <w:r>
              <w:rPr>
                <w:sz w:val="22"/>
                <w:szCs w:val="22"/>
              </w:rPr>
              <w:t>887</w:t>
            </w:r>
          </w:p>
        </w:tc>
        <w:tc>
          <w:tcPr>
            <w:tcW w:w="1341" w:type="dxa"/>
            <w:vAlign w:val="bottom"/>
          </w:tcPr>
          <w:p w:rsidR="00000000" w:rsidRDefault="00000000">
            <w:pPr>
              <w:spacing w:before="40" w:after="40" w:line="192" w:lineRule="auto"/>
              <w:ind w:right="223"/>
              <w:jc w:val="right"/>
              <w:rPr>
                <w:sz w:val="22"/>
                <w:szCs w:val="22"/>
              </w:rPr>
            </w:pPr>
            <w:r>
              <w:rPr>
                <w:sz w:val="22"/>
                <w:szCs w:val="22"/>
              </w:rPr>
              <w:t>126,3</w:t>
            </w:r>
          </w:p>
        </w:tc>
        <w:tc>
          <w:tcPr>
            <w:tcW w:w="1059" w:type="dxa"/>
            <w:vAlign w:val="bottom"/>
          </w:tcPr>
          <w:p w:rsidR="00000000" w:rsidRDefault="00000000">
            <w:pPr>
              <w:spacing w:before="40" w:after="40" w:line="192" w:lineRule="auto"/>
              <w:ind w:right="223"/>
              <w:jc w:val="right"/>
              <w:rPr>
                <w:sz w:val="22"/>
                <w:szCs w:val="22"/>
              </w:rPr>
            </w:pPr>
            <w:r>
              <w:rPr>
                <w:sz w:val="22"/>
                <w:szCs w:val="22"/>
              </w:rPr>
              <w:t>1 131</w:t>
            </w:r>
          </w:p>
        </w:tc>
        <w:tc>
          <w:tcPr>
            <w:tcW w:w="1200" w:type="dxa"/>
            <w:vAlign w:val="bottom"/>
          </w:tcPr>
          <w:p w:rsidR="00000000" w:rsidRDefault="00000000">
            <w:pPr>
              <w:spacing w:before="40" w:after="40" w:line="192" w:lineRule="auto"/>
              <w:ind w:right="223"/>
              <w:jc w:val="right"/>
              <w:rPr>
                <w:sz w:val="22"/>
                <w:szCs w:val="22"/>
              </w:rPr>
            </w:pPr>
            <w:r>
              <w:rPr>
                <w:sz w:val="22"/>
                <w:szCs w:val="22"/>
              </w:rPr>
              <w:t>887</w:t>
            </w:r>
          </w:p>
        </w:tc>
        <w:tc>
          <w:tcPr>
            <w:tcW w:w="1342" w:type="dxa"/>
            <w:vAlign w:val="bottom"/>
          </w:tcPr>
          <w:p w:rsidR="00000000" w:rsidRDefault="00000000">
            <w:pPr>
              <w:spacing w:before="40" w:after="40" w:line="192" w:lineRule="auto"/>
              <w:ind w:right="223"/>
              <w:jc w:val="right"/>
              <w:rPr>
                <w:sz w:val="22"/>
                <w:szCs w:val="22"/>
              </w:rPr>
            </w:pPr>
            <w:r>
              <w:rPr>
                <w:sz w:val="22"/>
                <w:szCs w:val="22"/>
              </w:rPr>
              <w:t>127,5</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Monsanto</w:t>
            </w:r>
          </w:p>
        </w:tc>
        <w:tc>
          <w:tcPr>
            <w:tcW w:w="1080" w:type="dxa"/>
            <w:vAlign w:val="bottom"/>
          </w:tcPr>
          <w:p w:rsidR="00000000" w:rsidRDefault="00000000">
            <w:pPr>
              <w:spacing w:before="40" w:after="40" w:line="192" w:lineRule="auto"/>
              <w:ind w:right="223"/>
              <w:jc w:val="right"/>
              <w:rPr>
                <w:sz w:val="22"/>
                <w:szCs w:val="22"/>
              </w:rPr>
            </w:pPr>
            <w:r>
              <w:rPr>
                <w:sz w:val="22"/>
                <w:szCs w:val="22"/>
              </w:rPr>
              <w:t>166</w:t>
            </w:r>
          </w:p>
        </w:tc>
        <w:tc>
          <w:tcPr>
            <w:tcW w:w="1200" w:type="dxa"/>
            <w:vAlign w:val="bottom"/>
          </w:tcPr>
          <w:p w:rsidR="00000000" w:rsidRDefault="00000000">
            <w:pPr>
              <w:spacing w:before="40" w:after="40" w:line="192" w:lineRule="auto"/>
              <w:ind w:right="223"/>
              <w:jc w:val="right"/>
              <w:rPr>
                <w:sz w:val="22"/>
                <w:szCs w:val="22"/>
              </w:rPr>
            </w:pPr>
            <w:r>
              <w:rPr>
                <w:sz w:val="22"/>
                <w:szCs w:val="22"/>
              </w:rPr>
              <w:t>166</w:t>
            </w:r>
          </w:p>
        </w:tc>
        <w:tc>
          <w:tcPr>
            <w:tcW w:w="1341" w:type="dxa"/>
            <w:vAlign w:val="bottom"/>
          </w:tcPr>
          <w:p w:rsidR="00000000" w:rsidRDefault="00000000">
            <w:pPr>
              <w:spacing w:before="40" w:after="40" w:line="192" w:lineRule="auto"/>
              <w:ind w:right="223"/>
              <w:jc w:val="right"/>
              <w:rPr>
                <w:sz w:val="22"/>
                <w:szCs w:val="22"/>
              </w:rPr>
            </w:pPr>
            <w:r>
              <w:rPr>
                <w:sz w:val="22"/>
                <w:szCs w:val="22"/>
              </w:rPr>
              <w:t>100,0</w:t>
            </w:r>
          </w:p>
        </w:tc>
        <w:tc>
          <w:tcPr>
            <w:tcW w:w="1059" w:type="dxa"/>
            <w:vAlign w:val="bottom"/>
          </w:tcPr>
          <w:p w:rsidR="00000000" w:rsidRDefault="00000000">
            <w:pPr>
              <w:spacing w:before="40" w:after="40" w:line="192" w:lineRule="auto"/>
              <w:ind w:right="223"/>
              <w:jc w:val="right"/>
              <w:rPr>
                <w:sz w:val="22"/>
                <w:szCs w:val="22"/>
              </w:rPr>
            </w:pPr>
            <w:r>
              <w:rPr>
                <w:sz w:val="22"/>
                <w:szCs w:val="22"/>
              </w:rPr>
              <w:t>56</w:t>
            </w:r>
          </w:p>
        </w:tc>
        <w:tc>
          <w:tcPr>
            <w:tcW w:w="1200" w:type="dxa"/>
            <w:vAlign w:val="bottom"/>
          </w:tcPr>
          <w:p w:rsidR="00000000" w:rsidRDefault="00000000">
            <w:pPr>
              <w:spacing w:before="40" w:after="40" w:line="192" w:lineRule="auto"/>
              <w:ind w:right="223"/>
              <w:jc w:val="right"/>
              <w:rPr>
                <w:sz w:val="22"/>
                <w:szCs w:val="22"/>
              </w:rPr>
            </w:pPr>
            <w:r>
              <w:rPr>
                <w:sz w:val="22"/>
                <w:szCs w:val="22"/>
              </w:rPr>
              <w:t>166</w:t>
            </w:r>
          </w:p>
        </w:tc>
        <w:tc>
          <w:tcPr>
            <w:tcW w:w="1342" w:type="dxa"/>
            <w:vAlign w:val="bottom"/>
          </w:tcPr>
          <w:p w:rsidR="00000000" w:rsidRDefault="00000000">
            <w:pPr>
              <w:spacing w:before="40" w:after="40" w:line="192" w:lineRule="auto"/>
              <w:ind w:right="223"/>
              <w:jc w:val="right"/>
              <w:rPr>
                <w:sz w:val="22"/>
                <w:szCs w:val="22"/>
              </w:rPr>
            </w:pPr>
            <w:r>
              <w:rPr>
                <w:sz w:val="22"/>
                <w:szCs w:val="22"/>
              </w:rPr>
              <w:t>33,7</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Paços de Ferreira</w:t>
            </w:r>
          </w:p>
        </w:tc>
        <w:tc>
          <w:tcPr>
            <w:tcW w:w="1080" w:type="dxa"/>
            <w:vAlign w:val="bottom"/>
          </w:tcPr>
          <w:p w:rsidR="00000000" w:rsidRDefault="00000000">
            <w:pPr>
              <w:spacing w:before="40" w:after="40" w:line="192" w:lineRule="auto"/>
              <w:ind w:right="223"/>
              <w:jc w:val="right"/>
              <w:rPr>
                <w:sz w:val="22"/>
                <w:szCs w:val="22"/>
              </w:rPr>
            </w:pPr>
            <w:r>
              <w:rPr>
                <w:sz w:val="22"/>
                <w:szCs w:val="22"/>
              </w:rPr>
              <w:t>842</w:t>
            </w:r>
          </w:p>
        </w:tc>
        <w:tc>
          <w:tcPr>
            <w:tcW w:w="1200" w:type="dxa"/>
            <w:vAlign w:val="bottom"/>
          </w:tcPr>
          <w:p w:rsidR="00000000" w:rsidRDefault="00000000">
            <w:pPr>
              <w:spacing w:before="40" w:after="40" w:line="192" w:lineRule="auto"/>
              <w:ind w:right="223"/>
              <w:jc w:val="right"/>
              <w:rPr>
                <w:sz w:val="22"/>
                <w:szCs w:val="22"/>
              </w:rPr>
            </w:pPr>
            <w:r>
              <w:rPr>
                <w:sz w:val="22"/>
                <w:szCs w:val="22"/>
              </w:rPr>
              <w:t>870</w:t>
            </w:r>
          </w:p>
        </w:tc>
        <w:tc>
          <w:tcPr>
            <w:tcW w:w="1341" w:type="dxa"/>
            <w:vAlign w:val="bottom"/>
          </w:tcPr>
          <w:p w:rsidR="00000000" w:rsidRDefault="00000000">
            <w:pPr>
              <w:spacing w:before="40" w:after="40" w:line="192" w:lineRule="auto"/>
              <w:ind w:right="223"/>
              <w:jc w:val="right"/>
              <w:rPr>
                <w:sz w:val="22"/>
                <w:szCs w:val="22"/>
              </w:rPr>
            </w:pPr>
            <w:r>
              <w:rPr>
                <w:sz w:val="22"/>
                <w:szCs w:val="22"/>
              </w:rPr>
              <w:t>96,8</w:t>
            </w:r>
          </w:p>
        </w:tc>
        <w:tc>
          <w:tcPr>
            <w:tcW w:w="1059" w:type="dxa"/>
            <w:vAlign w:val="bottom"/>
          </w:tcPr>
          <w:p w:rsidR="00000000" w:rsidRDefault="00000000">
            <w:pPr>
              <w:spacing w:before="40" w:after="40" w:line="192" w:lineRule="auto"/>
              <w:ind w:right="223"/>
              <w:jc w:val="right"/>
              <w:rPr>
                <w:sz w:val="22"/>
                <w:szCs w:val="22"/>
              </w:rPr>
            </w:pPr>
            <w:r>
              <w:rPr>
                <w:sz w:val="22"/>
                <w:szCs w:val="22"/>
              </w:rPr>
              <w:t>850</w:t>
            </w:r>
          </w:p>
        </w:tc>
        <w:tc>
          <w:tcPr>
            <w:tcW w:w="1200" w:type="dxa"/>
            <w:vAlign w:val="bottom"/>
          </w:tcPr>
          <w:p w:rsidR="00000000" w:rsidRDefault="00000000">
            <w:pPr>
              <w:spacing w:before="40" w:after="40" w:line="192" w:lineRule="auto"/>
              <w:ind w:right="223"/>
              <w:jc w:val="right"/>
              <w:rPr>
                <w:sz w:val="22"/>
                <w:szCs w:val="22"/>
              </w:rPr>
            </w:pPr>
            <w:r>
              <w:rPr>
                <w:sz w:val="22"/>
                <w:szCs w:val="22"/>
              </w:rPr>
              <w:t>870</w:t>
            </w:r>
          </w:p>
        </w:tc>
        <w:tc>
          <w:tcPr>
            <w:tcW w:w="1342" w:type="dxa"/>
            <w:vAlign w:val="bottom"/>
          </w:tcPr>
          <w:p w:rsidR="00000000" w:rsidRDefault="00000000">
            <w:pPr>
              <w:spacing w:before="40" w:after="40" w:line="192" w:lineRule="auto"/>
              <w:ind w:right="223"/>
              <w:jc w:val="right"/>
              <w:rPr>
                <w:sz w:val="22"/>
                <w:szCs w:val="22"/>
              </w:rPr>
            </w:pPr>
            <w:r>
              <w:rPr>
                <w:sz w:val="22"/>
                <w:szCs w:val="22"/>
              </w:rPr>
              <w:t>97,7</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P. da Cruz</w:t>
            </w:r>
          </w:p>
        </w:tc>
        <w:tc>
          <w:tcPr>
            <w:tcW w:w="1080" w:type="dxa"/>
            <w:vAlign w:val="bottom"/>
          </w:tcPr>
          <w:p w:rsidR="00000000" w:rsidRDefault="00000000">
            <w:pPr>
              <w:spacing w:before="40" w:after="40" w:line="192" w:lineRule="auto"/>
              <w:ind w:right="223"/>
              <w:jc w:val="right"/>
              <w:rPr>
                <w:sz w:val="22"/>
                <w:szCs w:val="22"/>
              </w:rPr>
            </w:pPr>
            <w:r>
              <w:rPr>
                <w:sz w:val="22"/>
                <w:szCs w:val="22"/>
              </w:rPr>
              <w:t>649</w:t>
            </w:r>
          </w:p>
        </w:tc>
        <w:tc>
          <w:tcPr>
            <w:tcW w:w="1200" w:type="dxa"/>
            <w:vAlign w:val="bottom"/>
          </w:tcPr>
          <w:p w:rsidR="00000000" w:rsidRDefault="00000000">
            <w:pPr>
              <w:spacing w:before="40" w:after="40" w:line="192" w:lineRule="auto"/>
              <w:ind w:right="223"/>
              <w:jc w:val="right"/>
              <w:rPr>
                <w:sz w:val="22"/>
                <w:szCs w:val="22"/>
              </w:rPr>
            </w:pPr>
            <w:r>
              <w:rPr>
                <w:sz w:val="22"/>
                <w:szCs w:val="22"/>
              </w:rPr>
              <w:t>737</w:t>
            </w:r>
          </w:p>
        </w:tc>
        <w:tc>
          <w:tcPr>
            <w:tcW w:w="1341" w:type="dxa"/>
            <w:vAlign w:val="bottom"/>
          </w:tcPr>
          <w:p w:rsidR="00000000" w:rsidRDefault="00000000">
            <w:pPr>
              <w:spacing w:before="40" w:after="40" w:line="192" w:lineRule="auto"/>
              <w:ind w:right="223"/>
              <w:jc w:val="right"/>
              <w:rPr>
                <w:sz w:val="22"/>
                <w:szCs w:val="22"/>
              </w:rPr>
            </w:pPr>
            <w:r>
              <w:rPr>
                <w:sz w:val="22"/>
                <w:szCs w:val="22"/>
              </w:rPr>
              <w:t>88,1</w:t>
            </w:r>
          </w:p>
        </w:tc>
        <w:tc>
          <w:tcPr>
            <w:tcW w:w="1059" w:type="dxa"/>
            <w:vAlign w:val="bottom"/>
          </w:tcPr>
          <w:p w:rsidR="00000000" w:rsidRDefault="00000000">
            <w:pPr>
              <w:spacing w:before="40" w:after="40" w:line="192" w:lineRule="auto"/>
              <w:ind w:right="223"/>
              <w:jc w:val="right"/>
              <w:rPr>
                <w:sz w:val="22"/>
                <w:szCs w:val="22"/>
              </w:rPr>
            </w:pPr>
            <w:r>
              <w:rPr>
                <w:sz w:val="22"/>
                <w:szCs w:val="22"/>
              </w:rPr>
              <w:t>626</w:t>
            </w:r>
          </w:p>
        </w:tc>
        <w:tc>
          <w:tcPr>
            <w:tcW w:w="1200" w:type="dxa"/>
            <w:vAlign w:val="bottom"/>
          </w:tcPr>
          <w:p w:rsidR="00000000" w:rsidRDefault="00000000">
            <w:pPr>
              <w:spacing w:before="40" w:after="40" w:line="192" w:lineRule="auto"/>
              <w:ind w:right="223"/>
              <w:jc w:val="right"/>
              <w:rPr>
                <w:sz w:val="22"/>
                <w:szCs w:val="22"/>
              </w:rPr>
            </w:pPr>
            <w:r>
              <w:rPr>
                <w:sz w:val="22"/>
                <w:szCs w:val="22"/>
              </w:rPr>
              <w:t>737</w:t>
            </w:r>
          </w:p>
        </w:tc>
        <w:tc>
          <w:tcPr>
            <w:tcW w:w="1342" w:type="dxa"/>
            <w:vAlign w:val="bottom"/>
          </w:tcPr>
          <w:p w:rsidR="00000000" w:rsidRDefault="00000000">
            <w:pPr>
              <w:spacing w:before="40" w:after="40" w:line="192" w:lineRule="auto"/>
              <w:ind w:right="223"/>
              <w:jc w:val="right"/>
              <w:rPr>
                <w:sz w:val="22"/>
                <w:szCs w:val="22"/>
              </w:rPr>
            </w:pPr>
            <w:r>
              <w:rPr>
                <w:sz w:val="22"/>
                <w:szCs w:val="22"/>
              </w:rPr>
              <w:t>84,9</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Porto</w:t>
            </w:r>
          </w:p>
        </w:tc>
        <w:tc>
          <w:tcPr>
            <w:tcW w:w="1080" w:type="dxa"/>
            <w:vAlign w:val="bottom"/>
          </w:tcPr>
          <w:p w:rsidR="00000000" w:rsidRDefault="00000000">
            <w:pPr>
              <w:spacing w:before="40" w:after="40" w:line="192" w:lineRule="auto"/>
              <w:ind w:right="223"/>
              <w:jc w:val="right"/>
              <w:rPr>
                <w:sz w:val="22"/>
                <w:szCs w:val="22"/>
              </w:rPr>
            </w:pPr>
            <w:r>
              <w:rPr>
                <w:sz w:val="22"/>
                <w:szCs w:val="22"/>
              </w:rPr>
              <w:t>974</w:t>
            </w:r>
          </w:p>
        </w:tc>
        <w:tc>
          <w:tcPr>
            <w:tcW w:w="1200" w:type="dxa"/>
            <w:vAlign w:val="bottom"/>
          </w:tcPr>
          <w:p w:rsidR="00000000" w:rsidRDefault="00000000">
            <w:pPr>
              <w:spacing w:before="40" w:after="40" w:line="192" w:lineRule="auto"/>
              <w:ind w:right="223"/>
              <w:jc w:val="right"/>
              <w:rPr>
                <w:sz w:val="22"/>
                <w:szCs w:val="22"/>
              </w:rPr>
            </w:pPr>
            <w:r>
              <w:rPr>
                <w:sz w:val="22"/>
                <w:szCs w:val="22"/>
              </w:rPr>
              <w:t>720</w:t>
            </w:r>
          </w:p>
        </w:tc>
        <w:tc>
          <w:tcPr>
            <w:tcW w:w="1341" w:type="dxa"/>
            <w:vAlign w:val="bottom"/>
          </w:tcPr>
          <w:p w:rsidR="00000000" w:rsidRDefault="00000000">
            <w:pPr>
              <w:spacing w:before="40" w:after="40" w:line="192" w:lineRule="auto"/>
              <w:ind w:right="223"/>
              <w:jc w:val="right"/>
              <w:rPr>
                <w:sz w:val="22"/>
                <w:szCs w:val="22"/>
              </w:rPr>
            </w:pPr>
            <w:r>
              <w:rPr>
                <w:sz w:val="22"/>
                <w:szCs w:val="22"/>
              </w:rPr>
              <w:t>135,4</w:t>
            </w:r>
          </w:p>
        </w:tc>
        <w:tc>
          <w:tcPr>
            <w:tcW w:w="1059" w:type="dxa"/>
            <w:vAlign w:val="bottom"/>
          </w:tcPr>
          <w:p w:rsidR="00000000" w:rsidRDefault="00000000">
            <w:pPr>
              <w:spacing w:before="40" w:after="40" w:line="192" w:lineRule="auto"/>
              <w:ind w:right="223"/>
              <w:jc w:val="right"/>
              <w:rPr>
                <w:sz w:val="22"/>
                <w:szCs w:val="22"/>
              </w:rPr>
            </w:pPr>
            <w:r>
              <w:rPr>
                <w:sz w:val="22"/>
                <w:szCs w:val="22"/>
              </w:rPr>
              <w:t>1038</w:t>
            </w:r>
          </w:p>
        </w:tc>
        <w:tc>
          <w:tcPr>
            <w:tcW w:w="1200" w:type="dxa"/>
            <w:vAlign w:val="bottom"/>
          </w:tcPr>
          <w:p w:rsidR="00000000" w:rsidRDefault="00000000">
            <w:pPr>
              <w:spacing w:before="40" w:after="40" w:line="192" w:lineRule="auto"/>
              <w:ind w:right="223"/>
              <w:jc w:val="right"/>
              <w:rPr>
                <w:sz w:val="22"/>
                <w:szCs w:val="22"/>
              </w:rPr>
            </w:pPr>
            <w:r>
              <w:rPr>
                <w:sz w:val="22"/>
                <w:szCs w:val="22"/>
              </w:rPr>
              <w:t>720</w:t>
            </w:r>
          </w:p>
        </w:tc>
        <w:tc>
          <w:tcPr>
            <w:tcW w:w="1342" w:type="dxa"/>
            <w:vAlign w:val="bottom"/>
          </w:tcPr>
          <w:p w:rsidR="00000000" w:rsidRDefault="00000000">
            <w:pPr>
              <w:spacing w:before="40" w:after="40" w:line="192" w:lineRule="auto"/>
              <w:ind w:right="223"/>
              <w:jc w:val="right"/>
              <w:rPr>
                <w:sz w:val="22"/>
                <w:szCs w:val="22"/>
              </w:rPr>
            </w:pPr>
            <w:r>
              <w:rPr>
                <w:sz w:val="22"/>
                <w:szCs w:val="22"/>
              </w:rPr>
              <w:t>144,2</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Santarém</w:t>
            </w:r>
          </w:p>
        </w:tc>
        <w:tc>
          <w:tcPr>
            <w:tcW w:w="1080" w:type="dxa"/>
            <w:vAlign w:val="bottom"/>
          </w:tcPr>
          <w:p w:rsidR="00000000" w:rsidRDefault="00000000">
            <w:pPr>
              <w:spacing w:before="40" w:after="40" w:line="192" w:lineRule="auto"/>
              <w:ind w:right="223"/>
              <w:jc w:val="right"/>
              <w:rPr>
                <w:sz w:val="22"/>
                <w:szCs w:val="22"/>
              </w:rPr>
            </w:pPr>
            <w:r>
              <w:rPr>
                <w:sz w:val="22"/>
                <w:szCs w:val="22"/>
              </w:rPr>
              <w:t>26</w:t>
            </w:r>
          </w:p>
        </w:tc>
        <w:tc>
          <w:tcPr>
            <w:tcW w:w="1200" w:type="dxa"/>
            <w:vAlign w:val="bottom"/>
          </w:tcPr>
          <w:p w:rsidR="00000000" w:rsidRDefault="00000000">
            <w:pPr>
              <w:spacing w:before="40" w:after="40" w:line="192" w:lineRule="auto"/>
              <w:ind w:right="223"/>
              <w:jc w:val="right"/>
              <w:rPr>
                <w:sz w:val="22"/>
                <w:szCs w:val="22"/>
              </w:rPr>
            </w:pPr>
            <w:r>
              <w:rPr>
                <w:sz w:val="22"/>
                <w:szCs w:val="22"/>
              </w:rPr>
              <w:t>36</w:t>
            </w:r>
          </w:p>
        </w:tc>
        <w:tc>
          <w:tcPr>
            <w:tcW w:w="1341" w:type="dxa"/>
            <w:vAlign w:val="bottom"/>
          </w:tcPr>
          <w:p w:rsidR="00000000" w:rsidRDefault="00000000">
            <w:pPr>
              <w:spacing w:before="40" w:after="40" w:line="192" w:lineRule="auto"/>
              <w:ind w:right="223"/>
              <w:jc w:val="right"/>
              <w:rPr>
                <w:sz w:val="22"/>
                <w:szCs w:val="22"/>
              </w:rPr>
            </w:pPr>
            <w:r>
              <w:rPr>
                <w:sz w:val="22"/>
                <w:szCs w:val="22"/>
              </w:rPr>
              <w:t>72,2</w:t>
            </w:r>
          </w:p>
        </w:tc>
        <w:tc>
          <w:tcPr>
            <w:tcW w:w="1059" w:type="dxa"/>
            <w:vAlign w:val="bottom"/>
          </w:tcPr>
          <w:p w:rsidR="00000000" w:rsidRDefault="00000000">
            <w:pPr>
              <w:spacing w:before="40" w:after="40" w:line="192" w:lineRule="auto"/>
              <w:ind w:right="223"/>
              <w:jc w:val="right"/>
              <w:rPr>
                <w:sz w:val="22"/>
                <w:szCs w:val="22"/>
              </w:rPr>
            </w:pPr>
            <w:r>
              <w:rPr>
                <w:sz w:val="22"/>
                <w:szCs w:val="22"/>
              </w:rPr>
              <w:t>28</w:t>
            </w:r>
          </w:p>
        </w:tc>
        <w:tc>
          <w:tcPr>
            <w:tcW w:w="1200" w:type="dxa"/>
            <w:vAlign w:val="bottom"/>
          </w:tcPr>
          <w:p w:rsidR="00000000" w:rsidRDefault="00000000">
            <w:pPr>
              <w:spacing w:before="40" w:after="40" w:line="192" w:lineRule="auto"/>
              <w:ind w:right="223"/>
              <w:jc w:val="right"/>
              <w:rPr>
                <w:sz w:val="22"/>
                <w:szCs w:val="22"/>
              </w:rPr>
            </w:pPr>
            <w:r>
              <w:rPr>
                <w:sz w:val="22"/>
                <w:szCs w:val="22"/>
              </w:rPr>
              <w:t>36</w:t>
            </w:r>
          </w:p>
        </w:tc>
        <w:tc>
          <w:tcPr>
            <w:tcW w:w="1342" w:type="dxa"/>
            <w:vAlign w:val="bottom"/>
          </w:tcPr>
          <w:p w:rsidR="00000000" w:rsidRDefault="00000000">
            <w:pPr>
              <w:spacing w:before="40" w:after="40" w:line="192" w:lineRule="auto"/>
              <w:ind w:right="223"/>
              <w:jc w:val="right"/>
              <w:rPr>
                <w:sz w:val="22"/>
                <w:szCs w:val="22"/>
              </w:rPr>
            </w:pPr>
            <w:r>
              <w:rPr>
                <w:sz w:val="22"/>
                <w:szCs w:val="22"/>
              </w:rPr>
              <w:t>77,8</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S.C. do Bispo</w:t>
            </w:r>
          </w:p>
        </w:tc>
        <w:tc>
          <w:tcPr>
            <w:tcW w:w="1080" w:type="dxa"/>
            <w:vAlign w:val="bottom"/>
          </w:tcPr>
          <w:p w:rsidR="00000000" w:rsidRDefault="00000000">
            <w:pPr>
              <w:spacing w:before="40" w:after="40" w:line="192" w:lineRule="auto"/>
              <w:ind w:right="223"/>
              <w:jc w:val="right"/>
              <w:rPr>
                <w:sz w:val="22"/>
                <w:szCs w:val="22"/>
              </w:rPr>
            </w:pPr>
            <w:r>
              <w:rPr>
                <w:sz w:val="22"/>
                <w:szCs w:val="22"/>
              </w:rPr>
              <w:t>384</w:t>
            </w:r>
          </w:p>
        </w:tc>
        <w:tc>
          <w:tcPr>
            <w:tcW w:w="1200" w:type="dxa"/>
            <w:vAlign w:val="bottom"/>
          </w:tcPr>
          <w:p w:rsidR="00000000" w:rsidRDefault="00000000">
            <w:pPr>
              <w:spacing w:before="40" w:after="40" w:line="192" w:lineRule="auto"/>
              <w:ind w:right="223"/>
              <w:jc w:val="right"/>
              <w:rPr>
                <w:sz w:val="22"/>
                <w:szCs w:val="22"/>
              </w:rPr>
            </w:pPr>
            <w:r>
              <w:rPr>
                <w:sz w:val="22"/>
                <w:szCs w:val="22"/>
              </w:rPr>
              <w:t>342</w:t>
            </w:r>
          </w:p>
        </w:tc>
        <w:tc>
          <w:tcPr>
            <w:tcW w:w="1341" w:type="dxa"/>
            <w:vAlign w:val="bottom"/>
          </w:tcPr>
          <w:p w:rsidR="00000000" w:rsidRDefault="00000000">
            <w:pPr>
              <w:spacing w:before="40" w:after="40" w:line="192" w:lineRule="auto"/>
              <w:ind w:right="223"/>
              <w:jc w:val="right"/>
              <w:rPr>
                <w:sz w:val="22"/>
                <w:szCs w:val="22"/>
              </w:rPr>
            </w:pPr>
            <w:r>
              <w:rPr>
                <w:sz w:val="22"/>
                <w:szCs w:val="22"/>
              </w:rPr>
              <w:t>112,3</w:t>
            </w:r>
          </w:p>
        </w:tc>
        <w:tc>
          <w:tcPr>
            <w:tcW w:w="1059" w:type="dxa"/>
            <w:vAlign w:val="bottom"/>
          </w:tcPr>
          <w:p w:rsidR="00000000" w:rsidRDefault="00000000">
            <w:pPr>
              <w:spacing w:before="40" w:after="40" w:line="192" w:lineRule="auto"/>
              <w:ind w:right="223"/>
              <w:jc w:val="right"/>
              <w:rPr>
                <w:sz w:val="22"/>
                <w:szCs w:val="22"/>
              </w:rPr>
            </w:pPr>
            <w:r>
              <w:rPr>
                <w:sz w:val="22"/>
                <w:szCs w:val="22"/>
              </w:rPr>
              <w:t>372</w:t>
            </w:r>
          </w:p>
        </w:tc>
        <w:tc>
          <w:tcPr>
            <w:tcW w:w="1200" w:type="dxa"/>
            <w:vAlign w:val="bottom"/>
          </w:tcPr>
          <w:p w:rsidR="00000000" w:rsidRDefault="00000000">
            <w:pPr>
              <w:spacing w:before="40" w:after="40" w:line="192" w:lineRule="auto"/>
              <w:ind w:right="223"/>
              <w:jc w:val="right"/>
              <w:rPr>
                <w:sz w:val="22"/>
                <w:szCs w:val="22"/>
              </w:rPr>
            </w:pPr>
            <w:r>
              <w:rPr>
                <w:sz w:val="22"/>
                <w:szCs w:val="22"/>
              </w:rPr>
              <w:t>342</w:t>
            </w:r>
          </w:p>
        </w:tc>
        <w:tc>
          <w:tcPr>
            <w:tcW w:w="1342" w:type="dxa"/>
            <w:vAlign w:val="bottom"/>
          </w:tcPr>
          <w:p w:rsidR="00000000" w:rsidRDefault="00000000">
            <w:pPr>
              <w:spacing w:before="40" w:after="40" w:line="192" w:lineRule="auto"/>
              <w:ind w:right="223"/>
              <w:jc w:val="right"/>
              <w:rPr>
                <w:sz w:val="22"/>
                <w:szCs w:val="22"/>
              </w:rPr>
            </w:pPr>
            <w:r>
              <w:rPr>
                <w:sz w:val="22"/>
                <w:szCs w:val="22"/>
              </w:rPr>
              <w:t>108,8</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Sintra</w:t>
            </w:r>
          </w:p>
        </w:tc>
        <w:tc>
          <w:tcPr>
            <w:tcW w:w="1080" w:type="dxa"/>
            <w:vAlign w:val="bottom"/>
          </w:tcPr>
          <w:p w:rsidR="00000000" w:rsidRDefault="00000000">
            <w:pPr>
              <w:spacing w:before="40" w:after="40" w:line="192" w:lineRule="auto"/>
              <w:ind w:right="223"/>
              <w:jc w:val="right"/>
              <w:rPr>
                <w:sz w:val="22"/>
                <w:szCs w:val="22"/>
              </w:rPr>
            </w:pPr>
            <w:r>
              <w:rPr>
                <w:sz w:val="22"/>
                <w:szCs w:val="22"/>
              </w:rPr>
              <w:t>681</w:t>
            </w:r>
          </w:p>
        </w:tc>
        <w:tc>
          <w:tcPr>
            <w:tcW w:w="1200" w:type="dxa"/>
            <w:vAlign w:val="bottom"/>
          </w:tcPr>
          <w:p w:rsidR="00000000" w:rsidRDefault="00000000">
            <w:pPr>
              <w:spacing w:before="40" w:after="40" w:line="192" w:lineRule="auto"/>
              <w:ind w:right="223"/>
              <w:jc w:val="right"/>
              <w:rPr>
                <w:sz w:val="22"/>
                <w:szCs w:val="22"/>
              </w:rPr>
            </w:pPr>
            <w:r>
              <w:rPr>
                <w:sz w:val="22"/>
                <w:szCs w:val="22"/>
              </w:rPr>
              <w:t>729</w:t>
            </w:r>
          </w:p>
        </w:tc>
        <w:tc>
          <w:tcPr>
            <w:tcW w:w="1341" w:type="dxa"/>
            <w:vAlign w:val="bottom"/>
          </w:tcPr>
          <w:p w:rsidR="00000000" w:rsidRDefault="00000000">
            <w:pPr>
              <w:spacing w:before="40" w:after="40" w:line="192" w:lineRule="auto"/>
              <w:ind w:right="223"/>
              <w:jc w:val="right"/>
              <w:rPr>
                <w:sz w:val="22"/>
                <w:szCs w:val="22"/>
              </w:rPr>
            </w:pPr>
            <w:r>
              <w:rPr>
                <w:sz w:val="22"/>
                <w:szCs w:val="22"/>
              </w:rPr>
              <w:t>93,4</w:t>
            </w:r>
          </w:p>
        </w:tc>
        <w:tc>
          <w:tcPr>
            <w:tcW w:w="1059" w:type="dxa"/>
            <w:vAlign w:val="bottom"/>
          </w:tcPr>
          <w:p w:rsidR="00000000" w:rsidRDefault="00000000">
            <w:pPr>
              <w:spacing w:before="40" w:after="40" w:line="192" w:lineRule="auto"/>
              <w:ind w:right="223"/>
              <w:jc w:val="right"/>
              <w:rPr>
                <w:sz w:val="22"/>
                <w:szCs w:val="22"/>
              </w:rPr>
            </w:pPr>
            <w:r>
              <w:rPr>
                <w:sz w:val="22"/>
                <w:szCs w:val="22"/>
              </w:rPr>
              <w:t>716</w:t>
            </w:r>
          </w:p>
        </w:tc>
        <w:tc>
          <w:tcPr>
            <w:tcW w:w="1200" w:type="dxa"/>
            <w:vAlign w:val="bottom"/>
          </w:tcPr>
          <w:p w:rsidR="00000000" w:rsidRDefault="00000000">
            <w:pPr>
              <w:spacing w:before="40" w:after="40" w:line="192" w:lineRule="auto"/>
              <w:ind w:right="223"/>
              <w:jc w:val="right"/>
              <w:rPr>
                <w:sz w:val="22"/>
                <w:szCs w:val="22"/>
              </w:rPr>
            </w:pPr>
            <w:r>
              <w:rPr>
                <w:sz w:val="22"/>
                <w:szCs w:val="22"/>
              </w:rPr>
              <w:t>729</w:t>
            </w:r>
          </w:p>
        </w:tc>
        <w:tc>
          <w:tcPr>
            <w:tcW w:w="1342" w:type="dxa"/>
            <w:vAlign w:val="bottom"/>
          </w:tcPr>
          <w:p w:rsidR="00000000" w:rsidRDefault="00000000">
            <w:pPr>
              <w:spacing w:before="40" w:after="40" w:line="192" w:lineRule="auto"/>
              <w:ind w:right="223"/>
              <w:jc w:val="right"/>
              <w:rPr>
                <w:sz w:val="22"/>
                <w:szCs w:val="22"/>
              </w:rPr>
            </w:pPr>
            <w:r>
              <w:rPr>
                <w:sz w:val="22"/>
                <w:szCs w:val="22"/>
              </w:rPr>
              <w:t>98,2</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Vale de Judeus</w:t>
            </w:r>
          </w:p>
        </w:tc>
        <w:tc>
          <w:tcPr>
            <w:tcW w:w="1080" w:type="dxa"/>
            <w:vAlign w:val="bottom"/>
          </w:tcPr>
          <w:p w:rsidR="00000000" w:rsidRDefault="00000000">
            <w:pPr>
              <w:spacing w:before="40" w:after="40" w:line="192" w:lineRule="auto"/>
              <w:ind w:right="223"/>
              <w:jc w:val="right"/>
              <w:rPr>
                <w:sz w:val="22"/>
                <w:szCs w:val="22"/>
              </w:rPr>
            </w:pPr>
            <w:r>
              <w:rPr>
                <w:sz w:val="22"/>
                <w:szCs w:val="22"/>
              </w:rPr>
              <w:t>514</w:t>
            </w:r>
          </w:p>
        </w:tc>
        <w:tc>
          <w:tcPr>
            <w:tcW w:w="1200" w:type="dxa"/>
            <w:vAlign w:val="bottom"/>
          </w:tcPr>
          <w:p w:rsidR="00000000" w:rsidRDefault="00000000">
            <w:pPr>
              <w:spacing w:before="40" w:after="40" w:line="192" w:lineRule="auto"/>
              <w:ind w:right="223"/>
              <w:jc w:val="right"/>
              <w:rPr>
                <w:sz w:val="22"/>
                <w:szCs w:val="22"/>
              </w:rPr>
            </w:pPr>
            <w:r>
              <w:rPr>
                <w:sz w:val="22"/>
                <w:szCs w:val="22"/>
              </w:rPr>
              <w:t>504</w:t>
            </w:r>
          </w:p>
        </w:tc>
        <w:tc>
          <w:tcPr>
            <w:tcW w:w="1341" w:type="dxa"/>
            <w:vAlign w:val="bottom"/>
          </w:tcPr>
          <w:p w:rsidR="00000000" w:rsidRDefault="00000000">
            <w:pPr>
              <w:spacing w:before="40" w:after="40" w:line="192" w:lineRule="auto"/>
              <w:ind w:right="223"/>
              <w:jc w:val="right"/>
              <w:rPr>
                <w:sz w:val="22"/>
                <w:szCs w:val="22"/>
              </w:rPr>
            </w:pPr>
            <w:r>
              <w:rPr>
                <w:sz w:val="22"/>
                <w:szCs w:val="22"/>
              </w:rPr>
              <w:t>102,0</w:t>
            </w:r>
          </w:p>
        </w:tc>
        <w:tc>
          <w:tcPr>
            <w:tcW w:w="1059" w:type="dxa"/>
            <w:vAlign w:val="bottom"/>
          </w:tcPr>
          <w:p w:rsidR="00000000" w:rsidRDefault="00000000">
            <w:pPr>
              <w:spacing w:before="40" w:after="40" w:line="192" w:lineRule="auto"/>
              <w:ind w:right="223"/>
              <w:jc w:val="right"/>
              <w:rPr>
                <w:sz w:val="22"/>
                <w:szCs w:val="22"/>
              </w:rPr>
            </w:pPr>
            <w:r>
              <w:rPr>
                <w:sz w:val="22"/>
                <w:szCs w:val="22"/>
              </w:rPr>
              <w:t>525</w:t>
            </w:r>
          </w:p>
        </w:tc>
        <w:tc>
          <w:tcPr>
            <w:tcW w:w="1200" w:type="dxa"/>
            <w:vAlign w:val="bottom"/>
          </w:tcPr>
          <w:p w:rsidR="00000000" w:rsidRDefault="00000000">
            <w:pPr>
              <w:spacing w:before="40" w:after="40" w:line="192" w:lineRule="auto"/>
              <w:ind w:right="223"/>
              <w:jc w:val="right"/>
              <w:rPr>
                <w:sz w:val="22"/>
                <w:szCs w:val="22"/>
              </w:rPr>
            </w:pPr>
            <w:r>
              <w:rPr>
                <w:sz w:val="22"/>
                <w:szCs w:val="22"/>
              </w:rPr>
              <w:t>504</w:t>
            </w:r>
          </w:p>
        </w:tc>
        <w:tc>
          <w:tcPr>
            <w:tcW w:w="1342" w:type="dxa"/>
            <w:vAlign w:val="bottom"/>
          </w:tcPr>
          <w:p w:rsidR="00000000" w:rsidRDefault="00000000">
            <w:pPr>
              <w:spacing w:before="40" w:after="40" w:line="192" w:lineRule="auto"/>
              <w:ind w:right="223"/>
              <w:jc w:val="right"/>
              <w:rPr>
                <w:sz w:val="22"/>
                <w:szCs w:val="22"/>
              </w:rPr>
            </w:pPr>
            <w:r>
              <w:rPr>
                <w:sz w:val="22"/>
                <w:szCs w:val="22"/>
              </w:rPr>
              <w:t>104,2</w:t>
            </w:r>
          </w:p>
        </w:tc>
      </w:tr>
      <w:tr w:rsidR="00000000">
        <w:trPr>
          <w:trHeight w:hRule="exact" w:val="397"/>
          <w:jc w:val="center"/>
        </w:trPr>
        <w:tc>
          <w:tcPr>
            <w:tcW w:w="2208" w:type="dxa"/>
            <w:vAlign w:val="center"/>
          </w:tcPr>
          <w:p w:rsidR="00000000" w:rsidRDefault="00000000">
            <w:pPr>
              <w:spacing w:before="40" w:after="40" w:line="192" w:lineRule="auto"/>
              <w:rPr>
                <w:b/>
                <w:bCs/>
                <w:sz w:val="22"/>
                <w:szCs w:val="22"/>
              </w:rPr>
            </w:pPr>
            <w:r>
              <w:rPr>
                <w:b/>
                <w:bCs/>
                <w:sz w:val="22"/>
                <w:szCs w:val="22"/>
              </w:rPr>
              <w:t>Total partiel</w:t>
            </w:r>
          </w:p>
        </w:tc>
        <w:tc>
          <w:tcPr>
            <w:tcW w:w="1080" w:type="dxa"/>
            <w:vAlign w:val="bottom"/>
          </w:tcPr>
          <w:p w:rsidR="00000000" w:rsidRDefault="00000000">
            <w:pPr>
              <w:spacing w:before="40" w:after="40" w:line="192" w:lineRule="auto"/>
              <w:ind w:right="223"/>
              <w:jc w:val="right"/>
              <w:rPr>
                <w:sz w:val="22"/>
                <w:szCs w:val="22"/>
              </w:rPr>
            </w:pPr>
            <w:r>
              <w:rPr>
                <w:sz w:val="22"/>
                <w:szCs w:val="22"/>
              </w:rPr>
              <w:t>8 701</w:t>
            </w:r>
          </w:p>
        </w:tc>
        <w:tc>
          <w:tcPr>
            <w:tcW w:w="1200" w:type="dxa"/>
            <w:vAlign w:val="bottom"/>
          </w:tcPr>
          <w:p w:rsidR="00000000" w:rsidRDefault="00000000">
            <w:pPr>
              <w:spacing w:before="40" w:after="40" w:line="192" w:lineRule="auto"/>
              <w:ind w:right="223"/>
              <w:jc w:val="right"/>
              <w:rPr>
                <w:sz w:val="22"/>
                <w:szCs w:val="22"/>
              </w:rPr>
            </w:pPr>
            <w:r>
              <w:rPr>
                <w:sz w:val="22"/>
                <w:szCs w:val="22"/>
              </w:rPr>
              <w:t>8 239</w:t>
            </w:r>
          </w:p>
        </w:tc>
        <w:tc>
          <w:tcPr>
            <w:tcW w:w="1341" w:type="dxa"/>
            <w:vAlign w:val="bottom"/>
          </w:tcPr>
          <w:p w:rsidR="00000000" w:rsidRDefault="00000000">
            <w:pPr>
              <w:spacing w:before="40" w:after="40" w:line="192" w:lineRule="auto"/>
              <w:ind w:right="223"/>
              <w:jc w:val="right"/>
              <w:rPr>
                <w:sz w:val="22"/>
                <w:szCs w:val="22"/>
              </w:rPr>
            </w:pPr>
            <w:r>
              <w:rPr>
                <w:sz w:val="22"/>
                <w:szCs w:val="22"/>
              </w:rPr>
              <w:t>105,6</w:t>
            </w:r>
          </w:p>
        </w:tc>
        <w:tc>
          <w:tcPr>
            <w:tcW w:w="1059" w:type="dxa"/>
            <w:vAlign w:val="bottom"/>
          </w:tcPr>
          <w:p w:rsidR="00000000" w:rsidRDefault="00000000">
            <w:pPr>
              <w:spacing w:before="40" w:after="40" w:line="192" w:lineRule="auto"/>
              <w:ind w:right="223"/>
              <w:jc w:val="right"/>
              <w:rPr>
                <w:sz w:val="22"/>
                <w:szCs w:val="22"/>
              </w:rPr>
            </w:pPr>
            <w:r>
              <w:rPr>
                <w:sz w:val="22"/>
                <w:szCs w:val="22"/>
              </w:rPr>
              <w:t>8 744</w:t>
            </w:r>
          </w:p>
        </w:tc>
        <w:tc>
          <w:tcPr>
            <w:tcW w:w="1200" w:type="dxa"/>
            <w:vAlign w:val="bottom"/>
          </w:tcPr>
          <w:p w:rsidR="00000000" w:rsidRDefault="00000000">
            <w:pPr>
              <w:spacing w:before="40" w:after="40" w:line="192" w:lineRule="auto"/>
              <w:ind w:right="223"/>
              <w:jc w:val="right"/>
              <w:rPr>
                <w:sz w:val="22"/>
                <w:szCs w:val="22"/>
              </w:rPr>
            </w:pPr>
            <w:r>
              <w:rPr>
                <w:sz w:val="22"/>
                <w:szCs w:val="22"/>
              </w:rPr>
              <w:t>8 389</w:t>
            </w:r>
          </w:p>
        </w:tc>
        <w:tc>
          <w:tcPr>
            <w:tcW w:w="1342" w:type="dxa"/>
            <w:vAlign w:val="bottom"/>
          </w:tcPr>
          <w:p w:rsidR="00000000" w:rsidRDefault="00000000">
            <w:pPr>
              <w:spacing w:before="40" w:after="40" w:line="192" w:lineRule="auto"/>
              <w:ind w:right="223"/>
              <w:jc w:val="right"/>
              <w:rPr>
                <w:sz w:val="22"/>
                <w:szCs w:val="22"/>
              </w:rPr>
            </w:pPr>
            <w:r>
              <w:rPr>
                <w:sz w:val="22"/>
                <w:szCs w:val="22"/>
              </w:rPr>
              <w:t>104,2</w:t>
            </w:r>
          </w:p>
        </w:tc>
      </w:tr>
      <w:tr w:rsidR="00000000">
        <w:trPr>
          <w:jc w:val="center"/>
        </w:trPr>
        <w:tc>
          <w:tcPr>
            <w:tcW w:w="2208" w:type="dxa"/>
            <w:vAlign w:val="center"/>
          </w:tcPr>
          <w:p w:rsidR="00000000" w:rsidRDefault="00000000">
            <w:pPr>
              <w:spacing w:before="40" w:after="40" w:line="192" w:lineRule="auto"/>
              <w:rPr>
                <w:b/>
                <w:bCs/>
                <w:sz w:val="22"/>
                <w:szCs w:val="22"/>
              </w:rPr>
            </w:pPr>
            <w:r>
              <w:rPr>
                <w:b/>
                <w:bCs/>
                <w:sz w:val="22"/>
                <w:szCs w:val="22"/>
              </w:rPr>
              <w:t>Établissements spéciaux</w:t>
            </w:r>
          </w:p>
        </w:tc>
        <w:tc>
          <w:tcPr>
            <w:tcW w:w="1080" w:type="dxa"/>
            <w:vAlign w:val="bottom"/>
          </w:tcPr>
          <w:p w:rsidR="00000000" w:rsidRDefault="00000000">
            <w:pPr>
              <w:spacing w:before="40" w:after="40" w:line="192" w:lineRule="auto"/>
              <w:ind w:right="223"/>
              <w:jc w:val="right"/>
              <w:rPr>
                <w:sz w:val="22"/>
                <w:szCs w:val="22"/>
              </w:rPr>
            </w:pPr>
          </w:p>
        </w:tc>
        <w:tc>
          <w:tcPr>
            <w:tcW w:w="1200" w:type="dxa"/>
            <w:vAlign w:val="bottom"/>
          </w:tcPr>
          <w:p w:rsidR="00000000" w:rsidRDefault="00000000">
            <w:pPr>
              <w:spacing w:before="40" w:after="40" w:line="192" w:lineRule="auto"/>
              <w:ind w:right="223"/>
              <w:jc w:val="right"/>
              <w:rPr>
                <w:sz w:val="22"/>
                <w:szCs w:val="22"/>
              </w:rPr>
            </w:pPr>
          </w:p>
        </w:tc>
        <w:tc>
          <w:tcPr>
            <w:tcW w:w="1341" w:type="dxa"/>
            <w:vAlign w:val="bottom"/>
          </w:tcPr>
          <w:p w:rsidR="00000000" w:rsidRDefault="00000000">
            <w:pPr>
              <w:spacing w:before="40" w:after="40" w:line="192" w:lineRule="auto"/>
              <w:ind w:right="223"/>
              <w:jc w:val="right"/>
              <w:rPr>
                <w:sz w:val="22"/>
                <w:szCs w:val="22"/>
              </w:rPr>
            </w:pPr>
          </w:p>
        </w:tc>
        <w:tc>
          <w:tcPr>
            <w:tcW w:w="1059" w:type="dxa"/>
            <w:vAlign w:val="bottom"/>
          </w:tcPr>
          <w:p w:rsidR="00000000" w:rsidRDefault="00000000">
            <w:pPr>
              <w:spacing w:before="40" w:after="40" w:line="192" w:lineRule="auto"/>
              <w:ind w:right="223"/>
              <w:jc w:val="right"/>
              <w:rPr>
                <w:sz w:val="22"/>
                <w:szCs w:val="22"/>
              </w:rPr>
            </w:pPr>
          </w:p>
        </w:tc>
        <w:tc>
          <w:tcPr>
            <w:tcW w:w="1200" w:type="dxa"/>
            <w:vAlign w:val="bottom"/>
          </w:tcPr>
          <w:p w:rsidR="00000000" w:rsidRDefault="00000000">
            <w:pPr>
              <w:spacing w:before="40" w:after="40" w:line="192" w:lineRule="auto"/>
              <w:ind w:right="223"/>
              <w:jc w:val="right"/>
              <w:rPr>
                <w:sz w:val="22"/>
                <w:szCs w:val="22"/>
              </w:rPr>
            </w:pPr>
          </w:p>
        </w:tc>
        <w:tc>
          <w:tcPr>
            <w:tcW w:w="1342" w:type="dxa"/>
            <w:vAlign w:val="bottom"/>
          </w:tcPr>
          <w:p w:rsidR="00000000" w:rsidRDefault="00000000">
            <w:pPr>
              <w:spacing w:before="40" w:after="40" w:line="192" w:lineRule="auto"/>
              <w:ind w:right="223"/>
              <w:jc w:val="right"/>
              <w:rPr>
                <w:sz w:val="22"/>
                <w:szCs w:val="22"/>
              </w:rPr>
            </w:pP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Leiria</w:t>
            </w:r>
          </w:p>
        </w:tc>
        <w:tc>
          <w:tcPr>
            <w:tcW w:w="1080" w:type="dxa"/>
            <w:vAlign w:val="bottom"/>
          </w:tcPr>
          <w:p w:rsidR="00000000" w:rsidRDefault="00000000">
            <w:pPr>
              <w:spacing w:before="40" w:after="40" w:line="192" w:lineRule="auto"/>
              <w:ind w:right="223"/>
              <w:jc w:val="right"/>
              <w:rPr>
                <w:sz w:val="22"/>
                <w:szCs w:val="22"/>
              </w:rPr>
            </w:pPr>
            <w:r>
              <w:rPr>
                <w:sz w:val="22"/>
                <w:szCs w:val="22"/>
              </w:rPr>
              <w:t>313</w:t>
            </w:r>
          </w:p>
        </w:tc>
        <w:tc>
          <w:tcPr>
            <w:tcW w:w="1200" w:type="dxa"/>
            <w:vAlign w:val="bottom"/>
          </w:tcPr>
          <w:p w:rsidR="00000000" w:rsidRDefault="00000000">
            <w:pPr>
              <w:spacing w:before="40" w:after="40" w:line="192" w:lineRule="auto"/>
              <w:ind w:right="223"/>
              <w:jc w:val="right"/>
              <w:rPr>
                <w:sz w:val="22"/>
                <w:szCs w:val="22"/>
              </w:rPr>
            </w:pPr>
            <w:r>
              <w:rPr>
                <w:sz w:val="22"/>
                <w:szCs w:val="22"/>
              </w:rPr>
              <w:t>347</w:t>
            </w:r>
          </w:p>
        </w:tc>
        <w:tc>
          <w:tcPr>
            <w:tcW w:w="1341" w:type="dxa"/>
            <w:vAlign w:val="bottom"/>
          </w:tcPr>
          <w:p w:rsidR="00000000" w:rsidRDefault="00000000">
            <w:pPr>
              <w:spacing w:before="40" w:after="40" w:line="192" w:lineRule="auto"/>
              <w:ind w:right="223"/>
              <w:jc w:val="right"/>
              <w:rPr>
                <w:sz w:val="22"/>
                <w:szCs w:val="22"/>
              </w:rPr>
            </w:pPr>
            <w:r>
              <w:rPr>
                <w:sz w:val="22"/>
                <w:szCs w:val="22"/>
              </w:rPr>
              <w:t>90,2</w:t>
            </w:r>
          </w:p>
        </w:tc>
        <w:tc>
          <w:tcPr>
            <w:tcW w:w="1059" w:type="dxa"/>
            <w:vAlign w:val="bottom"/>
          </w:tcPr>
          <w:p w:rsidR="00000000" w:rsidRDefault="00000000">
            <w:pPr>
              <w:spacing w:before="40" w:after="40" w:line="192" w:lineRule="auto"/>
              <w:ind w:right="223"/>
              <w:jc w:val="right"/>
              <w:rPr>
                <w:sz w:val="22"/>
                <w:szCs w:val="22"/>
              </w:rPr>
            </w:pPr>
            <w:r>
              <w:rPr>
                <w:sz w:val="22"/>
                <w:szCs w:val="22"/>
              </w:rPr>
              <w:t>330</w:t>
            </w:r>
          </w:p>
        </w:tc>
        <w:tc>
          <w:tcPr>
            <w:tcW w:w="1200" w:type="dxa"/>
            <w:vAlign w:val="bottom"/>
          </w:tcPr>
          <w:p w:rsidR="00000000" w:rsidRDefault="00000000">
            <w:pPr>
              <w:spacing w:before="40" w:after="40" w:line="192" w:lineRule="auto"/>
              <w:ind w:right="223"/>
              <w:jc w:val="right"/>
              <w:rPr>
                <w:sz w:val="22"/>
                <w:szCs w:val="22"/>
              </w:rPr>
            </w:pPr>
            <w:r>
              <w:rPr>
                <w:sz w:val="22"/>
                <w:szCs w:val="22"/>
              </w:rPr>
              <w:t>347</w:t>
            </w:r>
          </w:p>
        </w:tc>
        <w:tc>
          <w:tcPr>
            <w:tcW w:w="1342" w:type="dxa"/>
            <w:vAlign w:val="bottom"/>
          </w:tcPr>
          <w:p w:rsidR="00000000" w:rsidRDefault="00000000">
            <w:pPr>
              <w:spacing w:before="40" w:after="40" w:line="192" w:lineRule="auto"/>
              <w:ind w:right="223"/>
              <w:jc w:val="right"/>
              <w:rPr>
                <w:sz w:val="22"/>
                <w:szCs w:val="22"/>
              </w:rPr>
            </w:pPr>
            <w:r>
              <w:rPr>
                <w:sz w:val="22"/>
                <w:szCs w:val="22"/>
              </w:rPr>
              <w:t>95,1</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Tires</w:t>
            </w:r>
          </w:p>
        </w:tc>
        <w:tc>
          <w:tcPr>
            <w:tcW w:w="1080" w:type="dxa"/>
            <w:vAlign w:val="bottom"/>
          </w:tcPr>
          <w:p w:rsidR="00000000" w:rsidRDefault="00000000">
            <w:pPr>
              <w:spacing w:before="40" w:after="40" w:line="192" w:lineRule="auto"/>
              <w:ind w:right="223"/>
              <w:jc w:val="right"/>
              <w:rPr>
                <w:sz w:val="22"/>
                <w:szCs w:val="22"/>
              </w:rPr>
            </w:pPr>
            <w:r>
              <w:rPr>
                <w:sz w:val="22"/>
                <w:szCs w:val="22"/>
              </w:rPr>
              <w:t>686</w:t>
            </w:r>
          </w:p>
        </w:tc>
        <w:tc>
          <w:tcPr>
            <w:tcW w:w="1200" w:type="dxa"/>
            <w:vAlign w:val="bottom"/>
          </w:tcPr>
          <w:p w:rsidR="00000000" w:rsidRDefault="00000000">
            <w:pPr>
              <w:spacing w:before="40" w:after="40" w:line="192" w:lineRule="auto"/>
              <w:ind w:right="223"/>
              <w:jc w:val="right"/>
              <w:rPr>
                <w:sz w:val="22"/>
                <w:szCs w:val="22"/>
              </w:rPr>
            </w:pPr>
            <w:r>
              <w:rPr>
                <w:sz w:val="22"/>
                <w:szCs w:val="22"/>
              </w:rPr>
              <w:t>633</w:t>
            </w:r>
          </w:p>
        </w:tc>
        <w:tc>
          <w:tcPr>
            <w:tcW w:w="1341" w:type="dxa"/>
            <w:vAlign w:val="bottom"/>
          </w:tcPr>
          <w:p w:rsidR="00000000" w:rsidRDefault="00000000">
            <w:pPr>
              <w:spacing w:before="40" w:after="40" w:line="192" w:lineRule="auto"/>
              <w:ind w:right="223"/>
              <w:jc w:val="right"/>
              <w:rPr>
                <w:sz w:val="22"/>
                <w:szCs w:val="22"/>
              </w:rPr>
            </w:pPr>
            <w:r>
              <w:rPr>
                <w:sz w:val="22"/>
                <w:szCs w:val="22"/>
              </w:rPr>
              <w:t>108,4</w:t>
            </w:r>
          </w:p>
        </w:tc>
        <w:tc>
          <w:tcPr>
            <w:tcW w:w="1059" w:type="dxa"/>
            <w:vAlign w:val="bottom"/>
          </w:tcPr>
          <w:p w:rsidR="00000000" w:rsidRDefault="00000000">
            <w:pPr>
              <w:spacing w:before="40" w:after="40" w:line="192" w:lineRule="auto"/>
              <w:ind w:right="223"/>
              <w:jc w:val="right"/>
              <w:rPr>
                <w:sz w:val="22"/>
                <w:szCs w:val="22"/>
              </w:rPr>
            </w:pPr>
            <w:r>
              <w:rPr>
                <w:sz w:val="22"/>
                <w:szCs w:val="22"/>
              </w:rPr>
              <w:t>607</w:t>
            </w:r>
          </w:p>
        </w:tc>
        <w:tc>
          <w:tcPr>
            <w:tcW w:w="1200" w:type="dxa"/>
            <w:vAlign w:val="bottom"/>
          </w:tcPr>
          <w:p w:rsidR="00000000" w:rsidRDefault="00000000">
            <w:pPr>
              <w:spacing w:before="40" w:after="40" w:line="192" w:lineRule="auto"/>
              <w:ind w:right="223"/>
              <w:jc w:val="right"/>
              <w:rPr>
                <w:sz w:val="22"/>
                <w:szCs w:val="22"/>
              </w:rPr>
            </w:pPr>
            <w:r>
              <w:rPr>
                <w:sz w:val="22"/>
                <w:szCs w:val="22"/>
              </w:rPr>
              <w:t>633</w:t>
            </w:r>
          </w:p>
        </w:tc>
        <w:tc>
          <w:tcPr>
            <w:tcW w:w="1342" w:type="dxa"/>
            <w:vAlign w:val="bottom"/>
          </w:tcPr>
          <w:p w:rsidR="00000000" w:rsidRDefault="00000000">
            <w:pPr>
              <w:spacing w:before="40" w:after="40" w:line="192" w:lineRule="auto"/>
              <w:ind w:right="223"/>
              <w:jc w:val="right"/>
              <w:rPr>
                <w:sz w:val="22"/>
                <w:szCs w:val="22"/>
              </w:rPr>
            </w:pPr>
            <w:r>
              <w:rPr>
                <w:sz w:val="22"/>
                <w:szCs w:val="22"/>
              </w:rPr>
              <w:t>95,9</w:t>
            </w:r>
          </w:p>
        </w:tc>
      </w:tr>
      <w:tr w:rsidR="00000000">
        <w:trPr>
          <w:jc w:val="center"/>
        </w:trPr>
        <w:tc>
          <w:tcPr>
            <w:tcW w:w="2208" w:type="dxa"/>
            <w:vAlign w:val="center"/>
          </w:tcPr>
          <w:p w:rsidR="00000000" w:rsidRDefault="00000000">
            <w:pPr>
              <w:spacing w:before="40" w:after="40" w:line="192" w:lineRule="auto"/>
              <w:rPr>
                <w:sz w:val="22"/>
                <w:szCs w:val="22"/>
              </w:rPr>
            </w:pPr>
            <w:r>
              <w:rPr>
                <w:sz w:val="22"/>
                <w:szCs w:val="22"/>
              </w:rPr>
              <w:t>Hôpital São João de Deus</w:t>
            </w:r>
            <w:r>
              <w:rPr>
                <w:b/>
                <w:bCs/>
                <w:sz w:val="22"/>
                <w:szCs w:val="22"/>
                <w:vertAlign w:val="superscript"/>
              </w:rPr>
              <w:t>c</w:t>
            </w:r>
          </w:p>
        </w:tc>
        <w:tc>
          <w:tcPr>
            <w:tcW w:w="1080" w:type="dxa"/>
            <w:vAlign w:val="bottom"/>
          </w:tcPr>
          <w:p w:rsidR="00000000" w:rsidRDefault="00000000">
            <w:pPr>
              <w:spacing w:before="40" w:after="40" w:line="192" w:lineRule="auto"/>
              <w:ind w:right="223"/>
              <w:jc w:val="right"/>
              <w:rPr>
                <w:sz w:val="22"/>
                <w:szCs w:val="22"/>
              </w:rPr>
            </w:pPr>
            <w:r>
              <w:rPr>
                <w:sz w:val="22"/>
                <w:szCs w:val="22"/>
              </w:rPr>
              <w:t>124</w:t>
            </w:r>
          </w:p>
        </w:tc>
        <w:tc>
          <w:tcPr>
            <w:tcW w:w="1200" w:type="dxa"/>
            <w:vAlign w:val="bottom"/>
          </w:tcPr>
          <w:p w:rsidR="00000000" w:rsidRDefault="00000000">
            <w:pPr>
              <w:spacing w:before="40" w:after="40" w:line="192" w:lineRule="auto"/>
              <w:ind w:right="223"/>
              <w:jc w:val="right"/>
              <w:rPr>
                <w:sz w:val="22"/>
                <w:szCs w:val="22"/>
              </w:rPr>
            </w:pPr>
            <w:r>
              <w:rPr>
                <w:sz w:val="22"/>
                <w:szCs w:val="22"/>
              </w:rPr>
              <w:t>195</w:t>
            </w:r>
          </w:p>
        </w:tc>
        <w:tc>
          <w:tcPr>
            <w:tcW w:w="1341" w:type="dxa"/>
            <w:vAlign w:val="bottom"/>
          </w:tcPr>
          <w:p w:rsidR="00000000" w:rsidRDefault="00000000">
            <w:pPr>
              <w:spacing w:before="40" w:after="40" w:line="192" w:lineRule="auto"/>
              <w:ind w:right="223"/>
              <w:jc w:val="right"/>
              <w:rPr>
                <w:sz w:val="22"/>
                <w:szCs w:val="22"/>
              </w:rPr>
            </w:pPr>
            <w:r>
              <w:rPr>
                <w:sz w:val="22"/>
                <w:szCs w:val="22"/>
              </w:rPr>
              <w:t>63,6</w:t>
            </w:r>
          </w:p>
        </w:tc>
        <w:tc>
          <w:tcPr>
            <w:tcW w:w="1059" w:type="dxa"/>
            <w:vAlign w:val="bottom"/>
          </w:tcPr>
          <w:p w:rsidR="00000000" w:rsidRDefault="00000000">
            <w:pPr>
              <w:spacing w:before="40" w:after="40" w:line="192" w:lineRule="auto"/>
              <w:ind w:right="223"/>
              <w:jc w:val="right"/>
              <w:rPr>
                <w:sz w:val="22"/>
                <w:szCs w:val="22"/>
              </w:rPr>
            </w:pPr>
            <w:r>
              <w:rPr>
                <w:sz w:val="22"/>
                <w:szCs w:val="22"/>
              </w:rPr>
              <w:t>168</w:t>
            </w:r>
          </w:p>
        </w:tc>
        <w:tc>
          <w:tcPr>
            <w:tcW w:w="1200" w:type="dxa"/>
            <w:vAlign w:val="bottom"/>
          </w:tcPr>
          <w:p w:rsidR="00000000" w:rsidRDefault="00000000">
            <w:pPr>
              <w:spacing w:before="40" w:after="40" w:line="192" w:lineRule="auto"/>
              <w:ind w:right="223"/>
              <w:jc w:val="right"/>
              <w:rPr>
                <w:sz w:val="22"/>
                <w:szCs w:val="22"/>
              </w:rPr>
            </w:pPr>
            <w:r>
              <w:rPr>
                <w:sz w:val="22"/>
                <w:szCs w:val="22"/>
              </w:rPr>
              <w:t>195</w:t>
            </w:r>
          </w:p>
        </w:tc>
        <w:tc>
          <w:tcPr>
            <w:tcW w:w="1342" w:type="dxa"/>
            <w:vAlign w:val="bottom"/>
          </w:tcPr>
          <w:p w:rsidR="00000000" w:rsidRDefault="00000000">
            <w:pPr>
              <w:spacing w:before="40" w:after="40" w:line="192" w:lineRule="auto"/>
              <w:ind w:right="223"/>
              <w:jc w:val="right"/>
              <w:rPr>
                <w:sz w:val="22"/>
                <w:szCs w:val="22"/>
              </w:rPr>
            </w:pPr>
            <w:r>
              <w:rPr>
                <w:sz w:val="22"/>
                <w:szCs w:val="22"/>
              </w:rPr>
              <w:t>86,2</w:t>
            </w:r>
          </w:p>
        </w:tc>
      </w:tr>
      <w:tr w:rsidR="00000000">
        <w:trPr>
          <w:trHeight w:val="397"/>
          <w:jc w:val="center"/>
        </w:trPr>
        <w:tc>
          <w:tcPr>
            <w:tcW w:w="2208" w:type="dxa"/>
            <w:vAlign w:val="center"/>
          </w:tcPr>
          <w:p w:rsidR="00000000" w:rsidRDefault="00000000">
            <w:pPr>
              <w:spacing w:before="40" w:after="40" w:line="192" w:lineRule="auto"/>
              <w:rPr>
                <w:b/>
                <w:bCs/>
                <w:sz w:val="22"/>
                <w:szCs w:val="22"/>
              </w:rPr>
            </w:pPr>
            <w:r>
              <w:rPr>
                <w:b/>
                <w:bCs/>
                <w:sz w:val="22"/>
                <w:szCs w:val="22"/>
              </w:rPr>
              <w:t>Total partiel</w:t>
            </w:r>
          </w:p>
        </w:tc>
        <w:tc>
          <w:tcPr>
            <w:tcW w:w="1080" w:type="dxa"/>
            <w:vAlign w:val="bottom"/>
          </w:tcPr>
          <w:p w:rsidR="00000000" w:rsidRDefault="00000000">
            <w:pPr>
              <w:spacing w:before="40" w:after="40" w:line="192" w:lineRule="auto"/>
              <w:ind w:right="223"/>
              <w:jc w:val="right"/>
              <w:rPr>
                <w:sz w:val="22"/>
                <w:szCs w:val="22"/>
              </w:rPr>
            </w:pPr>
            <w:r>
              <w:rPr>
                <w:sz w:val="22"/>
                <w:szCs w:val="22"/>
              </w:rPr>
              <w:t>9 824</w:t>
            </w:r>
          </w:p>
        </w:tc>
        <w:tc>
          <w:tcPr>
            <w:tcW w:w="1200" w:type="dxa"/>
            <w:vAlign w:val="bottom"/>
          </w:tcPr>
          <w:p w:rsidR="00000000" w:rsidRDefault="00000000">
            <w:pPr>
              <w:spacing w:before="40" w:after="40" w:line="192" w:lineRule="auto"/>
              <w:ind w:right="223"/>
              <w:jc w:val="right"/>
              <w:rPr>
                <w:sz w:val="22"/>
                <w:szCs w:val="22"/>
              </w:rPr>
            </w:pPr>
            <w:r>
              <w:rPr>
                <w:sz w:val="22"/>
                <w:szCs w:val="22"/>
              </w:rPr>
              <w:t>9 414</w:t>
            </w:r>
          </w:p>
        </w:tc>
        <w:tc>
          <w:tcPr>
            <w:tcW w:w="1341" w:type="dxa"/>
            <w:vAlign w:val="bottom"/>
          </w:tcPr>
          <w:p w:rsidR="00000000" w:rsidRDefault="00000000">
            <w:pPr>
              <w:spacing w:before="40" w:after="40" w:line="192" w:lineRule="auto"/>
              <w:ind w:right="223"/>
              <w:jc w:val="right"/>
              <w:rPr>
                <w:sz w:val="22"/>
                <w:szCs w:val="22"/>
              </w:rPr>
            </w:pPr>
            <w:r>
              <w:rPr>
                <w:sz w:val="22"/>
                <w:szCs w:val="22"/>
              </w:rPr>
              <w:t>104,4</w:t>
            </w:r>
          </w:p>
        </w:tc>
        <w:tc>
          <w:tcPr>
            <w:tcW w:w="1059" w:type="dxa"/>
            <w:vAlign w:val="bottom"/>
          </w:tcPr>
          <w:p w:rsidR="00000000" w:rsidRDefault="00000000">
            <w:pPr>
              <w:spacing w:before="40" w:after="40" w:line="192" w:lineRule="auto"/>
              <w:ind w:right="223"/>
              <w:jc w:val="right"/>
              <w:rPr>
                <w:sz w:val="22"/>
                <w:szCs w:val="22"/>
              </w:rPr>
            </w:pPr>
            <w:r>
              <w:rPr>
                <w:sz w:val="22"/>
                <w:szCs w:val="22"/>
              </w:rPr>
              <w:t>9 849</w:t>
            </w:r>
          </w:p>
        </w:tc>
        <w:tc>
          <w:tcPr>
            <w:tcW w:w="1200" w:type="dxa"/>
            <w:vAlign w:val="bottom"/>
          </w:tcPr>
          <w:p w:rsidR="00000000" w:rsidRDefault="00000000">
            <w:pPr>
              <w:spacing w:before="40" w:after="40" w:line="192" w:lineRule="auto"/>
              <w:ind w:right="223"/>
              <w:jc w:val="right"/>
              <w:rPr>
                <w:sz w:val="22"/>
                <w:szCs w:val="22"/>
              </w:rPr>
            </w:pPr>
            <w:r>
              <w:rPr>
                <w:sz w:val="22"/>
                <w:szCs w:val="22"/>
              </w:rPr>
              <w:t>9 564</w:t>
            </w:r>
          </w:p>
        </w:tc>
        <w:tc>
          <w:tcPr>
            <w:tcW w:w="1342" w:type="dxa"/>
            <w:vAlign w:val="bottom"/>
          </w:tcPr>
          <w:p w:rsidR="00000000" w:rsidRDefault="00000000">
            <w:pPr>
              <w:spacing w:before="40" w:after="40" w:line="192" w:lineRule="auto"/>
              <w:ind w:right="223"/>
              <w:jc w:val="right"/>
              <w:rPr>
                <w:sz w:val="22"/>
                <w:szCs w:val="22"/>
              </w:rPr>
            </w:pPr>
            <w:r>
              <w:rPr>
                <w:sz w:val="22"/>
                <w:szCs w:val="22"/>
              </w:rPr>
              <w:t>103,0</w:t>
            </w:r>
          </w:p>
        </w:tc>
      </w:tr>
      <w:tr w:rsidR="00000000">
        <w:trPr>
          <w:jc w:val="center"/>
        </w:trPr>
        <w:tc>
          <w:tcPr>
            <w:tcW w:w="2208" w:type="dxa"/>
            <w:vAlign w:val="center"/>
          </w:tcPr>
          <w:p w:rsidR="00000000" w:rsidRDefault="00000000">
            <w:pPr>
              <w:spacing w:before="40" w:after="40" w:line="192" w:lineRule="auto"/>
              <w:rPr>
                <w:b/>
                <w:bCs/>
                <w:sz w:val="22"/>
                <w:szCs w:val="22"/>
              </w:rPr>
            </w:pPr>
            <w:r>
              <w:rPr>
                <w:b/>
                <w:bCs/>
                <w:sz w:val="22"/>
                <w:szCs w:val="22"/>
              </w:rPr>
              <w:t>Établissements régionaux</w:t>
            </w:r>
            <w:r>
              <w:rPr>
                <w:b/>
                <w:bCs/>
                <w:sz w:val="22"/>
                <w:szCs w:val="22"/>
                <w:vertAlign w:val="superscript"/>
              </w:rPr>
              <w:t>d</w:t>
            </w:r>
          </w:p>
        </w:tc>
        <w:tc>
          <w:tcPr>
            <w:tcW w:w="1080" w:type="dxa"/>
            <w:vAlign w:val="bottom"/>
          </w:tcPr>
          <w:p w:rsidR="00000000" w:rsidRDefault="00000000">
            <w:pPr>
              <w:spacing w:before="40" w:after="40" w:line="192" w:lineRule="auto"/>
              <w:ind w:right="223"/>
              <w:jc w:val="right"/>
              <w:rPr>
                <w:sz w:val="22"/>
                <w:szCs w:val="22"/>
              </w:rPr>
            </w:pPr>
            <w:r>
              <w:rPr>
                <w:sz w:val="22"/>
                <w:szCs w:val="22"/>
              </w:rPr>
              <w:t>3811</w:t>
            </w:r>
          </w:p>
        </w:tc>
        <w:tc>
          <w:tcPr>
            <w:tcW w:w="1200" w:type="dxa"/>
            <w:vAlign w:val="bottom"/>
          </w:tcPr>
          <w:p w:rsidR="00000000" w:rsidRDefault="00000000">
            <w:pPr>
              <w:spacing w:before="40" w:after="40" w:line="192" w:lineRule="auto"/>
              <w:ind w:right="223"/>
              <w:jc w:val="right"/>
              <w:rPr>
                <w:sz w:val="22"/>
                <w:szCs w:val="22"/>
              </w:rPr>
            </w:pPr>
            <w:r>
              <w:rPr>
                <w:sz w:val="22"/>
                <w:szCs w:val="22"/>
              </w:rPr>
              <w:t>2695</w:t>
            </w:r>
          </w:p>
        </w:tc>
        <w:tc>
          <w:tcPr>
            <w:tcW w:w="1341" w:type="dxa"/>
            <w:vAlign w:val="bottom"/>
          </w:tcPr>
          <w:p w:rsidR="00000000" w:rsidRDefault="00000000">
            <w:pPr>
              <w:spacing w:before="40" w:after="40" w:line="192" w:lineRule="auto"/>
              <w:ind w:right="223"/>
              <w:jc w:val="right"/>
              <w:rPr>
                <w:sz w:val="22"/>
                <w:szCs w:val="22"/>
              </w:rPr>
            </w:pPr>
            <w:r>
              <w:rPr>
                <w:sz w:val="22"/>
                <w:szCs w:val="22"/>
              </w:rPr>
              <w:t>141,4</w:t>
            </w:r>
          </w:p>
        </w:tc>
        <w:tc>
          <w:tcPr>
            <w:tcW w:w="1059" w:type="dxa"/>
            <w:vAlign w:val="bottom"/>
          </w:tcPr>
          <w:p w:rsidR="00000000" w:rsidRDefault="00000000">
            <w:pPr>
              <w:spacing w:before="40" w:after="40" w:line="192" w:lineRule="auto"/>
              <w:ind w:right="223"/>
              <w:jc w:val="right"/>
              <w:rPr>
                <w:sz w:val="22"/>
                <w:szCs w:val="22"/>
              </w:rPr>
            </w:pPr>
            <w:r>
              <w:rPr>
                <w:sz w:val="22"/>
                <w:szCs w:val="22"/>
              </w:rPr>
              <w:t>3 771</w:t>
            </w:r>
          </w:p>
        </w:tc>
        <w:tc>
          <w:tcPr>
            <w:tcW w:w="1200" w:type="dxa"/>
            <w:vAlign w:val="bottom"/>
          </w:tcPr>
          <w:p w:rsidR="00000000" w:rsidRDefault="00000000">
            <w:pPr>
              <w:spacing w:before="40" w:after="40" w:line="192" w:lineRule="auto"/>
              <w:ind w:right="223"/>
              <w:jc w:val="right"/>
              <w:rPr>
                <w:sz w:val="22"/>
                <w:szCs w:val="22"/>
              </w:rPr>
            </w:pPr>
            <w:r>
              <w:rPr>
                <w:sz w:val="22"/>
                <w:szCs w:val="22"/>
              </w:rPr>
              <w:t>2 711</w:t>
            </w:r>
          </w:p>
        </w:tc>
        <w:tc>
          <w:tcPr>
            <w:tcW w:w="1342" w:type="dxa"/>
            <w:vAlign w:val="bottom"/>
          </w:tcPr>
          <w:p w:rsidR="00000000" w:rsidRDefault="00000000">
            <w:pPr>
              <w:spacing w:before="40" w:after="40" w:line="192" w:lineRule="auto"/>
              <w:ind w:right="223"/>
              <w:jc w:val="right"/>
              <w:rPr>
                <w:sz w:val="22"/>
                <w:szCs w:val="22"/>
              </w:rPr>
            </w:pPr>
            <w:r>
              <w:rPr>
                <w:sz w:val="22"/>
                <w:szCs w:val="22"/>
              </w:rPr>
              <w:t>139,1</w:t>
            </w:r>
          </w:p>
        </w:tc>
      </w:tr>
      <w:tr w:rsidR="00000000">
        <w:trPr>
          <w:trHeight w:hRule="exact" w:val="397"/>
          <w:jc w:val="center"/>
        </w:trPr>
        <w:tc>
          <w:tcPr>
            <w:tcW w:w="2208" w:type="dxa"/>
            <w:vAlign w:val="center"/>
          </w:tcPr>
          <w:p w:rsidR="00000000" w:rsidRDefault="00000000">
            <w:pPr>
              <w:spacing w:before="40" w:after="40" w:line="192" w:lineRule="auto"/>
              <w:rPr>
                <w:b/>
                <w:sz w:val="22"/>
                <w:szCs w:val="22"/>
              </w:rPr>
            </w:pPr>
            <w:r>
              <w:rPr>
                <w:b/>
                <w:sz w:val="22"/>
                <w:szCs w:val="22"/>
              </w:rPr>
              <w:t>Total</w:t>
            </w:r>
          </w:p>
        </w:tc>
        <w:tc>
          <w:tcPr>
            <w:tcW w:w="1080" w:type="dxa"/>
            <w:vAlign w:val="bottom"/>
          </w:tcPr>
          <w:p w:rsidR="00000000" w:rsidRDefault="00000000">
            <w:pPr>
              <w:spacing w:before="40" w:after="40" w:line="192" w:lineRule="auto"/>
              <w:ind w:right="223"/>
              <w:jc w:val="right"/>
              <w:rPr>
                <w:b/>
                <w:sz w:val="22"/>
                <w:szCs w:val="22"/>
              </w:rPr>
            </w:pPr>
            <w:r>
              <w:rPr>
                <w:b/>
                <w:sz w:val="22"/>
                <w:szCs w:val="22"/>
              </w:rPr>
              <w:t>13 635</w:t>
            </w:r>
          </w:p>
        </w:tc>
        <w:tc>
          <w:tcPr>
            <w:tcW w:w="1200" w:type="dxa"/>
            <w:vAlign w:val="bottom"/>
          </w:tcPr>
          <w:p w:rsidR="00000000" w:rsidRDefault="00000000">
            <w:pPr>
              <w:spacing w:before="40" w:after="40" w:line="192" w:lineRule="auto"/>
              <w:ind w:right="223"/>
              <w:jc w:val="right"/>
              <w:rPr>
                <w:b/>
                <w:sz w:val="22"/>
                <w:szCs w:val="22"/>
              </w:rPr>
            </w:pPr>
            <w:r>
              <w:rPr>
                <w:b/>
                <w:sz w:val="22"/>
                <w:szCs w:val="22"/>
              </w:rPr>
              <w:t>12 109</w:t>
            </w:r>
          </w:p>
        </w:tc>
        <w:tc>
          <w:tcPr>
            <w:tcW w:w="1341" w:type="dxa"/>
            <w:vAlign w:val="bottom"/>
          </w:tcPr>
          <w:p w:rsidR="00000000" w:rsidRDefault="00000000">
            <w:pPr>
              <w:spacing w:before="40" w:after="40" w:line="192" w:lineRule="auto"/>
              <w:ind w:right="223"/>
              <w:jc w:val="right"/>
              <w:rPr>
                <w:b/>
                <w:sz w:val="22"/>
                <w:szCs w:val="22"/>
              </w:rPr>
            </w:pPr>
            <w:r>
              <w:rPr>
                <w:b/>
                <w:sz w:val="22"/>
                <w:szCs w:val="22"/>
              </w:rPr>
              <w:t>112,6</w:t>
            </w:r>
          </w:p>
        </w:tc>
        <w:tc>
          <w:tcPr>
            <w:tcW w:w="1059" w:type="dxa"/>
            <w:vAlign w:val="bottom"/>
          </w:tcPr>
          <w:p w:rsidR="00000000" w:rsidRDefault="00000000">
            <w:pPr>
              <w:spacing w:before="40" w:after="40" w:line="192" w:lineRule="auto"/>
              <w:ind w:right="223"/>
              <w:jc w:val="right"/>
              <w:rPr>
                <w:b/>
                <w:sz w:val="22"/>
                <w:szCs w:val="22"/>
              </w:rPr>
            </w:pPr>
            <w:r>
              <w:rPr>
                <w:b/>
                <w:sz w:val="22"/>
                <w:szCs w:val="22"/>
              </w:rPr>
              <w:t>13 620</w:t>
            </w:r>
          </w:p>
        </w:tc>
        <w:tc>
          <w:tcPr>
            <w:tcW w:w="1200" w:type="dxa"/>
            <w:vAlign w:val="bottom"/>
          </w:tcPr>
          <w:p w:rsidR="00000000" w:rsidRDefault="00000000">
            <w:pPr>
              <w:spacing w:before="40" w:after="40" w:line="192" w:lineRule="auto"/>
              <w:ind w:right="223"/>
              <w:jc w:val="right"/>
              <w:rPr>
                <w:b/>
                <w:sz w:val="22"/>
                <w:szCs w:val="22"/>
              </w:rPr>
            </w:pPr>
            <w:r>
              <w:rPr>
                <w:b/>
                <w:sz w:val="22"/>
                <w:szCs w:val="22"/>
              </w:rPr>
              <w:t>12 275</w:t>
            </w:r>
          </w:p>
        </w:tc>
        <w:tc>
          <w:tcPr>
            <w:tcW w:w="1342" w:type="dxa"/>
            <w:vAlign w:val="bottom"/>
          </w:tcPr>
          <w:p w:rsidR="00000000" w:rsidRDefault="00000000">
            <w:pPr>
              <w:spacing w:before="40" w:after="40" w:line="192" w:lineRule="auto"/>
              <w:ind w:right="223"/>
              <w:jc w:val="right"/>
              <w:rPr>
                <w:b/>
                <w:sz w:val="22"/>
                <w:szCs w:val="22"/>
              </w:rPr>
            </w:pPr>
            <w:r>
              <w:rPr>
                <w:b/>
                <w:sz w:val="22"/>
                <w:szCs w:val="22"/>
              </w:rPr>
              <w:t>111,0</w:t>
            </w:r>
          </w:p>
        </w:tc>
      </w:tr>
    </w:tbl>
    <w:p w:rsidR="00000000" w:rsidRDefault="00000000">
      <w:pPr>
        <w:spacing w:before="200" w:after="160" w:line="216" w:lineRule="auto"/>
      </w:pPr>
      <w:r>
        <w:rPr>
          <w:b/>
          <w:bCs/>
          <w:vertAlign w:val="superscript"/>
        </w:rPr>
        <w:t>a</w:t>
      </w:r>
      <w:r>
        <w:t xml:space="preserve"> Pour 2004, les données sont actualisées au 15 juin.</w:t>
      </w:r>
    </w:p>
    <w:p w:rsidR="00000000" w:rsidRDefault="00000000">
      <w:pPr>
        <w:spacing w:after="160" w:line="216" w:lineRule="auto"/>
      </w:pPr>
      <w:r>
        <w:rPr>
          <w:b/>
          <w:bCs/>
          <w:vertAlign w:val="superscript"/>
        </w:rPr>
        <w:t>b</w:t>
      </w:r>
      <w:r>
        <w:t xml:space="preserve"> L’établissement de Carregueira n’est entré en fonctionnement qu’en 2002 avec une occupation provisoire; les chiffres ne concernent donc que la phase intermédiaire de l’activité.</w:t>
      </w:r>
    </w:p>
    <w:p w:rsidR="00000000" w:rsidRDefault="00000000">
      <w:pPr>
        <w:spacing w:after="160" w:line="216" w:lineRule="auto"/>
      </w:pPr>
      <w:r>
        <w:rPr>
          <w:b/>
          <w:bCs/>
          <w:vertAlign w:val="superscript"/>
        </w:rPr>
        <w:t>c</w:t>
      </w:r>
      <w:r>
        <w:t xml:space="preserve"> Pour l’hôpital São João de Deus, en 2003 et en 2004 on ne compte que les détenus affectés et ceux qui sont internés pour un traitement.</w:t>
      </w:r>
    </w:p>
    <w:p w:rsidR="00000000" w:rsidRDefault="00000000">
      <w:pPr>
        <w:spacing w:after="160" w:line="216" w:lineRule="auto"/>
      </w:pPr>
      <w:r>
        <w:rPr>
          <w:b/>
          <w:bCs/>
          <w:vertAlign w:val="superscript"/>
        </w:rPr>
        <w:t>d</w:t>
      </w:r>
      <w:r>
        <w:rPr>
          <w:b/>
          <w:bCs/>
        </w:rPr>
        <w:t xml:space="preserve"> </w:t>
      </w:r>
      <w:r>
        <w:t>Les chiffres des établissements régionaux ont été reportés du tableau 7-B ci-dessous.</w:t>
      </w:r>
    </w:p>
    <w:p w:rsidR="00000000" w:rsidRDefault="00000000">
      <w:pPr>
        <w:spacing w:after="240"/>
        <w:jc w:val="center"/>
      </w:pPr>
      <w:r>
        <w:rPr>
          <w:b/>
        </w:rPr>
        <w:t>Tableau 7-B.  Population carcérale par établissement, occupation et taux d’occupation</w:t>
      </w:r>
      <w:r>
        <w:rPr>
          <w:b/>
        </w:rPr>
        <w:br/>
        <w:t>(au 31 décembre de 2003 et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269"/>
        <w:gridCol w:w="1165"/>
        <w:gridCol w:w="1144"/>
        <w:gridCol w:w="1319"/>
        <w:gridCol w:w="1075"/>
        <w:gridCol w:w="1144"/>
        <w:gridCol w:w="1296"/>
      </w:tblGrid>
      <w:tr w:rsidR="00000000">
        <w:trPr>
          <w:cantSplit/>
          <w:trHeight w:hRule="exact" w:val="397"/>
          <w:tblHeader/>
          <w:jc w:val="center"/>
        </w:trPr>
        <w:tc>
          <w:tcPr>
            <w:tcW w:w="2288" w:type="dxa"/>
            <w:vMerge w:val="restart"/>
            <w:vAlign w:val="center"/>
          </w:tcPr>
          <w:p w:rsidR="00000000" w:rsidRDefault="00000000">
            <w:pPr>
              <w:spacing w:before="60" w:after="60"/>
              <w:jc w:val="center"/>
              <w:rPr>
                <w:b/>
                <w:sz w:val="22"/>
                <w:szCs w:val="22"/>
              </w:rPr>
            </w:pPr>
            <w:r>
              <w:rPr>
                <w:b/>
                <w:sz w:val="22"/>
                <w:szCs w:val="22"/>
              </w:rPr>
              <w:t>Établissements</w:t>
            </w:r>
          </w:p>
        </w:tc>
        <w:tc>
          <w:tcPr>
            <w:tcW w:w="3572" w:type="dxa"/>
            <w:gridSpan w:val="3"/>
            <w:vAlign w:val="center"/>
          </w:tcPr>
          <w:p w:rsidR="00000000" w:rsidRDefault="00000000">
            <w:pPr>
              <w:spacing w:before="60" w:after="60"/>
              <w:jc w:val="center"/>
              <w:rPr>
                <w:b/>
                <w:sz w:val="22"/>
                <w:szCs w:val="22"/>
              </w:rPr>
            </w:pPr>
            <w:r>
              <w:rPr>
                <w:b/>
                <w:sz w:val="22"/>
                <w:szCs w:val="22"/>
              </w:rPr>
              <w:t>2003</w:t>
            </w:r>
          </w:p>
        </w:tc>
        <w:tc>
          <w:tcPr>
            <w:tcW w:w="3456" w:type="dxa"/>
            <w:gridSpan w:val="3"/>
            <w:vAlign w:val="center"/>
          </w:tcPr>
          <w:p w:rsidR="00000000" w:rsidRDefault="00000000">
            <w:pPr>
              <w:spacing w:before="60" w:after="60"/>
              <w:jc w:val="center"/>
              <w:rPr>
                <w:b/>
                <w:sz w:val="22"/>
                <w:szCs w:val="22"/>
              </w:rPr>
            </w:pPr>
            <w:r>
              <w:rPr>
                <w:b/>
                <w:sz w:val="22"/>
                <w:szCs w:val="22"/>
              </w:rPr>
              <w:t>2004</w:t>
            </w:r>
            <w:r>
              <w:rPr>
                <w:b/>
                <w:sz w:val="22"/>
                <w:szCs w:val="22"/>
                <w:vertAlign w:val="superscript"/>
              </w:rPr>
              <w:t>a</w:t>
            </w:r>
          </w:p>
        </w:tc>
      </w:tr>
      <w:tr w:rsidR="00000000">
        <w:trPr>
          <w:cantSplit/>
          <w:tblHeader/>
          <w:jc w:val="center"/>
        </w:trPr>
        <w:tc>
          <w:tcPr>
            <w:tcW w:w="2288" w:type="dxa"/>
            <w:vMerge/>
            <w:tcBorders>
              <w:bottom w:val="single" w:sz="4" w:space="0" w:color="auto"/>
            </w:tcBorders>
            <w:vAlign w:val="center"/>
          </w:tcPr>
          <w:p w:rsidR="00000000" w:rsidRDefault="00000000">
            <w:pPr>
              <w:spacing w:before="60" w:after="60"/>
              <w:jc w:val="center"/>
              <w:rPr>
                <w:b/>
                <w:sz w:val="22"/>
                <w:szCs w:val="22"/>
              </w:rPr>
            </w:pPr>
          </w:p>
        </w:tc>
        <w:tc>
          <w:tcPr>
            <w:tcW w:w="1172" w:type="dxa"/>
            <w:tcBorders>
              <w:bottom w:val="single" w:sz="4" w:space="0" w:color="auto"/>
            </w:tcBorders>
            <w:vAlign w:val="center"/>
          </w:tcPr>
          <w:p w:rsidR="00000000" w:rsidRDefault="00000000">
            <w:pPr>
              <w:spacing w:before="60" w:after="60"/>
              <w:jc w:val="center"/>
              <w:rPr>
                <w:b/>
                <w:sz w:val="22"/>
              </w:rPr>
            </w:pPr>
            <w:r>
              <w:rPr>
                <w:b/>
                <w:sz w:val="22"/>
              </w:rPr>
              <w:t>Nombre</w:t>
            </w:r>
            <w:r>
              <w:rPr>
                <w:b/>
                <w:sz w:val="22"/>
              </w:rPr>
              <w:br/>
              <w:t>de détenus</w:t>
            </w:r>
          </w:p>
        </w:tc>
        <w:tc>
          <w:tcPr>
            <w:tcW w:w="1080" w:type="dxa"/>
            <w:tcBorders>
              <w:bottom w:val="single" w:sz="4" w:space="0" w:color="auto"/>
            </w:tcBorders>
            <w:vAlign w:val="center"/>
          </w:tcPr>
          <w:p w:rsidR="00000000" w:rsidRDefault="00000000">
            <w:pPr>
              <w:spacing w:before="60" w:after="60"/>
              <w:jc w:val="center"/>
              <w:rPr>
                <w:b/>
                <w:sz w:val="22"/>
              </w:rPr>
            </w:pPr>
            <w:r>
              <w:rPr>
                <w:b/>
                <w:sz w:val="22"/>
              </w:rPr>
              <w:t>Occupation</w:t>
            </w:r>
          </w:p>
        </w:tc>
        <w:tc>
          <w:tcPr>
            <w:tcW w:w="1320" w:type="dxa"/>
            <w:tcBorders>
              <w:bottom w:val="single" w:sz="4" w:space="0" w:color="auto"/>
            </w:tcBorders>
            <w:vAlign w:val="center"/>
          </w:tcPr>
          <w:p w:rsidR="00000000" w:rsidRDefault="00000000">
            <w:pPr>
              <w:spacing w:before="60" w:after="60"/>
              <w:jc w:val="center"/>
              <w:rPr>
                <w:b/>
                <w:sz w:val="22"/>
              </w:rPr>
            </w:pPr>
            <w:r>
              <w:rPr>
                <w:b/>
                <w:sz w:val="22"/>
              </w:rPr>
              <w:t>Taux d’occupation</w:t>
            </w:r>
            <w:r>
              <w:rPr>
                <w:b/>
                <w:sz w:val="22"/>
              </w:rPr>
              <w:br/>
              <w:t>en %</w:t>
            </w:r>
          </w:p>
        </w:tc>
        <w:tc>
          <w:tcPr>
            <w:tcW w:w="1080" w:type="dxa"/>
            <w:tcBorders>
              <w:bottom w:val="single" w:sz="4" w:space="0" w:color="auto"/>
            </w:tcBorders>
            <w:vAlign w:val="center"/>
          </w:tcPr>
          <w:p w:rsidR="00000000" w:rsidRDefault="00000000">
            <w:pPr>
              <w:spacing w:before="60" w:after="60"/>
              <w:jc w:val="center"/>
              <w:rPr>
                <w:b/>
                <w:sz w:val="22"/>
              </w:rPr>
            </w:pPr>
            <w:r>
              <w:rPr>
                <w:b/>
                <w:sz w:val="22"/>
              </w:rPr>
              <w:t xml:space="preserve">Nombre </w:t>
            </w:r>
            <w:r>
              <w:rPr>
                <w:b/>
                <w:sz w:val="22"/>
              </w:rPr>
              <w:br/>
              <w:t>de détenus</w:t>
            </w:r>
          </w:p>
        </w:tc>
        <w:tc>
          <w:tcPr>
            <w:tcW w:w="1080" w:type="dxa"/>
            <w:tcBorders>
              <w:bottom w:val="single" w:sz="4" w:space="0" w:color="auto"/>
            </w:tcBorders>
            <w:vAlign w:val="center"/>
          </w:tcPr>
          <w:p w:rsidR="00000000" w:rsidRDefault="00000000">
            <w:pPr>
              <w:spacing w:before="60" w:after="60"/>
              <w:jc w:val="center"/>
              <w:rPr>
                <w:b/>
                <w:sz w:val="22"/>
              </w:rPr>
            </w:pPr>
            <w:r>
              <w:rPr>
                <w:b/>
                <w:sz w:val="22"/>
              </w:rPr>
              <w:t>Occupation</w:t>
            </w:r>
          </w:p>
        </w:tc>
        <w:tc>
          <w:tcPr>
            <w:tcW w:w="1296" w:type="dxa"/>
            <w:tcBorders>
              <w:bottom w:val="single" w:sz="4" w:space="0" w:color="auto"/>
            </w:tcBorders>
            <w:vAlign w:val="center"/>
          </w:tcPr>
          <w:p w:rsidR="00000000" w:rsidRDefault="00000000">
            <w:pPr>
              <w:spacing w:before="60" w:after="60"/>
              <w:jc w:val="center"/>
              <w:rPr>
                <w:b/>
                <w:sz w:val="22"/>
              </w:rPr>
            </w:pPr>
            <w:r>
              <w:rPr>
                <w:b/>
                <w:sz w:val="22"/>
              </w:rPr>
              <w:t>Taux d’occupation</w:t>
            </w:r>
            <w:r>
              <w:rPr>
                <w:b/>
                <w:sz w:val="22"/>
              </w:rPr>
              <w:br/>
              <w:t>en %</w:t>
            </w:r>
          </w:p>
        </w:tc>
      </w:tr>
      <w:tr w:rsidR="00000000">
        <w:trPr>
          <w:tblHeader/>
          <w:jc w:val="center"/>
        </w:trPr>
        <w:tc>
          <w:tcPr>
            <w:tcW w:w="2288" w:type="dxa"/>
            <w:vAlign w:val="center"/>
          </w:tcPr>
          <w:p w:rsidR="00000000" w:rsidRDefault="00000000">
            <w:pPr>
              <w:spacing w:before="60" w:after="60"/>
              <w:rPr>
                <w:b/>
                <w:bCs/>
                <w:sz w:val="22"/>
                <w:szCs w:val="22"/>
              </w:rPr>
            </w:pPr>
            <w:r>
              <w:rPr>
                <w:b/>
                <w:bCs/>
                <w:sz w:val="22"/>
                <w:szCs w:val="22"/>
              </w:rPr>
              <w:t>Établissements régionaux</w:t>
            </w:r>
          </w:p>
        </w:tc>
        <w:tc>
          <w:tcPr>
            <w:tcW w:w="1172" w:type="dxa"/>
            <w:vAlign w:val="bottom"/>
          </w:tcPr>
          <w:p w:rsidR="00000000" w:rsidRDefault="00000000">
            <w:pPr>
              <w:spacing w:before="60" w:after="60"/>
              <w:ind w:right="296"/>
              <w:jc w:val="right"/>
              <w:rPr>
                <w:sz w:val="22"/>
                <w:szCs w:val="22"/>
              </w:rPr>
            </w:pPr>
          </w:p>
        </w:tc>
        <w:tc>
          <w:tcPr>
            <w:tcW w:w="1080" w:type="dxa"/>
            <w:vAlign w:val="bottom"/>
          </w:tcPr>
          <w:p w:rsidR="00000000" w:rsidRDefault="00000000">
            <w:pPr>
              <w:spacing w:before="60" w:after="60"/>
              <w:ind w:right="296"/>
              <w:jc w:val="right"/>
              <w:rPr>
                <w:sz w:val="22"/>
                <w:szCs w:val="22"/>
              </w:rPr>
            </w:pPr>
          </w:p>
        </w:tc>
        <w:tc>
          <w:tcPr>
            <w:tcW w:w="1320" w:type="dxa"/>
            <w:vAlign w:val="bottom"/>
          </w:tcPr>
          <w:p w:rsidR="00000000" w:rsidRDefault="00000000">
            <w:pPr>
              <w:spacing w:before="60" w:after="60"/>
              <w:ind w:right="296"/>
              <w:jc w:val="right"/>
              <w:rPr>
                <w:sz w:val="22"/>
                <w:szCs w:val="22"/>
              </w:rPr>
            </w:pPr>
          </w:p>
        </w:tc>
        <w:tc>
          <w:tcPr>
            <w:tcW w:w="1080" w:type="dxa"/>
            <w:vAlign w:val="bottom"/>
          </w:tcPr>
          <w:p w:rsidR="00000000" w:rsidRDefault="00000000">
            <w:pPr>
              <w:spacing w:before="60" w:after="60"/>
              <w:ind w:right="296"/>
              <w:jc w:val="right"/>
              <w:rPr>
                <w:sz w:val="22"/>
                <w:szCs w:val="22"/>
              </w:rPr>
            </w:pPr>
          </w:p>
        </w:tc>
        <w:tc>
          <w:tcPr>
            <w:tcW w:w="1080" w:type="dxa"/>
            <w:vAlign w:val="bottom"/>
          </w:tcPr>
          <w:p w:rsidR="00000000" w:rsidRDefault="00000000">
            <w:pPr>
              <w:spacing w:before="60" w:after="60"/>
              <w:ind w:right="296"/>
              <w:jc w:val="right"/>
              <w:rPr>
                <w:sz w:val="22"/>
                <w:szCs w:val="22"/>
              </w:rPr>
            </w:pPr>
          </w:p>
        </w:tc>
        <w:tc>
          <w:tcPr>
            <w:tcW w:w="1296" w:type="dxa"/>
            <w:vAlign w:val="bottom"/>
          </w:tcPr>
          <w:p w:rsidR="00000000" w:rsidRDefault="00000000">
            <w:pPr>
              <w:spacing w:before="60" w:after="60"/>
              <w:ind w:right="296"/>
              <w:jc w:val="right"/>
              <w:rPr>
                <w:sz w:val="22"/>
                <w:szCs w:val="22"/>
              </w:rPr>
            </w:pPr>
          </w:p>
        </w:tc>
      </w:tr>
      <w:tr w:rsidR="00000000">
        <w:trPr>
          <w:jc w:val="center"/>
        </w:trPr>
        <w:tc>
          <w:tcPr>
            <w:tcW w:w="2288" w:type="dxa"/>
            <w:vAlign w:val="center"/>
          </w:tcPr>
          <w:p w:rsidR="00000000" w:rsidRDefault="00000000">
            <w:pPr>
              <w:spacing w:before="60" w:after="60"/>
              <w:rPr>
                <w:sz w:val="22"/>
                <w:szCs w:val="22"/>
              </w:rPr>
            </w:pPr>
            <w:r>
              <w:rPr>
                <w:sz w:val="22"/>
                <w:szCs w:val="22"/>
              </w:rPr>
              <w:t>Angra do Heroísmo</w:t>
            </w:r>
          </w:p>
        </w:tc>
        <w:tc>
          <w:tcPr>
            <w:tcW w:w="1172" w:type="dxa"/>
            <w:vAlign w:val="bottom"/>
          </w:tcPr>
          <w:p w:rsidR="00000000" w:rsidRDefault="00000000">
            <w:pPr>
              <w:spacing w:before="60" w:after="60"/>
              <w:ind w:right="296"/>
              <w:jc w:val="right"/>
              <w:rPr>
                <w:sz w:val="22"/>
                <w:szCs w:val="22"/>
              </w:rPr>
            </w:pPr>
            <w:r>
              <w:rPr>
                <w:sz w:val="22"/>
                <w:szCs w:val="22"/>
              </w:rPr>
              <w:t>72</w:t>
            </w:r>
          </w:p>
        </w:tc>
        <w:tc>
          <w:tcPr>
            <w:tcW w:w="1080" w:type="dxa"/>
            <w:vAlign w:val="bottom"/>
          </w:tcPr>
          <w:p w:rsidR="00000000" w:rsidRDefault="00000000">
            <w:pPr>
              <w:spacing w:before="60" w:after="60"/>
              <w:ind w:right="296"/>
              <w:jc w:val="right"/>
              <w:rPr>
                <w:sz w:val="22"/>
                <w:szCs w:val="22"/>
              </w:rPr>
            </w:pPr>
            <w:r>
              <w:rPr>
                <w:sz w:val="22"/>
                <w:szCs w:val="22"/>
              </w:rPr>
              <w:t>39</w:t>
            </w:r>
          </w:p>
        </w:tc>
        <w:tc>
          <w:tcPr>
            <w:tcW w:w="1320" w:type="dxa"/>
            <w:vAlign w:val="bottom"/>
          </w:tcPr>
          <w:p w:rsidR="00000000" w:rsidRDefault="00000000">
            <w:pPr>
              <w:spacing w:before="60" w:after="60"/>
              <w:ind w:right="296"/>
              <w:jc w:val="right"/>
              <w:rPr>
                <w:sz w:val="22"/>
                <w:szCs w:val="22"/>
              </w:rPr>
            </w:pPr>
            <w:r>
              <w:rPr>
                <w:sz w:val="22"/>
                <w:szCs w:val="22"/>
              </w:rPr>
              <w:t>184,6</w:t>
            </w:r>
          </w:p>
        </w:tc>
        <w:tc>
          <w:tcPr>
            <w:tcW w:w="1080" w:type="dxa"/>
            <w:vAlign w:val="bottom"/>
          </w:tcPr>
          <w:p w:rsidR="00000000" w:rsidRDefault="00000000">
            <w:pPr>
              <w:spacing w:before="60" w:after="60"/>
              <w:ind w:right="296"/>
              <w:jc w:val="right"/>
              <w:rPr>
                <w:sz w:val="22"/>
                <w:szCs w:val="22"/>
              </w:rPr>
            </w:pPr>
            <w:r>
              <w:rPr>
                <w:sz w:val="22"/>
                <w:szCs w:val="22"/>
              </w:rPr>
              <w:t>78</w:t>
            </w:r>
          </w:p>
        </w:tc>
        <w:tc>
          <w:tcPr>
            <w:tcW w:w="1080" w:type="dxa"/>
            <w:vAlign w:val="bottom"/>
          </w:tcPr>
          <w:p w:rsidR="00000000" w:rsidRDefault="00000000">
            <w:pPr>
              <w:spacing w:before="60" w:after="60"/>
              <w:ind w:right="296"/>
              <w:jc w:val="right"/>
              <w:rPr>
                <w:sz w:val="22"/>
                <w:szCs w:val="22"/>
              </w:rPr>
            </w:pPr>
            <w:r>
              <w:rPr>
                <w:sz w:val="22"/>
                <w:szCs w:val="22"/>
              </w:rPr>
              <w:t>39</w:t>
            </w:r>
          </w:p>
        </w:tc>
        <w:tc>
          <w:tcPr>
            <w:tcW w:w="1296" w:type="dxa"/>
            <w:vAlign w:val="bottom"/>
          </w:tcPr>
          <w:p w:rsidR="00000000" w:rsidRDefault="00000000">
            <w:pPr>
              <w:spacing w:before="60" w:after="60"/>
              <w:ind w:right="296"/>
              <w:jc w:val="right"/>
              <w:rPr>
                <w:sz w:val="22"/>
                <w:szCs w:val="22"/>
              </w:rPr>
            </w:pPr>
            <w:r>
              <w:rPr>
                <w:sz w:val="22"/>
                <w:szCs w:val="22"/>
              </w:rPr>
              <w:t>200,0</w:t>
            </w:r>
          </w:p>
        </w:tc>
      </w:tr>
      <w:tr w:rsidR="00000000">
        <w:trPr>
          <w:jc w:val="center"/>
        </w:trPr>
        <w:tc>
          <w:tcPr>
            <w:tcW w:w="2288" w:type="dxa"/>
            <w:vAlign w:val="center"/>
          </w:tcPr>
          <w:p w:rsidR="00000000" w:rsidRDefault="00000000">
            <w:pPr>
              <w:spacing w:before="60" w:after="60"/>
              <w:rPr>
                <w:sz w:val="22"/>
                <w:szCs w:val="22"/>
              </w:rPr>
            </w:pPr>
            <w:r>
              <w:rPr>
                <w:sz w:val="22"/>
                <w:szCs w:val="22"/>
              </w:rPr>
              <w:t>Prison d’appui de Horta</w:t>
            </w:r>
          </w:p>
        </w:tc>
        <w:tc>
          <w:tcPr>
            <w:tcW w:w="1172" w:type="dxa"/>
            <w:vAlign w:val="bottom"/>
          </w:tcPr>
          <w:p w:rsidR="00000000" w:rsidRDefault="00000000">
            <w:pPr>
              <w:spacing w:before="60" w:after="60"/>
              <w:ind w:right="296"/>
              <w:jc w:val="right"/>
              <w:rPr>
                <w:sz w:val="22"/>
                <w:szCs w:val="22"/>
              </w:rPr>
            </w:pPr>
            <w:r>
              <w:rPr>
                <w:sz w:val="22"/>
                <w:szCs w:val="22"/>
              </w:rPr>
              <w:t>33</w:t>
            </w:r>
          </w:p>
        </w:tc>
        <w:tc>
          <w:tcPr>
            <w:tcW w:w="1080" w:type="dxa"/>
            <w:vAlign w:val="bottom"/>
          </w:tcPr>
          <w:p w:rsidR="00000000" w:rsidRDefault="00000000">
            <w:pPr>
              <w:spacing w:before="60" w:after="60"/>
              <w:ind w:right="296"/>
              <w:jc w:val="right"/>
              <w:rPr>
                <w:sz w:val="22"/>
                <w:szCs w:val="22"/>
              </w:rPr>
            </w:pPr>
            <w:r>
              <w:rPr>
                <w:sz w:val="22"/>
                <w:szCs w:val="22"/>
              </w:rPr>
              <w:t>17</w:t>
            </w:r>
          </w:p>
        </w:tc>
        <w:tc>
          <w:tcPr>
            <w:tcW w:w="1320" w:type="dxa"/>
            <w:vAlign w:val="bottom"/>
          </w:tcPr>
          <w:p w:rsidR="00000000" w:rsidRDefault="00000000">
            <w:pPr>
              <w:spacing w:before="60" w:after="60"/>
              <w:ind w:right="296"/>
              <w:jc w:val="right"/>
              <w:rPr>
                <w:sz w:val="22"/>
                <w:szCs w:val="22"/>
              </w:rPr>
            </w:pPr>
            <w:r>
              <w:rPr>
                <w:sz w:val="22"/>
                <w:szCs w:val="22"/>
              </w:rPr>
              <w:t>194,1</w:t>
            </w:r>
          </w:p>
        </w:tc>
        <w:tc>
          <w:tcPr>
            <w:tcW w:w="1080" w:type="dxa"/>
            <w:vAlign w:val="bottom"/>
          </w:tcPr>
          <w:p w:rsidR="00000000" w:rsidRDefault="00000000">
            <w:pPr>
              <w:spacing w:before="60" w:after="60"/>
              <w:ind w:right="296"/>
              <w:jc w:val="right"/>
              <w:rPr>
                <w:sz w:val="22"/>
                <w:szCs w:val="22"/>
              </w:rPr>
            </w:pPr>
            <w:r>
              <w:rPr>
                <w:sz w:val="22"/>
                <w:szCs w:val="22"/>
              </w:rPr>
              <w:t>24</w:t>
            </w:r>
          </w:p>
        </w:tc>
        <w:tc>
          <w:tcPr>
            <w:tcW w:w="1080" w:type="dxa"/>
            <w:vAlign w:val="bottom"/>
          </w:tcPr>
          <w:p w:rsidR="00000000" w:rsidRDefault="00000000">
            <w:pPr>
              <w:spacing w:before="60" w:after="60"/>
              <w:ind w:right="296"/>
              <w:jc w:val="right"/>
              <w:rPr>
                <w:sz w:val="22"/>
                <w:szCs w:val="22"/>
              </w:rPr>
            </w:pPr>
            <w:r>
              <w:rPr>
                <w:sz w:val="22"/>
                <w:szCs w:val="22"/>
              </w:rPr>
              <w:t>17</w:t>
            </w:r>
          </w:p>
        </w:tc>
        <w:tc>
          <w:tcPr>
            <w:tcW w:w="1296" w:type="dxa"/>
            <w:vAlign w:val="bottom"/>
          </w:tcPr>
          <w:p w:rsidR="00000000" w:rsidRDefault="00000000">
            <w:pPr>
              <w:spacing w:before="60" w:after="60"/>
              <w:ind w:right="296"/>
              <w:jc w:val="right"/>
              <w:rPr>
                <w:sz w:val="22"/>
                <w:szCs w:val="22"/>
              </w:rPr>
            </w:pPr>
            <w:r>
              <w:rPr>
                <w:sz w:val="22"/>
                <w:szCs w:val="22"/>
              </w:rPr>
              <w:t>141,2</w:t>
            </w:r>
          </w:p>
        </w:tc>
      </w:tr>
      <w:tr w:rsidR="00000000">
        <w:trPr>
          <w:jc w:val="center"/>
        </w:trPr>
        <w:tc>
          <w:tcPr>
            <w:tcW w:w="2288" w:type="dxa"/>
            <w:vAlign w:val="center"/>
          </w:tcPr>
          <w:p w:rsidR="00000000" w:rsidRDefault="00000000">
            <w:pPr>
              <w:spacing w:before="60" w:after="60"/>
              <w:rPr>
                <w:sz w:val="22"/>
                <w:szCs w:val="22"/>
              </w:rPr>
            </w:pPr>
            <w:r>
              <w:rPr>
                <w:sz w:val="22"/>
                <w:szCs w:val="22"/>
              </w:rPr>
              <w:t>Aveiro</w:t>
            </w:r>
          </w:p>
        </w:tc>
        <w:tc>
          <w:tcPr>
            <w:tcW w:w="1172" w:type="dxa"/>
            <w:vAlign w:val="bottom"/>
          </w:tcPr>
          <w:p w:rsidR="00000000" w:rsidRDefault="00000000">
            <w:pPr>
              <w:spacing w:before="60" w:after="60"/>
              <w:ind w:right="296"/>
              <w:jc w:val="right"/>
              <w:rPr>
                <w:sz w:val="22"/>
                <w:szCs w:val="22"/>
              </w:rPr>
            </w:pPr>
            <w:r>
              <w:rPr>
                <w:sz w:val="22"/>
                <w:szCs w:val="22"/>
              </w:rPr>
              <w:t>131</w:t>
            </w:r>
          </w:p>
        </w:tc>
        <w:tc>
          <w:tcPr>
            <w:tcW w:w="1080" w:type="dxa"/>
            <w:vAlign w:val="bottom"/>
          </w:tcPr>
          <w:p w:rsidR="00000000" w:rsidRDefault="00000000">
            <w:pPr>
              <w:spacing w:before="60" w:after="60"/>
              <w:ind w:right="296"/>
              <w:jc w:val="right"/>
              <w:rPr>
                <w:sz w:val="22"/>
                <w:szCs w:val="22"/>
              </w:rPr>
            </w:pPr>
            <w:r>
              <w:rPr>
                <w:sz w:val="22"/>
                <w:szCs w:val="22"/>
              </w:rPr>
              <w:t>88</w:t>
            </w:r>
          </w:p>
        </w:tc>
        <w:tc>
          <w:tcPr>
            <w:tcW w:w="1320" w:type="dxa"/>
            <w:vAlign w:val="bottom"/>
          </w:tcPr>
          <w:p w:rsidR="00000000" w:rsidRDefault="00000000">
            <w:pPr>
              <w:spacing w:before="60" w:after="60"/>
              <w:ind w:right="296"/>
              <w:jc w:val="right"/>
              <w:rPr>
                <w:sz w:val="22"/>
                <w:szCs w:val="22"/>
              </w:rPr>
            </w:pPr>
            <w:r>
              <w:rPr>
                <w:sz w:val="22"/>
                <w:szCs w:val="22"/>
              </w:rPr>
              <w:t>148,9</w:t>
            </w:r>
          </w:p>
        </w:tc>
        <w:tc>
          <w:tcPr>
            <w:tcW w:w="1080" w:type="dxa"/>
            <w:vAlign w:val="bottom"/>
          </w:tcPr>
          <w:p w:rsidR="00000000" w:rsidRDefault="00000000">
            <w:pPr>
              <w:spacing w:before="60" w:after="60"/>
              <w:ind w:right="296"/>
              <w:jc w:val="right"/>
              <w:rPr>
                <w:sz w:val="22"/>
                <w:szCs w:val="22"/>
              </w:rPr>
            </w:pPr>
            <w:r>
              <w:rPr>
                <w:sz w:val="22"/>
                <w:szCs w:val="22"/>
              </w:rPr>
              <w:t>128</w:t>
            </w:r>
          </w:p>
        </w:tc>
        <w:tc>
          <w:tcPr>
            <w:tcW w:w="1080" w:type="dxa"/>
            <w:vAlign w:val="bottom"/>
          </w:tcPr>
          <w:p w:rsidR="00000000" w:rsidRDefault="00000000">
            <w:pPr>
              <w:spacing w:before="60" w:after="60"/>
              <w:ind w:right="296"/>
              <w:jc w:val="right"/>
              <w:rPr>
                <w:sz w:val="22"/>
                <w:szCs w:val="22"/>
              </w:rPr>
            </w:pPr>
            <w:r>
              <w:rPr>
                <w:sz w:val="22"/>
                <w:szCs w:val="22"/>
              </w:rPr>
              <w:t>88</w:t>
            </w:r>
          </w:p>
        </w:tc>
        <w:tc>
          <w:tcPr>
            <w:tcW w:w="1296" w:type="dxa"/>
            <w:vAlign w:val="bottom"/>
          </w:tcPr>
          <w:p w:rsidR="00000000" w:rsidRDefault="00000000">
            <w:pPr>
              <w:spacing w:before="60" w:after="60"/>
              <w:ind w:right="296"/>
              <w:jc w:val="right"/>
              <w:rPr>
                <w:sz w:val="22"/>
                <w:szCs w:val="22"/>
              </w:rPr>
            </w:pPr>
            <w:r>
              <w:rPr>
                <w:sz w:val="22"/>
                <w:szCs w:val="22"/>
              </w:rPr>
              <w:t>145,5</w:t>
            </w:r>
          </w:p>
        </w:tc>
      </w:tr>
      <w:tr w:rsidR="00000000">
        <w:trPr>
          <w:jc w:val="center"/>
        </w:trPr>
        <w:tc>
          <w:tcPr>
            <w:tcW w:w="2288" w:type="dxa"/>
            <w:vAlign w:val="center"/>
          </w:tcPr>
          <w:p w:rsidR="00000000" w:rsidRDefault="00000000">
            <w:pPr>
              <w:spacing w:before="60" w:after="60"/>
              <w:rPr>
                <w:sz w:val="22"/>
                <w:szCs w:val="22"/>
              </w:rPr>
            </w:pPr>
            <w:r>
              <w:rPr>
                <w:sz w:val="22"/>
                <w:szCs w:val="22"/>
              </w:rPr>
              <w:t>Beja</w:t>
            </w:r>
          </w:p>
        </w:tc>
        <w:tc>
          <w:tcPr>
            <w:tcW w:w="1172" w:type="dxa"/>
            <w:vAlign w:val="bottom"/>
          </w:tcPr>
          <w:p w:rsidR="00000000" w:rsidRDefault="00000000">
            <w:pPr>
              <w:spacing w:before="60" w:after="60"/>
              <w:ind w:right="296"/>
              <w:jc w:val="right"/>
              <w:rPr>
                <w:sz w:val="22"/>
                <w:szCs w:val="22"/>
              </w:rPr>
            </w:pPr>
            <w:r>
              <w:rPr>
                <w:sz w:val="22"/>
                <w:szCs w:val="22"/>
              </w:rPr>
              <w:t>92</w:t>
            </w:r>
          </w:p>
        </w:tc>
        <w:tc>
          <w:tcPr>
            <w:tcW w:w="1080" w:type="dxa"/>
            <w:vAlign w:val="bottom"/>
          </w:tcPr>
          <w:p w:rsidR="00000000" w:rsidRDefault="00000000">
            <w:pPr>
              <w:spacing w:before="60" w:after="60"/>
              <w:ind w:right="296"/>
              <w:jc w:val="right"/>
              <w:rPr>
                <w:sz w:val="22"/>
                <w:szCs w:val="22"/>
              </w:rPr>
            </w:pPr>
            <w:r>
              <w:rPr>
                <w:sz w:val="22"/>
                <w:szCs w:val="22"/>
              </w:rPr>
              <w:t>164</w:t>
            </w:r>
          </w:p>
        </w:tc>
        <w:tc>
          <w:tcPr>
            <w:tcW w:w="1320" w:type="dxa"/>
            <w:vAlign w:val="bottom"/>
          </w:tcPr>
          <w:p w:rsidR="00000000" w:rsidRDefault="00000000">
            <w:pPr>
              <w:spacing w:before="60" w:after="60"/>
              <w:ind w:right="296"/>
              <w:jc w:val="right"/>
              <w:rPr>
                <w:sz w:val="22"/>
                <w:szCs w:val="22"/>
              </w:rPr>
            </w:pPr>
            <w:r>
              <w:rPr>
                <w:sz w:val="22"/>
                <w:szCs w:val="22"/>
              </w:rPr>
              <w:t>56,1</w:t>
            </w:r>
          </w:p>
        </w:tc>
        <w:tc>
          <w:tcPr>
            <w:tcW w:w="1080" w:type="dxa"/>
            <w:vAlign w:val="bottom"/>
          </w:tcPr>
          <w:p w:rsidR="00000000" w:rsidRDefault="00000000">
            <w:pPr>
              <w:spacing w:before="60" w:after="60"/>
              <w:ind w:right="296"/>
              <w:jc w:val="right"/>
              <w:rPr>
                <w:sz w:val="22"/>
                <w:szCs w:val="22"/>
              </w:rPr>
            </w:pPr>
            <w:r>
              <w:rPr>
                <w:sz w:val="22"/>
                <w:szCs w:val="22"/>
              </w:rPr>
              <w:t>96</w:t>
            </w:r>
          </w:p>
        </w:tc>
        <w:tc>
          <w:tcPr>
            <w:tcW w:w="1080" w:type="dxa"/>
            <w:vAlign w:val="bottom"/>
          </w:tcPr>
          <w:p w:rsidR="00000000" w:rsidRDefault="00000000">
            <w:pPr>
              <w:spacing w:before="60" w:after="60"/>
              <w:ind w:right="296"/>
              <w:jc w:val="right"/>
              <w:rPr>
                <w:sz w:val="22"/>
                <w:szCs w:val="22"/>
              </w:rPr>
            </w:pPr>
            <w:r>
              <w:rPr>
                <w:sz w:val="22"/>
                <w:szCs w:val="22"/>
              </w:rPr>
              <w:t>164</w:t>
            </w:r>
          </w:p>
        </w:tc>
        <w:tc>
          <w:tcPr>
            <w:tcW w:w="1296" w:type="dxa"/>
            <w:vAlign w:val="bottom"/>
          </w:tcPr>
          <w:p w:rsidR="00000000" w:rsidRDefault="00000000">
            <w:pPr>
              <w:spacing w:before="60" w:after="60"/>
              <w:ind w:right="296"/>
              <w:jc w:val="right"/>
              <w:rPr>
                <w:sz w:val="22"/>
                <w:szCs w:val="22"/>
              </w:rPr>
            </w:pPr>
            <w:r>
              <w:rPr>
                <w:sz w:val="22"/>
                <w:szCs w:val="22"/>
              </w:rPr>
              <w:t>58,5</w:t>
            </w:r>
          </w:p>
        </w:tc>
      </w:tr>
      <w:tr w:rsidR="00000000">
        <w:trPr>
          <w:jc w:val="center"/>
        </w:trPr>
        <w:tc>
          <w:tcPr>
            <w:tcW w:w="2288" w:type="dxa"/>
            <w:vAlign w:val="center"/>
          </w:tcPr>
          <w:p w:rsidR="00000000" w:rsidRDefault="00000000">
            <w:pPr>
              <w:spacing w:before="60" w:after="60"/>
              <w:rPr>
                <w:sz w:val="22"/>
                <w:szCs w:val="22"/>
              </w:rPr>
            </w:pPr>
            <w:r>
              <w:rPr>
                <w:sz w:val="22"/>
                <w:szCs w:val="22"/>
              </w:rPr>
              <w:t>Braga</w:t>
            </w:r>
          </w:p>
        </w:tc>
        <w:tc>
          <w:tcPr>
            <w:tcW w:w="1172" w:type="dxa"/>
            <w:vAlign w:val="bottom"/>
          </w:tcPr>
          <w:p w:rsidR="00000000" w:rsidRDefault="00000000">
            <w:pPr>
              <w:spacing w:before="60" w:after="60"/>
              <w:ind w:right="296"/>
              <w:jc w:val="right"/>
              <w:rPr>
                <w:sz w:val="22"/>
                <w:szCs w:val="22"/>
              </w:rPr>
            </w:pPr>
            <w:r>
              <w:rPr>
                <w:sz w:val="22"/>
                <w:szCs w:val="22"/>
              </w:rPr>
              <w:t>157</w:t>
            </w:r>
          </w:p>
        </w:tc>
        <w:tc>
          <w:tcPr>
            <w:tcW w:w="1080" w:type="dxa"/>
            <w:vAlign w:val="bottom"/>
          </w:tcPr>
          <w:p w:rsidR="00000000" w:rsidRDefault="00000000">
            <w:pPr>
              <w:spacing w:before="60" w:after="60"/>
              <w:ind w:right="296"/>
              <w:jc w:val="right"/>
              <w:rPr>
                <w:sz w:val="22"/>
                <w:szCs w:val="22"/>
              </w:rPr>
            </w:pPr>
            <w:r>
              <w:rPr>
                <w:sz w:val="22"/>
                <w:szCs w:val="22"/>
              </w:rPr>
              <w:t>72</w:t>
            </w:r>
          </w:p>
        </w:tc>
        <w:tc>
          <w:tcPr>
            <w:tcW w:w="1320" w:type="dxa"/>
            <w:vAlign w:val="bottom"/>
          </w:tcPr>
          <w:p w:rsidR="00000000" w:rsidRDefault="00000000">
            <w:pPr>
              <w:spacing w:before="60" w:after="60"/>
              <w:ind w:right="296"/>
              <w:jc w:val="right"/>
              <w:rPr>
                <w:sz w:val="22"/>
                <w:szCs w:val="22"/>
              </w:rPr>
            </w:pPr>
            <w:r>
              <w:rPr>
                <w:sz w:val="22"/>
                <w:szCs w:val="22"/>
              </w:rPr>
              <w:t>218,1</w:t>
            </w:r>
          </w:p>
        </w:tc>
        <w:tc>
          <w:tcPr>
            <w:tcW w:w="1080" w:type="dxa"/>
            <w:vAlign w:val="bottom"/>
          </w:tcPr>
          <w:p w:rsidR="00000000" w:rsidRDefault="00000000">
            <w:pPr>
              <w:spacing w:before="60" w:after="60"/>
              <w:ind w:right="296"/>
              <w:jc w:val="right"/>
              <w:rPr>
                <w:sz w:val="22"/>
                <w:szCs w:val="22"/>
              </w:rPr>
            </w:pPr>
            <w:r>
              <w:rPr>
                <w:sz w:val="22"/>
                <w:szCs w:val="22"/>
              </w:rPr>
              <w:t>136</w:t>
            </w:r>
          </w:p>
        </w:tc>
        <w:tc>
          <w:tcPr>
            <w:tcW w:w="1080" w:type="dxa"/>
            <w:vAlign w:val="bottom"/>
          </w:tcPr>
          <w:p w:rsidR="00000000" w:rsidRDefault="00000000">
            <w:pPr>
              <w:spacing w:before="60" w:after="60"/>
              <w:ind w:right="296"/>
              <w:jc w:val="right"/>
              <w:rPr>
                <w:sz w:val="22"/>
                <w:szCs w:val="22"/>
              </w:rPr>
            </w:pPr>
            <w:r>
              <w:rPr>
                <w:sz w:val="22"/>
                <w:szCs w:val="22"/>
              </w:rPr>
              <w:t>72</w:t>
            </w:r>
          </w:p>
        </w:tc>
        <w:tc>
          <w:tcPr>
            <w:tcW w:w="1296" w:type="dxa"/>
            <w:vAlign w:val="bottom"/>
          </w:tcPr>
          <w:p w:rsidR="00000000" w:rsidRDefault="00000000">
            <w:pPr>
              <w:spacing w:before="60" w:after="60"/>
              <w:ind w:right="296"/>
              <w:jc w:val="right"/>
              <w:rPr>
                <w:sz w:val="22"/>
                <w:szCs w:val="22"/>
              </w:rPr>
            </w:pPr>
            <w:r>
              <w:rPr>
                <w:sz w:val="22"/>
                <w:szCs w:val="22"/>
              </w:rPr>
              <w:t>188,9</w:t>
            </w:r>
          </w:p>
        </w:tc>
      </w:tr>
      <w:tr w:rsidR="00000000">
        <w:trPr>
          <w:jc w:val="center"/>
        </w:trPr>
        <w:tc>
          <w:tcPr>
            <w:tcW w:w="2288" w:type="dxa"/>
            <w:vAlign w:val="center"/>
          </w:tcPr>
          <w:p w:rsidR="00000000" w:rsidRDefault="00000000">
            <w:pPr>
              <w:spacing w:before="60" w:after="60"/>
              <w:rPr>
                <w:sz w:val="22"/>
                <w:szCs w:val="22"/>
              </w:rPr>
            </w:pPr>
            <w:r>
              <w:rPr>
                <w:sz w:val="22"/>
                <w:szCs w:val="22"/>
              </w:rPr>
              <w:t>Bragança</w:t>
            </w:r>
          </w:p>
        </w:tc>
        <w:tc>
          <w:tcPr>
            <w:tcW w:w="1172" w:type="dxa"/>
            <w:vAlign w:val="bottom"/>
          </w:tcPr>
          <w:p w:rsidR="00000000" w:rsidRDefault="00000000">
            <w:pPr>
              <w:spacing w:before="60" w:after="60"/>
              <w:ind w:right="296"/>
              <w:jc w:val="right"/>
              <w:rPr>
                <w:sz w:val="22"/>
                <w:szCs w:val="22"/>
              </w:rPr>
            </w:pPr>
            <w:r>
              <w:rPr>
                <w:sz w:val="22"/>
                <w:szCs w:val="22"/>
              </w:rPr>
              <w:t>78</w:t>
            </w:r>
          </w:p>
        </w:tc>
        <w:tc>
          <w:tcPr>
            <w:tcW w:w="1080" w:type="dxa"/>
            <w:vAlign w:val="bottom"/>
          </w:tcPr>
          <w:p w:rsidR="00000000" w:rsidRDefault="00000000">
            <w:pPr>
              <w:spacing w:before="60" w:after="60"/>
              <w:ind w:right="296"/>
              <w:jc w:val="right"/>
              <w:rPr>
                <w:sz w:val="22"/>
                <w:szCs w:val="22"/>
              </w:rPr>
            </w:pPr>
            <w:r>
              <w:rPr>
                <w:sz w:val="22"/>
                <w:szCs w:val="22"/>
              </w:rPr>
              <w:t>75</w:t>
            </w:r>
          </w:p>
        </w:tc>
        <w:tc>
          <w:tcPr>
            <w:tcW w:w="1320" w:type="dxa"/>
            <w:vAlign w:val="bottom"/>
          </w:tcPr>
          <w:p w:rsidR="00000000" w:rsidRDefault="00000000">
            <w:pPr>
              <w:spacing w:before="60" w:after="60"/>
              <w:ind w:right="296"/>
              <w:jc w:val="right"/>
              <w:rPr>
                <w:sz w:val="22"/>
                <w:szCs w:val="22"/>
              </w:rPr>
            </w:pPr>
            <w:r>
              <w:rPr>
                <w:sz w:val="22"/>
                <w:szCs w:val="22"/>
              </w:rPr>
              <w:t>104,0</w:t>
            </w:r>
          </w:p>
        </w:tc>
        <w:tc>
          <w:tcPr>
            <w:tcW w:w="1080" w:type="dxa"/>
            <w:vAlign w:val="bottom"/>
          </w:tcPr>
          <w:p w:rsidR="00000000" w:rsidRDefault="00000000">
            <w:pPr>
              <w:spacing w:before="60" w:after="60"/>
              <w:ind w:right="296"/>
              <w:jc w:val="right"/>
              <w:rPr>
                <w:sz w:val="22"/>
                <w:szCs w:val="22"/>
              </w:rPr>
            </w:pPr>
            <w:r>
              <w:rPr>
                <w:sz w:val="22"/>
                <w:szCs w:val="22"/>
              </w:rPr>
              <w:t>78</w:t>
            </w:r>
          </w:p>
        </w:tc>
        <w:tc>
          <w:tcPr>
            <w:tcW w:w="1080" w:type="dxa"/>
            <w:vAlign w:val="bottom"/>
          </w:tcPr>
          <w:p w:rsidR="00000000" w:rsidRDefault="00000000">
            <w:pPr>
              <w:spacing w:before="60" w:after="60"/>
              <w:ind w:right="296"/>
              <w:jc w:val="right"/>
              <w:rPr>
                <w:sz w:val="22"/>
                <w:szCs w:val="22"/>
              </w:rPr>
            </w:pPr>
            <w:r>
              <w:rPr>
                <w:sz w:val="22"/>
                <w:szCs w:val="22"/>
              </w:rPr>
              <w:t>75</w:t>
            </w:r>
          </w:p>
        </w:tc>
        <w:tc>
          <w:tcPr>
            <w:tcW w:w="1296" w:type="dxa"/>
            <w:vAlign w:val="bottom"/>
          </w:tcPr>
          <w:p w:rsidR="00000000" w:rsidRDefault="00000000">
            <w:pPr>
              <w:spacing w:before="60" w:after="60"/>
              <w:ind w:right="296"/>
              <w:jc w:val="right"/>
              <w:rPr>
                <w:sz w:val="22"/>
                <w:szCs w:val="22"/>
              </w:rPr>
            </w:pPr>
            <w:r>
              <w:rPr>
                <w:sz w:val="22"/>
                <w:szCs w:val="22"/>
              </w:rPr>
              <w:t>104,5</w:t>
            </w:r>
          </w:p>
        </w:tc>
      </w:tr>
      <w:tr w:rsidR="00000000">
        <w:trPr>
          <w:jc w:val="center"/>
        </w:trPr>
        <w:tc>
          <w:tcPr>
            <w:tcW w:w="2288" w:type="dxa"/>
            <w:vAlign w:val="center"/>
          </w:tcPr>
          <w:p w:rsidR="00000000" w:rsidRDefault="00000000">
            <w:pPr>
              <w:spacing w:before="60" w:after="60"/>
              <w:rPr>
                <w:sz w:val="22"/>
                <w:szCs w:val="22"/>
              </w:rPr>
            </w:pPr>
            <w:r>
              <w:rPr>
                <w:sz w:val="22"/>
                <w:szCs w:val="22"/>
              </w:rPr>
              <w:t>Caldas da Raínha</w:t>
            </w:r>
          </w:p>
        </w:tc>
        <w:tc>
          <w:tcPr>
            <w:tcW w:w="1172" w:type="dxa"/>
            <w:vAlign w:val="bottom"/>
          </w:tcPr>
          <w:p w:rsidR="00000000" w:rsidRDefault="00000000">
            <w:pPr>
              <w:spacing w:before="60" w:after="60"/>
              <w:ind w:right="296"/>
              <w:jc w:val="right"/>
              <w:rPr>
                <w:sz w:val="22"/>
                <w:szCs w:val="22"/>
              </w:rPr>
            </w:pPr>
            <w:r>
              <w:rPr>
                <w:sz w:val="22"/>
                <w:szCs w:val="22"/>
              </w:rPr>
              <w:t>135</w:t>
            </w:r>
          </w:p>
        </w:tc>
        <w:tc>
          <w:tcPr>
            <w:tcW w:w="1080" w:type="dxa"/>
            <w:vAlign w:val="bottom"/>
          </w:tcPr>
          <w:p w:rsidR="00000000" w:rsidRDefault="00000000">
            <w:pPr>
              <w:spacing w:before="60" w:after="60"/>
              <w:ind w:right="296"/>
              <w:jc w:val="right"/>
              <w:rPr>
                <w:sz w:val="22"/>
                <w:szCs w:val="22"/>
              </w:rPr>
            </w:pPr>
            <w:r>
              <w:rPr>
                <w:sz w:val="22"/>
                <w:szCs w:val="22"/>
              </w:rPr>
              <w:t>104</w:t>
            </w:r>
          </w:p>
        </w:tc>
        <w:tc>
          <w:tcPr>
            <w:tcW w:w="1320" w:type="dxa"/>
            <w:vAlign w:val="bottom"/>
          </w:tcPr>
          <w:p w:rsidR="00000000" w:rsidRDefault="00000000">
            <w:pPr>
              <w:spacing w:before="60" w:after="60"/>
              <w:ind w:right="296"/>
              <w:jc w:val="right"/>
              <w:rPr>
                <w:sz w:val="22"/>
                <w:szCs w:val="22"/>
              </w:rPr>
            </w:pPr>
            <w:r>
              <w:rPr>
                <w:sz w:val="22"/>
                <w:szCs w:val="22"/>
              </w:rPr>
              <w:t>129,8</w:t>
            </w:r>
          </w:p>
        </w:tc>
        <w:tc>
          <w:tcPr>
            <w:tcW w:w="1080" w:type="dxa"/>
            <w:vAlign w:val="bottom"/>
          </w:tcPr>
          <w:p w:rsidR="00000000" w:rsidRDefault="00000000">
            <w:pPr>
              <w:spacing w:before="60" w:after="60"/>
              <w:ind w:right="296"/>
              <w:jc w:val="right"/>
              <w:rPr>
                <w:sz w:val="22"/>
                <w:szCs w:val="22"/>
              </w:rPr>
            </w:pPr>
            <w:r>
              <w:rPr>
                <w:sz w:val="22"/>
                <w:szCs w:val="22"/>
              </w:rPr>
              <w:t>133</w:t>
            </w:r>
          </w:p>
        </w:tc>
        <w:tc>
          <w:tcPr>
            <w:tcW w:w="1080" w:type="dxa"/>
            <w:vAlign w:val="bottom"/>
          </w:tcPr>
          <w:p w:rsidR="00000000" w:rsidRDefault="00000000">
            <w:pPr>
              <w:spacing w:before="60" w:after="60"/>
              <w:ind w:right="296"/>
              <w:jc w:val="right"/>
              <w:rPr>
                <w:sz w:val="22"/>
                <w:szCs w:val="22"/>
              </w:rPr>
            </w:pPr>
            <w:r>
              <w:rPr>
                <w:sz w:val="22"/>
                <w:szCs w:val="22"/>
              </w:rPr>
              <w:t>104</w:t>
            </w:r>
          </w:p>
        </w:tc>
        <w:tc>
          <w:tcPr>
            <w:tcW w:w="1296" w:type="dxa"/>
            <w:vAlign w:val="bottom"/>
          </w:tcPr>
          <w:p w:rsidR="00000000" w:rsidRDefault="00000000">
            <w:pPr>
              <w:spacing w:before="60" w:after="60"/>
              <w:ind w:right="296"/>
              <w:jc w:val="right"/>
              <w:rPr>
                <w:sz w:val="22"/>
                <w:szCs w:val="22"/>
              </w:rPr>
            </w:pPr>
            <w:r>
              <w:rPr>
                <w:sz w:val="22"/>
                <w:szCs w:val="22"/>
              </w:rPr>
              <w:t>127,9</w:t>
            </w:r>
          </w:p>
        </w:tc>
      </w:tr>
      <w:tr w:rsidR="00000000">
        <w:trPr>
          <w:jc w:val="center"/>
        </w:trPr>
        <w:tc>
          <w:tcPr>
            <w:tcW w:w="2288" w:type="dxa"/>
            <w:vAlign w:val="center"/>
          </w:tcPr>
          <w:p w:rsidR="00000000" w:rsidRDefault="00000000">
            <w:pPr>
              <w:spacing w:before="60" w:after="60"/>
              <w:rPr>
                <w:sz w:val="22"/>
                <w:szCs w:val="22"/>
              </w:rPr>
            </w:pPr>
            <w:r>
              <w:rPr>
                <w:sz w:val="22"/>
                <w:szCs w:val="22"/>
              </w:rPr>
              <w:t>Castelo Branco</w:t>
            </w:r>
          </w:p>
        </w:tc>
        <w:tc>
          <w:tcPr>
            <w:tcW w:w="1172" w:type="dxa"/>
            <w:vAlign w:val="bottom"/>
          </w:tcPr>
          <w:p w:rsidR="00000000" w:rsidRDefault="00000000">
            <w:pPr>
              <w:spacing w:before="60" w:after="60"/>
              <w:ind w:right="296"/>
              <w:jc w:val="right"/>
              <w:rPr>
                <w:sz w:val="22"/>
                <w:szCs w:val="22"/>
              </w:rPr>
            </w:pPr>
            <w:r>
              <w:rPr>
                <w:sz w:val="22"/>
                <w:szCs w:val="22"/>
              </w:rPr>
              <w:t>72</w:t>
            </w:r>
          </w:p>
        </w:tc>
        <w:tc>
          <w:tcPr>
            <w:tcW w:w="1080" w:type="dxa"/>
            <w:vAlign w:val="bottom"/>
          </w:tcPr>
          <w:p w:rsidR="00000000" w:rsidRDefault="00000000">
            <w:pPr>
              <w:spacing w:before="60" w:after="60"/>
              <w:ind w:right="296"/>
              <w:jc w:val="right"/>
              <w:rPr>
                <w:sz w:val="22"/>
                <w:szCs w:val="22"/>
              </w:rPr>
            </w:pPr>
            <w:r>
              <w:rPr>
                <w:sz w:val="22"/>
                <w:szCs w:val="22"/>
              </w:rPr>
              <w:t>31</w:t>
            </w:r>
          </w:p>
        </w:tc>
        <w:tc>
          <w:tcPr>
            <w:tcW w:w="1320" w:type="dxa"/>
            <w:vAlign w:val="bottom"/>
          </w:tcPr>
          <w:p w:rsidR="00000000" w:rsidRDefault="00000000">
            <w:pPr>
              <w:spacing w:before="60" w:after="60"/>
              <w:ind w:right="296"/>
              <w:jc w:val="right"/>
              <w:rPr>
                <w:sz w:val="22"/>
                <w:szCs w:val="22"/>
              </w:rPr>
            </w:pPr>
            <w:r>
              <w:rPr>
                <w:sz w:val="22"/>
                <w:szCs w:val="22"/>
              </w:rPr>
              <w:t>232,3</w:t>
            </w:r>
          </w:p>
        </w:tc>
        <w:tc>
          <w:tcPr>
            <w:tcW w:w="1080" w:type="dxa"/>
            <w:vAlign w:val="bottom"/>
          </w:tcPr>
          <w:p w:rsidR="00000000" w:rsidRDefault="00000000">
            <w:pPr>
              <w:spacing w:before="60" w:after="60"/>
              <w:ind w:right="296"/>
              <w:jc w:val="right"/>
              <w:rPr>
                <w:sz w:val="22"/>
                <w:szCs w:val="22"/>
              </w:rPr>
            </w:pPr>
            <w:r>
              <w:rPr>
                <w:sz w:val="22"/>
                <w:szCs w:val="22"/>
              </w:rPr>
              <w:t>70</w:t>
            </w:r>
          </w:p>
        </w:tc>
        <w:tc>
          <w:tcPr>
            <w:tcW w:w="1080" w:type="dxa"/>
            <w:vAlign w:val="bottom"/>
          </w:tcPr>
          <w:p w:rsidR="00000000" w:rsidRDefault="00000000">
            <w:pPr>
              <w:spacing w:before="60" w:after="60"/>
              <w:ind w:right="296"/>
              <w:jc w:val="right"/>
              <w:rPr>
                <w:sz w:val="22"/>
                <w:szCs w:val="22"/>
              </w:rPr>
            </w:pPr>
            <w:r>
              <w:rPr>
                <w:sz w:val="22"/>
                <w:szCs w:val="22"/>
              </w:rPr>
              <w:t>31</w:t>
            </w:r>
          </w:p>
        </w:tc>
        <w:tc>
          <w:tcPr>
            <w:tcW w:w="1296" w:type="dxa"/>
            <w:vAlign w:val="bottom"/>
          </w:tcPr>
          <w:p w:rsidR="00000000" w:rsidRDefault="00000000">
            <w:pPr>
              <w:spacing w:before="60" w:after="60"/>
              <w:ind w:right="296"/>
              <w:jc w:val="right"/>
              <w:rPr>
                <w:sz w:val="22"/>
                <w:szCs w:val="22"/>
              </w:rPr>
            </w:pPr>
            <w:r>
              <w:rPr>
                <w:sz w:val="22"/>
                <w:szCs w:val="22"/>
              </w:rPr>
              <w:t>225,8</w:t>
            </w:r>
          </w:p>
        </w:tc>
      </w:tr>
      <w:tr w:rsidR="00000000">
        <w:trPr>
          <w:jc w:val="center"/>
        </w:trPr>
        <w:tc>
          <w:tcPr>
            <w:tcW w:w="2288" w:type="dxa"/>
            <w:vAlign w:val="center"/>
          </w:tcPr>
          <w:p w:rsidR="00000000" w:rsidRDefault="00000000">
            <w:pPr>
              <w:spacing w:before="60" w:after="60"/>
              <w:rPr>
                <w:sz w:val="22"/>
                <w:szCs w:val="22"/>
              </w:rPr>
            </w:pPr>
            <w:r>
              <w:rPr>
                <w:sz w:val="22"/>
                <w:szCs w:val="22"/>
              </w:rPr>
              <w:t>Chaves</w:t>
            </w:r>
          </w:p>
        </w:tc>
        <w:tc>
          <w:tcPr>
            <w:tcW w:w="1172" w:type="dxa"/>
            <w:vAlign w:val="bottom"/>
          </w:tcPr>
          <w:p w:rsidR="00000000" w:rsidRDefault="00000000">
            <w:pPr>
              <w:spacing w:before="60" w:after="60"/>
              <w:ind w:right="296"/>
              <w:jc w:val="right"/>
              <w:rPr>
                <w:sz w:val="22"/>
                <w:szCs w:val="22"/>
              </w:rPr>
            </w:pPr>
            <w:r>
              <w:rPr>
                <w:sz w:val="22"/>
                <w:szCs w:val="22"/>
              </w:rPr>
              <w:t>51</w:t>
            </w:r>
          </w:p>
        </w:tc>
        <w:tc>
          <w:tcPr>
            <w:tcW w:w="1080" w:type="dxa"/>
            <w:vAlign w:val="bottom"/>
          </w:tcPr>
          <w:p w:rsidR="00000000" w:rsidRDefault="00000000">
            <w:pPr>
              <w:spacing w:before="60" w:after="60"/>
              <w:ind w:right="296"/>
              <w:jc w:val="right"/>
              <w:rPr>
                <w:sz w:val="22"/>
                <w:szCs w:val="22"/>
              </w:rPr>
            </w:pPr>
            <w:r>
              <w:rPr>
                <w:sz w:val="22"/>
                <w:szCs w:val="22"/>
              </w:rPr>
              <w:t>71</w:t>
            </w:r>
          </w:p>
        </w:tc>
        <w:tc>
          <w:tcPr>
            <w:tcW w:w="1320" w:type="dxa"/>
            <w:vAlign w:val="bottom"/>
          </w:tcPr>
          <w:p w:rsidR="00000000" w:rsidRDefault="00000000">
            <w:pPr>
              <w:spacing w:before="60" w:after="60"/>
              <w:ind w:right="296"/>
              <w:jc w:val="right"/>
              <w:rPr>
                <w:sz w:val="22"/>
                <w:szCs w:val="22"/>
              </w:rPr>
            </w:pPr>
            <w:r>
              <w:rPr>
                <w:sz w:val="22"/>
                <w:szCs w:val="22"/>
              </w:rPr>
              <w:t>71,8</w:t>
            </w:r>
          </w:p>
        </w:tc>
        <w:tc>
          <w:tcPr>
            <w:tcW w:w="1080" w:type="dxa"/>
            <w:vAlign w:val="bottom"/>
          </w:tcPr>
          <w:p w:rsidR="00000000" w:rsidRDefault="00000000">
            <w:pPr>
              <w:spacing w:before="60" w:after="60"/>
              <w:ind w:right="296"/>
              <w:jc w:val="right"/>
              <w:rPr>
                <w:sz w:val="22"/>
                <w:szCs w:val="22"/>
              </w:rPr>
            </w:pPr>
            <w:r>
              <w:rPr>
                <w:sz w:val="22"/>
                <w:szCs w:val="22"/>
              </w:rPr>
              <w:t>60</w:t>
            </w:r>
          </w:p>
        </w:tc>
        <w:tc>
          <w:tcPr>
            <w:tcW w:w="1080" w:type="dxa"/>
            <w:vAlign w:val="bottom"/>
          </w:tcPr>
          <w:p w:rsidR="00000000" w:rsidRDefault="00000000">
            <w:pPr>
              <w:spacing w:before="60" w:after="60"/>
              <w:ind w:right="296"/>
              <w:jc w:val="right"/>
              <w:rPr>
                <w:sz w:val="22"/>
                <w:szCs w:val="22"/>
              </w:rPr>
            </w:pPr>
            <w:r>
              <w:rPr>
                <w:sz w:val="22"/>
                <w:szCs w:val="22"/>
              </w:rPr>
              <w:t>71</w:t>
            </w:r>
          </w:p>
        </w:tc>
        <w:tc>
          <w:tcPr>
            <w:tcW w:w="1296" w:type="dxa"/>
            <w:vAlign w:val="bottom"/>
          </w:tcPr>
          <w:p w:rsidR="00000000" w:rsidRDefault="00000000">
            <w:pPr>
              <w:spacing w:before="60" w:after="60"/>
              <w:ind w:right="296"/>
              <w:jc w:val="right"/>
              <w:rPr>
                <w:sz w:val="22"/>
                <w:szCs w:val="22"/>
              </w:rPr>
            </w:pPr>
            <w:r>
              <w:rPr>
                <w:sz w:val="22"/>
                <w:szCs w:val="22"/>
              </w:rPr>
              <w:t>84,5</w:t>
            </w:r>
          </w:p>
        </w:tc>
      </w:tr>
      <w:tr w:rsidR="00000000">
        <w:trPr>
          <w:jc w:val="center"/>
        </w:trPr>
        <w:tc>
          <w:tcPr>
            <w:tcW w:w="2288" w:type="dxa"/>
            <w:vAlign w:val="center"/>
          </w:tcPr>
          <w:p w:rsidR="00000000" w:rsidRDefault="00000000">
            <w:pPr>
              <w:spacing w:before="60" w:after="60"/>
              <w:rPr>
                <w:sz w:val="22"/>
                <w:szCs w:val="22"/>
              </w:rPr>
            </w:pPr>
            <w:r>
              <w:rPr>
                <w:sz w:val="22"/>
                <w:szCs w:val="22"/>
              </w:rPr>
              <w:t>Coimbra</w:t>
            </w:r>
          </w:p>
        </w:tc>
        <w:tc>
          <w:tcPr>
            <w:tcW w:w="1172" w:type="dxa"/>
            <w:vAlign w:val="bottom"/>
          </w:tcPr>
          <w:p w:rsidR="00000000" w:rsidRDefault="00000000">
            <w:pPr>
              <w:spacing w:before="60" w:after="60"/>
              <w:ind w:right="296"/>
              <w:jc w:val="right"/>
              <w:rPr>
                <w:sz w:val="22"/>
                <w:szCs w:val="22"/>
              </w:rPr>
            </w:pPr>
            <w:r>
              <w:rPr>
                <w:sz w:val="22"/>
                <w:szCs w:val="22"/>
              </w:rPr>
              <w:t>217</w:t>
            </w:r>
          </w:p>
        </w:tc>
        <w:tc>
          <w:tcPr>
            <w:tcW w:w="1080" w:type="dxa"/>
            <w:vAlign w:val="bottom"/>
          </w:tcPr>
          <w:p w:rsidR="00000000" w:rsidRDefault="00000000">
            <w:pPr>
              <w:spacing w:before="60" w:after="60"/>
              <w:ind w:right="296"/>
              <w:jc w:val="right"/>
              <w:rPr>
                <w:sz w:val="22"/>
                <w:szCs w:val="22"/>
              </w:rPr>
            </w:pPr>
            <w:r>
              <w:rPr>
                <w:sz w:val="22"/>
                <w:szCs w:val="22"/>
              </w:rPr>
              <w:t>243</w:t>
            </w:r>
          </w:p>
        </w:tc>
        <w:tc>
          <w:tcPr>
            <w:tcW w:w="1320" w:type="dxa"/>
            <w:vAlign w:val="bottom"/>
          </w:tcPr>
          <w:p w:rsidR="00000000" w:rsidRDefault="00000000">
            <w:pPr>
              <w:spacing w:before="60" w:after="60"/>
              <w:ind w:right="296"/>
              <w:jc w:val="right"/>
              <w:rPr>
                <w:sz w:val="22"/>
                <w:szCs w:val="22"/>
              </w:rPr>
            </w:pPr>
            <w:r>
              <w:rPr>
                <w:sz w:val="22"/>
                <w:szCs w:val="22"/>
              </w:rPr>
              <w:t>89,3</w:t>
            </w:r>
          </w:p>
        </w:tc>
        <w:tc>
          <w:tcPr>
            <w:tcW w:w="1080" w:type="dxa"/>
            <w:vAlign w:val="bottom"/>
          </w:tcPr>
          <w:p w:rsidR="00000000" w:rsidRDefault="00000000">
            <w:pPr>
              <w:spacing w:before="60" w:after="60"/>
              <w:ind w:right="296"/>
              <w:jc w:val="right"/>
              <w:rPr>
                <w:sz w:val="22"/>
                <w:szCs w:val="22"/>
              </w:rPr>
            </w:pPr>
            <w:r>
              <w:rPr>
                <w:sz w:val="22"/>
                <w:szCs w:val="22"/>
              </w:rPr>
              <w:t>240</w:t>
            </w:r>
          </w:p>
        </w:tc>
        <w:tc>
          <w:tcPr>
            <w:tcW w:w="1080" w:type="dxa"/>
            <w:vAlign w:val="bottom"/>
          </w:tcPr>
          <w:p w:rsidR="00000000" w:rsidRDefault="00000000">
            <w:pPr>
              <w:spacing w:before="60" w:after="60"/>
              <w:ind w:right="296"/>
              <w:jc w:val="right"/>
              <w:rPr>
                <w:sz w:val="22"/>
                <w:szCs w:val="22"/>
              </w:rPr>
            </w:pPr>
            <w:r>
              <w:rPr>
                <w:sz w:val="22"/>
                <w:szCs w:val="22"/>
              </w:rPr>
              <w:t>243</w:t>
            </w:r>
          </w:p>
        </w:tc>
        <w:tc>
          <w:tcPr>
            <w:tcW w:w="1296" w:type="dxa"/>
            <w:vAlign w:val="bottom"/>
          </w:tcPr>
          <w:p w:rsidR="00000000" w:rsidRDefault="00000000">
            <w:pPr>
              <w:spacing w:before="60" w:after="60"/>
              <w:ind w:right="296"/>
              <w:jc w:val="right"/>
              <w:rPr>
                <w:sz w:val="22"/>
                <w:szCs w:val="22"/>
              </w:rPr>
            </w:pPr>
            <w:r>
              <w:rPr>
                <w:sz w:val="22"/>
                <w:szCs w:val="22"/>
              </w:rPr>
              <w:t>98,8</w:t>
            </w:r>
          </w:p>
        </w:tc>
      </w:tr>
      <w:tr w:rsidR="00000000">
        <w:trPr>
          <w:jc w:val="center"/>
        </w:trPr>
        <w:tc>
          <w:tcPr>
            <w:tcW w:w="2288" w:type="dxa"/>
            <w:vAlign w:val="center"/>
          </w:tcPr>
          <w:p w:rsidR="00000000" w:rsidRDefault="00000000">
            <w:pPr>
              <w:spacing w:before="60" w:after="60"/>
              <w:rPr>
                <w:sz w:val="22"/>
                <w:szCs w:val="22"/>
              </w:rPr>
            </w:pPr>
            <w:r>
              <w:rPr>
                <w:sz w:val="22"/>
                <w:szCs w:val="22"/>
              </w:rPr>
              <w:t>Covilhã</w:t>
            </w:r>
          </w:p>
        </w:tc>
        <w:tc>
          <w:tcPr>
            <w:tcW w:w="1172" w:type="dxa"/>
            <w:vAlign w:val="bottom"/>
          </w:tcPr>
          <w:p w:rsidR="00000000" w:rsidRDefault="00000000">
            <w:pPr>
              <w:spacing w:before="60" w:after="60"/>
              <w:ind w:right="296"/>
              <w:jc w:val="right"/>
              <w:rPr>
                <w:sz w:val="22"/>
                <w:szCs w:val="22"/>
              </w:rPr>
            </w:pPr>
            <w:r>
              <w:rPr>
                <w:sz w:val="22"/>
                <w:szCs w:val="22"/>
              </w:rPr>
              <w:t>142</w:t>
            </w:r>
          </w:p>
        </w:tc>
        <w:tc>
          <w:tcPr>
            <w:tcW w:w="1080" w:type="dxa"/>
            <w:vAlign w:val="bottom"/>
          </w:tcPr>
          <w:p w:rsidR="00000000" w:rsidRDefault="00000000">
            <w:pPr>
              <w:spacing w:before="60" w:after="60"/>
              <w:ind w:right="296"/>
              <w:jc w:val="right"/>
              <w:rPr>
                <w:sz w:val="22"/>
                <w:szCs w:val="22"/>
              </w:rPr>
            </w:pPr>
            <w:r>
              <w:rPr>
                <w:sz w:val="22"/>
                <w:szCs w:val="22"/>
              </w:rPr>
              <w:t>105</w:t>
            </w:r>
          </w:p>
        </w:tc>
        <w:tc>
          <w:tcPr>
            <w:tcW w:w="1320" w:type="dxa"/>
            <w:vAlign w:val="bottom"/>
          </w:tcPr>
          <w:p w:rsidR="00000000" w:rsidRDefault="00000000">
            <w:pPr>
              <w:spacing w:before="60" w:after="60"/>
              <w:ind w:right="296"/>
              <w:jc w:val="right"/>
              <w:rPr>
                <w:sz w:val="22"/>
                <w:szCs w:val="22"/>
              </w:rPr>
            </w:pPr>
            <w:r>
              <w:rPr>
                <w:sz w:val="22"/>
                <w:szCs w:val="22"/>
              </w:rPr>
              <w:t>135,2</w:t>
            </w:r>
          </w:p>
        </w:tc>
        <w:tc>
          <w:tcPr>
            <w:tcW w:w="1080" w:type="dxa"/>
            <w:vAlign w:val="bottom"/>
          </w:tcPr>
          <w:p w:rsidR="00000000" w:rsidRDefault="00000000">
            <w:pPr>
              <w:spacing w:before="60" w:after="60"/>
              <w:ind w:right="296"/>
              <w:jc w:val="right"/>
              <w:rPr>
                <w:sz w:val="22"/>
                <w:szCs w:val="22"/>
              </w:rPr>
            </w:pPr>
            <w:r>
              <w:rPr>
                <w:sz w:val="22"/>
                <w:szCs w:val="22"/>
              </w:rPr>
              <w:t>124</w:t>
            </w:r>
          </w:p>
        </w:tc>
        <w:tc>
          <w:tcPr>
            <w:tcW w:w="1080" w:type="dxa"/>
            <w:vAlign w:val="bottom"/>
          </w:tcPr>
          <w:p w:rsidR="00000000" w:rsidRDefault="00000000">
            <w:pPr>
              <w:spacing w:before="60" w:after="60"/>
              <w:ind w:right="296"/>
              <w:jc w:val="right"/>
              <w:rPr>
                <w:sz w:val="22"/>
                <w:szCs w:val="22"/>
              </w:rPr>
            </w:pPr>
            <w:r>
              <w:rPr>
                <w:sz w:val="22"/>
                <w:szCs w:val="22"/>
              </w:rPr>
              <w:t>105</w:t>
            </w:r>
          </w:p>
        </w:tc>
        <w:tc>
          <w:tcPr>
            <w:tcW w:w="1296" w:type="dxa"/>
            <w:vAlign w:val="bottom"/>
          </w:tcPr>
          <w:p w:rsidR="00000000" w:rsidRDefault="00000000">
            <w:pPr>
              <w:spacing w:before="60" w:after="60"/>
              <w:ind w:right="296"/>
              <w:jc w:val="right"/>
              <w:rPr>
                <w:sz w:val="22"/>
                <w:szCs w:val="22"/>
              </w:rPr>
            </w:pPr>
            <w:r>
              <w:rPr>
                <w:sz w:val="22"/>
                <w:szCs w:val="22"/>
              </w:rPr>
              <w:t>118,1</w:t>
            </w:r>
          </w:p>
        </w:tc>
      </w:tr>
      <w:tr w:rsidR="00000000">
        <w:trPr>
          <w:jc w:val="center"/>
        </w:trPr>
        <w:tc>
          <w:tcPr>
            <w:tcW w:w="2288" w:type="dxa"/>
            <w:vAlign w:val="center"/>
          </w:tcPr>
          <w:p w:rsidR="00000000" w:rsidRDefault="00000000">
            <w:pPr>
              <w:spacing w:before="60" w:after="60"/>
              <w:rPr>
                <w:sz w:val="22"/>
                <w:szCs w:val="22"/>
              </w:rPr>
            </w:pPr>
            <w:r>
              <w:rPr>
                <w:sz w:val="22"/>
                <w:szCs w:val="22"/>
              </w:rPr>
              <w:t>Elvas</w:t>
            </w:r>
          </w:p>
        </w:tc>
        <w:tc>
          <w:tcPr>
            <w:tcW w:w="1172" w:type="dxa"/>
            <w:vAlign w:val="bottom"/>
          </w:tcPr>
          <w:p w:rsidR="00000000" w:rsidRDefault="00000000">
            <w:pPr>
              <w:spacing w:before="60" w:after="60"/>
              <w:ind w:right="296"/>
              <w:jc w:val="right"/>
              <w:rPr>
                <w:sz w:val="22"/>
                <w:szCs w:val="22"/>
              </w:rPr>
            </w:pPr>
            <w:r>
              <w:rPr>
                <w:sz w:val="22"/>
                <w:szCs w:val="22"/>
              </w:rPr>
              <w:t>72</w:t>
            </w:r>
          </w:p>
        </w:tc>
        <w:tc>
          <w:tcPr>
            <w:tcW w:w="1080" w:type="dxa"/>
            <w:vAlign w:val="bottom"/>
          </w:tcPr>
          <w:p w:rsidR="00000000" w:rsidRDefault="00000000">
            <w:pPr>
              <w:spacing w:before="60" w:after="60"/>
              <w:ind w:right="296"/>
              <w:jc w:val="right"/>
              <w:rPr>
                <w:sz w:val="22"/>
                <w:szCs w:val="22"/>
              </w:rPr>
            </w:pPr>
            <w:r>
              <w:rPr>
                <w:sz w:val="22"/>
                <w:szCs w:val="22"/>
              </w:rPr>
              <w:t>29</w:t>
            </w:r>
          </w:p>
        </w:tc>
        <w:tc>
          <w:tcPr>
            <w:tcW w:w="1320" w:type="dxa"/>
            <w:vAlign w:val="bottom"/>
          </w:tcPr>
          <w:p w:rsidR="00000000" w:rsidRDefault="00000000">
            <w:pPr>
              <w:spacing w:before="60" w:after="60"/>
              <w:ind w:right="296"/>
              <w:jc w:val="right"/>
              <w:rPr>
                <w:sz w:val="22"/>
                <w:szCs w:val="22"/>
              </w:rPr>
            </w:pPr>
            <w:r>
              <w:rPr>
                <w:sz w:val="22"/>
                <w:szCs w:val="22"/>
              </w:rPr>
              <w:t>248,3</w:t>
            </w:r>
          </w:p>
        </w:tc>
        <w:tc>
          <w:tcPr>
            <w:tcW w:w="1080" w:type="dxa"/>
            <w:vAlign w:val="bottom"/>
          </w:tcPr>
          <w:p w:rsidR="00000000" w:rsidRDefault="00000000">
            <w:pPr>
              <w:spacing w:before="60" w:after="60"/>
              <w:ind w:right="296"/>
              <w:jc w:val="right"/>
              <w:rPr>
                <w:sz w:val="22"/>
                <w:szCs w:val="22"/>
              </w:rPr>
            </w:pPr>
            <w:r>
              <w:rPr>
                <w:sz w:val="22"/>
                <w:szCs w:val="22"/>
              </w:rPr>
              <w:t>70</w:t>
            </w:r>
          </w:p>
        </w:tc>
        <w:tc>
          <w:tcPr>
            <w:tcW w:w="1080" w:type="dxa"/>
            <w:vAlign w:val="bottom"/>
          </w:tcPr>
          <w:p w:rsidR="00000000" w:rsidRDefault="00000000">
            <w:pPr>
              <w:spacing w:before="60" w:after="60"/>
              <w:ind w:right="296"/>
              <w:jc w:val="right"/>
              <w:rPr>
                <w:sz w:val="22"/>
                <w:szCs w:val="22"/>
              </w:rPr>
            </w:pPr>
            <w:r>
              <w:rPr>
                <w:sz w:val="22"/>
                <w:szCs w:val="22"/>
              </w:rPr>
              <w:t>29</w:t>
            </w:r>
          </w:p>
        </w:tc>
        <w:tc>
          <w:tcPr>
            <w:tcW w:w="1296" w:type="dxa"/>
            <w:vAlign w:val="bottom"/>
          </w:tcPr>
          <w:p w:rsidR="00000000" w:rsidRDefault="00000000">
            <w:pPr>
              <w:spacing w:before="60" w:after="60"/>
              <w:ind w:right="296"/>
              <w:jc w:val="right"/>
              <w:rPr>
                <w:sz w:val="22"/>
                <w:szCs w:val="22"/>
              </w:rPr>
            </w:pPr>
            <w:r>
              <w:rPr>
                <w:sz w:val="22"/>
                <w:szCs w:val="22"/>
              </w:rPr>
              <w:t>241,4</w:t>
            </w:r>
          </w:p>
        </w:tc>
      </w:tr>
      <w:tr w:rsidR="00000000">
        <w:trPr>
          <w:jc w:val="center"/>
        </w:trPr>
        <w:tc>
          <w:tcPr>
            <w:tcW w:w="2288" w:type="dxa"/>
            <w:vAlign w:val="center"/>
          </w:tcPr>
          <w:p w:rsidR="00000000" w:rsidRDefault="00000000">
            <w:pPr>
              <w:spacing w:before="60" w:after="60"/>
              <w:rPr>
                <w:sz w:val="22"/>
                <w:szCs w:val="22"/>
              </w:rPr>
            </w:pPr>
            <w:r>
              <w:rPr>
                <w:sz w:val="22"/>
                <w:szCs w:val="22"/>
              </w:rPr>
              <w:t>Évora</w:t>
            </w:r>
          </w:p>
        </w:tc>
        <w:tc>
          <w:tcPr>
            <w:tcW w:w="1172" w:type="dxa"/>
            <w:vAlign w:val="bottom"/>
          </w:tcPr>
          <w:p w:rsidR="00000000" w:rsidRDefault="00000000">
            <w:pPr>
              <w:spacing w:before="60" w:after="60"/>
              <w:ind w:right="296"/>
              <w:jc w:val="right"/>
              <w:rPr>
                <w:sz w:val="22"/>
                <w:szCs w:val="22"/>
              </w:rPr>
            </w:pPr>
            <w:r>
              <w:rPr>
                <w:sz w:val="22"/>
                <w:szCs w:val="22"/>
              </w:rPr>
              <w:t>83</w:t>
            </w:r>
          </w:p>
        </w:tc>
        <w:tc>
          <w:tcPr>
            <w:tcW w:w="1080" w:type="dxa"/>
            <w:vAlign w:val="bottom"/>
          </w:tcPr>
          <w:p w:rsidR="00000000" w:rsidRDefault="00000000">
            <w:pPr>
              <w:spacing w:before="60" w:after="60"/>
              <w:ind w:right="296"/>
              <w:jc w:val="right"/>
              <w:rPr>
                <w:sz w:val="22"/>
                <w:szCs w:val="22"/>
              </w:rPr>
            </w:pPr>
            <w:r>
              <w:rPr>
                <w:sz w:val="22"/>
                <w:szCs w:val="22"/>
              </w:rPr>
              <w:t>46</w:t>
            </w:r>
          </w:p>
        </w:tc>
        <w:tc>
          <w:tcPr>
            <w:tcW w:w="1320" w:type="dxa"/>
            <w:vAlign w:val="bottom"/>
          </w:tcPr>
          <w:p w:rsidR="00000000" w:rsidRDefault="00000000">
            <w:pPr>
              <w:spacing w:before="60" w:after="60"/>
              <w:ind w:right="296"/>
              <w:jc w:val="right"/>
              <w:rPr>
                <w:sz w:val="22"/>
                <w:szCs w:val="22"/>
              </w:rPr>
            </w:pPr>
            <w:r>
              <w:rPr>
                <w:sz w:val="22"/>
                <w:szCs w:val="22"/>
              </w:rPr>
              <w:t>180,4</w:t>
            </w:r>
          </w:p>
        </w:tc>
        <w:tc>
          <w:tcPr>
            <w:tcW w:w="1080" w:type="dxa"/>
            <w:vAlign w:val="bottom"/>
          </w:tcPr>
          <w:p w:rsidR="00000000" w:rsidRDefault="00000000">
            <w:pPr>
              <w:spacing w:before="60" w:after="60"/>
              <w:ind w:right="296"/>
              <w:jc w:val="right"/>
              <w:rPr>
                <w:sz w:val="22"/>
                <w:szCs w:val="22"/>
              </w:rPr>
            </w:pPr>
            <w:r>
              <w:rPr>
                <w:sz w:val="22"/>
                <w:szCs w:val="22"/>
              </w:rPr>
              <w:t>82</w:t>
            </w:r>
          </w:p>
        </w:tc>
        <w:tc>
          <w:tcPr>
            <w:tcW w:w="1080" w:type="dxa"/>
            <w:vAlign w:val="bottom"/>
          </w:tcPr>
          <w:p w:rsidR="00000000" w:rsidRDefault="00000000">
            <w:pPr>
              <w:spacing w:before="60" w:after="60"/>
              <w:ind w:right="296"/>
              <w:jc w:val="right"/>
              <w:rPr>
                <w:sz w:val="22"/>
                <w:szCs w:val="22"/>
              </w:rPr>
            </w:pPr>
            <w:r>
              <w:rPr>
                <w:sz w:val="22"/>
                <w:szCs w:val="22"/>
              </w:rPr>
              <w:t>46</w:t>
            </w:r>
          </w:p>
        </w:tc>
        <w:tc>
          <w:tcPr>
            <w:tcW w:w="1296" w:type="dxa"/>
            <w:vAlign w:val="bottom"/>
          </w:tcPr>
          <w:p w:rsidR="00000000" w:rsidRDefault="00000000">
            <w:pPr>
              <w:spacing w:before="60" w:after="60"/>
              <w:ind w:right="296"/>
              <w:jc w:val="right"/>
              <w:rPr>
                <w:sz w:val="22"/>
                <w:szCs w:val="22"/>
              </w:rPr>
            </w:pPr>
            <w:r>
              <w:rPr>
                <w:sz w:val="22"/>
                <w:szCs w:val="22"/>
              </w:rPr>
              <w:t>178,3</w:t>
            </w:r>
          </w:p>
        </w:tc>
      </w:tr>
      <w:tr w:rsidR="00000000">
        <w:trPr>
          <w:jc w:val="center"/>
        </w:trPr>
        <w:tc>
          <w:tcPr>
            <w:tcW w:w="2288" w:type="dxa"/>
            <w:vAlign w:val="center"/>
          </w:tcPr>
          <w:p w:rsidR="00000000" w:rsidRDefault="00000000">
            <w:pPr>
              <w:spacing w:before="60" w:after="60"/>
              <w:rPr>
                <w:sz w:val="22"/>
                <w:szCs w:val="22"/>
              </w:rPr>
            </w:pPr>
            <w:r>
              <w:rPr>
                <w:sz w:val="22"/>
                <w:szCs w:val="22"/>
              </w:rPr>
              <w:t>Faro</w:t>
            </w:r>
            <w:r>
              <w:rPr>
                <w:b/>
                <w:bCs/>
                <w:sz w:val="22"/>
                <w:szCs w:val="22"/>
                <w:vertAlign w:val="superscript"/>
              </w:rPr>
              <w:t>b</w:t>
            </w:r>
          </w:p>
        </w:tc>
        <w:tc>
          <w:tcPr>
            <w:tcW w:w="1172" w:type="dxa"/>
            <w:vAlign w:val="bottom"/>
          </w:tcPr>
          <w:p w:rsidR="00000000" w:rsidRDefault="00000000">
            <w:pPr>
              <w:spacing w:before="60" w:after="60"/>
              <w:ind w:right="296"/>
              <w:jc w:val="right"/>
              <w:rPr>
                <w:sz w:val="22"/>
                <w:szCs w:val="22"/>
              </w:rPr>
            </w:pPr>
            <w:r>
              <w:rPr>
                <w:sz w:val="22"/>
                <w:szCs w:val="22"/>
              </w:rPr>
              <w:t>195</w:t>
            </w:r>
          </w:p>
        </w:tc>
        <w:tc>
          <w:tcPr>
            <w:tcW w:w="1080" w:type="dxa"/>
            <w:vAlign w:val="bottom"/>
          </w:tcPr>
          <w:p w:rsidR="00000000" w:rsidRDefault="00000000">
            <w:pPr>
              <w:spacing w:before="60" w:after="60"/>
              <w:ind w:right="296"/>
              <w:jc w:val="right"/>
              <w:rPr>
                <w:sz w:val="22"/>
                <w:szCs w:val="22"/>
              </w:rPr>
            </w:pPr>
            <w:r>
              <w:rPr>
                <w:sz w:val="22"/>
                <w:szCs w:val="22"/>
              </w:rPr>
              <w:t>120</w:t>
            </w:r>
          </w:p>
        </w:tc>
        <w:tc>
          <w:tcPr>
            <w:tcW w:w="1320" w:type="dxa"/>
            <w:vAlign w:val="bottom"/>
          </w:tcPr>
          <w:p w:rsidR="00000000" w:rsidRDefault="00000000">
            <w:pPr>
              <w:spacing w:before="60" w:after="60"/>
              <w:ind w:right="296"/>
              <w:jc w:val="right"/>
              <w:rPr>
                <w:sz w:val="22"/>
                <w:szCs w:val="22"/>
              </w:rPr>
            </w:pPr>
            <w:r>
              <w:rPr>
                <w:sz w:val="22"/>
                <w:szCs w:val="22"/>
              </w:rPr>
              <w:t>162,5</w:t>
            </w:r>
          </w:p>
        </w:tc>
        <w:tc>
          <w:tcPr>
            <w:tcW w:w="1080" w:type="dxa"/>
            <w:vAlign w:val="bottom"/>
          </w:tcPr>
          <w:p w:rsidR="00000000" w:rsidRDefault="00000000">
            <w:pPr>
              <w:spacing w:before="60" w:after="60"/>
              <w:ind w:right="296"/>
              <w:jc w:val="right"/>
              <w:rPr>
                <w:sz w:val="22"/>
                <w:szCs w:val="22"/>
              </w:rPr>
            </w:pPr>
            <w:r>
              <w:rPr>
                <w:sz w:val="22"/>
                <w:szCs w:val="22"/>
              </w:rPr>
              <w:t>177</w:t>
            </w:r>
          </w:p>
        </w:tc>
        <w:tc>
          <w:tcPr>
            <w:tcW w:w="1080" w:type="dxa"/>
            <w:vAlign w:val="bottom"/>
          </w:tcPr>
          <w:p w:rsidR="00000000" w:rsidRDefault="00000000">
            <w:pPr>
              <w:spacing w:before="60" w:after="60"/>
              <w:ind w:right="296"/>
              <w:jc w:val="right"/>
              <w:rPr>
                <w:sz w:val="22"/>
                <w:szCs w:val="22"/>
              </w:rPr>
            </w:pPr>
            <w:r>
              <w:rPr>
                <w:sz w:val="22"/>
                <w:szCs w:val="22"/>
              </w:rPr>
              <w:t>120</w:t>
            </w:r>
          </w:p>
        </w:tc>
        <w:tc>
          <w:tcPr>
            <w:tcW w:w="1296" w:type="dxa"/>
            <w:vAlign w:val="bottom"/>
          </w:tcPr>
          <w:p w:rsidR="00000000" w:rsidRDefault="00000000">
            <w:pPr>
              <w:spacing w:before="60" w:after="60"/>
              <w:ind w:right="296"/>
              <w:jc w:val="right"/>
              <w:rPr>
                <w:sz w:val="22"/>
                <w:szCs w:val="22"/>
              </w:rPr>
            </w:pPr>
            <w:r>
              <w:rPr>
                <w:sz w:val="22"/>
                <w:szCs w:val="22"/>
              </w:rPr>
              <w:t>147,5</w:t>
            </w:r>
          </w:p>
        </w:tc>
      </w:tr>
      <w:tr w:rsidR="00000000">
        <w:trPr>
          <w:jc w:val="center"/>
        </w:trPr>
        <w:tc>
          <w:tcPr>
            <w:tcW w:w="2288" w:type="dxa"/>
            <w:vAlign w:val="center"/>
          </w:tcPr>
          <w:p w:rsidR="00000000" w:rsidRDefault="00000000">
            <w:pPr>
              <w:spacing w:before="60" w:after="60"/>
              <w:rPr>
                <w:sz w:val="22"/>
                <w:szCs w:val="22"/>
              </w:rPr>
            </w:pPr>
            <w:r>
              <w:rPr>
                <w:sz w:val="22"/>
                <w:szCs w:val="22"/>
              </w:rPr>
              <w:t>Felgueiras</w:t>
            </w:r>
          </w:p>
        </w:tc>
        <w:tc>
          <w:tcPr>
            <w:tcW w:w="1172" w:type="dxa"/>
            <w:vAlign w:val="bottom"/>
          </w:tcPr>
          <w:p w:rsidR="00000000" w:rsidRDefault="00000000">
            <w:pPr>
              <w:spacing w:before="60" w:after="60"/>
              <w:ind w:right="296"/>
              <w:jc w:val="right"/>
              <w:rPr>
                <w:sz w:val="22"/>
                <w:szCs w:val="22"/>
              </w:rPr>
            </w:pPr>
            <w:r>
              <w:rPr>
                <w:sz w:val="22"/>
                <w:szCs w:val="22"/>
              </w:rPr>
              <w:t>45</w:t>
            </w:r>
          </w:p>
        </w:tc>
        <w:tc>
          <w:tcPr>
            <w:tcW w:w="1080" w:type="dxa"/>
            <w:vAlign w:val="bottom"/>
          </w:tcPr>
          <w:p w:rsidR="00000000" w:rsidRDefault="00000000">
            <w:pPr>
              <w:spacing w:before="60" w:after="60"/>
              <w:ind w:right="296"/>
              <w:jc w:val="right"/>
              <w:rPr>
                <w:sz w:val="22"/>
                <w:szCs w:val="22"/>
              </w:rPr>
            </w:pPr>
            <w:r>
              <w:rPr>
                <w:sz w:val="22"/>
                <w:szCs w:val="22"/>
              </w:rPr>
              <w:t>33</w:t>
            </w:r>
          </w:p>
        </w:tc>
        <w:tc>
          <w:tcPr>
            <w:tcW w:w="1320" w:type="dxa"/>
            <w:vAlign w:val="bottom"/>
          </w:tcPr>
          <w:p w:rsidR="00000000" w:rsidRDefault="00000000">
            <w:pPr>
              <w:spacing w:before="60" w:after="60"/>
              <w:ind w:right="296"/>
              <w:jc w:val="right"/>
              <w:rPr>
                <w:sz w:val="22"/>
                <w:szCs w:val="22"/>
              </w:rPr>
            </w:pPr>
            <w:r>
              <w:rPr>
                <w:sz w:val="22"/>
                <w:szCs w:val="22"/>
              </w:rPr>
              <w:t>136,4</w:t>
            </w:r>
          </w:p>
        </w:tc>
        <w:tc>
          <w:tcPr>
            <w:tcW w:w="1080" w:type="dxa"/>
            <w:vAlign w:val="bottom"/>
          </w:tcPr>
          <w:p w:rsidR="00000000" w:rsidRDefault="00000000">
            <w:pPr>
              <w:spacing w:before="60" w:after="60"/>
              <w:ind w:right="296"/>
              <w:jc w:val="right"/>
              <w:rPr>
                <w:sz w:val="22"/>
                <w:szCs w:val="22"/>
              </w:rPr>
            </w:pPr>
            <w:r>
              <w:rPr>
                <w:sz w:val="22"/>
                <w:szCs w:val="22"/>
              </w:rPr>
              <w:t>51</w:t>
            </w:r>
          </w:p>
        </w:tc>
        <w:tc>
          <w:tcPr>
            <w:tcW w:w="1080" w:type="dxa"/>
            <w:vAlign w:val="bottom"/>
          </w:tcPr>
          <w:p w:rsidR="00000000" w:rsidRDefault="00000000">
            <w:pPr>
              <w:spacing w:before="60" w:after="60"/>
              <w:ind w:right="296"/>
              <w:jc w:val="right"/>
              <w:rPr>
                <w:sz w:val="22"/>
                <w:szCs w:val="22"/>
              </w:rPr>
            </w:pPr>
            <w:r>
              <w:rPr>
                <w:sz w:val="22"/>
                <w:szCs w:val="22"/>
              </w:rPr>
              <w:t>33</w:t>
            </w:r>
          </w:p>
        </w:tc>
        <w:tc>
          <w:tcPr>
            <w:tcW w:w="1296" w:type="dxa"/>
            <w:vAlign w:val="bottom"/>
          </w:tcPr>
          <w:p w:rsidR="00000000" w:rsidRDefault="00000000">
            <w:pPr>
              <w:spacing w:before="60" w:after="60"/>
              <w:ind w:right="296"/>
              <w:jc w:val="right"/>
              <w:rPr>
                <w:sz w:val="22"/>
                <w:szCs w:val="22"/>
              </w:rPr>
            </w:pPr>
            <w:r>
              <w:rPr>
                <w:sz w:val="22"/>
                <w:szCs w:val="22"/>
              </w:rPr>
              <w:t>154,5</w:t>
            </w:r>
          </w:p>
        </w:tc>
      </w:tr>
      <w:tr w:rsidR="00000000">
        <w:trPr>
          <w:jc w:val="center"/>
        </w:trPr>
        <w:tc>
          <w:tcPr>
            <w:tcW w:w="2288" w:type="dxa"/>
            <w:vAlign w:val="center"/>
          </w:tcPr>
          <w:p w:rsidR="00000000" w:rsidRDefault="00000000">
            <w:pPr>
              <w:spacing w:before="60" w:after="60"/>
              <w:rPr>
                <w:sz w:val="22"/>
                <w:szCs w:val="22"/>
              </w:rPr>
            </w:pPr>
            <w:r>
              <w:rPr>
                <w:sz w:val="22"/>
                <w:szCs w:val="22"/>
              </w:rPr>
              <w:t>Funchal</w:t>
            </w:r>
          </w:p>
        </w:tc>
        <w:tc>
          <w:tcPr>
            <w:tcW w:w="1172" w:type="dxa"/>
            <w:vAlign w:val="bottom"/>
          </w:tcPr>
          <w:p w:rsidR="00000000" w:rsidRDefault="00000000">
            <w:pPr>
              <w:spacing w:before="60" w:after="60"/>
              <w:ind w:right="296"/>
              <w:jc w:val="right"/>
              <w:rPr>
                <w:sz w:val="22"/>
                <w:szCs w:val="22"/>
              </w:rPr>
            </w:pPr>
            <w:r>
              <w:rPr>
                <w:sz w:val="22"/>
                <w:szCs w:val="22"/>
              </w:rPr>
              <w:t>54</w:t>
            </w:r>
          </w:p>
        </w:tc>
        <w:tc>
          <w:tcPr>
            <w:tcW w:w="1080" w:type="dxa"/>
            <w:vAlign w:val="bottom"/>
          </w:tcPr>
          <w:p w:rsidR="00000000" w:rsidRDefault="00000000">
            <w:pPr>
              <w:spacing w:before="60" w:after="60"/>
              <w:ind w:right="296"/>
              <w:jc w:val="right"/>
              <w:rPr>
                <w:sz w:val="22"/>
                <w:szCs w:val="22"/>
              </w:rPr>
            </w:pPr>
            <w:r>
              <w:rPr>
                <w:sz w:val="22"/>
                <w:szCs w:val="22"/>
              </w:rPr>
              <w:t>100</w:t>
            </w:r>
          </w:p>
        </w:tc>
        <w:tc>
          <w:tcPr>
            <w:tcW w:w="1320" w:type="dxa"/>
            <w:vAlign w:val="bottom"/>
          </w:tcPr>
          <w:p w:rsidR="00000000" w:rsidRDefault="00000000">
            <w:pPr>
              <w:spacing w:before="60" w:after="60"/>
              <w:ind w:right="296"/>
              <w:jc w:val="right"/>
              <w:rPr>
                <w:sz w:val="22"/>
                <w:szCs w:val="22"/>
              </w:rPr>
            </w:pPr>
            <w:r>
              <w:rPr>
                <w:sz w:val="22"/>
                <w:szCs w:val="22"/>
              </w:rPr>
              <w:t>54,0</w:t>
            </w:r>
          </w:p>
        </w:tc>
        <w:tc>
          <w:tcPr>
            <w:tcW w:w="1080" w:type="dxa"/>
            <w:vAlign w:val="bottom"/>
          </w:tcPr>
          <w:p w:rsidR="00000000" w:rsidRDefault="00000000">
            <w:pPr>
              <w:spacing w:before="60" w:after="60"/>
              <w:ind w:right="296"/>
              <w:jc w:val="right"/>
              <w:rPr>
                <w:sz w:val="22"/>
                <w:szCs w:val="22"/>
              </w:rPr>
            </w:pPr>
            <w:r>
              <w:rPr>
                <w:sz w:val="22"/>
                <w:szCs w:val="22"/>
              </w:rPr>
              <w:t>52</w:t>
            </w:r>
          </w:p>
        </w:tc>
        <w:tc>
          <w:tcPr>
            <w:tcW w:w="1080" w:type="dxa"/>
            <w:vAlign w:val="bottom"/>
          </w:tcPr>
          <w:p w:rsidR="00000000" w:rsidRDefault="00000000">
            <w:pPr>
              <w:spacing w:before="60" w:after="60"/>
              <w:ind w:right="296"/>
              <w:jc w:val="right"/>
              <w:rPr>
                <w:sz w:val="22"/>
                <w:szCs w:val="22"/>
              </w:rPr>
            </w:pPr>
            <w:r>
              <w:rPr>
                <w:sz w:val="22"/>
                <w:szCs w:val="22"/>
              </w:rPr>
              <w:t>100</w:t>
            </w:r>
          </w:p>
        </w:tc>
        <w:tc>
          <w:tcPr>
            <w:tcW w:w="1296" w:type="dxa"/>
            <w:vAlign w:val="bottom"/>
          </w:tcPr>
          <w:p w:rsidR="00000000" w:rsidRDefault="00000000">
            <w:pPr>
              <w:spacing w:before="60" w:after="60"/>
              <w:ind w:right="296"/>
              <w:jc w:val="right"/>
              <w:rPr>
                <w:sz w:val="22"/>
                <w:szCs w:val="22"/>
              </w:rPr>
            </w:pPr>
            <w:r>
              <w:rPr>
                <w:sz w:val="22"/>
                <w:szCs w:val="22"/>
              </w:rPr>
              <w:t>52,0</w:t>
            </w:r>
          </w:p>
        </w:tc>
      </w:tr>
      <w:tr w:rsidR="00000000">
        <w:trPr>
          <w:jc w:val="center"/>
        </w:trPr>
        <w:tc>
          <w:tcPr>
            <w:tcW w:w="2288" w:type="dxa"/>
            <w:vAlign w:val="center"/>
          </w:tcPr>
          <w:p w:rsidR="00000000" w:rsidRDefault="00000000">
            <w:pPr>
              <w:spacing w:before="60" w:after="60"/>
              <w:rPr>
                <w:sz w:val="22"/>
                <w:szCs w:val="22"/>
              </w:rPr>
            </w:pPr>
            <w:r>
              <w:rPr>
                <w:sz w:val="22"/>
                <w:szCs w:val="22"/>
              </w:rPr>
              <w:t>Guarda</w:t>
            </w:r>
          </w:p>
        </w:tc>
        <w:tc>
          <w:tcPr>
            <w:tcW w:w="1172" w:type="dxa"/>
            <w:vAlign w:val="bottom"/>
          </w:tcPr>
          <w:p w:rsidR="00000000" w:rsidRDefault="00000000">
            <w:pPr>
              <w:spacing w:before="60" w:after="60"/>
              <w:ind w:right="296"/>
              <w:jc w:val="right"/>
              <w:rPr>
                <w:sz w:val="22"/>
                <w:szCs w:val="22"/>
              </w:rPr>
            </w:pPr>
            <w:r>
              <w:rPr>
                <w:sz w:val="22"/>
                <w:szCs w:val="22"/>
              </w:rPr>
              <w:t>175</w:t>
            </w:r>
          </w:p>
        </w:tc>
        <w:tc>
          <w:tcPr>
            <w:tcW w:w="1080" w:type="dxa"/>
            <w:vAlign w:val="bottom"/>
          </w:tcPr>
          <w:p w:rsidR="00000000" w:rsidRDefault="00000000">
            <w:pPr>
              <w:spacing w:before="60" w:after="60"/>
              <w:ind w:right="296"/>
              <w:jc w:val="right"/>
              <w:rPr>
                <w:sz w:val="22"/>
                <w:szCs w:val="22"/>
              </w:rPr>
            </w:pPr>
            <w:r>
              <w:rPr>
                <w:sz w:val="22"/>
                <w:szCs w:val="22"/>
              </w:rPr>
              <w:t>171</w:t>
            </w:r>
          </w:p>
        </w:tc>
        <w:tc>
          <w:tcPr>
            <w:tcW w:w="1320" w:type="dxa"/>
            <w:vAlign w:val="bottom"/>
          </w:tcPr>
          <w:p w:rsidR="00000000" w:rsidRDefault="00000000">
            <w:pPr>
              <w:spacing w:before="60" w:after="60"/>
              <w:ind w:right="296"/>
              <w:jc w:val="right"/>
              <w:rPr>
                <w:sz w:val="22"/>
                <w:szCs w:val="22"/>
              </w:rPr>
            </w:pPr>
            <w:r>
              <w:rPr>
                <w:sz w:val="22"/>
                <w:szCs w:val="22"/>
              </w:rPr>
              <w:t>102,3</w:t>
            </w:r>
          </w:p>
        </w:tc>
        <w:tc>
          <w:tcPr>
            <w:tcW w:w="1080" w:type="dxa"/>
            <w:vAlign w:val="bottom"/>
          </w:tcPr>
          <w:p w:rsidR="00000000" w:rsidRDefault="00000000">
            <w:pPr>
              <w:spacing w:before="60" w:after="60"/>
              <w:ind w:right="296"/>
              <w:jc w:val="right"/>
              <w:rPr>
                <w:sz w:val="22"/>
                <w:szCs w:val="22"/>
              </w:rPr>
            </w:pPr>
            <w:r>
              <w:rPr>
                <w:sz w:val="22"/>
                <w:szCs w:val="22"/>
              </w:rPr>
              <w:t>156</w:t>
            </w:r>
          </w:p>
        </w:tc>
        <w:tc>
          <w:tcPr>
            <w:tcW w:w="1080" w:type="dxa"/>
            <w:vAlign w:val="bottom"/>
          </w:tcPr>
          <w:p w:rsidR="00000000" w:rsidRDefault="00000000">
            <w:pPr>
              <w:spacing w:before="60" w:after="60"/>
              <w:ind w:right="296"/>
              <w:jc w:val="right"/>
              <w:rPr>
                <w:sz w:val="22"/>
                <w:szCs w:val="22"/>
              </w:rPr>
            </w:pPr>
            <w:r>
              <w:rPr>
                <w:sz w:val="22"/>
                <w:szCs w:val="22"/>
              </w:rPr>
              <w:t>171</w:t>
            </w:r>
          </w:p>
        </w:tc>
        <w:tc>
          <w:tcPr>
            <w:tcW w:w="1296" w:type="dxa"/>
            <w:vAlign w:val="bottom"/>
          </w:tcPr>
          <w:p w:rsidR="00000000" w:rsidRDefault="00000000">
            <w:pPr>
              <w:spacing w:before="60" w:after="60"/>
              <w:ind w:right="296"/>
              <w:jc w:val="right"/>
              <w:rPr>
                <w:sz w:val="22"/>
                <w:szCs w:val="22"/>
              </w:rPr>
            </w:pPr>
            <w:r>
              <w:rPr>
                <w:sz w:val="22"/>
                <w:szCs w:val="22"/>
              </w:rPr>
              <w:t>91,2</w:t>
            </w:r>
          </w:p>
        </w:tc>
      </w:tr>
      <w:tr w:rsidR="00000000">
        <w:trPr>
          <w:jc w:val="center"/>
        </w:trPr>
        <w:tc>
          <w:tcPr>
            <w:tcW w:w="2288" w:type="dxa"/>
            <w:vAlign w:val="center"/>
          </w:tcPr>
          <w:p w:rsidR="00000000" w:rsidRDefault="00000000">
            <w:pPr>
              <w:spacing w:before="60" w:after="60"/>
              <w:rPr>
                <w:sz w:val="22"/>
                <w:szCs w:val="22"/>
              </w:rPr>
            </w:pPr>
            <w:r>
              <w:rPr>
                <w:sz w:val="22"/>
                <w:szCs w:val="22"/>
              </w:rPr>
              <w:t>Guimarães</w:t>
            </w:r>
          </w:p>
        </w:tc>
        <w:tc>
          <w:tcPr>
            <w:tcW w:w="1172" w:type="dxa"/>
            <w:vAlign w:val="bottom"/>
          </w:tcPr>
          <w:p w:rsidR="00000000" w:rsidRDefault="00000000">
            <w:pPr>
              <w:spacing w:before="60" w:after="60"/>
              <w:ind w:right="296"/>
              <w:jc w:val="right"/>
              <w:rPr>
                <w:sz w:val="22"/>
                <w:szCs w:val="22"/>
              </w:rPr>
            </w:pPr>
            <w:r>
              <w:rPr>
                <w:sz w:val="22"/>
                <w:szCs w:val="22"/>
              </w:rPr>
              <w:t>104</w:t>
            </w:r>
          </w:p>
        </w:tc>
        <w:tc>
          <w:tcPr>
            <w:tcW w:w="1080" w:type="dxa"/>
            <w:vAlign w:val="bottom"/>
          </w:tcPr>
          <w:p w:rsidR="00000000" w:rsidRDefault="00000000">
            <w:pPr>
              <w:spacing w:before="60" w:after="60"/>
              <w:ind w:right="296"/>
              <w:jc w:val="right"/>
              <w:rPr>
                <w:sz w:val="22"/>
                <w:szCs w:val="22"/>
              </w:rPr>
            </w:pPr>
            <w:r>
              <w:rPr>
                <w:sz w:val="22"/>
                <w:szCs w:val="22"/>
              </w:rPr>
              <w:t>48</w:t>
            </w:r>
          </w:p>
        </w:tc>
        <w:tc>
          <w:tcPr>
            <w:tcW w:w="1320" w:type="dxa"/>
            <w:vAlign w:val="bottom"/>
          </w:tcPr>
          <w:p w:rsidR="00000000" w:rsidRDefault="00000000">
            <w:pPr>
              <w:spacing w:before="60" w:after="60"/>
              <w:ind w:right="296"/>
              <w:jc w:val="right"/>
              <w:rPr>
                <w:sz w:val="22"/>
                <w:szCs w:val="22"/>
              </w:rPr>
            </w:pPr>
            <w:r>
              <w:rPr>
                <w:sz w:val="22"/>
                <w:szCs w:val="22"/>
              </w:rPr>
              <w:t>216,7</w:t>
            </w:r>
          </w:p>
        </w:tc>
        <w:tc>
          <w:tcPr>
            <w:tcW w:w="1080" w:type="dxa"/>
            <w:vAlign w:val="bottom"/>
          </w:tcPr>
          <w:p w:rsidR="00000000" w:rsidRDefault="00000000">
            <w:pPr>
              <w:spacing w:before="60" w:after="60"/>
              <w:ind w:right="296"/>
              <w:jc w:val="right"/>
              <w:rPr>
                <w:sz w:val="22"/>
                <w:szCs w:val="22"/>
              </w:rPr>
            </w:pPr>
            <w:r>
              <w:rPr>
                <w:sz w:val="22"/>
                <w:szCs w:val="22"/>
              </w:rPr>
              <w:t>112</w:t>
            </w:r>
          </w:p>
        </w:tc>
        <w:tc>
          <w:tcPr>
            <w:tcW w:w="1080" w:type="dxa"/>
            <w:vAlign w:val="bottom"/>
          </w:tcPr>
          <w:p w:rsidR="00000000" w:rsidRDefault="00000000">
            <w:pPr>
              <w:spacing w:before="60" w:after="60"/>
              <w:ind w:right="296"/>
              <w:jc w:val="right"/>
              <w:rPr>
                <w:sz w:val="22"/>
                <w:szCs w:val="22"/>
              </w:rPr>
            </w:pPr>
            <w:r>
              <w:rPr>
                <w:sz w:val="22"/>
                <w:szCs w:val="22"/>
              </w:rPr>
              <w:t>48</w:t>
            </w:r>
          </w:p>
        </w:tc>
        <w:tc>
          <w:tcPr>
            <w:tcW w:w="1296" w:type="dxa"/>
            <w:vAlign w:val="bottom"/>
          </w:tcPr>
          <w:p w:rsidR="00000000" w:rsidRDefault="00000000">
            <w:pPr>
              <w:spacing w:before="60" w:after="60"/>
              <w:ind w:right="296"/>
              <w:jc w:val="right"/>
              <w:rPr>
                <w:sz w:val="22"/>
                <w:szCs w:val="22"/>
              </w:rPr>
            </w:pPr>
            <w:r>
              <w:rPr>
                <w:sz w:val="22"/>
                <w:szCs w:val="22"/>
              </w:rPr>
              <w:t>233,3</w:t>
            </w:r>
          </w:p>
        </w:tc>
      </w:tr>
      <w:tr w:rsidR="00000000">
        <w:trPr>
          <w:jc w:val="center"/>
        </w:trPr>
        <w:tc>
          <w:tcPr>
            <w:tcW w:w="2288" w:type="dxa"/>
            <w:vAlign w:val="center"/>
          </w:tcPr>
          <w:p w:rsidR="00000000" w:rsidRDefault="00000000">
            <w:pPr>
              <w:spacing w:before="60" w:after="60"/>
              <w:rPr>
                <w:sz w:val="22"/>
                <w:szCs w:val="22"/>
              </w:rPr>
            </w:pPr>
            <w:r>
              <w:rPr>
                <w:sz w:val="22"/>
                <w:szCs w:val="22"/>
              </w:rPr>
              <w:t>Lamego</w:t>
            </w:r>
          </w:p>
        </w:tc>
        <w:tc>
          <w:tcPr>
            <w:tcW w:w="1172" w:type="dxa"/>
            <w:vAlign w:val="bottom"/>
          </w:tcPr>
          <w:p w:rsidR="00000000" w:rsidRDefault="00000000">
            <w:pPr>
              <w:spacing w:before="60" w:after="60"/>
              <w:ind w:right="296"/>
              <w:jc w:val="right"/>
              <w:rPr>
                <w:sz w:val="22"/>
                <w:szCs w:val="22"/>
              </w:rPr>
            </w:pPr>
            <w:r>
              <w:rPr>
                <w:sz w:val="22"/>
                <w:szCs w:val="22"/>
              </w:rPr>
              <w:t>90</w:t>
            </w:r>
          </w:p>
        </w:tc>
        <w:tc>
          <w:tcPr>
            <w:tcW w:w="1080" w:type="dxa"/>
            <w:vAlign w:val="bottom"/>
          </w:tcPr>
          <w:p w:rsidR="00000000" w:rsidRDefault="00000000">
            <w:pPr>
              <w:spacing w:before="60" w:after="60"/>
              <w:ind w:right="296"/>
              <w:jc w:val="right"/>
              <w:rPr>
                <w:sz w:val="22"/>
                <w:szCs w:val="22"/>
              </w:rPr>
            </w:pPr>
            <w:r>
              <w:rPr>
                <w:sz w:val="22"/>
                <w:szCs w:val="22"/>
              </w:rPr>
              <w:t>67</w:t>
            </w:r>
          </w:p>
        </w:tc>
        <w:tc>
          <w:tcPr>
            <w:tcW w:w="1320" w:type="dxa"/>
            <w:vAlign w:val="bottom"/>
          </w:tcPr>
          <w:p w:rsidR="00000000" w:rsidRDefault="00000000">
            <w:pPr>
              <w:spacing w:before="60" w:after="60"/>
              <w:ind w:right="296"/>
              <w:jc w:val="right"/>
              <w:rPr>
                <w:sz w:val="22"/>
                <w:szCs w:val="22"/>
              </w:rPr>
            </w:pPr>
            <w:r>
              <w:rPr>
                <w:sz w:val="22"/>
                <w:szCs w:val="22"/>
              </w:rPr>
              <w:t>134,3</w:t>
            </w:r>
          </w:p>
        </w:tc>
        <w:tc>
          <w:tcPr>
            <w:tcW w:w="1080" w:type="dxa"/>
            <w:vAlign w:val="bottom"/>
          </w:tcPr>
          <w:p w:rsidR="00000000" w:rsidRDefault="00000000">
            <w:pPr>
              <w:spacing w:before="60" w:after="60"/>
              <w:ind w:right="296"/>
              <w:jc w:val="right"/>
              <w:rPr>
                <w:sz w:val="22"/>
                <w:szCs w:val="22"/>
              </w:rPr>
            </w:pPr>
            <w:r>
              <w:rPr>
                <w:sz w:val="22"/>
                <w:szCs w:val="22"/>
              </w:rPr>
              <w:t>76</w:t>
            </w:r>
          </w:p>
        </w:tc>
        <w:tc>
          <w:tcPr>
            <w:tcW w:w="1080" w:type="dxa"/>
            <w:vAlign w:val="bottom"/>
          </w:tcPr>
          <w:p w:rsidR="00000000" w:rsidRDefault="00000000">
            <w:pPr>
              <w:spacing w:before="60" w:after="60"/>
              <w:ind w:right="296"/>
              <w:jc w:val="right"/>
              <w:rPr>
                <w:sz w:val="22"/>
                <w:szCs w:val="22"/>
              </w:rPr>
            </w:pPr>
            <w:r>
              <w:rPr>
                <w:sz w:val="22"/>
                <w:szCs w:val="22"/>
              </w:rPr>
              <w:t>67</w:t>
            </w:r>
          </w:p>
        </w:tc>
        <w:tc>
          <w:tcPr>
            <w:tcW w:w="1296" w:type="dxa"/>
            <w:vAlign w:val="bottom"/>
          </w:tcPr>
          <w:p w:rsidR="00000000" w:rsidRDefault="00000000">
            <w:pPr>
              <w:spacing w:before="60" w:after="60"/>
              <w:ind w:right="296"/>
              <w:jc w:val="right"/>
              <w:rPr>
                <w:sz w:val="22"/>
                <w:szCs w:val="22"/>
              </w:rPr>
            </w:pPr>
            <w:r>
              <w:rPr>
                <w:sz w:val="22"/>
                <w:szCs w:val="22"/>
              </w:rPr>
              <w:t>113,4</w:t>
            </w:r>
          </w:p>
        </w:tc>
      </w:tr>
      <w:tr w:rsidR="00000000">
        <w:trPr>
          <w:jc w:val="center"/>
        </w:trPr>
        <w:tc>
          <w:tcPr>
            <w:tcW w:w="2288" w:type="dxa"/>
            <w:vAlign w:val="center"/>
          </w:tcPr>
          <w:p w:rsidR="00000000" w:rsidRDefault="00000000">
            <w:pPr>
              <w:spacing w:before="60" w:after="60"/>
              <w:rPr>
                <w:sz w:val="22"/>
                <w:szCs w:val="22"/>
              </w:rPr>
            </w:pPr>
            <w:r>
              <w:rPr>
                <w:sz w:val="22"/>
                <w:szCs w:val="22"/>
              </w:rPr>
              <w:t>Leiria</w:t>
            </w:r>
          </w:p>
        </w:tc>
        <w:tc>
          <w:tcPr>
            <w:tcW w:w="1172" w:type="dxa"/>
            <w:vAlign w:val="bottom"/>
          </w:tcPr>
          <w:p w:rsidR="00000000" w:rsidRDefault="00000000">
            <w:pPr>
              <w:spacing w:before="60" w:after="60"/>
              <w:ind w:right="296"/>
              <w:jc w:val="right"/>
              <w:rPr>
                <w:sz w:val="22"/>
                <w:szCs w:val="22"/>
              </w:rPr>
            </w:pPr>
            <w:r>
              <w:rPr>
                <w:sz w:val="22"/>
                <w:szCs w:val="22"/>
              </w:rPr>
              <w:t>235</w:t>
            </w:r>
          </w:p>
        </w:tc>
        <w:tc>
          <w:tcPr>
            <w:tcW w:w="1080" w:type="dxa"/>
            <w:vAlign w:val="bottom"/>
          </w:tcPr>
          <w:p w:rsidR="00000000" w:rsidRDefault="00000000">
            <w:pPr>
              <w:spacing w:before="60" w:after="60"/>
              <w:ind w:right="296"/>
              <w:jc w:val="right"/>
              <w:rPr>
                <w:sz w:val="22"/>
                <w:szCs w:val="22"/>
              </w:rPr>
            </w:pPr>
            <w:r>
              <w:rPr>
                <w:sz w:val="22"/>
                <w:szCs w:val="22"/>
              </w:rPr>
              <w:t>110</w:t>
            </w:r>
          </w:p>
        </w:tc>
        <w:tc>
          <w:tcPr>
            <w:tcW w:w="1320" w:type="dxa"/>
            <w:vAlign w:val="bottom"/>
          </w:tcPr>
          <w:p w:rsidR="00000000" w:rsidRDefault="00000000">
            <w:pPr>
              <w:spacing w:before="60" w:after="60"/>
              <w:ind w:right="296"/>
              <w:jc w:val="right"/>
              <w:rPr>
                <w:sz w:val="22"/>
                <w:szCs w:val="22"/>
              </w:rPr>
            </w:pPr>
            <w:r>
              <w:rPr>
                <w:sz w:val="22"/>
                <w:szCs w:val="22"/>
              </w:rPr>
              <w:t>213,6</w:t>
            </w:r>
          </w:p>
        </w:tc>
        <w:tc>
          <w:tcPr>
            <w:tcW w:w="1080" w:type="dxa"/>
            <w:vAlign w:val="bottom"/>
          </w:tcPr>
          <w:p w:rsidR="00000000" w:rsidRDefault="00000000">
            <w:pPr>
              <w:spacing w:before="60" w:after="60"/>
              <w:ind w:right="296"/>
              <w:jc w:val="right"/>
              <w:rPr>
                <w:sz w:val="22"/>
                <w:szCs w:val="22"/>
              </w:rPr>
            </w:pPr>
            <w:r>
              <w:rPr>
                <w:sz w:val="22"/>
                <w:szCs w:val="22"/>
              </w:rPr>
              <w:t>233</w:t>
            </w:r>
          </w:p>
        </w:tc>
        <w:tc>
          <w:tcPr>
            <w:tcW w:w="1080" w:type="dxa"/>
            <w:vAlign w:val="bottom"/>
          </w:tcPr>
          <w:p w:rsidR="00000000" w:rsidRDefault="00000000">
            <w:pPr>
              <w:spacing w:before="60" w:after="60"/>
              <w:ind w:right="296"/>
              <w:jc w:val="right"/>
              <w:rPr>
                <w:sz w:val="22"/>
                <w:szCs w:val="22"/>
              </w:rPr>
            </w:pPr>
            <w:r>
              <w:rPr>
                <w:sz w:val="22"/>
                <w:szCs w:val="22"/>
              </w:rPr>
              <w:t>110</w:t>
            </w:r>
          </w:p>
        </w:tc>
        <w:tc>
          <w:tcPr>
            <w:tcW w:w="1296" w:type="dxa"/>
            <w:vAlign w:val="bottom"/>
          </w:tcPr>
          <w:p w:rsidR="00000000" w:rsidRDefault="00000000">
            <w:pPr>
              <w:spacing w:before="60" w:after="60"/>
              <w:ind w:right="296"/>
              <w:jc w:val="right"/>
              <w:rPr>
                <w:sz w:val="22"/>
                <w:szCs w:val="22"/>
              </w:rPr>
            </w:pPr>
            <w:r>
              <w:rPr>
                <w:sz w:val="22"/>
                <w:szCs w:val="22"/>
              </w:rPr>
              <w:t>211,8</w:t>
            </w:r>
          </w:p>
        </w:tc>
      </w:tr>
      <w:tr w:rsidR="00000000">
        <w:trPr>
          <w:jc w:val="center"/>
        </w:trPr>
        <w:tc>
          <w:tcPr>
            <w:tcW w:w="2288" w:type="dxa"/>
            <w:vAlign w:val="center"/>
          </w:tcPr>
          <w:p w:rsidR="00000000" w:rsidRDefault="00000000">
            <w:pPr>
              <w:spacing w:before="60" w:after="60"/>
              <w:rPr>
                <w:sz w:val="22"/>
                <w:szCs w:val="22"/>
              </w:rPr>
            </w:pPr>
            <w:r>
              <w:rPr>
                <w:sz w:val="22"/>
                <w:szCs w:val="22"/>
              </w:rPr>
              <w:t>Monção</w:t>
            </w:r>
          </w:p>
        </w:tc>
        <w:tc>
          <w:tcPr>
            <w:tcW w:w="1172" w:type="dxa"/>
            <w:vAlign w:val="bottom"/>
          </w:tcPr>
          <w:p w:rsidR="00000000" w:rsidRDefault="00000000">
            <w:pPr>
              <w:spacing w:before="60" w:after="60"/>
              <w:ind w:right="296"/>
              <w:jc w:val="right"/>
              <w:rPr>
                <w:sz w:val="22"/>
                <w:szCs w:val="22"/>
              </w:rPr>
            </w:pPr>
            <w:r>
              <w:rPr>
                <w:sz w:val="22"/>
                <w:szCs w:val="22"/>
              </w:rPr>
              <w:t>51</w:t>
            </w:r>
          </w:p>
        </w:tc>
        <w:tc>
          <w:tcPr>
            <w:tcW w:w="1080" w:type="dxa"/>
            <w:vAlign w:val="bottom"/>
          </w:tcPr>
          <w:p w:rsidR="00000000" w:rsidRDefault="00000000">
            <w:pPr>
              <w:spacing w:before="60" w:after="60"/>
              <w:ind w:right="296"/>
              <w:jc w:val="right"/>
              <w:rPr>
                <w:sz w:val="22"/>
                <w:szCs w:val="22"/>
              </w:rPr>
            </w:pPr>
            <w:r>
              <w:rPr>
                <w:sz w:val="22"/>
                <w:szCs w:val="22"/>
              </w:rPr>
              <w:t>34</w:t>
            </w:r>
          </w:p>
        </w:tc>
        <w:tc>
          <w:tcPr>
            <w:tcW w:w="1320" w:type="dxa"/>
            <w:vAlign w:val="bottom"/>
          </w:tcPr>
          <w:p w:rsidR="00000000" w:rsidRDefault="00000000">
            <w:pPr>
              <w:spacing w:before="60" w:after="60"/>
              <w:ind w:right="296"/>
              <w:jc w:val="right"/>
              <w:rPr>
                <w:sz w:val="22"/>
                <w:szCs w:val="22"/>
              </w:rPr>
            </w:pPr>
            <w:r>
              <w:rPr>
                <w:sz w:val="22"/>
                <w:szCs w:val="22"/>
              </w:rPr>
              <w:t>150,0</w:t>
            </w:r>
          </w:p>
        </w:tc>
        <w:tc>
          <w:tcPr>
            <w:tcW w:w="1080" w:type="dxa"/>
            <w:vAlign w:val="bottom"/>
          </w:tcPr>
          <w:p w:rsidR="00000000" w:rsidRDefault="00000000">
            <w:pPr>
              <w:spacing w:before="60" w:after="60"/>
              <w:ind w:right="296"/>
              <w:jc w:val="right"/>
              <w:rPr>
                <w:sz w:val="22"/>
                <w:szCs w:val="22"/>
              </w:rPr>
            </w:pPr>
            <w:r>
              <w:rPr>
                <w:sz w:val="22"/>
                <w:szCs w:val="22"/>
              </w:rPr>
              <w:t>46</w:t>
            </w:r>
          </w:p>
        </w:tc>
        <w:tc>
          <w:tcPr>
            <w:tcW w:w="1080" w:type="dxa"/>
            <w:vAlign w:val="bottom"/>
          </w:tcPr>
          <w:p w:rsidR="00000000" w:rsidRDefault="00000000">
            <w:pPr>
              <w:spacing w:before="60" w:after="60"/>
              <w:ind w:right="296"/>
              <w:jc w:val="right"/>
              <w:rPr>
                <w:sz w:val="22"/>
                <w:szCs w:val="22"/>
              </w:rPr>
            </w:pPr>
            <w:r>
              <w:rPr>
                <w:sz w:val="22"/>
                <w:szCs w:val="22"/>
              </w:rPr>
              <w:t>34</w:t>
            </w:r>
          </w:p>
        </w:tc>
        <w:tc>
          <w:tcPr>
            <w:tcW w:w="1296" w:type="dxa"/>
            <w:vAlign w:val="bottom"/>
          </w:tcPr>
          <w:p w:rsidR="00000000" w:rsidRDefault="00000000">
            <w:pPr>
              <w:spacing w:before="60" w:after="60"/>
              <w:ind w:right="296"/>
              <w:jc w:val="right"/>
              <w:rPr>
                <w:sz w:val="22"/>
                <w:szCs w:val="22"/>
              </w:rPr>
            </w:pPr>
            <w:r>
              <w:rPr>
                <w:sz w:val="22"/>
                <w:szCs w:val="22"/>
              </w:rPr>
              <w:t>135,3</w:t>
            </w:r>
          </w:p>
        </w:tc>
      </w:tr>
      <w:tr w:rsidR="00000000">
        <w:trPr>
          <w:jc w:val="center"/>
        </w:trPr>
        <w:tc>
          <w:tcPr>
            <w:tcW w:w="2288" w:type="dxa"/>
            <w:vAlign w:val="center"/>
          </w:tcPr>
          <w:p w:rsidR="00000000" w:rsidRDefault="00000000">
            <w:pPr>
              <w:spacing w:before="60" w:after="60"/>
              <w:rPr>
                <w:sz w:val="22"/>
                <w:szCs w:val="22"/>
              </w:rPr>
            </w:pPr>
            <w:r>
              <w:rPr>
                <w:sz w:val="22"/>
                <w:szCs w:val="22"/>
              </w:rPr>
              <w:t>Montijo</w:t>
            </w:r>
          </w:p>
        </w:tc>
        <w:tc>
          <w:tcPr>
            <w:tcW w:w="1172" w:type="dxa"/>
            <w:vAlign w:val="bottom"/>
          </w:tcPr>
          <w:p w:rsidR="00000000" w:rsidRDefault="00000000">
            <w:pPr>
              <w:spacing w:before="60" w:after="60"/>
              <w:ind w:right="296"/>
              <w:jc w:val="right"/>
              <w:rPr>
                <w:sz w:val="22"/>
                <w:szCs w:val="22"/>
              </w:rPr>
            </w:pPr>
            <w:r>
              <w:rPr>
                <w:sz w:val="22"/>
                <w:szCs w:val="22"/>
              </w:rPr>
              <w:t>254</w:t>
            </w:r>
          </w:p>
        </w:tc>
        <w:tc>
          <w:tcPr>
            <w:tcW w:w="1080" w:type="dxa"/>
            <w:vAlign w:val="bottom"/>
          </w:tcPr>
          <w:p w:rsidR="00000000" w:rsidRDefault="00000000">
            <w:pPr>
              <w:spacing w:before="60" w:after="60"/>
              <w:ind w:right="296"/>
              <w:jc w:val="right"/>
              <w:rPr>
                <w:sz w:val="22"/>
                <w:szCs w:val="22"/>
              </w:rPr>
            </w:pPr>
            <w:r>
              <w:rPr>
                <w:sz w:val="22"/>
                <w:szCs w:val="22"/>
              </w:rPr>
              <w:t>105</w:t>
            </w:r>
          </w:p>
        </w:tc>
        <w:tc>
          <w:tcPr>
            <w:tcW w:w="1320" w:type="dxa"/>
            <w:vAlign w:val="bottom"/>
          </w:tcPr>
          <w:p w:rsidR="00000000" w:rsidRDefault="00000000">
            <w:pPr>
              <w:spacing w:before="60" w:after="60"/>
              <w:ind w:right="296"/>
              <w:jc w:val="right"/>
              <w:rPr>
                <w:sz w:val="22"/>
                <w:szCs w:val="22"/>
              </w:rPr>
            </w:pPr>
            <w:r>
              <w:rPr>
                <w:sz w:val="22"/>
                <w:szCs w:val="22"/>
              </w:rPr>
              <w:t>241,9</w:t>
            </w:r>
          </w:p>
        </w:tc>
        <w:tc>
          <w:tcPr>
            <w:tcW w:w="1080" w:type="dxa"/>
            <w:vAlign w:val="bottom"/>
          </w:tcPr>
          <w:p w:rsidR="00000000" w:rsidRDefault="00000000">
            <w:pPr>
              <w:spacing w:before="60" w:after="60"/>
              <w:ind w:right="296"/>
              <w:jc w:val="right"/>
              <w:rPr>
                <w:sz w:val="22"/>
                <w:szCs w:val="22"/>
              </w:rPr>
            </w:pPr>
            <w:r>
              <w:rPr>
                <w:sz w:val="22"/>
                <w:szCs w:val="22"/>
              </w:rPr>
              <w:t>250</w:t>
            </w:r>
          </w:p>
        </w:tc>
        <w:tc>
          <w:tcPr>
            <w:tcW w:w="1080" w:type="dxa"/>
            <w:vAlign w:val="bottom"/>
          </w:tcPr>
          <w:p w:rsidR="00000000" w:rsidRDefault="00000000">
            <w:pPr>
              <w:spacing w:before="60" w:after="60"/>
              <w:ind w:right="296"/>
              <w:jc w:val="right"/>
              <w:rPr>
                <w:sz w:val="22"/>
                <w:szCs w:val="22"/>
              </w:rPr>
            </w:pPr>
            <w:r>
              <w:rPr>
                <w:sz w:val="22"/>
                <w:szCs w:val="22"/>
              </w:rPr>
              <w:t>105</w:t>
            </w:r>
          </w:p>
        </w:tc>
        <w:tc>
          <w:tcPr>
            <w:tcW w:w="1296" w:type="dxa"/>
            <w:vAlign w:val="bottom"/>
          </w:tcPr>
          <w:p w:rsidR="00000000" w:rsidRDefault="00000000">
            <w:pPr>
              <w:spacing w:before="60" w:after="60"/>
              <w:ind w:right="296"/>
              <w:jc w:val="right"/>
              <w:rPr>
                <w:sz w:val="22"/>
                <w:szCs w:val="22"/>
              </w:rPr>
            </w:pPr>
            <w:r>
              <w:rPr>
                <w:sz w:val="22"/>
                <w:szCs w:val="22"/>
              </w:rPr>
              <w:t>238,1</w:t>
            </w:r>
          </w:p>
        </w:tc>
      </w:tr>
      <w:tr w:rsidR="00000000">
        <w:trPr>
          <w:jc w:val="center"/>
        </w:trPr>
        <w:tc>
          <w:tcPr>
            <w:tcW w:w="2288" w:type="dxa"/>
            <w:vAlign w:val="center"/>
          </w:tcPr>
          <w:p w:rsidR="00000000" w:rsidRDefault="00000000">
            <w:pPr>
              <w:spacing w:before="60" w:after="60"/>
              <w:rPr>
                <w:sz w:val="22"/>
                <w:szCs w:val="22"/>
              </w:rPr>
            </w:pPr>
            <w:r>
              <w:rPr>
                <w:sz w:val="22"/>
                <w:szCs w:val="22"/>
              </w:rPr>
              <w:t>Odemira</w:t>
            </w:r>
          </w:p>
        </w:tc>
        <w:tc>
          <w:tcPr>
            <w:tcW w:w="1172" w:type="dxa"/>
            <w:vAlign w:val="bottom"/>
          </w:tcPr>
          <w:p w:rsidR="00000000" w:rsidRDefault="00000000">
            <w:pPr>
              <w:spacing w:before="60" w:after="60"/>
              <w:ind w:right="296"/>
              <w:jc w:val="right"/>
              <w:rPr>
                <w:sz w:val="22"/>
                <w:szCs w:val="22"/>
              </w:rPr>
            </w:pPr>
            <w:r>
              <w:rPr>
                <w:sz w:val="22"/>
                <w:szCs w:val="22"/>
              </w:rPr>
              <w:t>88</w:t>
            </w:r>
          </w:p>
        </w:tc>
        <w:tc>
          <w:tcPr>
            <w:tcW w:w="1080" w:type="dxa"/>
            <w:vAlign w:val="bottom"/>
          </w:tcPr>
          <w:p w:rsidR="00000000" w:rsidRDefault="00000000">
            <w:pPr>
              <w:spacing w:before="60" w:after="60"/>
              <w:ind w:right="296"/>
              <w:jc w:val="right"/>
              <w:rPr>
                <w:sz w:val="22"/>
                <w:szCs w:val="22"/>
              </w:rPr>
            </w:pPr>
            <w:r>
              <w:rPr>
                <w:sz w:val="22"/>
                <w:szCs w:val="22"/>
              </w:rPr>
              <w:t>56</w:t>
            </w:r>
          </w:p>
        </w:tc>
        <w:tc>
          <w:tcPr>
            <w:tcW w:w="1320" w:type="dxa"/>
            <w:vAlign w:val="bottom"/>
          </w:tcPr>
          <w:p w:rsidR="00000000" w:rsidRDefault="00000000">
            <w:pPr>
              <w:spacing w:before="60" w:after="60"/>
              <w:ind w:right="296"/>
              <w:jc w:val="right"/>
              <w:rPr>
                <w:sz w:val="22"/>
                <w:szCs w:val="22"/>
              </w:rPr>
            </w:pPr>
            <w:r>
              <w:rPr>
                <w:sz w:val="22"/>
                <w:szCs w:val="22"/>
              </w:rPr>
              <w:t>157,1</w:t>
            </w:r>
          </w:p>
        </w:tc>
        <w:tc>
          <w:tcPr>
            <w:tcW w:w="1080" w:type="dxa"/>
            <w:vAlign w:val="bottom"/>
          </w:tcPr>
          <w:p w:rsidR="00000000" w:rsidRDefault="00000000">
            <w:pPr>
              <w:spacing w:before="60" w:after="60"/>
              <w:ind w:right="296"/>
              <w:jc w:val="right"/>
              <w:rPr>
                <w:sz w:val="22"/>
                <w:szCs w:val="22"/>
              </w:rPr>
            </w:pPr>
            <w:r>
              <w:rPr>
                <w:sz w:val="22"/>
                <w:szCs w:val="22"/>
              </w:rPr>
              <w:t>78</w:t>
            </w:r>
          </w:p>
        </w:tc>
        <w:tc>
          <w:tcPr>
            <w:tcW w:w="1080" w:type="dxa"/>
            <w:vAlign w:val="bottom"/>
          </w:tcPr>
          <w:p w:rsidR="00000000" w:rsidRDefault="00000000">
            <w:pPr>
              <w:spacing w:before="60" w:after="60"/>
              <w:ind w:right="296"/>
              <w:jc w:val="right"/>
              <w:rPr>
                <w:sz w:val="22"/>
                <w:szCs w:val="22"/>
              </w:rPr>
            </w:pPr>
            <w:r>
              <w:rPr>
                <w:sz w:val="22"/>
                <w:szCs w:val="22"/>
              </w:rPr>
              <w:t>56</w:t>
            </w:r>
          </w:p>
        </w:tc>
        <w:tc>
          <w:tcPr>
            <w:tcW w:w="1296" w:type="dxa"/>
            <w:vAlign w:val="bottom"/>
          </w:tcPr>
          <w:p w:rsidR="00000000" w:rsidRDefault="00000000">
            <w:pPr>
              <w:spacing w:before="60" w:after="60"/>
              <w:ind w:right="296"/>
              <w:jc w:val="right"/>
              <w:rPr>
                <w:sz w:val="22"/>
                <w:szCs w:val="22"/>
              </w:rPr>
            </w:pPr>
            <w:r>
              <w:rPr>
                <w:sz w:val="22"/>
                <w:szCs w:val="22"/>
              </w:rPr>
              <w:t>139,3</w:t>
            </w:r>
          </w:p>
        </w:tc>
      </w:tr>
      <w:tr w:rsidR="00000000">
        <w:trPr>
          <w:jc w:val="center"/>
        </w:trPr>
        <w:tc>
          <w:tcPr>
            <w:tcW w:w="2288" w:type="dxa"/>
            <w:vAlign w:val="center"/>
          </w:tcPr>
          <w:p w:rsidR="00000000" w:rsidRDefault="00000000">
            <w:pPr>
              <w:spacing w:before="60" w:after="60"/>
              <w:rPr>
                <w:sz w:val="22"/>
                <w:szCs w:val="22"/>
              </w:rPr>
            </w:pPr>
            <w:r>
              <w:rPr>
                <w:sz w:val="22"/>
                <w:szCs w:val="22"/>
              </w:rPr>
              <w:t>Olhão</w:t>
            </w:r>
            <w:r>
              <w:rPr>
                <w:b/>
                <w:bCs/>
                <w:sz w:val="22"/>
                <w:szCs w:val="22"/>
                <w:vertAlign w:val="superscript"/>
              </w:rPr>
              <w:t>b</w:t>
            </w:r>
          </w:p>
        </w:tc>
        <w:tc>
          <w:tcPr>
            <w:tcW w:w="1172" w:type="dxa"/>
            <w:vAlign w:val="bottom"/>
          </w:tcPr>
          <w:p w:rsidR="00000000" w:rsidRDefault="00000000">
            <w:pPr>
              <w:spacing w:before="60" w:after="60"/>
              <w:ind w:right="296"/>
              <w:jc w:val="right"/>
              <w:rPr>
                <w:sz w:val="22"/>
                <w:szCs w:val="22"/>
              </w:rPr>
            </w:pPr>
            <w:r>
              <w:rPr>
                <w:sz w:val="22"/>
                <w:szCs w:val="22"/>
              </w:rPr>
              <w:t>-</w:t>
            </w:r>
          </w:p>
        </w:tc>
        <w:tc>
          <w:tcPr>
            <w:tcW w:w="1080" w:type="dxa"/>
            <w:vAlign w:val="bottom"/>
          </w:tcPr>
          <w:p w:rsidR="00000000" w:rsidRDefault="00000000">
            <w:pPr>
              <w:spacing w:before="60" w:after="60"/>
              <w:ind w:right="296"/>
              <w:jc w:val="right"/>
              <w:rPr>
                <w:sz w:val="22"/>
                <w:szCs w:val="22"/>
              </w:rPr>
            </w:pPr>
            <w:r>
              <w:rPr>
                <w:sz w:val="22"/>
                <w:szCs w:val="22"/>
              </w:rPr>
              <w:t>42</w:t>
            </w:r>
          </w:p>
        </w:tc>
        <w:tc>
          <w:tcPr>
            <w:tcW w:w="1320" w:type="dxa"/>
            <w:vAlign w:val="bottom"/>
          </w:tcPr>
          <w:p w:rsidR="00000000" w:rsidRDefault="00000000">
            <w:pPr>
              <w:spacing w:before="60" w:after="60"/>
              <w:ind w:right="296"/>
              <w:jc w:val="right"/>
              <w:rPr>
                <w:sz w:val="22"/>
                <w:szCs w:val="22"/>
              </w:rPr>
            </w:pPr>
            <w:r>
              <w:rPr>
                <w:sz w:val="22"/>
                <w:szCs w:val="22"/>
              </w:rPr>
              <w:t>0,0</w:t>
            </w:r>
          </w:p>
        </w:tc>
        <w:tc>
          <w:tcPr>
            <w:tcW w:w="1080" w:type="dxa"/>
            <w:vAlign w:val="bottom"/>
          </w:tcPr>
          <w:p w:rsidR="00000000" w:rsidRDefault="00000000">
            <w:pPr>
              <w:spacing w:before="60" w:after="60"/>
              <w:ind w:right="296"/>
              <w:jc w:val="right"/>
              <w:rPr>
                <w:sz w:val="22"/>
                <w:szCs w:val="22"/>
              </w:rPr>
            </w:pPr>
            <w:r>
              <w:rPr>
                <w:sz w:val="22"/>
                <w:szCs w:val="22"/>
              </w:rPr>
              <w:t>-</w:t>
            </w:r>
          </w:p>
        </w:tc>
        <w:tc>
          <w:tcPr>
            <w:tcW w:w="1080" w:type="dxa"/>
            <w:vAlign w:val="bottom"/>
          </w:tcPr>
          <w:p w:rsidR="00000000" w:rsidRDefault="00000000">
            <w:pPr>
              <w:spacing w:before="60" w:after="60"/>
              <w:ind w:right="296"/>
              <w:jc w:val="right"/>
              <w:rPr>
                <w:sz w:val="22"/>
                <w:szCs w:val="22"/>
              </w:rPr>
            </w:pPr>
            <w:r>
              <w:rPr>
                <w:sz w:val="22"/>
                <w:szCs w:val="22"/>
              </w:rPr>
              <w:t>42</w:t>
            </w:r>
          </w:p>
        </w:tc>
        <w:tc>
          <w:tcPr>
            <w:tcW w:w="1296" w:type="dxa"/>
            <w:vAlign w:val="bottom"/>
          </w:tcPr>
          <w:p w:rsidR="00000000" w:rsidRDefault="00000000">
            <w:pPr>
              <w:spacing w:before="60" w:after="60"/>
              <w:ind w:right="296"/>
              <w:jc w:val="right"/>
              <w:rPr>
                <w:sz w:val="22"/>
                <w:szCs w:val="22"/>
              </w:rPr>
            </w:pPr>
            <w:r>
              <w:rPr>
                <w:sz w:val="22"/>
                <w:szCs w:val="22"/>
              </w:rPr>
              <w:t>0,0</w:t>
            </w:r>
          </w:p>
        </w:tc>
      </w:tr>
      <w:tr w:rsidR="00000000">
        <w:trPr>
          <w:jc w:val="center"/>
        </w:trPr>
        <w:tc>
          <w:tcPr>
            <w:tcW w:w="2288" w:type="dxa"/>
            <w:vAlign w:val="center"/>
          </w:tcPr>
          <w:p w:rsidR="00000000" w:rsidRDefault="00000000">
            <w:pPr>
              <w:spacing w:before="60" w:after="60"/>
              <w:rPr>
                <w:sz w:val="22"/>
                <w:szCs w:val="22"/>
              </w:rPr>
            </w:pPr>
            <w:r>
              <w:rPr>
                <w:sz w:val="22"/>
                <w:szCs w:val="22"/>
              </w:rPr>
              <w:t>Ponta Delgada</w:t>
            </w:r>
          </w:p>
        </w:tc>
        <w:tc>
          <w:tcPr>
            <w:tcW w:w="1172" w:type="dxa"/>
            <w:vAlign w:val="bottom"/>
          </w:tcPr>
          <w:p w:rsidR="00000000" w:rsidRDefault="00000000">
            <w:pPr>
              <w:spacing w:before="60" w:after="60"/>
              <w:ind w:right="296"/>
              <w:jc w:val="right"/>
              <w:rPr>
                <w:sz w:val="22"/>
                <w:szCs w:val="22"/>
              </w:rPr>
            </w:pPr>
            <w:r>
              <w:rPr>
                <w:sz w:val="22"/>
                <w:szCs w:val="22"/>
              </w:rPr>
              <w:t>174</w:t>
            </w:r>
          </w:p>
        </w:tc>
        <w:tc>
          <w:tcPr>
            <w:tcW w:w="1080" w:type="dxa"/>
            <w:vAlign w:val="bottom"/>
          </w:tcPr>
          <w:p w:rsidR="00000000" w:rsidRDefault="00000000">
            <w:pPr>
              <w:spacing w:before="60" w:after="60"/>
              <w:ind w:right="296"/>
              <w:jc w:val="right"/>
              <w:rPr>
                <w:sz w:val="22"/>
                <w:szCs w:val="22"/>
              </w:rPr>
            </w:pPr>
            <w:r>
              <w:rPr>
                <w:sz w:val="22"/>
                <w:szCs w:val="22"/>
              </w:rPr>
              <w:t>141</w:t>
            </w:r>
          </w:p>
        </w:tc>
        <w:tc>
          <w:tcPr>
            <w:tcW w:w="1320" w:type="dxa"/>
            <w:vAlign w:val="bottom"/>
          </w:tcPr>
          <w:p w:rsidR="00000000" w:rsidRDefault="00000000">
            <w:pPr>
              <w:spacing w:before="60" w:after="60"/>
              <w:ind w:right="296"/>
              <w:jc w:val="right"/>
              <w:rPr>
                <w:sz w:val="22"/>
                <w:szCs w:val="22"/>
              </w:rPr>
            </w:pPr>
            <w:r>
              <w:rPr>
                <w:sz w:val="22"/>
                <w:szCs w:val="22"/>
              </w:rPr>
              <w:t>123,4</w:t>
            </w:r>
          </w:p>
        </w:tc>
        <w:tc>
          <w:tcPr>
            <w:tcW w:w="1080" w:type="dxa"/>
            <w:vAlign w:val="bottom"/>
          </w:tcPr>
          <w:p w:rsidR="00000000" w:rsidRDefault="00000000">
            <w:pPr>
              <w:spacing w:before="60" w:after="60"/>
              <w:ind w:right="296"/>
              <w:jc w:val="right"/>
              <w:rPr>
                <w:sz w:val="22"/>
                <w:szCs w:val="22"/>
              </w:rPr>
            </w:pPr>
            <w:r>
              <w:rPr>
                <w:sz w:val="22"/>
                <w:szCs w:val="22"/>
              </w:rPr>
              <w:t>169</w:t>
            </w:r>
          </w:p>
        </w:tc>
        <w:tc>
          <w:tcPr>
            <w:tcW w:w="1080" w:type="dxa"/>
            <w:vAlign w:val="bottom"/>
          </w:tcPr>
          <w:p w:rsidR="00000000" w:rsidRDefault="00000000">
            <w:pPr>
              <w:spacing w:before="60" w:after="60"/>
              <w:ind w:right="296"/>
              <w:jc w:val="right"/>
              <w:rPr>
                <w:sz w:val="22"/>
                <w:szCs w:val="22"/>
              </w:rPr>
            </w:pPr>
            <w:r>
              <w:rPr>
                <w:sz w:val="22"/>
                <w:szCs w:val="22"/>
              </w:rPr>
              <w:t>141</w:t>
            </w:r>
          </w:p>
        </w:tc>
        <w:tc>
          <w:tcPr>
            <w:tcW w:w="1296" w:type="dxa"/>
            <w:vAlign w:val="bottom"/>
          </w:tcPr>
          <w:p w:rsidR="00000000" w:rsidRDefault="00000000">
            <w:pPr>
              <w:spacing w:before="60" w:after="60"/>
              <w:ind w:right="296"/>
              <w:jc w:val="right"/>
              <w:rPr>
                <w:sz w:val="22"/>
                <w:szCs w:val="22"/>
              </w:rPr>
            </w:pPr>
            <w:r>
              <w:rPr>
                <w:sz w:val="22"/>
                <w:szCs w:val="22"/>
              </w:rPr>
              <w:t>119,9</w:t>
            </w:r>
          </w:p>
        </w:tc>
      </w:tr>
      <w:tr w:rsidR="00000000">
        <w:trPr>
          <w:jc w:val="center"/>
        </w:trPr>
        <w:tc>
          <w:tcPr>
            <w:tcW w:w="2288" w:type="dxa"/>
            <w:vAlign w:val="center"/>
          </w:tcPr>
          <w:p w:rsidR="00000000" w:rsidRDefault="00000000">
            <w:pPr>
              <w:spacing w:before="60" w:after="60"/>
              <w:rPr>
                <w:sz w:val="22"/>
                <w:szCs w:val="22"/>
              </w:rPr>
            </w:pPr>
            <w:r>
              <w:rPr>
                <w:sz w:val="22"/>
                <w:szCs w:val="22"/>
              </w:rPr>
              <w:t>Portimão</w:t>
            </w:r>
          </w:p>
        </w:tc>
        <w:tc>
          <w:tcPr>
            <w:tcW w:w="1172" w:type="dxa"/>
            <w:vAlign w:val="bottom"/>
          </w:tcPr>
          <w:p w:rsidR="00000000" w:rsidRDefault="00000000">
            <w:pPr>
              <w:spacing w:before="60" w:after="60"/>
              <w:ind w:right="296"/>
              <w:jc w:val="right"/>
              <w:rPr>
                <w:sz w:val="22"/>
                <w:szCs w:val="22"/>
              </w:rPr>
            </w:pPr>
            <w:r>
              <w:rPr>
                <w:sz w:val="22"/>
                <w:szCs w:val="22"/>
              </w:rPr>
              <w:t>57</w:t>
            </w:r>
          </w:p>
        </w:tc>
        <w:tc>
          <w:tcPr>
            <w:tcW w:w="1080" w:type="dxa"/>
            <w:vAlign w:val="bottom"/>
          </w:tcPr>
          <w:p w:rsidR="00000000" w:rsidRDefault="00000000">
            <w:pPr>
              <w:spacing w:before="60" w:after="60"/>
              <w:ind w:right="296"/>
              <w:jc w:val="right"/>
              <w:rPr>
                <w:sz w:val="22"/>
                <w:szCs w:val="22"/>
              </w:rPr>
            </w:pPr>
            <w:r>
              <w:rPr>
                <w:sz w:val="22"/>
                <w:szCs w:val="22"/>
              </w:rPr>
              <w:t>28</w:t>
            </w:r>
          </w:p>
        </w:tc>
        <w:tc>
          <w:tcPr>
            <w:tcW w:w="1320" w:type="dxa"/>
            <w:vAlign w:val="bottom"/>
          </w:tcPr>
          <w:p w:rsidR="00000000" w:rsidRDefault="00000000">
            <w:pPr>
              <w:spacing w:before="60" w:after="60"/>
              <w:ind w:right="296"/>
              <w:jc w:val="right"/>
              <w:rPr>
                <w:sz w:val="22"/>
                <w:szCs w:val="22"/>
              </w:rPr>
            </w:pPr>
            <w:r>
              <w:rPr>
                <w:sz w:val="22"/>
                <w:szCs w:val="22"/>
              </w:rPr>
              <w:t>203,6</w:t>
            </w:r>
          </w:p>
        </w:tc>
        <w:tc>
          <w:tcPr>
            <w:tcW w:w="1080" w:type="dxa"/>
            <w:vAlign w:val="bottom"/>
          </w:tcPr>
          <w:p w:rsidR="00000000" w:rsidRDefault="00000000">
            <w:pPr>
              <w:spacing w:before="60" w:after="60"/>
              <w:ind w:right="296"/>
              <w:jc w:val="right"/>
              <w:rPr>
                <w:sz w:val="22"/>
                <w:szCs w:val="22"/>
              </w:rPr>
            </w:pPr>
            <w:r>
              <w:rPr>
                <w:sz w:val="22"/>
                <w:szCs w:val="22"/>
              </w:rPr>
              <w:t>71</w:t>
            </w:r>
          </w:p>
        </w:tc>
        <w:tc>
          <w:tcPr>
            <w:tcW w:w="1080" w:type="dxa"/>
            <w:vAlign w:val="bottom"/>
          </w:tcPr>
          <w:p w:rsidR="00000000" w:rsidRDefault="00000000">
            <w:pPr>
              <w:spacing w:before="60" w:after="60"/>
              <w:ind w:right="296"/>
              <w:jc w:val="right"/>
              <w:rPr>
                <w:sz w:val="22"/>
                <w:szCs w:val="22"/>
              </w:rPr>
            </w:pPr>
            <w:r>
              <w:rPr>
                <w:sz w:val="22"/>
                <w:szCs w:val="22"/>
              </w:rPr>
              <w:t>28</w:t>
            </w:r>
          </w:p>
        </w:tc>
        <w:tc>
          <w:tcPr>
            <w:tcW w:w="1296" w:type="dxa"/>
            <w:vAlign w:val="bottom"/>
          </w:tcPr>
          <w:p w:rsidR="00000000" w:rsidRDefault="00000000">
            <w:pPr>
              <w:spacing w:before="60" w:after="60"/>
              <w:ind w:right="296"/>
              <w:jc w:val="right"/>
              <w:rPr>
                <w:sz w:val="22"/>
                <w:szCs w:val="22"/>
              </w:rPr>
            </w:pPr>
            <w:r>
              <w:rPr>
                <w:sz w:val="22"/>
                <w:szCs w:val="22"/>
              </w:rPr>
              <w:t>253,6</w:t>
            </w:r>
          </w:p>
        </w:tc>
      </w:tr>
      <w:tr w:rsidR="00000000">
        <w:trPr>
          <w:jc w:val="center"/>
        </w:trPr>
        <w:tc>
          <w:tcPr>
            <w:tcW w:w="2288" w:type="dxa"/>
            <w:vAlign w:val="center"/>
          </w:tcPr>
          <w:p w:rsidR="00000000" w:rsidRDefault="00000000">
            <w:pPr>
              <w:spacing w:before="60" w:after="60"/>
              <w:rPr>
                <w:sz w:val="22"/>
                <w:szCs w:val="22"/>
              </w:rPr>
            </w:pPr>
            <w:r>
              <w:rPr>
                <w:sz w:val="22"/>
                <w:szCs w:val="22"/>
              </w:rPr>
              <w:t>S. Pedro do Sul</w:t>
            </w:r>
          </w:p>
        </w:tc>
        <w:tc>
          <w:tcPr>
            <w:tcW w:w="1172" w:type="dxa"/>
            <w:vAlign w:val="bottom"/>
          </w:tcPr>
          <w:p w:rsidR="00000000" w:rsidRDefault="00000000">
            <w:pPr>
              <w:spacing w:before="60" w:after="60"/>
              <w:ind w:right="296"/>
              <w:jc w:val="right"/>
              <w:rPr>
                <w:sz w:val="22"/>
                <w:szCs w:val="22"/>
              </w:rPr>
            </w:pPr>
            <w:r>
              <w:rPr>
                <w:sz w:val="22"/>
                <w:szCs w:val="22"/>
              </w:rPr>
              <w:t>62</w:t>
            </w:r>
          </w:p>
        </w:tc>
        <w:tc>
          <w:tcPr>
            <w:tcW w:w="1080" w:type="dxa"/>
            <w:vAlign w:val="bottom"/>
          </w:tcPr>
          <w:p w:rsidR="00000000" w:rsidRDefault="00000000">
            <w:pPr>
              <w:spacing w:before="60" w:after="60"/>
              <w:ind w:right="296"/>
              <w:jc w:val="right"/>
              <w:rPr>
                <w:sz w:val="22"/>
                <w:szCs w:val="22"/>
              </w:rPr>
            </w:pPr>
            <w:r>
              <w:rPr>
                <w:sz w:val="22"/>
                <w:szCs w:val="22"/>
              </w:rPr>
              <w:t>29</w:t>
            </w:r>
          </w:p>
        </w:tc>
        <w:tc>
          <w:tcPr>
            <w:tcW w:w="1320" w:type="dxa"/>
            <w:vAlign w:val="bottom"/>
          </w:tcPr>
          <w:p w:rsidR="00000000" w:rsidRDefault="00000000">
            <w:pPr>
              <w:spacing w:before="60" w:after="60"/>
              <w:ind w:right="296"/>
              <w:jc w:val="right"/>
              <w:rPr>
                <w:sz w:val="22"/>
                <w:szCs w:val="22"/>
              </w:rPr>
            </w:pPr>
            <w:r>
              <w:rPr>
                <w:sz w:val="22"/>
                <w:szCs w:val="22"/>
              </w:rPr>
              <w:t>213,8</w:t>
            </w:r>
          </w:p>
        </w:tc>
        <w:tc>
          <w:tcPr>
            <w:tcW w:w="1080" w:type="dxa"/>
            <w:vAlign w:val="bottom"/>
          </w:tcPr>
          <w:p w:rsidR="00000000" w:rsidRDefault="00000000">
            <w:pPr>
              <w:spacing w:before="60" w:after="60"/>
              <w:ind w:right="296"/>
              <w:jc w:val="right"/>
              <w:rPr>
                <w:sz w:val="22"/>
                <w:szCs w:val="22"/>
              </w:rPr>
            </w:pPr>
            <w:r>
              <w:rPr>
                <w:sz w:val="22"/>
                <w:szCs w:val="22"/>
              </w:rPr>
              <w:t>71</w:t>
            </w:r>
          </w:p>
        </w:tc>
        <w:tc>
          <w:tcPr>
            <w:tcW w:w="1080" w:type="dxa"/>
            <w:vAlign w:val="bottom"/>
          </w:tcPr>
          <w:p w:rsidR="00000000" w:rsidRDefault="00000000">
            <w:pPr>
              <w:spacing w:before="60" w:after="60"/>
              <w:ind w:right="296"/>
              <w:jc w:val="right"/>
              <w:rPr>
                <w:sz w:val="22"/>
                <w:szCs w:val="22"/>
              </w:rPr>
            </w:pPr>
            <w:r>
              <w:rPr>
                <w:sz w:val="22"/>
                <w:szCs w:val="22"/>
              </w:rPr>
              <w:t>29</w:t>
            </w:r>
          </w:p>
        </w:tc>
        <w:tc>
          <w:tcPr>
            <w:tcW w:w="1296" w:type="dxa"/>
            <w:vAlign w:val="bottom"/>
          </w:tcPr>
          <w:p w:rsidR="00000000" w:rsidRDefault="00000000">
            <w:pPr>
              <w:spacing w:before="60" w:after="60"/>
              <w:ind w:right="296"/>
              <w:jc w:val="right"/>
              <w:rPr>
                <w:sz w:val="22"/>
                <w:szCs w:val="22"/>
              </w:rPr>
            </w:pPr>
            <w:r>
              <w:rPr>
                <w:sz w:val="22"/>
                <w:szCs w:val="22"/>
              </w:rPr>
              <w:t>244,8</w:t>
            </w:r>
          </w:p>
        </w:tc>
      </w:tr>
      <w:tr w:rsidR="00000000">
        <w:trPr>
          <w:jc w:val="center"/>
        </w:trPr>
        <w:tc>
          <w:tcPr>
            <w:tcW w:w="2288" w:type="dxa"/>
            <w:vAlign w:val="center"/>
          </w:tcPr>
          <w:p w:rsidR="00000000" w:rsidRDefault="00000000">
            <w:pPr>
              <w:spacing w:before="60" w:after="60"/>
              <w:rPr>
                <w:sz w:val="22"/>
                <w:szCs w:val="22"/>
              </w:rPr>
            </w:pPr>
            <w:r>
              <w:rPr>
                <w:sz w:val="22"/>
                <w:szCs w:val="22"/>
              </w:rPr>
              <w:t>Setúbal</w:t>
            </w:r>
          </w:p>
        </w:tc>
        <w:tc>
          <w:tcPr>
            <w:tcW w:w="1172" w:type="dxa"/>
            <w:vAlign w:val="bottom"/>
          </w:tcPr>
          <w:p w:rsidR="00000000" w:rsidRDefault="00000000">
            <w:pPr>
              <w:spacing w:before="60" w:after="60"/>
              <w:ind w:right="296"/>
              <w:jc w:val="right"/>
              <w:rPr>
                <w:sz w:val="22"/>
                <w:szCs w:val="22"/>
              </w:rPr>
            </w:pPr>
            <w:r>
              <w:rPr>
                <w:sz w:val="22"/>
                <w:szCs w:val="22"/>
              </w:rPr>
              <w:t>299</w:t>
            </w:r>
          </w:p>
        </w:tc>
        <w:tc>
          <w:tcPr>
            <w:tcW w:w="1080" w:type="dxa"/>
            <w:vAlign w:val="bottom"/>
          </w:tcPr>
          <w:p w:rsidR="00000000" w:rsidRDefault="00000000">
            <w:pPr>
              <w:spacing w:before="60" w:after="60"/>
              <w:ind w:right="296"/>
              <w:jc w:val="right"/>
              <w:rPr>
                <w:sz w:val="22"/>
                <w:szCs w:val="22"/>
              </w:rPr>
            </w:pPr>
            <w:r>
              <w:rPr>
                <w:sz w:val="22"/>
                <w:szCs w:val="22"/>
              </w:rPr>
              <w:t>131</w:t>
            </w:r>
          </w:p>
        </w:tc>
        <w:tc>
          <w:tcPr>
            <w:tcW w:w="1320" w:type="dxa"/>
            <w:vAlign w:val="bottom"/>
          </w:tcPr>
          <w:p w:rsidR="00000000" w:rsidRDefault="00000000">
            <w:pPr>
              <w:spacing w:before="60" w:after="60"/>
              <w:ind w:right="296"/>
              <w:jc w:val="right"/>
              <w:rPr>
                <w:sz w:val="22"/>
                <w:szCs w:val="22"/>
              </w:rPr>
            </w:pPr>
            <w:r>
              <w:rPr>
                <w:sz w:val="22"/>
                <w:szCs w:val="22"/>
              </w:rPr>
              <w:t>228,2</w:t>
            </w:r>
          </w:p>
        </w:tc>
        <w:tc>
          <w:tcPr>
            <w:tcW w:w="1080" w:type="dxa"/>
            <w:vAlign w:val="bottom"/>
          </w:tcPr>
          <w:p w:rsidR="00000000" w:rsidRDefault="00000000">
            <w:pPr>
              <w:spacing w:before="60" w:after="60"/>
              <w:ind w:right="296"/>
              <w:jc w:val="right"/>
              <w:rPr>
                <w:sz w:val="22"/>
                <w:szCs w:val="22"/>
              </w:rPr>
            </w:pPr>
            <w:r>
              <w:rPr>
                <w:sz w:val="22"/>
                <w:szCs w:val="22"/>
              </w:rPr>
              <w:t>316</w:t>
            </w:r>
          </w:p>
        </w:tc>
        <w:tc>
          <w:tcPr>
            <w:tcW w:w="1080" w:type="dxa"/>
            <w:vAlign w:val="bottom"/>
          </w:tcPr>
          <w:p w:rsidR="00000000" w:rsidRDefault="00000000">
            <w:pPr>
              <w:spacing w:before="60" w:after="60"/>
              <w:ind w:right="296"/>
              <w:jc w:val="right"/>
              <w:rPr>
                <w:sz w:val="22"/>
                <w:szCs w:val="22"/>
              </w:rPr>
            </w:pPr>
            <w:r>
              <w:rPr>
                <w:sz w:val="22"/>
                <w:szCs w:val="22"/>
              </w:rPr>
              <w:t>131</w:t>
            </w:r>
          </w:p>
        </w:tc>
        <w:tc>
          <w:tcPr>
            <w:tcW w:w="1296" w:type="dxa"/>
            <w:vAlign w:val="bottom"/>
          </w:tcPr>
          <w:p w:rsidR="00000000" w:rsidRDefault="00000000">
            <w:pPr>
              <w:spacing w:before="60" w:after="60"/>
              <w:ind w:right="296"/>
              <w:jc w:val="right"/>
              <w:rPr>
                <w:sz w:val="22"/>
                <w:szCs w:val="22"/>
              </w:rPr>
            </w:pPr>
            <w:r>
              <w:rPr>
                <w:sz w:val="22"/>
                <w:szCs w:val="22"/>
              </w:rPr>
              <w:t>241,2</w:t>
            </w:r>
          </w:p>
        </w:tc>
      </w:tr>
      <w:tr w:rsidR="00000000">
        <w:trPr>
          <w:jc w:val="center"/>
        </w:trPr>
        <w:tc>
          <w:tcPr>
            <w:tcW w:w="2288" w:type="dxa"/>
            <w:vAlign w:val="center"/>
          </w:tcPr>
          <w:p w:rsidR="00000000" w:rsidRDefault="00000000">
            <w:pPr>
              <w:spacing w:before="60" w:after="60"/>
              <w:rPr>
                <w:sz w:val="22"/>
                <w:szCs w:val="22"/>
              </w:rPr>
            </w:pPr>
            <w:r>
              <w:rPr>
                <w:sz w:val="22"/>
                <w:szCs w:val="22"/>
              </w:rPr>
              <w:t>Silves</w:t>
            </w:r>
          </w:p>
        </w:tc>
        <w:tc>
          <w:tcPr>
            <w:tcW w:w="1172" w:type="dxa"/>
            <w:vAlign w:val="bottom"/>
          </w:tcPr>
          <w:p w:rsidR="00000000" w:rsidRDefault="00000000">
            <w:pPr>
              <w:spacing w:before="60" w:after="60"/>
              <w:ind w:right="296"/>
              <w:jc w:val="right"/>
              <w:rPr>
                <w:sz w:val="22"/>
                <w:szCs w:val="22"/>
              </w:rPr>
            </w:pPr>
            <w:r>
              <w:rPr>
                <w:sz w:val="22"/>
                <w:szCs w:val="22"/>
              </w:rPr>
              <w:t>79</w:t>
            </w:r>
          </w:p>
        </w:tc>
        <w:tc>
          <w:tcPr>
            <w:tcW w:w="1080" w:type="dxa"/>
            <w:vAlign w:val="bottom"/>
          </w:tcPr>
          <w:p w:rsidR="00000000" w:rsidRDefault="00000000">
            <w:pPr>
              <w:spacing w:before="60" w:after="60"/>
              <w:ind w:right="296"/>
              <w:jc w:val="right"/>
              <w:rPr>
                <w:sz w:val="22"/>
                <w:szCs w:val="22"/>
              </w:rPr>
            </w:pPr>
            <w:r>
              <w:rPr>
                <w:sz w:val="22"/>
                <w:szCs w:val="22"/>
              </w:rPr>
              <w:t>58</w:t>
            </w:r>
          </w:p>
        </w:tc>
        <w:tc>
          <w:tcPr>
            <w:tcW w:w="1320" w:type="dxa"/>
            <w:vAlign w:val="bottom"/>
          </w:tcPr>
          <w:p w:rsidR="00000000" w:rsidRDefault="00000000">
            <w:pPr>
              <w:spacing w:before="60" w:after="60"/>
              <w:ind w:right="296"/>
              <w:jc w:val="right"/>
              <w:rPr>
                <w:sz w:val="22"/>
                <w:szCs w:val="22"/>
              </w:rPr>
            </w:pPr>
            <w:r>
              <w:rPr>
                <w:sz w:val="22"/>
                <w:szCs w:val="22"/>
              </w:rPr>
              <w:t>136,2</w:t>
            </w:r>
          </w:p>
        </w:tc>
        <w:tc>
          <w:tcPr>
            <w:tcW w:w="1080" w:type="dxa"/>
            <w:vAlign w:val="bottom"/>
          </w:tcPr>
          <w:p w:rsidR="00000000" w:rsidRDefault="00000000">
            <w:pPr>
              <w:spacing w:before="60" w:after="60"/>
              <w:ind w:right="296"/>
              <w:jc w:val="right"/>
              <w:rPr>
                <w:sz w:val="22"/>
                <w:szCs w:val="22"/>
              </w:rPr>
            </w:pPr>
            <w:r>
              <w:rPr>
                <w:sz w:val="22"/>
                <w:szCs w:val="22"/>
              </w:rPr>
              <w:t>91</w:t>
            </w:r>
          </w:p>
        </w:tc>
        <w:tc>
          <w:tcPr>
            <w:tcW w:w="1080" w:type="dxa"/>
            <w:vAlign w:val="bottom"/>
          </w:tcPr>
          <w:p w:rsidR="00000000" w:rsidRDefault="00000000">
            <w:pPr>
              <w:spacing w:before="60" w:after="60"/>
              <w:ind w:right="296"/>
              <w:jc w:val="right"/>
              <w:rPr>
                <w:sz w:val="22"/>
                <w:szCs w:val="22"/>
              </w:rPr>
            </w:pPr>
            <w:r>
              <w:rPr>
                <w:sz w:val="22"/>
                <w:szCs w:val="22"/>
              </w:rPr>
              <w:t>58</w:t>
            </w:r>
          </w:p>
        </w:tc>
        <w:tc>
          <w:tcPr>
            <w:tcW w:w="1296" w:type="dxa"/>
            <w:vAlign w:val="bottom"/>
          </w:tcPr>
          <w:p w:rsidR="00000000" w:rsidRDefault="00000000">
            <w:pPr>
              <w:spacing w:before="60" w:after="60"/>
              <w:ind w:right="296"/>
              <w:jc w:val="right"/>
              <w:rPr>
                <w:sz w:val="22"/>
                <w:szCs w:val="22"/>
              </w:rPr>
            </w:pPr>
            <w:r>
              <w:rPr>
                <w:sz w:val="22"/>
                <w:szCs w:val="22"/>
              </w:rPr>
              <w:t>156,9</w:t>
            </w:r>
          </w:p>
        </w:tc>
      </w:tr>
      <w:tr w:rsidR="00000000">
        <w:trPr>
          <w:jc w:val="center"/>
        </w:trPr>
        <w:tc>
          <w:tcPr>
            <w:tcW w:w="2288" w:type="dxa"/>
            <w:vAlign w:val="center"/>
          </w:tcPr>
          <w:p w:rsidR="00000000" w:rsidRDefault="00000000">
            <w:pPr>
              <w:spacing w:before="60" w:after="60"/>
              <w:rPr>
                <w:sz w:val="22"/>
                <w:szCs w:val="22"/>
              </w:rPr>
            </w:pPr>
            <w:r>
              <w:rPr>
                <w:sz w:val="22"/>
                <w:szCs w:val="22"/>
              </w:rPr>
              <w:t>Torres Novas</w:t>
            </w:r>
          </w:p>
        </w:tc>
        <w:tc>
          <w:tcPr>
            <w:tcW w:w="1172" w:type="dxa"/>
            <w:vAlign w:val="bottom"/>
          </w:tcPr>
          <w:p w:rsidR="00000000" w:rsidRDefault="00000000">
            <w:pPr>
              <w:spacing w:before="60" w:after="60"/>
              <w:ind w:right="296"/>
              <w:jc w:val="right"/>
              <w:rPr>
                <w:sz w:val="22"/>
                <w:szCs w:val="22"/>
              </w:rPr>
            </w:pPr>
            <w:r>
              <w:rPr>
                <w:sz w:val="22"/>
                <w:szCs w:val="22"/>
              </w:rPr>
              <w:t>74</w:t>
            </w:r>
          </w:p>
        </w:tc>
        <w:tc>
          <w:tcPr>
            <w:tcW w:w="1080" w:type="dxa"/>
            <w:vAlign w:val="bottom"/>
          </w:tcPr>
          <w:p w:rsidR="00000000" w:rsidRDefault="00000000">
            <w:pPr>
              <w:spacing w:before="60" w:after="60"/>
              <w:ind w:right="296"/>
              <w:jc w:val="right"/>
              <w:rPr>
                <w:sz w:val="22"/>
                <w:szCs w:val="22"/>
              </w:rPr>
            </w:pPr>
            <w:r>
              <w:rPr>
                <w:sz w:val="22"/>
                <w:szCs w:val="22"/>
              </w:rPr>
              <w:t>38</w:t>
            </w:r>
          </w:p>
        </w:tc>
        <w:tc>
          <w:tcPr>
            <w:tcW w:w="1320" w:type="dxa"/>
            <w:vAlign w:val="bottom"/>
          </w:tcPr>
          <w:p w:rsidR="00000000" w:rsidRDefault="00000000">
            <w:pPr>
              <w:spacing w:before="60" w:after="60"/>
              <w:ind w:right="296"/>
              <w:jc w:val="right"/>
              <w:rPr>
                <w:sz w:val="22"/>
                <w:szCs w:val="22"/>
              </w:rPr>
            </w:pPr>
            <w:r>
              <w:rPr>
                <w:sz w:val="22"/>
                <w:szCs w:val="22"/>
              </w:rPr>
              <w:t>194,7</w:t>
            </w:r>
          </w:p>
        </w:tc>
        <w:tc>
          <w:tcPr>
            <w:tcW w:w="1080" w:type="dxa"/>
            <w:vAlign w:val="bottom"/>
          </w:tcPr>
          <w:p w:rsidR="00000000" w:rsidRDefault="00000000">
            <w:pPr>
              <w:spacing w:before="60" w:after="60"/>
              <w:ind w:right="296"/>
              <w:jc w:val="right"/>
              <w:rPr>
                <w:sz w:val="22"/>
                <w:szCs w:val="22"/>
              </w:rPr>
            </w:pPr>
            <w:r>
              <w:rPr>
                <w:sz w:val="22"/>
                <w:szCs w:val="22"/>
              </w:rPr>
              <w:t>68</w:t>
            </w:r>
          </w:p>
        </w:tc>
        <w:tc>
          <w:tcPr>
            <w:tcW w:w="1080" w:type="dxa"/>
            <w:vAlign w:val="bottom"/>
          </w:tcPr>
          <w:p w:rsidR="00000000" w:rsidRDefault="00000000">
            <w:pPr>
              <w:spacing w:before="60" w:after="60"/>
              <w:ind w:right="296"/>
              <w:jc w:val="right"/>
              <w:rPr>
                <w:sz w:val="22"/>
                <w:szCs w:val="22"/>
              </w:rPr>
            </w:pPr>
            <w:r>
              <w:rPr>
                <w:sz w:val="22"/>
                <w:szCs w:val="22"/>
              </w:rPr>
              <w:t>38</w:t>
            </w:r>
          </w:p>
        </w:tc>
        <w:tc>
          <w:tcPr>
            <w:tcW w:w="1296" w:type="dxa"/>
            <w:vAlign w:val="bottom"/>
          </w:tcPr>
          <w:p w:rsidR="00000000" w:rsidRDefault="00000000">
            <w:pPr>
              <w:spacing w:before="60" w:after="60"/>
              <w:ind w:right="296"/>
              <w:jc w:val="right"/>
              <w:rPr>
                <w:sz w:val="22"/>
                <w:szCs w:val="22"/>
              </w:rPr>
            </w:pPr>
            <w:r>
              <w:rPr>
                <w:sz w:val="22"/>
                <w:szCs w:val="22"/>
              </w:rPr>
              <w:t>178,9</w:t>
            </w:r>
          </w:p>
        </w:tc>
      </w:tr>
      <w:tr w:rsidR="00000000">
        <w:trPr>
          <w:jc w:val="center"/>
        </w:trPr>
        <w:tc>
          <w:tcPr>
            <w:tcW w:w="2288" w:type="dxa"/>
            <w:vAlign w:val="center"/>
          </w:tcPr>
          <w:p w:rsidR="00000000" w:rsidRDefault="00000000">
            <w:pPr>
              <w:spacing w:before="60" w:after="60"/>
              <w:rPr>
                <w:sz w:val="22"/>
                <w:szCs w:val="22"/>
              </w:rPr>
            </w:pPr>
            <w:r>
              <w:rPr>
                <w:sz w:val="22"/>
                <w:szCs w:val="22"/>
              </w:rPr>
              <w:t>Viana do Castelo</w:t>
            </w:r>
          </w:p>
        </w:tc>
        <w:tc>
          <w:tcPr>
            <w:tcW w:w="1172" w:type="dxa"/>
            <w:vAlign w:val="bottom"/>
          </w:tcPr>
          <w:p w:rsidR="00000000" w:rsidRDefault="00000000">
            <w:pPr>
              <w:spacing w:before="60" w:after="60"/>
              <w:ind w:right="296"/>
              <w:jc w:val="right"/>
              <w:rPr>
                <w:sz w:val="22"/>
                <w:szCs w:val="22"/>
              </w:rPr>
            </w:pPr>
            <w:r>
              <w:rPr>
                <w:sz w:val="22"/>
                <w:szCs w:val="22"/>
              </w:rPr>
              <w:t>105</w:t>
            </w:r>
          </w:p>
        </w:tc>
        <w:tc>
          <w:tcPr>
            <w:tcW w:w="1080" w:type="dxa"/>
            <w:vAlign w:val="bottom"/>
          </w:tcPr>
          <w:p w:rsidR="00000000" w:rsidRDefault="00000000">
            <w:pPr>
              <w:spacing w:before="60" w:after="60"/>
              <w:ind w:right="296"/>
              <w:jc w:val="right"/>
              <w:rPr>
                <w:sz w:val="22"/>
                <w:szCs w:val="22"/>
              </w:rPr>
            </w:pPr>
            <w:r>
              <w:rPr>
                <w:sz w:val="22"/>
                <w:szCs w:val="22"/>
              </w:rPr>
              <w:t>44</w:t>
            </w:r>
          </w:p>
        </w:tc>
        <w:tc>
          <w:tcPr>
            <w:tcW w:w="1320" w:type="dxa"/>
            <w:vAlign w:val="bottom"/>
          </w:tcPr>
          <w:p w:rsidR="00000000" w:rsidRDefault="00000000">
            <w:pPr>
              <w:spacing w:before="60" w:after="60"/>
              <w:ind w:right="296"/>
              <w:jc w:val="right"/>
              <w:rPr>
                <w:sz w:val="22"/>
                <w:szCs w:val="22"/>
              </w:rPr>
            </w:pPr>
            <w:r>
              <w:rPr>
                <w:sz w:val="22"/>
                <w:szCs w:val="22"/>
              </w:rPr>
              <w:t>238,6</w:t>
            </w:r>
          </w:p>
        </w:tc>
        <w:tc>
          <w:tcPr>
            <w:tcW w:w="1080" w:type="dxa"/>
            <w:vAlign w:val="bottom"/>
          </w:tcPr>
          <w:p w:rsidR="00000000" w:rsidRDefault="00000000">
            <w:pPr>
              <w:spacing w:before="60" w:after="60"/>
              <w:ind w:right="296"/>
              <w:jc w:val="right"/>
              <w:rPr>
                <w:sz w:val="22"/>
                <w:szCs w:val="22"/>
              </w:rPr>
            </w:pPr>
            <w:r>
              <w:rPr>
                <w:sz w:val="22"/>
                <w:szCs w:val="22"/>
              </w:rPr>
              <w:t>87</w:t>
            </w:r>
          </w:p>
        </w:tc>
        <w:tc>
          <w:tcPr>
            <w:tcW w:w="1080" w:type="dxa"/>
            <w:vAlign w:val="bottom"/>
          </w:tcPr>
          <w:p w:rsidR="00000000" w:rsidRDefault="00000000">
            <w:pPr>
              <w:spacing w:before="60" w:after="60"/>
              <w:ind w:right="296"/>
              <w:jc w:val="right"/>
              <w:rPr>
                <w:sz w:val="22"/>
                <w:szCs w:val="22"/>
              </w:rPr>
            </w:pPr>
            <w:r>
              <w:rPr>
                <w:sz w:val="22"/>
                <w:szCs w:val="22"/>
              </w:rPr>
              <w:t>44</w:t>
            </w:r>
          </w:p>
        </w:tc>
        <w:tc>
          <w:tcPr>
            <w:tcW w:w="1296" w:type="dxa"/>
            <w:vAlign w:val="bottom"/>
          </w:tcPr>
          <w:p w:rsidR="00000000" w:rsidRDefault="00000000">
            <w:pPr>
              <w:spacing w:before="60" w:after="60"/>
              <w:ind w:right="296"/>
              <w:jc w:val="right"/>
              <w:rPr>
                <w:sz w:val="22"/>
                <w:szCs w:val="22"/>
              </w:rPr>
            </w:pPr>
            <w:r>
              <w:rPr>
                <w:sz w:val="22"/>
                <w:szCs w:val="22"/>
              </w:rPr>
              <w:t>197,7</w:t>
            </w:r>
          </w:p>
        </w:tc>
      </w:tr>
      <w:tr w:rsidR="00000000">
        <w:trPr>
          <w:jc w:val="center"/>
        </w:trPr>
        <w:tc>
          <w:tcPr>
            <w:tcW w:w="2288" w:type="dxa"/>
            <w:vAlign w:val="center"/>
          </w:tcPr>
          <w:p w:rsidR="00000000" w:rsidRDefault="00000000">
            <w:pPr>
              <w:spacing w:before="60" w:after="60"/>
              <w:rPr>
                <w:sz w:val="22"/>
                <w:szCs w:val="22"/>
              </w:rPr>
            </w:pPr>
            <w:r>
              <w:rPr>
                <w:sz w:val="22"/>
                <w:szCs w:val="22"/>
              </w:rPr>
              <w:t>Vila Real</w:t>
            </w:r>
          </w:p>
        </w:tc>
        <w:tc>
          <w:tcPr>
            <w:tcW w:w="1172" w:type="dxa"/>
            <w:vAlign w:val="bottom"/>
          </w:tcPr>
          <w:p w:rsidR="00000000" w:rsidRDefault="00000000">
            <w:pPr>
              <w:spacing w:before="60" w:after="60"/>
              <w:ind w:right="296"/>
              <w:jc w:val="right"/>
              <w:rPr>
                <w:sz w:val="22"/>
                <w:szCs w:val="22"/>
              </w:rPr>
            </w:pPr>
            <w:r>
              <w:rPr>
                <w:sz w:val="22"/>
                <w:szCs w:val="22"/>
              </w:rPr>
              <w:t>108</w:t>
            </w:r>
          </w:p>
        </w:tc>
        <w:tc>
          <w:tcPr>
            <w:tcW w:w="1080" w:type="dxa"/>
            <w:vAlign w:val="bottom"/>
          </w:tcPr>
          <w:p w:rsidR="00000000" w:rsidRDefault="00000000">
            <w:pPr>
              <w:spacing w:before="60" w:after="60"/>
              <w:ind w:right="296"/>
              <w:jc w:val="right"/>
              <w:rPr>
                <w:sz w:val="22"/>
                <w:szCs w:val="22"/>
              </w:rPr>
            </w:pPr>
            <w:r>
              <w:rPr>
                <w:sz w:val="22"/>
                <w:szCs w:val="22"/>
              </w:rPr>
              <w:t>68</w:t>
            </w:r>
          </w:p>
        </w:tc>
        <w:tc>
          <w:tcPr>
            <w:tcW w:w="1320" w:type="dxa"/>
            <w:vAlign w:val="bottom"/>
          </w:tcPr>
          <w:p w:rsidR="00000000" w:rsidRDefault="00000000">
            <w:pPr>
              <w:spacing w:before="60" w:after="60"/>
              <w:ind w:right="296"/>
              <w:jc w:val="right"/>
              <w:rPr>
                <w:sz w:val="22"/>
                <w:szCs w:val="22"/>
              </w:rPr>
            </w:pPr>
            <w:r>
              <w:rPr>
                <w:sz w:val="22"/>
                <w:szCs w:val="22"/>
              </w:rPr>
              <w:t>158,8</w:t>
            </w:r>
          </w:p>
        </w:tc>
        <w:tc>
          <w:tcPr>
            <w:tcW w:w="1080" w:type="dxa"/>
            <w:vAlign w:val="bottom"/>
          </w:tcPr>
          <w:p w:rsidR="00000000" w:rsidRDefault="00000000">
            <w:pPr>
              <w:spacing w:before="60" w:after="60"/>
              <w:ind w:right="296"/>
              <w:jc w:val="right"/>
              <w:rPr>
                <w:sz w:val="22"/>
                <w:szCs w:val="22"/>
              </w:rPr>
            </w:pPr>
            <w:r>
              <w:rPr>
                <w:sz w:val="22"/>
                <w:szCs w:val="22"/>
              </w:rPr>
              <w:t>100</w:t>
            </w:r>
          </w:p>
        </w:tc>
        <w:tc>
          <w:tcPr>
            <w:tcW w:w="1080" w:type="dxa"/>
            <w:vAlign w:val="bottom"/>
          </w:tcPr>
          <w:p w:rsidR="00000000" w:rsidRDefault="00000000">
            <w:pPr>
              <w:spacing w:before="60" w:after="60"/>
              <w:ind w:right="296"/>
              <w:jc w:val="right"/>
              <w:rPr>
                <w:sz w:val="22"/>
                <w:szCs w:val="22"/>
              </w:rPr>
            </w:pPr>
            <w:r>
              <w:rPr>
                <w:sz w:val="22"/>
                <w:szCs w:val="22"/>
              </w:rPr>
              <w:t>68</w:t>
            </w:r>
          </w:p>
        </w:tc>
        <w:tc>
          <w:tcPr>
            <w:tcW w:w="1296" w:type="dxa"/>
            <w:vAlign w:val="bottom"/>
          </w:tcPr>
          <w:p w:rsidR="00000000" w:rsidRDefault="00000000">
            <w:pPr>
              <w:spacing w:before="60" w:after="60"/>
              <w:ind w:right="296"/>
              <w:jc w:val="right"/>
              <w:rPr>
                <w:sz w:val="22"/>
                <w:szCs w:val="22"/>
              </w:rPr>
            </w:pPr>
            <w:r>
              <w:rPr>
                <w:sz w:val="22"/>
                <w:szCs w:val="22"/>
              </w:rPr>
              <w:t>147,1</w:t>
            </w:r>
          </w:p>
        </w:tc>
      </w:tr>
      <w:tr w:rsidR="00000000">
        <w:trPr>
          <w:jc w:val="center"/>
        </w:trPr>
        <w:tc>
          <w:tcPr>
            <w:tcW w:w="2288" w:type="dxa"/>
            <w:vAlign w:val="center"/>
          </w:tcPr>
          <w:p w:rsidR="00000000" w:rsidRDefault="00000000">
            <w:pPr>
              <w:spacing w:before="60" w:after="60"/>
              <w:rPr>
                <w:sz w:val="22"/>
                <w:szCs w:val="22"/>
              </w:rPr>
            </w:pPr>
            <w:r>
              <w:rPr>
                <w:sz w:val="22"/>
                <w:szCs w:val="22"/>
              </w:rPr>
              <w:t>Viseu</w:t>
            </w:r>
          </w:p>
        </w:tc>
        <w:tc>
          <w:tcPr>
            <w:tcW w:w="1172" w:type="dxa"/>
            <w:vAlign w:val="bottom"/>
          </w:tcPr>
          <w:p w:rsidR="00000000" w:rsidRDefault="00000000">
            <w:pPr>
              <w:spacing w:before="60" w:after="60"/>
              <w:ind w:right="296"/>
              <w:jc w:val="right"/>
              <w:rPr>
                <w:sz w:val="22"/>
                <w:szCs w:val="22"/>
              </w:rPr>
            </w:pPr>
            <w:r>
              <w:rPr>
                <w:sz w:val="22"/>
                <w:szCs w:val="22"/>
              </w:rPr>
              <w:t>58</w:t>
            </w:r>
          </w:p>
        </w:tc>
        <w:tc>
          <w:tcPr>
            <w:tcW w:w="1080" w:type="dxa"/>
            <w:vAlign w:val="bottom"/>
          </w:tcPr>
          <w:p w:rsidR="00000000" w:rsidRDefault="00000000">
            <w:pPr>
              <w:spacing w:before="60" w:after="60"/>
              <w:ind w:right="296"/>
              <w:jc w:val="right"/>
              <w:rPr>
                <w:sz w:val="22"/>
                <w:szCs w:val="22"/>
              </w:rPr>
            </w:pPr>
            <w:r>
              <w:rPr>
                <w:sz w:val="22"/>
                <w:szCs w:val="22"/>
              </w:rPr>
              <w:t>46</w:t>
            </w:r>
          </w:p>
        </w:tc>
        <w:tc>
          <w:tcPr>
            <w:tcW w:w="1320" w:type="dxa"/>
            <w:vAlign w:val="bottom"/>
          </w:tcPr>
          <w:p w:rsidR="00000000" w:rsidRDefault="00000000">
            <w:pPr>
              <w:spacing w:before="60" w:after="60"/>
              <w:ind w:right="296"/>
              <w:jc w:val="right"/>
              <w:rPr>
                <w:sz w:val="22"/>
                <w:szCs w:val="22"/>
              </w:rPr>
            </w:pPr>
            <w:r>
              <w:rPr>
                <w:sz w:val="22"/>
                <w:szCs w:val="22"/>
              </w:rPr>
              <w:t>126,1</w:t>
            </w:r>
          </w:p>
        </w:tc>
        <w:tc>
          <w:tcPr>
            <w:tcW w:w="1080" w:type="dxa"/>
            <w:vAlign w:val="bottom"/>
          </w:tcPr>
          <w:p w:rsidR="00000000" w:rsidRDefault="00000000">
            <w:pPr>
              <w:spacing w:before="60" w:after="60"/>
              <w:ind w:right="296"/>
              <w:jc w:val="right"/>
              <w:rPr>
                <w:sz w:val="22"/>
                <w:szCs w:val="22"/>
              </w:rPr>
            </w:pPr>
            <w:r>
              <w:rPr>
                <w:sz w:val="22"/>
                <w:szCs w:val="22"/>
              </w:rPr>
              <w:t>56</w:t>
            </w:r>
          </w:p>
        </w:tc>
        <w:tc>
          <w:tcPr>
            <w:tcW w:w="1080" w:type="dxa"/>
            <w:vAlign w:val="bottom"/>
          </w:tcPr>
          <w:p w:rsidR="00000000" w:rsidRDefault="00000000">
            <w:pPr>
              <w:spacing w:before="60" w:after="60"/>
              <w:ind w:right="296"/>
              <w:jc w:val="right"/>
              <w:rPr>
                <w:sz w:val="22"/>
                <w:szCs w:val="22"/>
              </w:rPr>
            </w:pPr>
            <w:r>
              <w:rPr>
                <w:sz w:val="22"/>
                <w:szCs w:val="22"/>
              </w:rPr>
              <w:t>46</w:t>
            </w:r>
          </w:p>
        </w:tc>
        <w:tc>
          <w:tcPr>
            <w:tcW w:w="1296" w:type="dxa"/>
            <w:vAlign w:val="bottom"/>
          </w:tcPr>
          <w:p w:rsidR="00000000" w:rsidRDefault="00000000">
            <w:pPr>
              <w:spacing w:before="60" w:after="60"/>
              <w:ind w:right="296"/>
              <w:jc w:val="right"/>
              <w:rPr>
                <w:sz w:val="22"/>
                <w:szCs w:val="22"/>
              </w:rPr>
            </w:pPr>
            <w:r>
              <w:rPr>
                <w:sz w:val="22"/>
                <w:szCs w:val="22"/>
              </w:rPr>
              <w:t>121,7</w:t>
            </w:r>
          </w:p>
        </w:tc>
      </w:tr>
      <w:tr w:rsidR="00000000">
        <w:trPr>
          <w:jc w:val="center"/>
        </w:trPr>
        <w:tc>
          <w:tcPr>
            <w:tcW w:w="2288" w:type="dxa"/>
            <w:vAlign w:val="center"/>
          </w:tcPr>
          <w:p w:rsidR="00000000" w:rsidRDefault="00000000">
            <w:pPr>
              <w:spacing w:before="60" w:after="60"/>
              <w:rPr>
                <w:sz w:val="22"/>
                <w:szCs w:val="22"/>
              </w:rPr>
            </w:pPr>
            <w:r>
              <w:rPr>
                <w:sz w:val="22"/>
                <w:szCs w:val="22"/>
              </w:rPr>
              <w:t>P.J. Lisboa</w:t>
            </w:r>
          </w:p>
        </w:tc>
        <w:tc>
          <w:tcPr>
            <w:tcW w:w="1172" w:type="dxa"/>
            <w:vAlign w:val="bottom"/>
          </w:tcPr>
          <w:p w:rsidR="00000000" w:rsidRDefault="00000000">
            <w:pPr>
              <w:spacing w:before="60" w:after="60"/>
              <w:ind w:right="296"/>
              <w:jc w:val="right"/>
              <w:rPr>
                <w:sz w:val="22"/>
                <w:szCs w:val="22"/>
              </w:rPr>
            </w:pPr>
            <w:r>
              <w:rPr>
                <w:sz w:val="22"/>
                <w:szCs w:val="22"/>
              </w:rPr>
              <w:t>145</w:t>
            </w:r>
          </w:p>
        </w:tc>
        <w:tc>
          <w:tcPr>
            <w:tcW w:w="1080" w:type="dxa"/>
            <w:vAlign w:val="bottom"/>
          </w:tcPr>
          <w:p w:rsidR="00000000" w:rsidRDefault="00000000">
            <w:pPr>
              <w:spacing w:before="60" w:after="60"/>
              <w:ind w:right="296"/>
              <w:jc w:val="right"/>
              <w:rPr>
                <w:sz w:val="22"/>
                <w:szCs w:val="22"/>
              </w:rPr>
            </w:pPr>
            <w:r>
              <w:rPr>
                <w:sz w:val="22"/>
                <w:szCs w:val="22"/>
              </w:rPr>
              <w:t>110</w:t>
            </w:r>
          </w:p>
        </w:tc>
        <w:tc>
          <w:tcPr>
            <w:tcW w:w="1320" w:type="dxa"/>
            <w:vAlign w:val="bottom"/>
          </w:tcPr>
          <w:p w:rsidR="00000000" w:rsidRDefault="00000000">
            <w:pPr>
              <w:spacing w:before="60" w:after="60"/>
              <w:ind w:right="296"/>
              <w:jc w:val="right"/>
              <w:rPr>
                <w:sz w:val="22"/>
                <w:szCs w:val="22"/>
              </w:rPr>
            </w:pPr>
            <w:r>
              <w:rPr>
                <w:sz w:val="22"/>
                <w:szCs w:val="22"/>
              </w:rPr>
              <w:t>131,8</w:t>
            </w:r>
          </w:p>
        </w:tc>
        <w:tc>
          <w:tcPr>
            <w:tcW w:w="1080" w:type="dxa"/>
            <w:vAlign w:val="bottom"/>
          </w:tcPr>
          <w:p w:rsidR="00000000" w:rsidRDefault="00000000">
            <w:pPr>
              <w:spacing w:before="60" w:after="60"/>
              <w:ind w:right="296"/>
              <w:jc w:val="right"/>
              <w:rPr>
                <w:sz w:val="22"/>
                <w:szCs w:val="22"/>
              </w:rPr>
            </w:pPr>
            <w:r>
              <w:rPr>
                <w:sz w:val="22"/>
                <w:szCs w:val="22"/>
              </w:rPr>
              <w:t>158</w:t>
            </w:r>
          </w:p>
        </w:tc>
        <w:tc>
          <w:tcPr>
            <w:tcW w:w="1080" w:type="dxa"/>
            <w:vAlign w:val="bottom"/>
          </w:tcPr>
          <w:p w:rsidR="00000000" w:rsidRDefault="00000000">
            <w:pPr>
              <w:spacing w:before="60" w:after="60"/>
              <w:ind w:right="296"/>
              <w:jc w:val="right"/>
              <w:rPr>
                <w:sz w:val="22"/>
                <w:szCs w:val="22"/>
              </w:rPr>
            </w:pPr>
            <w:r>
              <w:rPr>
                <w:sz w:val="22"/>
                <w:szCs w:val="22"/>
              </w:rPr>
              <w:t>110</w:t>
            </w:r>
          </w:p>
        </w:tc>
        <w:tc>
          <w:tcPr>
            <w:tcW w:w="1296" w:type="dxa"/>
            <w:vAlign w:val="bottom"/>
          </w:tcPr>
          <w:p w:rsidR="00000000" w:rsidRDefault="00000000">
            <w:pPr>
              <w:spacing w:before="60" w:after="60"/>
              <w:ind w:right="296"/>
              <w:jc w:val="right"/>
              <w:rPr>
                <w:sz w:val="22"/>
                <w:szCs w:val="22"/>
              </w:rPr>
            </w:pPr>
            <w:r>
              <w:rPr>
                <w:sz w:val="22"/>
                <w:szCs w:val="22"/>
              </w:rPr>
              <w:t>143,6</w:t>
            </w:r>
          </w:p>
        </w:tc>
      </w:tr>
      <w:tr w:rsidR="00000000">
        <w:trPr>
          <w:jc w:val="center"/>
        </w:trPr>
        <w:tc>
          <w:tcPr>
            <w:tcW w:w="2288" w:type="dxa"/>
            <w:tcBorders>
              <w:bottom w:val="single" w:sz="4" w:space="0" w:color="auto"/>
            </w:tcBorders>
            <w:vAlign w:val="center"/>
          </w:tcPr>
          <w:p w:rsidR="00000000" w:rsidRDefault="00000000">
            <w:pPr>
              <w:spacing w:before="60" w:after="60"/>
              <w:rPr>
                <w:sz w:val="22"/>
                <w:szCs w:val="22"/>
              </w:rPr>
            </w:pPr>
            <w:r>
              <w:rPr>
                <w:sz w:val="22"/>
                <w:szCs w:val="22"/>
              </w:rPr>
              <w:t>P.J. Porto</w:t>
            </w:r>
          </w:p>
        </w:tc>
        <w:tc>
          <w:tcPr>
            <w:tcW w:w="1172"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24</w:t>
            </w:r>
          </w:p>
        </w:tc>
        <w:tc>
          <w:tcPr>
            <w:tcW w:w="1080"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32</w:t>
            </w:r>
          </w:p>
        </w:tc>
        <w:tc>
          <w:tcPr>
            <w:tcW w:w="1320"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75,0</w:t>
            </w:r>
          </w:p>
        </w:tc>
        <w:tc>
          <w:tcPr>
            <w:tcW w:w="1080"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34</w:t>
            </w:r>
          </w:p>
        </w:tc>
        <w:tc>
          <w:tcPr>
            <w:tcW w:w="1080"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48</w:t>
            </w:r>
          </w:p>
        </w:tc>
        <w:tc>
          <w:tcPr>
            <w:tcW w:w="1296" w:type="dxa"/>
            <w:tcBorders>
              <w:bottom w:val="single" w:sz="4" w:space="0" w:color="auto"/>
            </w:tcBorders>
            <w:vAlign w:val="bottom"/>
          </w:tcPr>
          <w:p w:rsidR="00000000" w:rsidRDefault="00000000">
            <w:pPr>
              <w:spacing w:before="60" w:after="60"/>
              <w:ind w:right="296"/>
              <w:jc w:val="right"/>
              <w:rPr>
                <w:sz w:val="22"/>
                <w:szCs w:val="22"/>
              </w:rPr>
            </w:pPr>
            <w:r>
              <w:rPr>
                <w:sz w:val="22"/>
                <w:szCs w:val="22"/>
              </w:rPr>
              <w:t>70,8</w:t>
            </w:r>
          </w:p>
        </w:tc>
      </w:tr>
      <w:tr w:rsidR="00000000">
        <w:trPr>
          <w:trHeight w:hRule="exact" w:val="397"/>
          <w:jc w:val="center"/>
        </w:trPr>
        <w:tc>
          <w:tcPr>
            <w:tcW w:w="2288" w:type="dxa"/>
            <w:vAlign w:val="center"/>
          </w:tcPr>
          <w:p w:rsidR="00000000" w:rsidRDefault="00000000">
            <w:pPr>
              <w:spacing w:before="60" w:after="60"/>
              <w:rPr>
                <w:b/>
                <w:bCs/>
                <w:sz w:val="22"/>
                <w:szCs w:val="22"/>
              </w:rPr>
            </w:pPr>
            <w:r>
              <w:rPr>
                <w:b/>
                <w:bCs/>
                <w:sz w:val="22"/>
                <w:szCs w:val="22"/>
              </w:rPr>
              <w:t>Total</w:t>
            </w:r>
            <w:r>
              <w:rPr>
                <w:b/>
                <w:bCs/>
                <w:sz w:val="22"/>
                <w:szCs w:val="22"/>
                <w:vertAlign w:val="superscript"/>
              </w:rPr>
              <w:t>c</w:t>
            </w:r>
          </w:p>
        </w:tc>
        <w:tc>
          <w:tcPr>
            <w:tcW w:w="1172" w:type="dxa"/>
            <w:vAlign w:val="bottom"/>
          </w:tcPr>
          <w:p w:rsidR="00000000" w:rsidRDefault="00000000">
            <w:pPr>
              <w:spacing w:before="60" w:after="60"/>
              <w:ind w:right="296"/>
              <w:jc w:val="right"/>
              <w:rPr>
                <w:b/>
                <w:bCs/>
                <w:sz w:val="22"/>
                <w:szCs w:val="22"/>
              </w:rPr>
            </w:pPr>
            <w:r>
              <w:rPr>
                <w:b/>
                <w:bCs/>
                <w:sz w:val="22"/>
                <w:szCs w:val="22"/>
              </w:rPr>
              <w:t>3 811</w:t>
            </w:r>
          </w:p>
        </w:tc>
        <w:tc>
          <w:tcPr>
            <w:tcW w:w="1080" w:type="dxa"/>
            <w:vAlign w:val="bottom"/>
          </w:tcPr>
          <w:p w:rsidR="00000000" w:rsidRDefault="00000000">
            <w:pPr>
              <w:spacing w:before="60" w:after="60"/>
              <w:ind w:right="296"/>
              <w:jc w:val="right"/>
              <w:rPr>
                <w:b/>
                <w:bCs/>
                <w:sz w:val="22"/>
                <w:szCs w:val="22"/>
              </w:rPr>
            </w:pPr>
            <w:r>
              <w:rPr>
                <w:b/>
                <w:bCs/>
                <w:sz w:val="22"/>
                <w:szCs w:val="22"/>
              </w:rPr>
              <w:t>2 695</w:t>
            </w:r>
          </w:p>
        </w:tc>
        <w:tc>
          <w:tcPr>
            <w:tcW w:w="1320" w:type="dxa"/>
            <w:vAlign w:val="bottom"/>
          </w:tcPr>
          <w:p w:rsidR="00000000" w:rsidRDefault="00000000">
            <w:pPr>
              <w:spacing w:before="60" w:after="60"/>
              <w:ind w:right="296"/>
              <w:jc w:val="right"/>
              <w:rPr>
                <w:b/>
                <w:bCs/>
                <w:sz w:val="22"/>
                <w:szCs w:val="22"/>
              </w:rPr>
            </w:pPr>
            <w:r>
              <w:rPr>
                <w:b/>
                <w:bCs/>
                <w:sz w:val="22"/>
                <w:szCs w:val="22"/>
              </w:rPr>
              <w:t>141,4</w:t>
            </w:r>
          </w:p>
        </w:tc>
        <w:tc>
          <w:tcPr>
            <w:tcW w:w="1080" w:type="dxa"/>
            <w:vAlign w:val="bottom"/>
          </w:tcPr>
          <w:p w:rsidR="00000000" w:rsidRDefault="00000000">
            <w:pPr>
              <w:spacing w:before="60" w:after="60"/>
              <w:ind w:right="296"/>
              <w:jc w:val="right"/>
              <w:rPr>
                <w:b/>
                <w:bCs/>
                <w:sz w:val="22"/>
                <w:szCs w:val="22"/>
              </w:rPr>
            </w:pPr>
            <w:r>
              <w:rPr>
                <w:b/>
                <w:bCs/>
                <w:sz w:val="22"/>
                <w:szCs w:val="22"/>
              </w:rPr>
              <w:t>3 771</w:t>
            </w:r>
          </w:p>
        </w:tc>
        <w:tc>
          <w:tcPr>
            <w:tcW w:w="1080" w:type="dxa"/>
            <w:vAlign w:val="bottom"/>
          </w:tcPr>
          <w:p w:rsidR="00000000" w:rsidRDefault="00000000">
            <w:pPr>
              <w:spacing w:before="60" w:after="60"/>
              <w:ind w:right="296"/>
              <w:jc w:val="right"/>
              <w:rPr>
                <w:b/>
                <w:bCs/>
                <w:sz w:val="22"/>
                <w:szCs w:val="22"/>
              </w:rPr>
            </w:pPr>
            <w:r>
              <w:rPr>
                <w:b/>
                <w:bCs/>
                <w:sz w:val="22"/>
                <w:szCs w:val="22"/>
              </w:rPr>
              <w:t>2 711</w:t>
            </w:r>
          </w:p>
        </w:tc>
        <w:tc>
          <w:tcPr>
            <w:tcW w:w="1296" w:type="dxa"/>
            <w:vAlign w:val="bottom"/>
          </w:tcPr>
          <w:p w:rsidR="00000000" w:rsidRDefault="00000000">
            <w:pPr>
              <w:spacing w:before="60" w:after="60"/>
              <w:ind w:right="296"/>
              <w:jc w:val="right"/>
              <w:rPr>
                <w:b/>
                <w:bCs/>
                <w:sz w:val="22"/>
                <w:szCs w:val="22"/>
              </w:rPr>
            </w:pPr>
            <w:r>
              <w:rPr>
                <w:b/>
                <w:bCs/>
                <w:sz w:val="22"/>
                <w:szCs w:val="22"/>
              </w:rPr>
              <w:t>139,1</w:t>
            </w:r>
          </w:p>
        </w:tc>
      </w:tr>
    </w:tbl>
    <w:p w:rsidR="00000000" w:rsidRDefault="00000000">
      <w:pPr>
        <w:spacing w:after="240"/>
      </w:pPr>
      <w:r>
        <w:br/>
      </w:r>
      <w:r>
        <w:rPr>
          <w:b/>
          <w:bCs/>
          <w:vertAlign w:val="superscript"/>
        </w:rPr>
        <w:t>a</w:t>
      </w:r>
      <w:r>
        <w:t xml:space="preserve"> Pour 2004, les données sont actualisées au 15 juin.</w:t>
      </w:r>
    </w:p>
    <w:p w:rsidR="00000000" w:rsidRDefault="00000000">
      <w:pPr>
        <w:spacing w:after="240"/>
      </w:pPr>
      <w:r>
        <w:rPr>
          <w:b/>
          <w:bCs/>
          <w:vertAlign w:val="superscript"/>
        </w:rPr>
        <w:t>b</w:t>
      </w:r>
      <w:r>
        <w:t xml:space="preserve"> Les détenus affectés à l’établissement d’Olhão sont comptés avec ceux de l’établissement de Faro.</w:t>
      </w:r>
    </w:p>
    <w:p w:rsidR="00000000" w:rsidRDefault="00000000">
      <w:pPr>
        <w:spacing w:after="240"/>
      </w:pPr>
      <w:r>
        <w:rPr>
          <w:b/>
          <w:bCs/>
          <w:vertAlign w:val="superscript"/>
        </w:rPr>
        <w:t>c</w:t>
      </w:r>
      <w:r>
        <w:rPr>
          <w:b/>
          <w:bCs/>
        </w:rPr>
        <w:t xml:space="preserve"> </w:t>
      </w:r>
      <w:r>
        <w:t>Ces totaux sont reportés à l’avant</w:t>
      </w:r>
      <w:r>
        <w:noBreakHyphen/>
        <w:t>dernière ligne du tableau 7</w:t>
      </w:r>
      <w:r>
        <w:noBreakHyphen/>
        <w:t>A ci</w:t>
      </w:r>
      <w:r>
        <w:noBreakHyphen/>
        <w:t>dessus.</w:t>
      </w:r>
    </w:p>
    <w:p w:rsidR="00000000" w:rsidRDefault="00000000">
      <w:pPr>
        <w:spacing w:after="240"/>
      </w:pPr>
      <w:r>
        <w:t>224.</w:t>
      </w:r>
      <w:r>
        <w:tab/>
        <w:t>Pour plus de précision, il est bon de mentionner le nombre de suicides dans les établissements pénitentiaires.</w:t>
      </w:r>
    </w:p>
    <w:p w:rsidR="00000000" w:rsidRDefault="00000000">
      <w:pPr>
        <w:spacing w:after="240"/>
        <w:jc w:val="center"/>
        <w:rPr>
          <w:b/>
        </w:rPr>
      </w:pPr>
      <w:r>
        <w:rPr>
          <w:b/>
        </w:rPr>
        <w:t>Tableau 8.  Nombre de suicides par an (1999-2004</w:t>
      </w:r>
      <w:r>
        <w:rPr>
          <w:b/>
          <w:vertAlign w:val="superscript"/>
        </w:rPr>
        <w:t>a</w:t>
      </w:r>
      <w:r>
        <w:rPr>
          <w:b/>
        </w:rPr>
        <w:t>)</w:t>
      </w:r>
    </w:p>
    <w:tbl>
      <w:tblPr>
        <w:tblW w:w="0" w:type="auto"/>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389"/>
      </w:tblGrid>
      <w:tr w:rsidR="00000000">
        <w:trPr>
          <w:jc w:val="center"/>
        </w:trPr>
        <w:tc>
          <w:tcPr>
            <w:tcW w:w="2987" w:type="dxa"/>
            <w:vAlign w:val="center"/>
          </w:tcPr>
          <w:p w:rsidR="00000000" w:rsidRDefault="00000000">
            <w:pPr>
              <w:spacing w:before="60" w:after="60"/>
              <w:jc w:val="center"/>
            </w:pPr>
            <w:r>
              <w:t>1999</w:t>
            </w:r>
          </w:p>
        </w:tc>
        <w:tc>
          <w:tcPr>
            <w:tcW w:w="1389" w:type="dxa"/>
            <w:vAlign w:val="center"/>
          </w:tcPr>
          <w:p w:rsidR="00000000" w:rsidRDefault="00000000">
            <w:pPr>
              <w:spacing w:before="60" w:after="60"/>
              <w:jc w:val="center"/>
            </w:pPr>
            <w:r>
              <w:t>13</w:t>
            </w:r>
          </w:p>
        </w:tc>
      </w:tr>
      <w:tr w:rsidR="00000000">
        <w:trPr>
          <w:jc w:val="center"/>
        </w:trPr>
        <w:tc>
          <w:tcPr>
            <w:tcW w:w="2987" w:type="dxa"/>
            <w:vAlign w:val="center"/>
          </w:tcPr>
          <w:p w:rsidR="00000000" w:rsidRDefault="00000000">
            <w:pPr>
              <w:spacing w:before="60" w:after="60"/>
              <w:jc w:val="center"/>
            </w:pPr>
            <w:r>
              <w:t>2000</w:t>
            </w:r>
          </w:p>
        </w:tc>
        <w:tc>
          <w:tcPr>
            <w:tcW w:w="1389" w:type="dxa"/>
            <w:vAlign w:val="center"/>
          </w:tcPr>
          <w:p w:rsidR="00000000" w:rsidRDefault="00000000">
            <w:pPr>
              <w:spacing w:before="60" w:after="60"/>
              <w:jc w:val="center"/>
            </w:pPr>
            <w:r>
              <w:t>10</w:t>
            </w:r>
          </w:p>
        </w:tc>
      </w:tr>
      <w:tr w:rsidR="00000000">
        <w:trPr>
          <w:jc w:val="center"/>
        </w:trPr>
        <w:tc>
          <w:tcPr>
            <w:tcW w:w="2987" w:type="dxa"/>
            <w:vAlign w:val="center"/>
          </w:tcPr>
          <w:p w:rsidR="00000000" w:rsidRDefault="00000000">
            <w:pPr>
              <w:spacing w:before="60" w:after="60"/>
              <w:jc w:val="center"/>
            </w:pPr>
            <w:r>
              <w:t>2001</w:t>
            </w:r>
          </w:p>
        </w:tc>
        <w:tc>
          <w:tcPr>
            <w:tcW w:w="1389" w:type="dxa"/>
            <w:vAlign w:val="center"/>
          </w:tcPr>
          <w:p w:rsidR="00000000" w:rsidRDefault="00000000">
            <w:pPr>
              <w:spacing w:before="60" w:after="60"/>
              <w:jc w:val="center"/>
            </w:pPr>
            <w:r>
              <w:t>23</w:t>
            </w:r>
          </w:p>
        </w:tc>
      </w:tr>
      <w:tr w:rsidR="00000000">
        <w:trPr>
          <w:jc w:val="center"/>
        </w:trPr>
        <w:tc>
          <w:tcPr>
            <w:tcW w:w="2987" w:type="dxa"/>
            <w:vAlign w:val="center"/>
          </w:tcPr>
          <w:p w:rsidR="00000000" w:rsidRDefault="00000000">
            <w:pPr>
              <w:spacing w:before="60" w:after="60"/>
              <w:jc w:val="center"/>
            </w:pPr>
            <w:r>
              <w:t>2002</w:t>
            </w:r>
          </w:p>
        </w:tc>
        <w:tc>
          <w:tcPr>
            <w:tcW w:w="1389" w:type="dxa"/>
            <w:vAlign w:val="center"/>
          </w:tcPr>
          <w:p w:rsidR="00000000" w:rsidRDefault="00000000">
            <w:pPr>
              <w:spacing w:before="60" w:after="60"/>
              <w:jc w:val="center"/>
            </w:pPr>
            <w:r>
              <w:t>19</w:t>
            </w:r>
          </w:p>
        </w:tc>
      </w:tr>
      <w:tr w:rsidR="00000000">
        <w:trPr>
          <w:jc w:val="center"/>
        </w:trPr>
        <w:tc>
          <w:tcPr>
            <w:tcW w:w="2987" w:type="dxa"/>
            <w:vAlign w:val="center"/>
          </w:tcPr>
          <w:p w:rsidR="00000000" w:rsidRDefault="00000000">
            <w:pPr>
              <w:spacing w:before="60" w:after="60"/>
              <w:jc w:val="center"/>
            </w:pPr>
            <w:r>
              <w:t>2003</w:t>
            </w:r>
          </w:p>
        </w:tc>
        <w:tc>
          <w:tcPr>
            <w:tcW w:w="1389" w:type="dxa"/>
            <w:vAlign w:val="center"/>
          </w:tcPr>
          <w:p w:rsidR="00000000" w:rsidRDefault="00000000">
            <w:pPr>
              <w:spacing w:before="60" w:after="60"/>
              <w:jc w:val="center"/>
            </w:pPr>
            <w:r>
              <w:t>14</w:t>
            </w:r>
          </w:p>
        </w:tc>
      </w:tr>
      <w:tr w:rsidR="00000000">
        <w:trPr>
          <w:jc w:val="center"/>
        </w:trPr>
        <w:tc>
          <w:tcPr>
            <w:tcW w:w="2987" w:type="dxa"/>
            <w:vAlign w:val="center"/>
          </w:tcPr>
          <w:p w:rsidR="00000000" w:rsidRDefault="00000000">
            <w:pPr>
              <w:spacing w:before="60" w:after="60"/>
              <w:jc w:val="center"/>
            </w:pPr>
            <w:r>
              <w:t>2004</w:t>
            </w:r>
          </w:p>
        </w:tc>
        <w:tc>
          <w:tcPr>
            <w:tcW w:w="1389" w:type="dxa"/>
            <w:vAlign w:val="center"/>
          </w:tcPr>
          <w:p w:rsidR="00000000" w:rsidRDefault="00000000">
            <w:pPr>
              <w:spacing w:before="60" w:after="60"/>
              <w:jc w:val="center"/>
            </w:pPr>
            <w:r>
              <w:t>12</w:t>
            </w:r>
          </w:p>
        </w:tc>
      </w:tr>
    </w:tbl>
    <w:p w:rsidR="00000000" w:rsidRDefault="00000000">
      <w:pPr>
        <w:spacing w:after="240"/>
      </w:pPr>
      <w:r>
        <w:br/>
      </w:r>
      <w:r>
        <w:rPr>
          <w:b/>
          <w:bCs/>
          <w:vertAlign w:val="superscript"/>
        </w:rPr>
        <w:t>a</w:t>
      </w:r>
      <w:r>
        <w:t xml:space="preserve"> Pour 2004, les données sont actualisées au 15 juin.</w:t>
      </w:r>
    </w:p>
    <w:p w:rsidR="00000000" w:rsidRDefault="00000000">
      <w:pPr>
        <w:spacing w:after="240"/>
      </w:pPr>
      <w:r>
        <w:t>225.</w:t>
      </w:r>
      <w:r>
        <w:tab/>
        <w:t>Il faut également mentionner les cas de maladies infectieuses et de drogues dans les établissements pénitentiaires et leur traitement. Ainsi, en ce qui concerne les maladies infectieuses (nombres actualisés au 1</w:t>
      </w:r>
      <w:r>
        <w:rPr>
          <w:vertAlign w:val="superscript"/>
        </w:rPr>
        <w:t>er</w:t>
      </w:r>
      <w:r>
        <w:t xml:space="preserve"> février 2004), sur une population carcérale de 13 503 détenus, il y a 1 180 (8,7 %) séropositifs, dont 766 suivent une thérapie. Par sexe, sur 12 501 hommes, 1 136 sont séropositifs; sur les 1 002 femmes détenues, 44 sont séropositives.</w:t>
      </w:r>
    </w:p>
    <w:p w:rsidR="00000000" w:rsidRDefault="00000000">
      <w:pPr>
        <w:spacing w:after="240"/>
      </w:pPr>
      <w:r>
        <w:t>226.</w:t>
      </w:r>
      <w:r>
        <w:tab/>
        <w:t>En ce qui concerne les analyses effectuées par le laboratoire de pathologie clinique de l’hôpital pénitentiaire São João de Deus, en 2003, les chiffres sont les suivants:</w:t>
      </w:r>
    </w:p>
    <w:p w:rsidR="00000000" w:rsidRDefault="00000000">
      <w:pPr>
        <w:spacing w:after="240"/>
        <w:jc w:val="center"/>
        <w:rPr>
          <w:b/>
        </w:rPr>
      </w:pPr>
      <w:r>
        <w:rPr>
          <w:b/>
        </w:rPr>
        <w:t>Tableau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701"/>
        <w:gridCol w:w="1985"/>
      </w:tblGrid>
      <w:tr w:rsidR="00000000">
        <w:trPr>
          <w:jc w:val="center"/>
        </w:trPr>
        <w:tc>
          <w:tcPr>
            <w:tcW w:w="2268" w:type="dxa"/>
            <w:vAlign w:val="center"/>
          </w:tcPr>
          <w:p w:rsidR="00000000" w:rsidRDefault="00000000">
            <w:pPr>
              <w:spacing w:before="60" w:after="60"/>
              <w:jc w:val="center"/>
              <w:rPr>
                <w:b/>
                <w:bCs/>
              </w:rPr>
            </w:pPr>
            <w:r>
              <w:rPr>
                <w:b/>
                <w:bCs/>
              </w:rPr>
              <w:t>Maladies infectieuses</w:t>
            </w:r>
          </w:p>
        </w:tc>
        <w:tc>
          <w:tcPr>
            <w:tcW w:w="1701" w:type="dxa"/>
            <w:vAlign w:val="center"/>
          </w:tcPr>
          <w:p w:rsidR="00000000" w:rsidRDefault="00000000">
            <w:pPr>
              <w:spacing w:before="60" w:after="60"/>
              <w:jc w:val="center"/>
              <w:rPr>
                <w:b/>
                <w:bCs/>
              </w:rPr>
            </w:pPr>
            <w:r>
              <w:rPr>
                <w:b/>
                <w:bCs/>
              </w:rPr>
              <w:t>Nombre de détenus</w:t>
            </w:r>
          </w:p>
        </w:tc>
        <w:tc>
          <w:tcPr>
            <w:tcW w:w="1985" w:type="dxa"/>
            <w:vAlign w:val="center"/>
          </w:tcPr>
          <w:p w:rsidR="00000000" w:rsidRDefault="00000000">
            <w:pPr>
              <w:spacing w:before="60" w:after="60"/>
              <w:jc w:val="center"/>
              <w:rPr>
                <w:b/>
                <w:bCs/>
              </w:rPr>
            </w:pPr>
            <w:r>
              <w:rPr>
                <w:b/>
                <w:bCs/>
              </w:rPr>
              <w:t>Analyses positives</w:t>
            </w:r>
          </w:p>
        </w:tc>
      </w:tr>
      <w:tr w:rsidR="00000000">
        <w:trPr>
          <w:jc w:val="center"/>
        </w:trPr>
        <w:tc>
          <w:tcPr>
            <w:tcW w:w="2268" w:type="dxa"/>
            <w:vAlign w:val="center"/>
          </w:tcPr>
          <w:p w:rsidR="00000000" w:rsidRDefault="00000000">
            <w:pPr>
              <w:spacing w:before="60" w:after="60"/>
            </w:pPr>
            <w:r>
              <w:t>VIH</w:t>
            </w:r>
          </w:p>
        </w:tc>
        <w:tc>
          <w:tcPr>
            <w:tcW w:w="1701" w:type="dxa"/>
            <w:vAlign w:val="bottom"/>
          </w:tcPr>
          <w:p w:rsidR="00000000" w:rsidRDefault="00000000">
            <w:pPr>
              <w:spacing w:before="60" w:after="60"/>
              <w:ind w:right="282"/>
              <w:jc w:val="right"/>
            </w:pPr>
            <w:r>
              <w:t>3 433</w:t>
            </w:r>
          </w:p>
        </w:tc>
        <w:tc>
          <w:tcPr>
            <w:tcW w:w="1985" w:type="dxa"/>
            <w:vAlign w:val="bottom"/>
          </w:tcPr>
          <w:p w:rsidR="00000000" w:rsidRDefault="00000000">
            <w:pPr>
              <w:spacing w:before="60" w:after="60"/>
              <w:ind w:right="282"/>
              <w:jc w:val="right"/>
            </w:pPr>
            <w:r>
              <w:t>524 (15,3 %)</w:t>
            </w:r>
          </w:p>
        </w:tc>
      </w:tr>
      <w:tr w:rsidR="00000000">
        <w:trPr>
          <w:jc w:val="center"/>
        </w:trPr>
        <w:tc>
          <w:tcPr>
            <w:tcW w:w="2268" w:type="dxa"/>
            <w:vAlign w:val="center"/>
          </w:tcPr>
          <w:p w:rsidR="00000000" w:rsidRDefault="00000000">
            <w:pPr>
              <w:spacing w:before="60" w:after="60"/>
            </w:pPr>
            <w:r>
              <w:t>Hépatite C</w:t>
            </w:r>
          </w:p>
        </w:tc>
        <w:tc>
          <w:tcPr>
            <w:tcW w:w="1701" w:type="dxa"/>
            <w:vAlign w:val="bottom"/>
          </w:tcPr>
          <w:p w:rsidR="00000000" w:rsidRDefault="00000000">
            <w:pPr>
              <w:spacing w:before="60" w:after="60"/>
              <w:ind w:right="282"/>
              <w:jc w:val="right"/>
            </w:pPr>
            <w:r>
              <w:t>3 080</w:t>
            </w:r>
          </w:p>
        </w:tc>
        <w:tc>
          <w:tcPr>
            <w:tcW w:w="1985" w:type="dxa"/>
            <w:vAlign w:val="bottom"/>
          </w:tcPr>
          <w:p w:rsidR="00000000" w:rsidRDefault="00000000">
            <w:pPr>
              <w:spacing w:before="60" w:after="60"/>
              <w:ind w:right="282"/>
              <w:jc w:val="right"/>
            </w:pPr>
            <w:r>
              <w:t>864 (28 %)</w:t>
            </w:r>
          </w:p>
        </w:tc>
      </w:tr>
      <w:tr w:rsidR="00000000">
        <w:trPr>
          <w:jc w:val="center"/>
        </w:trPr>
        <w:tc>
          <w:tcPr>
            <w:tcW w:w="2268" w:type="dxa"/>
            <w:vAlign w:val="center"/>
          </w:tcPr>
          <w:p w:rsidR="00000000" w:rsidRDefault="00000000">
            <w:pPr>
              <w:spacing w:before="60" w:after="60"/>
              <w:rPr>
                <w:lang w:val="de-CH"/>
              </w:rPr>
            </w:pPr>
            <w:r>
              <w:t>Hépatite</w:t>
            </w:r>
            <w:r>
              <w:rPr>
                <w:lang w:val="de-CH"/>
              </w:rPr>
              <w:t xml:space="preserve"> B</w:t>
            </w:r>
          </w:p>
        </w:tc>
        <w:tc>
          <w:tcPr>
            <w:tcW w:w="1701" w:type="dxa"/>
            <w:vAlign w:val="bottom"/>
          </w:tcPr>
          <w:p w:rsidR="00000000" w:rsidRDefault="00000000">
            <w:pPr>
              <w:spacing w:before="60" w:after="60"/>
              <w:ind w:right="282"/>
              <w:jc w:val="right"/>
            </w:pPr>
            <w:r>
              <w:t>3 273</w:t>
            </w:r>
          </w:p>
        </w:tc>
        <w:tc>
          <w:tcPr>
            <w:tcW w:w="1985" w:type="dxa"/>
            <w:vAlign w:val="bottom"/>
          </w:tcPr>
          <w:p w:rsidR="00000000" w:rsidRDefault="00000000">
            <w:pPr>
              <w:spacing w:before="60" w:after="60"/>
              <w:ind w:right="282"/>
              <w:jc w:val="right"/>
            </w:pPr>
            <w:r>
              <w:t>230 (7 %)</w:t>
            </w:r>
          </w:p>
        </w:tc>
      </w:tr>
    </w:tbl>
    <w:p w:rsidR="00000000" w:rsidRDefault="00000000">
      <w:pPr>
        <w:spacing w:after="240"/>
      </w:pPr>
      <w:r>
        <w:br/>
        <w:t>Au 12 février 2004, le nombre de séropositifs et de cas de sida hospitalisés à l’hôpital pénitentiaire de São João de Deus était le suivant:</w:t>
      </w:r>
    </w:p>
    <w:p w:rsidR="00000000" w:rsidRDefault="00000000">
      <w:pPr>
        <w:spacing w:after="240"/>
        <w:jc w:val="center"/>
        <w:rPr>
          <w:b/>
        </w:rPr>
      </w:pPr>
      <w:r>
        <w:rPr>
          <w:b/>
        </w:rPr>
        <w:t>Tableau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3120"/>
        <w:gridCol w:w="2880"/>
      </w:tblGrid>
      <w:tr w:rsidR="00000000">
        <w:trPr>
          <w:trHeight w:hRule="exact" w:val="397"/>
        </w:trPr>
        <w:tc>
          <w:tcPr>
            <w:tcW w:w="3360" w:type="dxa"/>
            <w:vAlign w:val="center"/>
          </w:tcPr>
          <w:p w:rsidR="00000000" w:rsidRDefault="00000000">
            <w:pPr>
              <w:spacing w:before="60" w:after="60"/>
              <w:jc w:val="center"/>
              <w:rPr>
                <w:b/>
                <w:bCs/>
              </w:rPr>
            </w:pPr>
          </w:p>
        </w:tc>
        <w:tc>
          <w:tcPr>
            <w:tcW w:w="3120" w:type="dxa"/>
            <w:vAlign w:val="center"/>
          </w:tcPr>
          <w:p w:rsidR="00000000" w:rsidRDefault="00000000">
            <w:pPr>
              <w:spacing w:before="60" w:after="60"/>
              <w:jc w:val="center"/>
              <w:rPr>
                <w:b/>
                <w:bCs/>
              </w:rPr>
            </w:pPr>
            <w:r>
              <w:rPr>
                <w:b/>
                <w:bCs/>
              </w:rPr>
              <w:t>Séropositifs/VIH</w:t>
            </w:r>
          </w:p>
        </w:tc>
        <w:tc>
          <w:tcPr>
            <w:tcW w:w="2880" w:type="dxa"/>
            <w:vAlign w:val="center"/>
          </w:tcPr>
          <w:p w:rsidR="00000000" w:rsidRDefault="00000000">
            <w:pPr>
              <w:spacing w:before="60" w:after="60"/>
              <w:jc w:val="center"/>
              <w:rPr>
                <w:b/>
                <w:bCs/>
              </w:rPr>
            </w:pPr>
            <w:r>
              <w:rPr>
                <w:b/>
                <w:bCs/>
              </w:rPr>
              <w:t>Sida</w:t>
            </w:r>
          </w:p>
        </w:tc>
      </w:tr>
      <w:tr w:rsidR="00000000">
        <w:tc>
          <w:tcPr>
            <w:tcW w:w="3360" w:type="dxa"/>
          </w:tcPr>
          <w:p w:rsidR="00000000" w:rsidRDefault="00000000">
            <w:pPr>
              <w:spacing w:before="60" w:after="60"/>
            </w:pPr>
            <w:r>
              <w:t>3ème étage</w:t>
            </w:r>
          </w:p>
        </w:tc>
        <w:tc>
          <w:tcPr>
            <w:tcW w:w="3120" w:type="dxa"/>
          </w:tcPr>
          <w:p w:rsidR="00000000" w:rsidRDefault="00000000">
            <w:pPr>
              <w:spacing w:before="60" w:after="60"/>
              <w:jc w:val="center"/>
            </w:pPr>
            <w:r>
              <w:t>1 homme et 2 femmes</w:t>
            </w:r>
          </w:p>
        </w:tc>
        <w:tc>
          <w:tcPr>
            <w:tcW w:w="2880" w:type="dxa"/>
          </w:tcPr>
          <w:p w:rsidR="00000000" w:rsidRDefault="00000000">
            <w:pPr>
              <w:spacing w:before="60" w:after="60"/>
              <w:jc w:val="center"/>
            </w:pPr>
            <w:r>
              <w:t>18 hommes</w:t>
            </w:r>
          </w:p>
        </w:tc>
      </w:tr>
      <w:tr w:rsidR="00000000">
        <w:tc>
          <w:tcPr>
            <w:tcW w:w="3360" w:type="dxa"/>
          </w:tcPr>
          <w:p w:rsidR="00000000" w:rsidRDefault="00000000">
            <w:pPr>
              <w:spacing w:before="60" w:after="60"/>
            </w:pPr>
            <w:r>
              <w:t>4ème étage</w:t>
            </w:r>
          </w:p>
        </w:tc>
        <w:tc>
          <w:tcPr>
            <w:tcW w:w="3120" w:type="dxa"/>
          </w:tcPr>
          <w:p w:rsidR="00000000" w:rsidRDefault="00000000">
            <w:pPr>
              <w:spacing w:before="60" w:after="60"/>
              <w:jc w:val="center"/>
            </w:pPr>
            <w:r>
              <w:t>-</w:t>
            </w:r>
          </w:p>
        </w:tc>
        <w:tc>
          <w:tcPr>
            <w:tcW w:w="2880" w:type="dxa"/>
          </w:tcPr>
          <w:p w:rsidR="00000000" w:rsidRDefault="00000000">
            <w:pPr>
              <w:spacing w:before="60" w:after="60"/>
              <w:jc w:val="center"/>
            </w:pPr>
            <w:r>
              <w:t>8 hommes</w:t>
            </w:r>
          </w:p>
        </w:tc>
      </w:tr>
      <w:tr w:rsidR="00000000">
        <w:tc>
          <w:tcPr>
            <w:tcW w:w="3360" w:type="dxa"/>
          </w:tcPr>
          <w:p w:rsidR="00000000" w:rsidRDefault="00000000">
            <w:pPr>
              <w:spacing w:before="60" w:after="60"/>
            </w:pPr>
            <w:r>
              <w:t>5ème étage</w:t>
            </w:r>
          </w:p>
        </w:tc>
        <w:tc>
          <w:tcPr>
            <w:tcW w:w="3120" w:type="dxa"/>
          </w:tcPr>
          <w:p w:rsidR="00000000" w:rsidRDefault="00000000">
            <w:pPr>
              <w:spacing w:before="60" w:after="60"/>
              <w:jc w:val="center"/>
            </w:pPr>
            <w:r>
              <w:t>-</w:t>
            </w:r>
          </w:p>
        </w:tc>
        <w:tc>
          <w:tcPr>
            <w:tcW w:w="2880" w:type="dxa"/>
          </w:tcPr>
          <w:p w:rsidR="00000000" w:rsidRDefault="00000000">
            <w:pPr>
              <w:spacing w:before="60" w:after="60"/>
              <w:jc w:val="center"/>
            </w:pPr>
            <w:r>
              <w:t>1 homme</w:t>
            </w:r>
          </w:p>
        </w:tc>
      </w:tr>
      <w:tr w:rsidR="00000000">
        <w:tc>
          <w:tcPr>
            <w:tcW w:w="3360" w:type="dxa"/>
          </w:tcPr>
          <w:p w:rsidR="00000000" w:rsidRDefault="00000000">
            <w:pPr>
              <w:spacing w:before="60" w:after="60"/>
            </w:pPr>
            <w:r>
              <w:t>Service de psychiatrie</w:t>
            </w:r>
          </w:p>
        </w:tc>
        <w:tc>
          <w:tcPr>
            <w:tcW w:w="3120" w:type="dxa"/>
          </w:tcPr>
          <w:p w:rsidR="00000000" w:rsidRDefault="00000000">
            <w:pPr>
              <w:spacing w:before="60" w:after="60"/>
              <w:jc w:val="center"/>
            </w:pPr>
            <w:r>
              <w:t>4 hommes et 1 femme</w:t>
            </w:r>
          </w:p>
        </w:tc>
        <w:tc>
          <w:tcPr>
            <w:tcW w:w="2880" w:type="dxa"/>
          </w:tcPr>
          <w:p w:rsidR="00000000" w:rsidRDefault="00000000">
            <w:pPr>
              <w:spacing w:before="60" w:after="60"/>
              <w:jc w:val="center"/>
            </w:pPr>
            <w:r>
              <w:t>-</w:t>
            </w:r>
          </w:p>
        </w:tc>
      </w:tr>
    </w:tbl>
    <w:p w:rsidR="00000000" w:rsidRDefault="00000000">
      <w:pPr>
        <w:spacing w:after="240"/>
      </w:pPr>
      <w:r>
        <w:br/>
        <w:t>À l’hôpital pénitentiaire 31% des hospitalisations sont liées à une pathologie associée au VIH. Sur les 23 hospitalisés en psychiatrie, 5 sont séropositifs, ce qui correspond à 21,7 % du total.</w:t>
      </w:r>
    </w:p>
    <w:p w:rsidR="00000000" w:rsidRDefault="00000000">
      <w:pPr>
        <w:spacing w:after="240"/>
      </w:pPr>
      <w:r>
        <w:t>227.</w:t>
      </w:r>
      <w:r>
        <w:tab/>
        <w:t>En ce qui concerne les cas de toxicomanie et leur traitement, la situation est la suivante: En 2003, les détenus en traitement dans les structures pénitentiaires étaient au nombre de 815. Dans les structures de traitement de l’Institut de la drogue et de la toxicomanie (IDT), le nombre était de 522. Dans les établissements pénitentiaires, les programmes orientés vers l’abstinence comportent les unités libres de drogue (espaces à l’intérieur des établissements pénitentiaires où l’on soigne la toxicomanie par l’abstinence selon le choix des détenus, accompagnée de soins psychologiques – ces espaces existent à Lisbonne, Tires, Leiria, Porto et Santa Cruz do Bispo), ainsi que la Maison de sortie (Caldas da Rainha, établissement qui accueille des toxicomanes ayant réussi leur soin en ULD, condition d’accéder aux programmes de toxicomanie généraux, et qui travaille à l’extérieur). Les chiffres relatifs à ces programmes sont les suivants:</w:t>
      </w:r>
    </w:p>
    <w:p w:rsidR="00000000" w:rsidRDefault="00000000">
      <w:pPr>
        <w:keepNext/>
        <w:spacing w:after="240"/>
        <w:jc w:val="center"/>
        <w:rPr>
          <w:b/>
        </w:rPr>
      </w:pPr>
      <w:r>
        <w:rPr>
          <w:b/>
        </w:rPr>
        <w:t>Tableau 11.  Programmes orientés vers l’abstinence: unités libres de drogue</w:t>
      </w:r>
    </w:p>
    <w:tbl>
      <w:tblPr>
        <w:tblW w:w="0" w:type="auto"/>
        <w:jc w:val="center"/>
        <w:tblInd w:w="-1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1"/>
        <w:gridCol w:w="2640"/>
        <w:gridCol w:w="2444"/>
      </w:tblGrid>
      <w:tr w:rsidR="00000000">
        <w:trPr>
          <w:jc w:val="center"/>
        </w:trPr>
        <w:tc>
          <w:tcPr>
            <w:tcW w:w="4151" w:type="dxa"/>
            <w:vAlign w:val="center"/>
          </w:tcPr>
          <w:p w:rsidR="00000000" w:rsidRDefault="00000000">
            <w:pPr>
              <w:keepNext/>
              <w:spacing w:before="60" w:after="60"/>
              <w:jc w:val="center"/>
              <w:rPr>
                <w:b/>
                <w:bCs/>
              </w:rPr>
            </w:pPr>
            <w:r>
              <w:rPr>
                <w:b/>
                <w:bCs/>
              </w:rPr>
              <w:t>Établissements pénitentiaires</w:t>
            </w:r>
          </w:p>
        </w:tc>
        <w:tc>
          <w:tcPr>
            <w:tcW w:w="2640" w:type="dxa"/>
            <w:vAlign w:val="center"/>
          </w:tcPr>
          <w:p w:rsidR="00000000" w:rsidRDefault="00000000">
            <w:pPr>
              <w:keepNext/>
              <w:spacing w:before="60" w:after="60"/>
              <w:jc w:val="center"/>
              <w:rPr>
                <w:b/>
                <w:bCs/>
              </w:rPr>
            </w:pPr>
            <w:r>
              <w:rPr>
                <w:b/>
                <w:bCs/>
              </w:rPr>
              <w:t>Capacité</w:t>
            </w:r>
          </w:p>
        </w:tc>
        <w:tc>
          <w:tcPr>
            <w:tcW w:w="2444" w:type="dxa"/>
            <w:vAlign w:val="center"/>
          </w:tcPr>
          <w:p w:rsidR="00000000" w:rsidRDefault="00000000">
            <w:pPr>
              <w:keepNext/>
              <w:spacing w:before="60" w:after="60"/>
              <w:jc w:val="center"/>
              <w:rPr>
                <w:b/>
                <w:bCs/>
              </w:rPr>
            </w:pPr>
            <w:r>
              <w:rPr>
                <w:b/>
                <w:bCs/>
              </w:rPr>
              <w:t>Usagers en 2003</w:t>
            </w:r>
          </w:p>
        </w:tc>
      </w:tr>
      <w:tr w:rsidR="00000000">
        <w:trPr>
          <w:jc w:val="center"/>
        </w:trPr>
        <w:tc>
          <w:tcPr>
            <w:tcW w:w="4151" w:type="dxa"/>
            <w:vAlign w:val="center"/>
          </w:tcPr>
          <w:p w:rsidR="00000000" w:rsidRDefault="00000000">
            <w:pPr>
              <w:keepNext/>
              <w:spacing w:before="60" w:after="60"/>
            </w:pPr>
            <w:r>
              <w:t>Lisbonne – Aile G</w:t>
            </w:r>
            <w:r>
              <w:rPr>
                <w:b/>
                <w:bCs/>
                <w:vertAlign w:val="superscript"/>
              </w:rPr>
              <w:t>a</w:t>
            </w:r>
          </w:p>
        </w:tc>
        <w:tc>
          <w:tcPr>
            <w:tcW w:w="2640" w:type="dxa"/>
            <w:vAlign w:val="bottom"/>
          </w:tcPr>
          <w:p w:rsidR="00000000" w:rsidRDefault="00000000">
            <w:pPr>
              <w:keepNext/>
              <w:spacing w:before="60" w:after="60"/>
              <w:ind w:right="743"/>
              <w:jc w:val="right"/>
            </w:pPr>
            <w:r>
              <w:t>45 lits</w:t>
            </w:r>
          </w:p>
        </w:tc>
        <w:tc>
          <w:tcPr>
            <w:tcW w:w="2444" w:type="dxa"/>
            <w:vAlign w:val="bottom"/>
          </w:tcPr>
          <w:p w:rsidR="00000000" w:rsidRDefault="00000000">
            <w:pPr>
              <w:keepNext/>
              <w:spacing w:before="60" w:after="60"/>
              <w:ind w:right="743"/>
              <w:jc w:val="right"/>
            </w:pPr>
            <w:r>
              <w:t>64</w:t>
            </w:r>
          </w:p>
        </w:tc>
      </w:tr>
      <w:tr w:rsidR="00000000">
        <w:trPr>
          <w:jc w:val="center"/>
        </w:trPr>
        <w:tc>
          <w:tcPr>
            <w:tcW w:w="4151" w:type="dxa"/>
            <w:vAlign w:val="center"/>
          </w:tcPr>
          <w:p w:rsidR="00000000" w:rsidRDefault="00000000">
            <w:pPr>
              <w:keepNext/>
              <w:spacing w:before="60" w:after="60"/>
            </w:pPr>
            <w:r>
              <w:t>Lisbonne – Aile A</w:t>
            </w:r>
          </w:p>
        </w:tc>
        <w:tc>
          <w:tcPr>
            <w:tcW w:w="2640" w:type="dxa"/>
            <w:vAlign w:val="bottom"/>
          </w:tcPr>
          <w:p w:rsidR="00000000" w:rsidRDefault="00000000">
            <w:pPr>
              <w:keepNext/>
              <w:spacing w:before="60" w:after="60"/>
              <w:ind w:right="743"/>
              <w:jc w:val="right"/>
            </w:pPr>
            <w:r>
              <w:t>75 lits</w:t>
            </w:r>
          </w:p>
        </w:tc>
        <w:tc>
          <w:tcPr>
            <w:tcW w:w="2444" w:type="dxa"/>
            <w:vAlign w:val="bottom"/>
          </w:tcPr>
          <w:p w:rsidR="00000000" w:rsidRDefault="00000000">
            <w:pPr>
              <w:keepNext/>
              <w:spacing w:before="60" w:after="60"/>
              <w:ind w:right="743"/>
              <w:jc w:val="right"/>
            </w:pPr>
            <w:r>
              <w:t>113</w:t>
            </w:r>
          </w:p>
        </w:tc>
      </w:tr>
      <w:tr w:rsidR="00000000">
        <w:trPr>
          <w:jc w:val="center"/>
        </w:trPr>
        <w:tc>
          <w:tcPr>
            <w:tcW w:w="4151" w:type="dxa"/>
            <w:vAlign w:val="center"/>
          </w:tcPr>
          <w:p w:rsidR="00000000" w:rsidRDefault="00000000">
            <w:pPr>
              <w:spacing w:before="60" w:after="60"/>
            </w:pPr>
            <w:r>
              <w:t>Tires</w:t>
            </w:r>
          </w:p>
        </w:tc>
        <w:tc>
          <w:tcPr>
            <w:tcW w:w="2640" w:type="dxa"/>
            <w:vAlign w:val="bottom"/>
          </w:tcPr>
          <w:p w:rsidR="00000000" w:rsidRDefault="00000000">
            <w:pPr>
              <w:spacing w:before="60" w:after="60"/>
              <w:ind w:right="743"/>
              <w:jc w:val="right"/>
            </w:pPr>
            <w:r>
              <w:t>28 lits</w:t>
            </w:r>
          </w:p>
        </w:tc>
        <w:tc>
          <w:tcPr>
            <w:tcW w:w="2444" w:type="dxa"/>
            <w:vAlign w:val="bottom"/>
          </w:tcPr>
          <w:p w:rsidR="00000000" w:rsidRDefault="00000000">
            <w:pPr>
              <w:spacing w:before="60" w:after="60"/>
              <w:ind w:right="743"/>
              <w:jc w:val="right"/>
            </w:pPr>
            <w:r>
              <w:t>43</w:t>
            </w:r>
          </w:p>
        </w:tc>
      </w:tr>
      <w:tr w:rsidR="00000000">
        <w:trPr>
          <w:jc w:val="center"/>
        </w:trPr>
        <w:tc>
          <w:tcPr>
            <w:tcW w:w="4151" w:type="dxa"/>
            <w:vAlign w:val="center"/>
          </w:tcPr>
          <w:p w:rsidR="00000000" w:rsidRDefault="00000000">
            <w:pPr>
              <w:spacing w:before="60" w:after="60"/>
            </w:pPr>
            <w:r>
              <w:t>Leiria</w:t>
            </w:r>
          </w:p>
        </w:tc>
        <w:tc>
          <w:tcPr>
            <w:tcW w:w="2640" w:type="dxa"/>
            <w:vAlign w:val="bottom"/>
          </w:tcPr>
          <w:p w:rsidR="00000000" w:rsidRDefault="00000000">
            <w:pPr>
              <w:spacing w:before="60" w:after="60"/>
              <w:ind w:right="743"/>
              <w:jc w:val="right"/>
            </w:pPr>
            <w:r>
              <w:t>29 lits</w:t>
            </w:r>
          </w:p>
        </w:tc>
        <w:tc>
          <w:tcPr>
            <w:tcW w:w="2444" w:type="dxa"/>
            <w:vAlign w:val="bottom"/>
          </w:tcPr>
          <w:p w:rsidR="00000000" w:rsidRDefault="00000000">
            <w:pPr>
              <w:spacing w:before="60" w:after="60"/>
              <w:ind w:right="743"/>
              <w:jc w:val="right"/>
            </w:pPr>
            <w:r>
              <w:t>113</w:t>
            </w:r>
          </w:p>
        </w:tc>
      </w:tr>
      <w:tr w:rsidR="00000000">
        <w:trPr>
          <w:jc w:val="center"/>
        </w:trPr>
        <w:tc>
          <w:tcPr>
            <w:tcW w:w="4151" w:type="dxa"/>
            <w:vAlign w:val="center"/>
          </w:tcPr>
          <w:p w:rsidR="00000000" w:rsidRDefault="00000000">
            <w:pPr>
              <w:spacing w:before="60" w:after="60"/>
            </w:pPr>
            <w:r>
              <w:t>Porto</w:t>
            </w:r>
          </w:p>
        </w:tc>
        <w:tc>
          <w:tcPr>
            <w:tcW w:w="2640" w:type="dxa"/>
            <w:vAlign w:val="bottom"/>
          </w:tcPr>
          <w:p w:rsidR="00000000" w:rsidRDefault="00000000">
            <w:pPr>
              <w:spacing w:before="60" w:after="60"/>
              <w:ind w:right="743"/>
              <w:jc w:val="right"/>
            </w:pPr>
            <w:r>
              <w:t>20 lits</w:t>
            </w:r>
          </w:p>
        </w:tc>
        <w:tc>
          <w:tcPr>
            <w:tcW w:w="2444" w:type="dxa"/>
            <w:vAlign w:val="bottom"/>
          </w:tcPr>
          <w:p w:rsidR="00000000" w:rsidRDefault="00000000">
            <w:pPr>
              <w:spacing w:before="60" w:after="60"/>
              <w:ind w:right="743"/>
              <w:jc w:val="right"/>
            </w:pPr>
            <w:r>
              <w:t>34</w:t>
            </w:r>
          </w:p>
        </w:tc>
      </w:tr>
      <w:tr w:rsidR="00000000">
        <w:trPr>
          <w:jc w:val="center"/>
        </w:trPr>
        <w:tc>
          <w:tcPr>
            <w:tcW w:w="4151" w:type="dxa"/>
            <w:tcBorders>
              <w:bottom w:val="single" w:sz="4" w:space="0" w:color="auto"/>
            </w:tcBorders>
            <w:vAlign w:val="center"/>
          </w:tcPr>
          <w:p w:rsidR="00000000" w:rsidRDefault="00000000">
            <w:pPr>
              <w:spacing w:before="60" w:after="60"/>
            </w:pPr>
            <w:r>
              <w:t>Santa Cruz do Bispo</w:t>
            </w:r>
          </w:p>
        </w:tc>
        <w:tc>
          <w:tcPr>
            <w:tcW w:w="2640" w:type="dxa"/>
            <w:tcBorders>
              <w:bottom w:val="single" w:sz="4" w:space="0" w:color="auto"/>
            </w:tcBorders>
            <w:vAlign w:val="bottom"/>
          </w:tcPr>
          <w:p w:rsidR="00000000" w:rsidRDefault="00000000">
            <w:pPr>
              <w:spacing w:before="60" w:after="60"/>
              <w:ind w:right="743"/>
              <w:jc w:val="right"/>
            </w:pPr>
            <w:r>
              <w:t>20 lits</w:t>
            </w:r>
          </w:p>
        </w:tc>
        <w:tc>
          <w:tcPr>
            <w:tcW w:w="2444" w:type="dxa"/>
            <w:tcBorders>
              <w:bottom w:val="single" w:sz="4" w:space="0" w:color="auto"/>
            </w:tcBorders>
            <w:vAlign w:val="bottom"/>
          </w:tcPr>
          <w:p w:rsidR="00000000" w:rsidRDefault="00000000">
            <w:pPr>
              <w:spacing w:before="60" w:after="60"/>
              <w:ind w:right="743"/>
              <w:jc w:val="right"/>
            </w:pPr>
            <w:r>
              <w:t>21</w:t>
            </w:r>
          </w:p>
        </w:tc>
      </w:tr>
      <w:tr w:rsidR="00000000">
        <w:trPr>
          <w:trHeight w:val="397"/>
          <w:jc w:val="center"/>
        </w:trPr>
        <w:tc>
          <w:tcPr>
            <w:tcW w:w="4151" w:type="dxa"/>
            <w:vAlign w:val="center"/>
          </w:tcPr>
          <w:p w:rsidR="00000000" w:rsidRDefault="00000000">
            <w:pPr>
              <w:spacing w:before="60" w:after="60"/>
              <w:rPr>
                <w:b/>
                <w:bCs/>
              </w:rPr>
            </w:pPr>
            <w:r>
              <w:rPr>
                <w:b/>
                <w:bCs/>
              </w:rPr>
              <w:t>Total</w:t>
            </w:r>
          </w:p>
        </w:tc>
        <w:tc>
          <w:tcPr>
            <w:tcW w:w="2640" w:type="dxa"/>
            <w:vAlign w:val="bottom"/>
          </w:tcPr>
          <w:p w:rsidR="00000000" w:rsidRDefault="00000000">
            <w:pPr>
              <w:spacing w:before="60" w:after="60"/>
              <w:ind w:right="743"/>
              <w:jc w:val="right"/>
              <w:rPr>
                <w:b/>
                <w:bCs/>
              </w:rPr>
            </w:pPr>
            <w:r>
              <w:rPr>
                <w:b/>
                <w:bCs/>
              </w:rPr>
              <w:t>217 lits</w:t>
            </w:r>
          </w:p>
        </w:tc>
        <w:tc>
          <w:tcPr>
            <w:tcW w:w="2444" w:type="dxa"/>
            <w:vAlign w:val="bottom"/>
          </w:tcPr>
          <w:p w:rsidR="00000000" w:rsidRDefault="00000000">
            <w:pPr>
              <w:spacing w:before="60" w:after="60"/>
              <w:ind w:right="743"/>
              <w:jc w:val="right"/>
              <w:rPr>
                <w:b/>
                <w:bCs/>
              </w:rPr>
            </w:pPr>
            <w:r>
              <w:rPr>
                <w:b/>
                <w:bCs/>
              </w:rPr>
              <w:t>388</w:t>
            </w:r>
          </w:p>
        </w:tc>
      </w:tr>
    </w:tbl>
    <w:p w:rsidR="00000000" w:rsidRDefault="00000000">
      <w:pPr>
        <w:spacing w:after="240"/>
      </w:pPr>
      <w:r>
        <w:br/>
      </w:r>
      <w:r>
        <w:rPr>
          <w:b/>
          <w:bCs/>
          <w:vertAlign w:val="superscript"/>
        </w:rPr>
        <w:t>a</w:t>
      </w:r>
      <w:r>
        <w:t xml:space="preserve"> Les détenus de l’aile G ne consomment aucun type de psychotropes.</w:t>
      </w:r>
    </w:p>
    <w:p w:rsidR="00000000" w:rsidRDefault="00000000">
      <w:pPr>
        <w:spacing w:after="240"/>
        <w:jc w:val="center"/>
        <w:rPr>
          <w:b/>
        </w:rPr>
      </w:pPr>
      <w:r>
        <w:rPr>
          <w:b/>
        </w:rPr>
        <w:t>Tableau 12.  Programmes orientés vers l’abstinence: maisons de sortie</w:t>
      </w:r>
    </w:p>
    <w:tbl>
      <w:tblPr>
        <w:tblW w:w="0" w:type="auto"/>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8"/>
        <w:gridCol w:w="1176"/>
        <w:gridCol w:w="2270"/>
      </w:tblGrid>
      <w:tr w:rsidR="00000000">
        <w:trPr>
          <w:jc w:val="center"/>
        </w:trPr>
        <w:tc>
          <w:tcPr>
            <w:tcW w:w="5738" w:type="dxa"/>
            <w:vAlign w:val="center"/>
          </w:tcPr>
          <w:p w:rsidR="00000000" w:rsidRDefault="00000000">
            <w:pPr>
              <w:spacing w:before="60" w:after="60"/>
              <w:jc w:val="center"/>
              <w:rPr>
                <w:b/>
                <w:bCs/>
              </w:rPr>
            </w:pPr>
            <w:r>
              <w:rPr>
                <w:b/>
                <w:bCs/>
              </w:rPr>
              <w:t>Établissement pénitentiaire</w:t>
            </w:r>
          </w:p>
        </w:tc>
        <w:tc>
          <w:tcPr>
            <w:tcW w:w="1176" w:type="dxa"/>
            <w:vAlign w:val="center"/>
          </w:tcPr>
          <w:p w:rsidR="00000000" w:rsidRDefault="00000000">
            <w:pPr>
              <w:spacing w:before="60" w:after="60"/>
              <w:jc w:val="center"/>
              <w:rPr>
                <w:b/>
                <w:bCs/>
              </w:rPr>
            </w:pPr>
            <w:r>
              <w:rPr>
                <w:b/>
                <w:bCs/>
              </w:rPr>
              <w:t>Capacité</w:t>
            </w:r>
          </w:p>
        </w:tc>
        <w:tc>
          <w:tcPr>
            <w:tcW w:w="2270" w:type="dxa"/>
            <w:vAlign w:val="center"/>
          </w:tcPr>
          <w:p w:rsidR="00000000" w:rsidRDefault="00000000">
            <w:pPr>
              <w:spacing w:before="60" w:after="60"/>
              <w:jc w:val="center"/>
              <w:rPr>
                <w:b/>
                <w:bCs/>
              </w:rPr>
            </w:pPr>
            <w:r>
              <w:rPr>
                <w:b/>
                <w:bCs/>
              </w:rPr>
              <w:t>Usagers en 2003</w:t>
            </w:r>
          </w:p>
        </w:tc>
      </w:tr>
      <w:tr w:rsidR="00000000">
        <w:trPr>
          <w:jc w:val="center"/>
        </w:trPr>
        <w:tc>
          <w:tcPr>
            <w:tcW w:w="5738" w:type="dxa"/>
            <w:vAlign w:val="center"/>
          </w:tcPr>
          <w:p w:rsidR="00000000" w:rsidRDefault="00000000">
            <w:pPr>
              <w:spacing w:before="60" w:after="60"/>
              <w:rPr>
                <w:lang w:val="de-CH"/>
              </w:rPr>
            </w:pPr>
            <w:r>
              <w:rPr>
                <w:lang w:val="de-CH"/>
              </w:rPr>
              <w:t>Caldas da Rainha</w:t>
            </w:r>
          </w:p>
        </w:tc>
        <w:tc>
          <w:tcPr>
            <w:tcW w:w="1176" w:type="dxa"/>
            <w:vAlign w:val="center"/>
          </w:tcPr>
          <w:p w:rsidR="00000000" w:rsidRDefault="00000000">
            <w:pPr>
              <w:spacing w:before="60" w:after="60"/>
              <w:jc w:val="center"/>
            </w:pPr>
            <w:r>
              <w:t>12 lits</w:t>
            </w:r>
          </w:p>
        </w:tc>
        <w:tc>
          <w:tcPr>
            <w:tcW w:w="2270" w:type="dxa"/>
            <w:vAlign w:val="center"/>
          </w:tcPr>
          <w:p w:rsidR="00000000" w:rsidRDefault="00000000">
            <w:pPr>
              <w:spacing w:before="60" w:after="60"/>
              <w:jc w:val="center"/>
            </w:pPr>
            <w:r>
              <w:t>17</w:t>
            </w:r>
          </w:p>
        </w:tc>
      </w:tr>
    </w:tbl>
    <w:p w:rsidR="00000000" w:rsidRDefault="00000000">
      <w:pPr>
        <w:spacing w:after="240"/>
      </w:pPr>
    </w:p>
    <w:p w:rsidR="00000000" w:rsidRDefault="00000000">
      <w:pPr>
        <w:spacing w:after="240"/>
      </w:pPr>
      <w:r>
        <w:t>228.</w:t>
      </w:r>
      <w:r>
        <w:tab/>
        <w:t>Les programmes fondés sur l’emploi de médicaments (métadone, subutex, antagonistes) se présentent comme suit:</w:t>
      </w:r>
    </w:p>
    <w:p w:rsidR="00000000" w:rsidRDefault="00000000">
      <w:pPr>
        <w:spacing w:after="240"/>
        <w:jc w:val="center"/>
        <w:rPr>
          <w:b/>
        </w:rPr>
      </w:pPr>
      <w:r>
        <w:rPr>
          <w:b/>
        </w:rPr>
        <w:t xml:space="preserve">Tableau 13.  Programmes pharmacologiques </w:t>
      </w:r>
    </w:p>
    <w:tbl>
      <w:tblPr>
        <w:tblW w:w="0" w:type="auto"/>
        <w:jc w:val="center"/>
        <w:tblInd w:w="-2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0"/>
        <w:gridCol w:w="3503"/>
      </w:tblGrid>
      <w:tr w:rsidR="00000000">
        <w:trPr>
          <w:trHeight w:hRule="exact" w:val="397"/>
          <w:jc w:val="center"/>
        </w:trPr>
        <w:tc>
          <w:tcPr>
            <w:tcW w:w="5690" w:type="dxa"/>
            <w:vAlign w:val="center"/>
          </w:tcPr>
          <w:p w:rsidR="00000000" w:rsidRDefault="00000000">
            <w:pPr>
              <w:spacing w:before="60" w:after="60"/>
              <w:jc w:val="center"/>
              <w:rPr>
                <w:b/>
                <w:bCs/>
              </w:rPr>
            </w:pPr>
            <w:r>
              <w:rPr>
                <w:b/>
                <w:bCs/>
              </w:rPr>
              <w:t>Établissements pénitentiaires</w:t>
            </w:r>
          </w:p>
        </w:tc>
        <w:tc>
          <w:tcPr>
            <w:tcW w:w="3503" w:type="dxa"/>
            <w:vAlign w:val="center"/>
          </w:tcPr>
          <w:p w:rsidR="00000000" w:rsidRDefault="00000000">
            <w:pPr>
              <w:spacing w:before="60" w:after="60"/>
              <w:jc w:val="center"/>
              <w:rPr>
                <w:b/>
                <w:bCs/>
              </w:rPr>
            </w:pPr>
            <w:r>
              <w:rPr>
                <w:b/>
                <w:bCs/>
              </w:rPr>
              <w:t>Usagers en 2003</w:t>
            </w:r>
          </w:p>
        </w:tc>
      </w:tr>
      <w:tr w:rsidR="00000000">
        <w:trPr>
          <w:jc w:val="center"/>
        </w:trPr>
        <w:tc>
          <w:tcPr>
            <w:tcW w:w="5690" w:type="dxa"/>
            <w:vAlign w:val="center"/>
          </w:tcPr>
          <w:p w:rsidR="00000000" w:rsidRDefault="00000000">
            <w:pPr>
              <w:spacing w:before="60" w:after="60"/>
            </w:pPr>
            <w:r>
              <w:t>Caxias</w:t>
            </w:r>
          </w:p>
        </w:tc>
        <w:tc>
          <w:tcPr>
            <w:tcW w:w="3503" w:type="dxa"/>
            <w:vAlign w:val="bottom"/>
          </w:tcPr>
          <w:p w:rsidR="00000000" w:rsidRDefault="00000000">
            <w:pPr>
              <w:spacing w:before="60" w:after="60"/>
              <w:ind w:right="1366"/>
              <w:jc w:val="right"/>
            </w:pPr>
            <w:r>
              <w:t>63</w:t>
            </w:r>
          </w:p>
        </w:tc>
      </w:tr>
      <w:tr w:rsidR="00000000">
        <w:trPr>
          <w:jc w:val="center"/>
        </w:trPr>
        <w:tc>
          <w:tcPr>
            <w:tcW w:w="5690" w:type="dxa"/>
            <w:vAlign w:val="center"/>
          </w:tcPr>
          <w:p w:rsidR="00000000" w:rsidRDefault="00000000">
            <w:pPr>
              <w:spacing w:before="60" w:after="60"/>
            </w:pPr>
            <w:r>
              <w:t>Lisbonne</w:t>
            </w:r>
          </w:p>
        </w:tc>
        <w:tc>
          <w:tcPr>
            <w:tcW w:w="3503" w:type="dxa"/>
            <w:vAlign w:val="bottom"/>
          </w:tcPr>
          <w:p w:rsidR="00000000" w:rsidRDefault="00000000">
            <w:pPr>
              <w:spacing w:before="60" w:after="60"/>
              <w:ind w:right="1366"/>
              <w:jc w:val="right"/>
            </w:pPr>
            <w:r>
              <w:t>105</w:t>
            </w:r>
          </w:p>
        </w:tc>
      </w:tr>
      <w:tr w:rsidR="00000000">
        <w:trPr>
          <w:jc w:val="center"/>
        </w:trPr>
        <w:tc>
          <w:tcPr>
            <w:tcW w:w="5690" w:type="dxa"/>
            <w:vAlign w:val="center"/>
          </w:tcPr>
          <w:p w:rsidR="00000000" w:rsidRDefault="00000000">
            <w:pPr>
              <w:spacing w:before="60" w:after="60"/>
            </w:pPr>
            <w:r>
              <w:t>Porto</w:t>
            </w:r>
          </w:p>
        </w:tc>
        <w:tc>
          <w:tcPr>
            <w:tcW w:w="3503" w:type="dxa"/>
            <w:vAlign w:val="bottom"/>
          </w:tcPr>
          <w:p w:rsidR="00000000" w:rsidRDefault="00000000">
            <w:pPr>
              <w:spacing w:before="60" w:after="60"/>
              <w:ind w:right="1366"/>
              <w:jc w:val="right"/>
            </w:pPr>
            <w:r>
              <w:t>215</w:t>
            </w:r>
          </w:p>
        </w:tc>
      </w:tr>
      <w:tr w:rsidR="00000000">
        <w:trPr>
          <w:jc w:val="center"/>
        </w:trPr>
        <w:tc>
          <w:tcPr>
            <w:tcW w:w="5690" w:type="dxa"/>
            <w:tcBorders>
              <w:bottom w:val="single" w:sz="4" w:space="0" w:color="auto"/>
            </w:tcBorders>
            <w:vAlign w:val="center"/>
          </w:tcPr>
          <w:p w:rsidR="00000000" w:rsidRDefault="00000000">
            <w:pPr>
              <w:spacing w:before="60" w:after="60"/>
            </w:pPr>
            <w:r>
              <w:t>Tires</w:t>
            </w:r>
          </w:p>
        </w:tc>
        <w:tc>
          <w:tcPr>
            <w:tcW w:w="3503" w:type="dxa"/>
            <w:tcBorders>
              <w:bottom w:val="single" w:sz="4" w:space="0" w:color="auto"/>
            </w:tcBorders>
            <w:vAlign w:val="bottom"/>
          </w:tcPr>
          <w:p w:rsidR="00000000" w:rsidRDefault="00000000">
            <w:pPr>
              <w:spacing w:before="60" w:after="60"/>
              <w:ind w:right="1366"/>
              <w:jc w:val="right"/>
            </w:pPr>
            <w:r>
              <w:t>28</w:t>
            </w:r>
          </w:p>
        </w:tc>
      </w:tr>
      <w:tr w:rsidR="00000000">
        <w:trPr>
          <w:jc w:val="center"/>
        </w:trPr>
        <w:tc>
          <w:tcPr>
            <w:tcW w:w="5690" w:type="dxa"/>
            <w:vAlign w:val="center"/>
          </w:tcPr>
          <w:p w:rsidR="00000000" w:rsidRDefault="00000000">
            <w:pPr>
              <w:spacing w:before="60" w:after="60"/>
              <w:rPr>
                <w:b/>
                <w:bCs/>
              </w:rPr>
            </w:pPr>
            <w:r>
              <w:rPr>
                <w:b/>
                <w:bCs/>
              </w:rPr>
              <w:t>Total</w:t>
            </w:r>
          </w:p>
        </w:tc>
        <w:tc>
          <w:tcPr>
            <w:tcW w:w="3503" w:type="dxa"/>
            <w:vAlign w:val="bottom"/>
          </w:tcPr>
          <w:p w:rsidR="00000000" w:rsidRDefault="00000000">
            <w:pPr>
              <w:spacing w:before="60" w:after="60"/>
              <w:ind w:right="1366"/>
              <w:jc w:val="right"/>
              <w:rPr>
                <w:b/>
                <w:bCs/>
              </w:rPr>
            </w:pPr>
            <w:r>
              <w:rPr>
                <w:b/>
                <w:bCs/>
              </w:rPr>
              <w:t>410</w:t>
            </w:r>
          </w:p>
        </w:tc>
      </w:tr>
    </w:tbl>
    <w:p w:rsidR="00000000" w:rsidRDefault="00000000">
      <w:pPr>
        <w:spacing w:after="240"/>
      </w:pPr>
    </w:p>
    <w:p w:rsidR="00000000" w:rsidRDefault="00000000">
      <w:pPr>
        <w:spacing w:after="240"/>
      </w:pPr>
      <w:r>
        <w:t>Dans trois établissements (Lisbonne, Porto et Tires), la coordination des programmes appartient à l’équipe technique de l’établissement. Dans l’établissement de Caxias, la prescription est de la responsabilité du centre d’accueil aux toxicomanes de référence et l’accompagnement psychologique est de la responsabilité de l’établissement pénitentiaire.</w:t>
      </w:r>
    </w:p>
    <w:p w:rsidR="00000000" w:rsidRDefault="00000000">
      <w:pPr>
        <w:spacing w:after="240"/>
      </w:pPr>
      <w:r>
        <w:t>229.</w:t>
      </w:r>
      <w:r>
        <w:tab/>
        <w:t>En ce qui concerne les détenus suivant les programmes de traitement pharmacologique (métadone, subutex, antagonistes) sous orientation des centres d’accueil aux toxicomanes/IDT, la situation est la suivante:</w:t>
      </w:r>
    </w:p>
    <w:p w:rsidR="00000000" w:rsidRDefault="00000000">
      <w:pPr>
        <w:spacing w:after="240"/>
        <w:jc w:val="center"/>
        <w:rPr>
          <w:b/>
        </w:rPr>
      </w:pPr>
      <w:r>
        <w:rPr>
          <w:b/>
        </w:rPr>
        <w:t>Tableau 14</w:t>
      </w:r>
    </w:p>
    <w:tbl>
      <w:tblPr>
        <w:tblW w:w="0" w:type="auto"/>
        <w:jc w:val="center"/>
        <w:tblInd w:w="-1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2835"/>
      </w:tblGrid>
      <w:tr w:rsidR="00000000">
        <w:trPr>
          <w:jc w:val="center"/>
        </w:trPr>
        <w:tc>
          <w:tcPr>
            <w:tcW w:w="4198" w:type="dxa"/>
            <w:vAlign w:val="center"/>
          </w:tcPr>
          <w:p w:rsidR="00000000" w:rsidRDefault="00000000">
            <w:pPr>
              <w:spacing w:before="60" w:after="60"/>
              <w:jc w:val="center"/>
              <w:rPr>
                <w:b/>
                <w:bCs/>
              </w:rPr>
            </w:pPr>
            <w:r>
              <w:rPr>
                <w:b/>
                <w:bCs/>
              </w:rPr>
              <w:t>Établissements pénitentiaires</w:t>
            </w:r>
          </w:p>
        </w:tc>
        <w:tc>
          <w:tcPr>
            <w:tcW w:w="2835" w:type="dxa"/>
            <w:vAlign w:val="center"/>
          </w:tcPr>
          <w:p w:rsidR="00000000" w:rsidRDefault="00000000">
            <w:pPr>
              <w:spacing w:before="60" w:after="60"/>
              <w:jc w:val="center"/>
              <w:rPr>
                <w:b/>
                <w:bCs/>
              </w:rPr>
            </w:pPr>
            <w:r>
              <w:rPr>
                <w:b/>
                <w:bCs/>
              </w:rPr>
              <w:t>Usagers</w:t>
            </w:r>
          </w:p>
        </w:tc>
      </w:tr>
      <w:tr w:rsidR="00000000">
        <w:trPr>
          <w:jc w:val="center"/>
        </w:trPr>
        <w:tc>
          <w:tcPr>
            <w:tcW w:w="4198" w:type="dxa"/>
          </w:tcPr>
          <w:p w:rsidR="00000000" w:rsidRDefault="00000000">
            <w:pPr>
              <w:spacing w:before="60" w:after="60"/>
            </w:pPr>
            <w:r>
              <w:t>Centraux et spéciaux</w:t>
            </w:r>
          </w:p>
        </w:tc>
        <w:tc>
          <w:tcPr>
            <w:tcW w:w="2835" w:type="dxa"/>
          </w:tcPr>
          <w:p w:rsidR="00000000" w:rsidRDefault="00000000">
            <w:pPr>
              <w:spacing w:before="60" w:after="60"/>
              <w:jc w:val="center"/>
            </w:pPr>
            <w:r>
              <w:t>272</w:t>
            </w:r>
          </w:p>
        </w:tc>
      </w:tr>
      <w:tr w:rsidR="00000000">
        <w:trPr>
          <w:jc w:val="center"/>
        </w:trPr>
        <w:tc>
          <w:tcPr>
            <w:tcW w:w="4198" w:type="dxa"/>
          </w:tcPr>
          <w:p w:rsidR="00000000" w:rsidRDefault="00000000">
            <w:pPr>
              <w:spacing w:before="60" w:after="60"/>
            </w:pPr>
            <w:r>
              <w:t>Régionaux</w:t>
            </w:r>
          </w:p>
        </w:tc>
        <w:tc>
          <w:tcPr>
            <w:tcW w:w="2835" w:type="dxa"/>
          </w:tcPr>
          <w:p w:rsidR="00000000" w:rsidRDefault="00000000">
            <w:pPr>
              <w:spacing w:before="60" w:after="60"/>
              <w:jc w:val="center"/>
            </w:pPr>
            <w:r>
              <w:t>250</w:t>
            </w:r>
          </w:p>
        </w:tc>
      </w:tr>
      <w:tr w:rsidR="00000000">
        <w:trPr>
          <w:trHeight w:hRule="exact" w:val="397"/>
          <w:jc w:val="center"/>
        </w:trPr>
        <w:tc>
          <w:tcPr>
            <w:tcW w:w="4198" w:type="dxa"/>
            <w:vAlign w:val="center"/>
          </w:tcPr>
          <w:p w:rsidR="00000000" w:rsidRDefault="00000000">
            <w:pPr>
              <w:spacing w:before="60" w:after="60"/>
              <w:rPr>
                <w:b/>
                <w:bCs/>
              </w:rPr>
            </w:pPr>
            <w:r>
              <w:rPr>
                <w:b/>
                <w:bCs/>
              </w:rPr>
              <w:t>Total</w:t>
            </w:r>
          </w:p>
        </w:tc>
        <w:tc>
          <w:tcPr>
            <w:tcW w:w="2835" w:type="dxa"/>
            <w:vAlign w:val="center"/>
          </w:tcPr>
          <w:p w:rsidR="00000000" w:rsidRDefault="00000000">
            <w:pPr>
              <w:spacing w:before="60" w:after="60"/>
              <w:jc w:val="center"/>
              <w:rPr>
                <w:b/>
                <w:bCs/>
              </w:rPr>
            </w:pPr>
            <w:r>
              <w:rPr>
                <w:b/>
                <w:bCs/>
              </w:rPr>
              <w:t>522</w:t>
            </w:r>
          </w:p>
        </w:tc>
      </w:tr>
    </w:tbl>
    <w:p w:rsidR="00000000" w:rsidRDefault="00000000">
      <w:pPr>
        <w:spacing w:after="240"/>
      </w:pPr>
    </w:p>
    <w:p w:rsidR="00000000" w:rsidRDefault="00000000">
      <w:pPr>
        <w:spacing w:after="240"/>
      </w:pPr>
      <w:r>
        <w:rPr>
          <w:u w:val="single"/>
        </w:rPr>
        <w:t>Note</w:t>
      </w:r>
      <w:r>
        <w:t>: Ont suivi des programmes de substitution 369 détenus affectés à 10 établissements pénitentiaires centraux, un établissement spécial et 31 établissements régionaux; les programmes de substitution visent à remplacer la consommation de drogues; les programmes d’antagonistes visent à bloquer l’effet de la drogue. Ont suivi des programmes d’antagonistes 153 détenus affectés à neuf établissements pénitentiaires centraux et à 10 établissements pénitentiaires régionaux. Les centres d’accueil aux toxicomanes sont des structures qui dépendent de l’Institut de la drogue et de la toxicomanie du Ministère de la santé. Ils n’opèrent pas uniquement au niveau du système pénitentiaire, mais au niveau de toute la société civile. Les programmes de traitement dans ces maisons d’accueil sont suivis en liberté par les détenus.</w:t>
      </w:r>
    </w:p>
    <w:p w:rsidR="00000000" w:rsidRDefault="00000000">
      <w:pPr>
        <w:spacing w:after="240"/>
        <w:jc w:val="center"/>
        <w:rPr>
          <w:b/>
        </w:rPr>
      </w:pPr>
      <w:r>
        <w:rPr>
          <w:b/>
        </w:rPr>
        <w:t>V.  DROIT À RÉPARATION</w:t>
      </w:r>
    </w:p>
    <w:p w:rsidR="00000000" w:rsidRDefault="00000000">
      <w:pPr>
        <w:spacing w:after="240"/>
      </w:pPr>
      <w:r>
        <w:t>230.</w:t>
      </w:r>
      <w:r>
        <w:tab/>
        <w:t>L’article 14 de la Convention contre la torture dispose ce qui suit:</w:t>
      </w:r>
    </w:p>
    <w:p w:rsidR="00000000" w:rsidRDefault="00000000">
      <w:pPr>
        <w:spacing w:after="240"/>
        <w:ind w:left="567" w:firstLine="567"/>
      </w:pPr>
      <w:r>
        <w:t>«Tout État partie garantit, dans son système juridique, à la victime d’un acte de torture, le droit d’obtenir réparation et d’être indemnisée équitablement et de manière adéquate, y compris les moyens nécessaires à sa réadaptation la plus complète possible. En cas de mort de la victime résultant d’un acte de torture, les ayants cause de celle-ci ont droit à indemnisation.».</w:t>
      </w:r>
    </w:p>
    <w:p w:rsidR="00000000" w:rsidRDefault="00000000">
      <w:pPr>
        <w:spacing w:after="240"/>
      </w:pPr>
      <w:r>
        <w:t>231.</w:t>
      </w:r>
      <w:r>
        <w:tab/>
        <w:t xml:space="preserve">Le décret-loi </w:t>
      </w:r>
      <w:r>
        <w:rPr>
          <w:rFonts w:eastAsia="MS Mincho"/>
        </w:rPr>
        <w:t>n</w:t>
      </w:r>
      <w:r>
        <w:rPr>
          <w:rFonts w:eastAsia="MS Mincho"/>
          <w:vertAlign w:val="superscript"/>
        </w:rPr>
        <w:t>o</w:t>
      </w:r>
      <w:r>
        <w:t xml:space="preserve"> 423/91 du 30 octobre continue à être le texte législatif portugais le plus important en la matière. Le paragraphe 1 de l’article 1 se lit comme suit:</w:t>
      </w:r>
    </w:p>
    <w:p w:rsidR="00000000" w:rsidRDefault="00000000">
      <w:pPr>
        <w:spacing w:after="240"/>
        <w:ind w:left="567" w:firstLine="567"/>
      </w:pPr>
      <w:r>
        <w:t>«1.</w:t>
      </w:r>
      <w:r>
        <w:tab/>
        <w:t>Les victimes de lésions corporelles graves résultant directement d’actes intentionnels de violence commis en territoire portugais ou à bord de navires ou d’aéronefs portugais, ainsi que, en cas de décès, les personnes auxquelles la loi civile concède un droit à des aliments peuvent demander le versement d’une indemnité de la part de l’État, encore qu’elles ne se soient pas constituées ou ne puissent se constituer assistantes en procédure pénale, pourvu que:</w:t>
      </w:r>
    </w:p>
    <w:p w:rsidR="00000000" w:rsidRDefault="00000000">
      <w:pPr>
        <w:spacing w:after="240"/>
        <w:ind w:left="567" w:firstLine="567"/>
      </w:pPr>
      <w:r>
        <w:t>a)</w:t>
      </w:r>
      <w:r>
        <w:tab/>
        <w:t>Il résulte de la lésion une incapacité permanente, une incapacité temporaire et absolue pour le travail d’au moins 30 jours, ou le décès;</w:t>
      </w:r>
    </w:p>
    <w:p w:rsidR="00000000" w:rsidRDefault="00000000">
      <w:pPr>
        <w:spacing w:after="240"/>
        <w:ind w:left="567" w:firstLine="567"/>
      </w:pPr>
      <w:r>
        <w:t>b)</w:t>
      </w:r>
      <w:r>
        <w:tab/>
        <w:t>Le préjudice provoque une perturbation considérable du niveau de vie de la victime ou des personnes ayant droit à des aliments;</w:t>
      </w:r>
    </w:p>
    <w:p w:rsidR="00000000" w:rsidRDefault="00000000">
      <w:pPr>
        <w:spacing w:after="240"/>
        <w:ind w:left="567" w:firstLine="567"/>
      </w:pPr>
      <w:r>
        <w:t>c)</w:t>
      </w:r>
      <w:r>
        <w:tab/>
        <w:t>Les victimes n’aient pas obtenu une réparation effective du dommage en exécution de la décision condamnatoire relative à une demande déduite aux termes des articles 71 à 84 du Code de procédure pénale ou, s’il est raisonnable de prévoir que le délinquant et les responsables civils ne répareront pas le dommage, sans qu’il soit possible d’obtenir d’une autre source une réparation équitable et suffisante.».</w:t>
      </w:r>
    </w:p>
    <w:p w:rsidR="00000000" w:rsidRDefault="00000000">
      <w:pPr>
        <w:spacing w:after="240"/>
      </w:pPr>
      <w:r>
        <w:t>232.</w:t>
      </w:r>
      <w:r>
        <w:tab/>
        <w:t>Aux termes de l’article 2, l’indemnisation de la part de l’État est limitée au dommage patrimonial résultant de la lésion et est fixée en termes d’équité, avec comme limite maximale, pour chaque lésé, le montant correspondant au double du taux du ressort de la Cour d’appel, dans les cas de décès ou de lésion corporelle grave.</w:t>
      </w:r>
    </w:p>
    <w:p w:rsidR="00000000" w:rsidRDefault="00000000">
      <w:pPr>
        <w:spacing w:after="240"/>
      </w:pPr>
      <w:r>
        <w:t>233.</w:t>
      </w:r>
      <w:r>
        <w:tab/>
        <w:t>Dans les cas de décès ou de lésion de plusieurs personnes en conséquence du même fait, l’indemnité de l’État a pour limite maximale le montant correspondant à deux fois le montant équivalant au double du taux du ressort de la Cour d’appel pour chacune, à l’intérieur du maximum total de six fois le montant équivalant au taux du ressort de la Cour d’appel.</w:t>
      </w:r>
    </w:p>
    <w:p w:rsidR="00000000" w:rsidRDefault="00000000">
      <w:pPr>
        <w:spacing w:after="240"/>
      </w:pPr>
      <w:r>
        <w:t>234.</w:t>
      </w:r>
      <w:r>
        <w:tab/>
        <w:t xml:space="preserve">Cette nouvelle rédaction a été introduite par le décret-loi </w:t>
      </w:r>
      <w:r>
        <w:rPr>
          <w:rFonts w:eastAsia="MS Mincho"/>
        </w:rPr>
        <w:t>n</w:t>
      </w:r>
      <w:r>
        <w:rPr>
          <w:rFonts w:eastAsia="MS Mincho"/>
          <w:vertAlign w:val="superscript"/>
        </w:rPr>
        <w:t>o</w:t>
      </w:r>
      <w:r>
        <w:t xml:space="preserve"> 62/2004 du 22 mars. Pour le reste, le régime de la réparation et de la protection des victimes de crimes violents demeure inchangé.</w:t>
      </w:r>
    </w:p>
    <w:p w:rsidR="00000000" w:rsidRDefault="00000000">
      <w:pPr>
        <w:spacing w:after="240"/>
        <w:jc w:val="center"/>
        <w:rPr>
          <w:b/>
        </w:rPr>
      </w:pPr>
      <w:r>
        <w:rPr>
          <w:b/>
        </w:rPr>
        <w:t>CONCLUSION</w:t>
      </w:r>
    </w:p>
    <w:p w:rsidR="00000000" w:rsidRDefault="00000000">
      <w:pPr>
        <w:spacing w:after="240"/>
      </w:pPr>
      <w:r>
        <w:t>235.</w:t>
      </w:r>
      <w:r>
        <w:tab/>
        <w:t>Le Portugal, qui s’est toujours félicité d’un dialogue fructueux avec le Comité contre la torture, souhaite, en présentant ce quatrième rapport périodique, le maintenir. Il le fait notamment en présentant des données matérielles car il cherche ainsi à rendre plus concrète l’image du fonctionnement de sa justice, en ce qui concerne la lutte quotidienne contre la torture. Sachant que les réalisations sur le terrain ne sont pas parfaites, le Portugal s’en remet à l’appréciation de ce rapport par le Comité pour les évaluer.</w:t>
      </w:r>
    </w:p>
    <w:p w:rsidR="00000000" w:rsidRDefault="00000000">
      <w:pPr>
        <w:spacing w:after="240"/>
        <w:jc w:val="center"/>
      </w:pPr>
      <w:r>
        <w:br w:type="page"/>
      </w:r>
      <w:r>
        <w:rPr>
          <w:b/>
          <w:bCs/>
        </w:rPr>
        <w:t>LISTE DES ANNEXES</w:t>
      </w:r>
      <w:r>
        <w:rPr>
          <w:rStyle w:val="FootnoteReference"/>
        </w:rPr>
        <w:footnoteReference w:customMarkFollows="1" w:id="6"/>
        <w:t>*</w:t>
      </w:r>
    </w:p>
    <w:p w:rsidR="00000000" w:rsidRDefault="00000000">
      <w:pPr>
        <w:spacing w:after="240"/>
        <w:ind w:left="567" w:hanging="567"/>
      </w:pPr>
      <w:r>
        <w:t>I.</w:t>
      </w:r>
      <w:r>
        <w:tab/>
        <w:t>Plaintes présentées devant l’IGAI de 1998 à 2003 inclus qui ont donné lieu à des procès administratifs, d’investigation, disciplinaires et d’enquête.</w:t>
      </w:r>
    </w:p>
    <w:p w:rsidR="00000000" w:rsidRDefault="00000000">
      <w:pPr>
        <w:spacing w:after="240"/>
        <w:ind w:left="567" w:hanging="567"/>
      </w:pPr>
      <w:r>
        <w:t>II.</w:t>
      </w:r>
      <w:r>
        <w:tab/>
        <w:t>Nombre de crimes commis en service; types de crimes dénoncés; agents prévenus par organe de police – chiffres de 1991 à 2003.</w:t>
      </w:r>
    </w:p>
    <w:p w:rsidR="00000000" w:rsidRDefault="00000000">
      <w:pPr>
        <w:spacing w:after="240"/>
        <w:ind w:left="567" w:hanging="567"/>
        <w:jc w:val="center"/>
      </w:pPr>
      <w:r>
        <w:t>-----</w:t>
      </w:r>
    </w:p>
    <w:sectPr w:rsidR="00000000">
      <w:headerReference w:type="even" r:id="rId10"/>
      <w:headerReference w:type="default" r:id="rId11"/>
      <w:footerReference w:type="first" r:id="rId12"/>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GE.05-42194  (F)    010605    070705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Pour le rapport initial soumis par le Gouvernement portugais, voir le document publié sous la cote CAT/C/9/Add.5; pour le compte rendu de son examen par le Comité, voir les documents publiés sous les cotes CAT/C/SR.166, 167 et 167/Add.1, et </w:t>
      </w:r>
      <w:r>
        <w:rPr>
          <w:i/>
          <w:iCs/>
        </w:rPr>
        <w:t>Documents officiels de l’Assemblée générale, quarante</w:t>
      </w:r>
      <w:r>
        <w:rPr>
          <w:i/>
          <w:iCs/>
        </w:rPr>
        <w:noBreakHyphen/>
        <w:t xml:space="preserve">neuvième session, Supplément </w:t>
      </w:r>
      <w:r>
        <w:rPr>
          <w:rFonts w:eastAsia="MS Mincho"/>
          <w:i/>
          <w:iCs/>
        </w:rPr>
        <w:t>n</w:t>
      </w:r>
      <w:r>
        <w:rPr>
          <w:rFonts w:eastAsia="MS Mincho"/>
          <w:i/>
          <w:iCs/>
          <w:vertAlign w:val="superscript"/>
        </w:rPr>
        <w:t>o</w:t>
      </w:r>
      <w:r>
        <w:rPr>
          <w:i/>
          <w:iCs/>
        </w:rPr>
        <w:t xml:space="preserve"> 44 </w:t>
      </w:r>
      <w:r>
        <w:t xml:space="preserve">(A/49/44), par. 106 à 117. Pour le deuxième rapport périodique, voir le document publié sous la cote CAT/C/44/Add.7; pour le compte rendu de son examen par le Comité, voir les documents publiés sous les cotes CAT/SR.414, 417 et 421, </w:t>
      </w:r>
      <w:r>
        <w:rPr>
          <w:i/>
          <w:iCs/>
        </w:rPr>
        <w:t>Documents officiels de l’Assemblée générale, cinquante</w:t>
      </w:r>
      <w:r>
        <w:rPr>
          <w:i/>
          <w:iCs/>
        </w:rPr>
        <w:noBreakHyphen/>
        <w:t xml:space="preserve">cinquième session, Supplément </w:t>
      </w:r>
      <w:r>
        <w:rPr>
          <w:rFonts w:eastAsia="MS Mincho"/>
          <w:i/>
          <w:iCs/>
        </w:rPr>
        <w:t>n</w:t>
      </w:r>
      <w:r>
        <w:rPr>
          <w:rFonts w:eastAsia="MS Mincho"/>
          <w:i/>
          <w:iCs/>
          <w:vertAlign w:val="superscript"/>
        </w:rPr>
        <w:t>o</w:t>
      </w:r>
      <w:r>
        <w:rPr>
          <w:i/>
          <w:iCs/>
        </w:rPr>
        <w:t xml:space="preserve"> 44 </w:t>
      </w:r>
      <w:r>
        <w:t>(A/49/44), par. 96 à 105.</w:t>
      </w:r>
    </w:p>
  </w:footnote>
  <w:footnote w:id="2">
    <w:p w:rsidR="00000000" w:rsidRDefault="00000000">
      <w:pPr>
        <w:pStyle w:val="FootnoteText"/>
      </w:pPr>
      <w:r>
        <w:rPr>
          <w:rStyle w:val="FootnoteReference"/>
        </w:rPr>
        <w:t>*</w:t>
      </w:r>
      <w:r>
        <w:t xml:space="preserve"> Les annexes statistiques peuvent être consultées au secrétariat du Comité contre la torture.</w:t>
      </w:r>
    </w:p>
  </w:footnote>
  <w:footnote w:id="3">
    <w:p w:rsidR="00000000" w:rsidRDefault="00000000">
      <w:pPr>
        <w:pStyle w:val="FootnoteText"/>
      </w:pPr>
      <w:r>
        <w:rPr>
          <w:rStyle w:val="FootnoteReference"/>
        </w:rPr>
        <w:t>1</w:t>
      </w:r>
      <w:r>
        <w:t xml:space="preserve"> Il y a ici trois types de procès personnels et un type de procès au service ou à un service. Le procès disciplinaire vise à déterminer concrètement l’agent et le fait, les enquêtes visent à découvrir les auteurs d’un fait déterminé, les procès d’investigation cherchent à la fois à découvrir les faits et les agents, sur la base de nouvelles encore non vérifiées. Les </w:t>
      </w:r>
      <w:r>
        <w:rPr>
          <w:i/>
        </w:rPr>
        <w:t xml:space="preserve">sindicâncias </w:t>
      </w:r>
      <w:r>
        <w:t>sont des procès d’investigation adressés à tout un service.</w:t>
      </w:r>
    </w:p>
  </w:footnote>
  <w:footnote w:id="4">
    <w:p w:rsidR="00000000" w:rsidRDefault="00000000">
      <w:pPr>
        <w:pStyle w:val="FootnoteText"/>
      </w:pPr>
      <w:r>
        <w:rPr>
          <w:rStyle w:val="FootnoteReference"/>
        </w:rPr>
        <w:t>2</w:t>
      </w:r>
      <w:r>
        <w:t xml:space="preserve"> Voir «O uso de armas de fogo pelos agentes policias, alguns aspectos» de Maria José R. Leitão Nogueira, magistrat du siège, sous-inspecteur général de l’IGAI, disponible sur </w:t>
      </w:r>
      <w:hyperlink r:id="rId1" w:history="1">
        <w:r>
          <w:rPr>
            <w:rStyle w:val="Hyperlink"/>
          </w:rPr>
          <w:t>http://www.igai.pt</w:t>
        </w:r>
      </w:hyperlink>
      <w:r>
        <w:t xml:space="preserve">. </w:t>
      </w:r>
    </w:p>
  </w:footnote>
  <w:footnote w:id="5">
    <w:p w:rsidR="00000000" w:rsidRDefault="00000000">
      <w:pPr>
        <w:pStyle w:val="FootnoteText"/>
      </w:pPr>
      <w:r>
        <w:rPr>
          <w:rStyle w:val="FootnoteReference"/>
        </w:rPr>
        <w:t>*</w:t>
      </w:r>
      <w:r>
        <w:t xml:space="preserve"> Ces annexes statistiques peuvent être consultées au secrétariat du Comité contre la torture.</w:t>
      </w:r>
    </w:p>
  </w:footnote>
  <w:footnote w:id="6">
    <w:p w:rsidR="00000000" w:rsidRDefault="00000000">
      <w:pPr>
        <w:pStyle w:val="FootnoteText"/>
      </w:pPr>
      <w:r>
        <w:rPr>
          <w:rStyle w:val="FootnoteReference"/>
        </w:rPr>
        <w:t>*</w:t>
      </w:r>
      <w:r>
        <w:t xml:space="preserve"> Ces annexes statistiques peuvent être consultées au secrétariat du Comité contre la 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CAT/C/67/Add.6</w:t>
    </w:r>
  </w:p>
  <w:p w:rsidR="00000000" w:rsidRDefault="00000000">
    <w:pPr>
      <w:pStyle w:val="Header"/>
    </w:pPr>
    <w:r>
      <w:t xml:space="preserve">page </w:t>
    </w:r>
    <w:r>
      <w:fldChar w:fldCharType="begin"/>
    </w:r>
    <w:r>
      <w:instrText xml:space="preserve"> PAGE  \* MERGEFORMAT </w:instrText>
    </w:r>
    <w:r>
      <w:fldChar w:fldCharType="separate"/>
    </w:r>
    <w:r>
      <w:rPr>
        <w:noProof/>
      </w:rPr>
      <w:t>70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CAT/C/67/Add.6</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16A631F"/>
    <w:multiLevelType w:val="hybridMultilevel"/>
    <w:tmpl w:val="112ABD16"/>
    <w:lvl w:ilvl="0" w:tplc="378E9CB4">
      <w:start w:val="3"/>
      <w:numFmt w:val="decimal"/>
      <w:lvlText w:val="%1."/>
      <w:lvlJc w:val="left"/>
      <w:pPr>
        <w:tabs>
          <w:tab w:val="num" w:pos="2190"/>
        </w:tabs>
        <w:ind w:left="2190" w:hanging="1290"/>
      </w:pPr>
      <w:rPr>
        <w:rFonts w:hint="default"/>
      </w:rPr>
    </w:lvl>
    <w:lvl w:ilvl="1" w:tplc="08160019" w:tentative="1">
      <w:start w:val="1"/>
      <w:numFmt w:val="lowerLetter"/>
      <w:lvlText w:val="%2."/>
      <w:lvlJc w:val="left"/>
      <w:pPr>
        <w:tabs>
          <w:tab w:val="num" w:pos="1980"/>
        </w:tabs>
        <w:ind w:left="1980" w:hanging="360"/>
      </w:pPr>
    </w:lvl>
    <w:lvl w:ilvl="2" w:tplc="0816001B" w:tentative="1">
      <w:start w:val="1"/>
      <w:numFmt w:val="lowerRoman"/>
      <w:lvlText w:val="%3."/>
      <w:lvlJc w:val="right"/>
      <w:pPr>
        <w:tabs>
          <w:tab w:val="num" w:pos="2700"/>
        </w:tabs>
        <w:ind w:left="2700" w:hanging="180"/>
      </w:pPr>
    </w:lvl>
    <w:lvl w:ilvl="3" w:tplc="0816000F" w:tentative="1">
      <w:start w:val="1"/>
      <w:numFmt w:val="decimal"/>
      <w:lvlText w:val="%4."/>
      <w:lvlJc w:val="left"/>
      <w:pPr>
        <w:tabs>
          <w:tab w:val="num" w:pos="3420"/>
        </w:tabs>
        <w:ind w:left="3420" w:hanging="360"/>
      </w:pPr>
    </w:lvl>
    <w:lvl w:ilvl="4" w:tplc="08160019" w:tentative="1">
      <w:start w:val="1"/>
      <w:numFmt w:val="lowerLetter"/>
      <w:lvlText w:val="%5."/>
      <w:lvlJc w:val="left"/>
      <w:pPr>
        <w:tabs>
          <w:tab w:val="num" w:pos="4140"/>
        </w:tabs>
        <w:ind w:left="4140" w:hanging="360"/>
      </w:pPr>
    </w:lvl>
    <w:lvl w:ilvl="5" w:tplc="0816001B" w:tentative="1">
      <w:start w:val="1"/>
      <w:numFmt w:val="lowerRoman"/>
      <w:lvlText w:val="%6."/>
      <w:lvlJc w:val="right"/>
      <w:pPr>
        <w:tabs>
          <w:tab w:val="num" w:pos="4860"/>
        </w:tabs>
        <w:ind w:left="4860" w:hanging="180"/>
      </w:pPr>
    </w:lvl>
    <w:lvl w:ilvl="6" w:tplc="0816000F" w:tentative="1">
      <w:start w:val="1"/>
      <w:numFmt w:val="decimal"/>
      <w:lvlText w:val="%7."/>
      <w:lvlJc w:val="left"/>
      <w:pPr>
        <w:tabs>
          <w:tab w:val="num" w:pos="5580"/>
        </w:tabs>
        <w:ind w:left="5580" w:hanging="360"/>
      </w:pPr>
    </w:lvl>
    <w:lvl w:ilvl="7" w:tplc="08160019" w:tentative="1">
      <w:start w:val="1"/>
      <w:numFmt w:val="lowerLetter"/>
      <w:lvlText w:val="%8."/>
      <w:lvlJc w:val="left"/>
      <w:pPr>
        <w:tabs>
          <w:tab w:val="num" w:pos="6300"/>
        </w:tabs>
        <w:ind w:left="6300" w:hanging="360"/>
      </w:pPr>
    </w:lvl>
    <w:lvl w:ilvl="8" w:tplc="0816001B" w:tentative="1">
      <w:start w:val="1"/>
      <w:numFmt w:val="lowerRoman"/>
      <w:lvlText w:val="%9."/>
      <w:lvlJc w:val="right"/>
      <w:pPr>
        <w:tabs>
          <w:tab w:val="num" w:pos="7020"/>
        </w:tabs>
        <w:ind w:left="7020" w:hanging="180"/>
      </w:pPr>
    </w:lvl>
  </w:abstractNum>
  <w:abstractNum w:abstractNumId="4">
    <w:nsid w:val="712E4E71"/>
    <w:multiLevelType w:val="hybridMultilevel"/>
    <w:tmpl w:val="F5FC78B6"/>
    <w:lvl w:ilvl="0" w:tplc="0136DFE4">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3"/>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gai.p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igai.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71</Pages>
  <Words>25025</Words>
  <Characters>142647</Characters>
  <Application>Microsoft Office Word</Application>
  <DocSecurity>4</DocSecurity>
  <Lines>1188</Lines>
  <Paragraphs>285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175180</CharactersWithSpaces>
  <SharedDoc>false</SharedDoc>
  <HLinks>
    <vt:vector size="12" baseType="variant">
      <vt:variant>
        <vt:i4>7929902</vt:i4>
      </vt:variant>
      <vt:variant>
        <vt:i4>3</vt:i4>
      </vt:variant>
      <vt:variant>
        <vt:i4>0</vt:i4>
      </vt:variant>
      <vt:variant>
        <vt:i4>5</vt:i4>
      </vt:variant>
      <vt:variant>
        <vt:lpwstr>http://www.igai.pt/</vt:lpwstr>
      </vt:variant>
      <vt:variant>
        <vt:lpwstr/>
      </vt:variant>
      <vt:variant>
        <vt:i4>7929902</vt:i4>
      </vt:variant>
      <vt:variant>
        <vt:i4>0</vt:i4>
      </vt:variant>
      <vt:variant>
        <vt:i4>0</vt:i4>
      </vt:variant>
      <vt:variant>
        <vt:i4>5</vt:i4>
      </vt:variant>
      <vt:variant>
        <vt:lpwstr>http://www.igai.pt/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2005-07-07T12:17:00Z</cp:lastPrinted>
  <dcterms:created xsi:type="dcterms:W3CDTF">2005-07-07T12:20:00Z</dcterms:created>
  <dcterms:modified xsi:type="dcterms:W3CDTF">2005-07-07T12:20:00Z</dcterms:modified>
</cp:coreProperties>
</file>