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37B089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21D8C19" w14:textId="77777777" w:rsidR="002D5AAC" w:rsidRDefault="002D5AAC" w:rsidP="00BC3629"/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2949C55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A3E4F75" w14:textId="4CC50059" w:rsidR="002D5AAC" w:rsidRDefault="00926278" w:rsidP="00926278">
            <w:pPr>
              <w:jc w:val="right"/>
            </w:pPr>
            <w:r w:rsidRPr="00926278">
              <w:rPr>
                <w:sz w:val="40"/>
              </w:rPr>
              <w:t>CCPR</w:t>
            </w:r>
            <w:r>
              <w:t>/C/132/2/Add.3</w:t>
            </w:r>
          </w:p>
        </w:tc>
      </w:tr>
      <w:tr w:rsidR="002D5AAC" w:rsidRPr="00DC03D9" w14:paraId="7D981EC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05F8A1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F200395" wp14:editId="1A3640B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1FF58E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346C11F" w14:textId="77777777" w:rsidR="002D5AAC" w:rsidRPr="00926278" w:rsidRDefault="00926278" w:rsidP="00BC3629">
            <w:pPr>
              <w:spacing w:before="240"/>
              <w:rPr>
                <w:lang w:val="en-US"/>
              </w:rPr>
            </w:pPr>
            <w:r w:rsidRPr="00926278">
              <w:rPr>
                <w:lang w:val="en-US"/>
              </w:rPr>
              <w:t>Distr.: General</w:t>
            </w:r>
          </w:p>
          <w:p w14:paraId="5567C018" w14:textId="77777777" w:rsidR="00926278" w:rsidRPr="00926278" w:rsidRDefault="00926278" w:rsidP="00926278">
            <w:pPr>
              <w:spacing w:line="240" w:lineRule="exact"/>
              <w:rPr>
                <w:lang w:val="en-US"/>
              </w:rPr>
            </w:pPr>
            <w:r w:rsidRPr="00926278">
              <w:rPr>
                <w:lang w:val="en-US"/>
              </w:rPr>
              <w:t>6 September 2021</w:t>
            </w:r>
          </w:p>
          <w:p w14:paraId="29F25919" w14:textId="77777777" w:rsidR="00926278" w:rsidRPr="00926278" w:rsidRDefault="00926278" w:rsidP="00926278">
            <w:pPr>
              <w:spacing w:line="240" w:lineRule="exact"/>
              <w:rPr>
                <w:lang w:val="en-US"/>
              </w:rPr>
            </w:pPr>
            <w:r w:rsidRPr="00926278">
              <w:rPr>
                <w:lang w:val="en-US"/>
              </w:rPr>
              <w:t>Russian</w:t>
            </w:r>
          </w:p>
          <w:p w14:paraId="271C23DA" w14:textId="24495C02" w:rsidR="00926278" w:rsidRPr="00926278" w:rsidRDefault="00926278" w:rsidP="00926278">
            <w:pPr>
              <w:spacing w:line="240" w:lineRule="exact"/>
              <w:rPr>
                <w:lang w:val="en-US"/>
              </w:rPr>
            </w:pPr>
            <w:r w:rsidRPr="00926278">
              <w:rPr>
                <w:lang w:val="en-US"/>
              </w:rPr>
              <w:t>Original: English</w:t>
            </w:r>
          </w:p>
        </w:tc>
      </w:tr>
    </w:tbl>
    <w:p w14:paraId="3FCB5503" w14:textId="77777777" w:rsidR="00926278" w:rsidRPr="00926278" w:rsidRDefault="00926278" w:rsidP="00926278">
      <w:pPr>
        <w:spacing w:before="120"/>
        <w:rPr>
          <w:rFonts w:eastAsiaTheme="minorEastAsia" w:cs="Times New Roman"/>
          <w:b/>
          <w:bCs/>
          <w:sz w:val="24"/>
          <w:szCs w:val="24"/>
        </w:rPr>
      </w:pPr>
      <w:r w:rsidRPr="00926278">
        <w:rPr>
          <w:b/>
          <w:bCs/>
          <w:sz w:val="24"/>
          <w:szCs w:val="24"/>
        </w:rPr>
        <w:t>Комитет по правам человека</w:t>
      </w:r>
    </w:p>
    <w:p w14:paraId="7689265C" w14:textId="4E2A0DD9" w:rsidR="00926278" w:rsidRDefault="00926278" w:rsidP="00926278">
      <w:pPr>
        <w:pStyle w:val="HChG"/>
        <w:rPr>
          <w:rFonts w:eastAsiaTheme="minorEastAsia"/>
        </w:rPr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 xml:space="preserve">заключительными замечаниями Комитета </w:t>
      </w:r>
      <w:r>
        <w:rPr>
          <w:bCs/>
        </w:rPr>
        <w:br/>
        <w:t>по правам человека</w:t>
      </w:r>
      <w:bookmarkStart w:id="0" w:name="_Toc506807534"/>
      <w:bookmarkEnd w:id="0"/>
    </w:p>
    <w:p w14:paraId="06918233" w14:textId="77777777" w:rsidR="00926278" w:rsidRDefault="00926278" w:rsidP="0092627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Добавление</w:t>
      </w:r>
    </w:p>
    <w:p w14:paraId="173C8BDD" w14:textId="1A27F05D" w:rsidR="00926278" w:rsidRDefault="00926278" w:rsidP="00926278">
      <w:pPr>
        <w:pStyle w:val="HChG"/>
        <w:rPr>
          <w:rFonts w:eastAsiaTheme="minorEastAsia"/>
          <w:b w:val="0"/>
          <w:bCs/>
          <w:sz w:val="20"/>
          <w:lang w:eastAsia="zh-CN"/>
        </w:rPr>
      </w:pPr>
      <w:r>
        <w:tab/>
      </w:r>
      <w:r>
        <w:tab/>
      </w:r>
      <w:r>
        <w:rPr>
          <w:bCs/>
        </w:rPr>
        <w:t>Оценка информации о последующей деятельности в</w:t>
      </w:r>
      <w:r>
        <w:rPr>
          <w:bCs/>
          <w:lang w:val="en-US"/>
        </w:rPr>
        <w:t> </w:t>
      </w:r>
      <w:r>
        <w:rPr>
          <w:bCs/>
        </w:rPr>
        <w:t>связи с заключительными замечаниями по Новой Зеландии</w:t>
      </w:r>
      <w:r>
        <w:rPr>
          <w:rStyle w:val="aa"/>
          <w:rFonts w:eastAsiaTheme="minorEastAsia"/>
          <w:b w:val="0"/>
          <w:bCs/>
          <w:sz w:val="20"/>
          <w:lang w:eastAsia="zh-CN"/>
        </w:rPr>
        <w:footnoteReference w:customMarkFollows="1" w:id="1"/>
        <w:t>*</w:t>
      </w:r>
    </w:p>
    <w:tbl>
      <w:tblPr>
        <w:tblStyle w:val="ac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828"/>
      </w:tblGrid>
      <w:tr w:rsidR="00926278" w14:paraId="580D760E" w14:textId="77777777" w:rsidTr="00DC03D9">
        <w:tc>
          <w:tcPr>
            <w:tcW w:w="2977" w:type="dxa"/>
          </w:tcPr>
          <w:p w14:paraId="0F6B3CB1" w14:textId="7EEDB012" w:rsidR="00926278" w:rsidRDefault="00926278" w:rsidP="00624FE1">
            <w:pPr>
              <w:pStyle w:val="SingleTxtG"/>
              <w:ind w:left="35" w:right="0"/>
              <w:jc w:val="left"/>
              <w:rPr>
                <w:i/>
              </w:rPr>
            </w:pPr>
            <w:r>
              <w:rPr>
                <w:i/>
                <w:iCs/>
              </w:rPr>
              <w:t xml:space="preserve">Заключительные замечания </w:t>
            </w:r>
            <w:r>
              <w:rPr>
                <w:i/>
                <w:iCs/>
              </w:rPr>
              <w:br/>
              <w:t>(116-я сессия):</w:t>
            </w:r>
          </w:p>
        </w:tc>
        <w:tc>
          <w:tcPr>
            <w:tcW w:w="3828" w:type="dxa"/>
            <w:vAlign w:val="bottom"/>
          </w:tcPr>
          <w:p w14:paraId="200417B0" w14:textId="2AAACD70" w:rsidR="00926278" w:rsidRDefault="005868A0" w:rsidP="00926278">
            <w:pPr>
              <w:pStyle w:val="SingleTxtG"/>
              <w:ind w:left="57" w:right="0"/>
              <w:jc w:val="left"/>
            </w:pPr>
            <w:hyperlink r:id="rId8" w:history="1">
              <w:r w:rsidR="00926278" w:rsidRPr="000E741C">
                <w:rPr>
                  <w:rStyle w:val="af1"/>
                </w:rPr>
                <w:t>CCPR/C/NZL/CO/6</w:t>
              </w:r>
            </w:hyperlink>
            <w:r w:rsidR="00926278">
              <w:t>, 24 марта 2016 года</w:t>
            </w:r>
          </w:p>
        </w:tc>
      </w:tr>
      <w:tr w:rsidR="00926278" w14:paraId="5679285A" w14:textId="77777777" w:rsidTr="00DC03D9">
        <w:tc>
          <w:tcPr>
            <w:tcW w:w="2977" w:type="dxa"/>
          </w:tcPr>
          <w:p w14:paraId="1776DCFE" w14:textId="7D8DA60F" w:rsidR="00926278" w:rsidRDefault="00926278" w:rsidP="00624FE1">
            <w:pPr>
              <w:pStyle w:val="SingleTxtG"/>
              <w:ind w:left="35" w:right="0"/>
              <w:jc w:val="left"/>
              <w:rPr>
                <w:i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828" w:type="dxa"/>
            <w:vAlign w:val="bottom"/>
          </w:tcPr>
          <w:p w14:paraId="4608B0F3" w14:textId="0ACBB4F9" w:rsidR="00926278" w:rsidRDefault="00926278" w:rsidP="00926278">
            <w:pPr>
              <w:pStyle w:val="SingleTxtG"/>
              <w:ind w:left="57" w:right="0"/>
              <w:jc w:val="left"/>
            </w:pPr>
            <w:r>
              <w:t>30, 32 и 44</w:t>
            </w:r>
          </w:p>
        </w:tc>
      </w:tr>
      <w:tr w:rsidR="00926278" w14:paraId="0E2F805B" w14:textId="77777777" w:rsidTr="00DC03D9">
        <w:tc>
          <w:tcPr>
            <w:tcW w:w="2977" w:type="dxa"/>
          </w:tcPr>
          <w:p w14:paraId="010DE8E1" w14:textId="4B015473" w:rsidR="00926278" w:rsidRDefault="00926278" w:rsidP="00624FE1">
            <w:pPr>
              <w:pStyle w:val="SingleTxtG"/>
              <w:ind w:left="35" w:right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3828" w:type="dxa"/>
            <w:vAlign w:val="bottom"/>
          </w:tcPr>
          <w:p w14:paraId="0DABAD99" w14:textId="7F88AAFB" w:rsidR="00926278" w:rsidRDefault="005868A0" w:rsidP="00926278">
            <w:pPr>
              <w:pStyle w:val="SingleTxtG"/>
              <w:ind w:left="57" w:right="0"/>
              <w:jc w:val="left"/>
            </w:pPr>
            <w:hyperlink r:id="rId9" w:history="1">
              <w:r w:rsidR="00926278" w:rsidRPr="000E741C">
                <w:rPr>
                  <w:rStyle w:val="af1"/>
                </w:rPr>
                <w:t>CCPR/C/NZL/CO/6/Add.1</w:t>
              </w:r>
            </w:hyperlink>
            <w:r w:rsidR="00926278">
              <w:t xml:space="preserve">, 30 августа </w:t>
            </w:r>
            <w:r w:rsidR="00926278">
              <w:br/>
              <w:t>2017 года</w:t>
            </w:r>
          </w:p>
        </w:tc>
      </w:tr>
      <w:tr w:rsidR="00926278" w14:paraId="33A17D19" w14:textId="77777777" w:rsidTr="00DC03D9">
        <w:tc>
          <w:tcPr>
            <w:tcW w:w="2977" w:type="dxa"/>
          </w:tcPr>
          <w:p w14:paraId="46D52BEB" w14:textId="02C4D9A0" w:rsidR="00926278" w:rsidRDefault="00926278" w:rsidP="00624FE1">
            <w:pPr>
              <w:pStyle w:val="SingleTxtG"/>
              <w:ind w:left="35" w:right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828" w:type="dxa"/>
            <w:vAlign w:val="bottom"/>
          </w:tcPr>
          <w:p w14:paraId="7B02C08B" w14:textId="3C6BFDB6" w:rsidR="00926278" w:rsidRDefault="00926278" w:rsidP="00926278">
            <w:pPr>
              <w:pStyle w:val="SingleTxtG"/>
              <w:ind w:left="57" w:right="0"/>
              <w:jc w:val="left"/>
            </w:pPr>
            <w:r>
              <w:t>требуется дополнительная информация по</w:t>
            </w:r>
            <w:r>
              <w:rPr>
                <w:lang w:val="en-US"/>
              </w:rPr>
              <w:t> </w:t>
            </w:r>
            <w:r>
              <w:t>пунктам 30[</w:t>
            </w:r>
            <w:r>
              <w:rPr>
                <w:b/>
                <w:bCs/>
              </w:rPr>
              <w:t>A</w:t>
            </w:r>
            <w:r>
              <w:t>], 32[</w:t>
            </w:r>
            <w:r>
              <w:rPr>
                <w:b/>
                <w:bCs/>
              </w:rPr>
              <w:t>A</w:t>
            </w:r>
            <w:r>
              <w:t>][</w:t>
            </w:r>
            <w:r>
              <w:rPr>
                <w:b/>
                <w:bCs/>
              </w:rPr>
              <w:t>B</w:t>
            </w:r>
            <w:r>
              <w:t>] и 44[</w:t>
            </w:r>
            <w:r>
              <w:rPr>
                <w:b/>
                <w:bCs/>
              </w:rPr>
              <w:t>C</w:t>
            </w:r>
            <w:r>
              <w:t>]</w:t>
            </w:r>
          </w:p>
        </w:tc>
      </w:tr>
    </w:tbl>
    <w:p w14:paraId="289A2D6C" w14:textId="77777777" w:rsidR="00926278" w:rsidRDefault="00926278" w:rsidP="00926278">
      <w:pPr>
        <w:pStyle w:val="H23G"/>
        <w:rPr>
          <w:rFonts w:eastAsiaTheme="minorEastAsia"/>
        </w:rPr>
      </w:pPr>
      <w:r>
        <w:tab/>
      </w:r>
      <w:r>
        <w:tab/>
        <w:t xml:space="preserve">Пункт 30: </w:t>
      </w:r>
      <w:r>
        <w:rPr>
          <w:bCs/>
        </w:rPr>
        <w:t>Бытовое насилие и насилие на гендерной почве</w:t>
      </w:r>
    </w:p>
    <w:p w14:paraId="3DCD4155" w14:textId="12F11176" w:rsidR="00926278" w:rsidRDefault="00926278" w:rsidP="00926278">
      <w:pPr>
        <w:pStyle w:val="SingleTxtG"/>
        <w:tabs>
          <w:tab w:val="left" w:pos="708"/>
        </w:tabs>
        <w:rPr>
          <w:rFonts w:eastAsia="SimSun"/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активизировать усилия по борьбе с бытовым насилием и всеми формами насилия на гендерной почве, включая сексуальное насилие, особенно в отношении женщин и девочек из числа маори и выходцев с тихоокеанских островов, а также женщин и девочек </w:t>
      </w:r>
      <w:r w:rsidR="00852A31" w:rsidRPr="00852A31">
        <w:rPr>
          <w:b/>
          <w:bCs/>
        </w:rPr>
        <w:t>—</w:t>
      </w:r>
      <w:r>
        <w:rPr>
          <w:b/>
          <w:bCs/>
        </w:rPr>
        <w:t xml:space="preserve"> инвалидов.</w:t>
      </w:r>
      <w:r>
        <w:t xml:space="preserve"> </w:t>
      </w:r>
      <w:r>
        <w:rPr>
          <w:b/>
          <w:bCs/>
        </w:rPr>
        <w:t>В</w:t>
      </w:r>
      <w:r w:rsidR="00852A31">
        <w:rPr>
          <w:b/>
          <w:bCs/>
          <w:lang w:val="en-US"/>
        </w:rPr>
        <w:t> </w:t>
      </w:r>
      <w:r>
        <w:rPr>
          <w:b/>
          <w:bCs/>
        </w:rPr>
        <w:t>частности, государству-участнику надлежит обеспечить:</w:t>
      </w:r>
    </w:p>
    <w:p w14:paraId="06501D18" w14:textId="77777777" w:rsidR="00926278" w:rsidRDefault="00926278" w:rsidP="00926278">
      <w:pPr>
        <w:pStyle w:val="SingleTxtG"/>
        <w:rPr>
          <w:b/>
          <w:bCs/>
        </w:rPr>
      </w:pPr>
      <w:r>
        <w:tab/>
      </w:r>
      <w:r w:rsidRPr="00926278">
        <w:rPr>
          <w:b/>
          <w:bCs/>
        </w:rPr>
        <w:t>a)</w:t>
      </w:r>
      <w:r w:rsidRPr="00926278">
        <w:rPr>
          <w:b/>
          <w:bCs/>
        </w:rPr>
        <w:tab/>
      </w:r>
      <w:r>
        <w:rPr>
          <w:b/>
          <w:bCs/>
        </w:rPr>
        <w:t>эффективное применение на всей территории страны уголовного законодательства, касающегося бытового насилия и насилия на гендерной почве, в том числе сексуального насилия;</w:t>
      </w:r>
    </w:p>
    <w:p w14:paraId="4A78D292" w14:textId="77777777" w:rsidR="00926278" w:rsidRDefault="00926278" w:rsidP="00926278">
      <w:pPr>
        <w:pStyle w:val="SingleTxtG"/>
        <w:rPr>
          <w:b/>
          <w:bCs/>
        </w:rPr>
      </w:pPr>
      <w:r>
        <w:tab/>
      </w:r>
      <w:r w:rsidRPr="00926278">
        <w:rPr>
          <w:b/>
          <w:bCs/>
        </w:rPr>
        <w:t>b)</w:t>
      </w:r>
      <w:r w:rsidRPr="00926278">
        <w:rPr>
          <w:b/>
          <w:bCs/>
        </w:rPr>
        <w:tab/>
      </w:r>
      <w:r>
        <w:rPr>
          <w:b/>
          <w:bCs/>
        </w:rPr>
        <w:t>включение в Национальный план действий в области прав человека программ по борьбе с бытовым насилием и насилием на гендерной почве, в том числе сексуальным насилием;</w:t>
      </w:r>
    </w:p>
    <w:p w14:paraId="1833155D" w14:textId="77777777" w:rsidR="00926278" w:rsidRDefault="00926278" w:rsidP="00926278">
      <w:pPr>
        <w:pStyle w:val="SingleTxtG"/>
        <w:rPr>
          <w:b/>
          <w:bCs/>
        </w:rPr>
      </w:pPr>
      <w:r>
        <w:tab/>
      </w:r>
      <w:r w:rsidRPr="00926278">
        <w:rPr>
          <w:b/>
          <w:bCs/>
          <w:lang w:val="en-US"/>
        </w:rPr>
        <w:t>c</w:t>
      </w:r>
      <w:r w:rsidRPr="00926278">
        <w:rPr>
          <w:b/>
          <w:bCs/>
        </w:rPr>
        <w:t>)</w:t>
      </w:r>
      <w:r w:rsidRPr="00926278">
        <w:rPr>
          <w:b/>
          <w:bCs/>
        </w:rPr>
        <w:tab/>
      </w:r>
      <w:bookmarkStart w:id="1" w:name="OLE_LINK1"/>
      <w:bookmarkStart w:id="2" w:name="OLE_LINK2"/>
      <w:bookmarkEnd w:id="1"/>
      <w:bookmarkEnd w:id="2"/>
      <w:r>
        <w:rPr>
          <w:b/>
          <w:bCs/>
        </w:rPr>
        <w:t xml:space="preserve">внедрение эффективных процедур мониторинга и оценки с использованием четко определенных показателей и регулярным сбором информации, с тем чтобы оценить масштабы проблемы бытового и гендерного насилия и заложить основу для разработки в будущем законодательных инициатив и политических решений по этому </w:t>
      </w:r>
      <w:proofErr w:type="gramStart"/>
      <w:r>
        <w:rPr>
          <w:b/>
          <w:bCs/>
        </w:rPr>
        <w:t>вопросу;</w:t>
      </w:r>
      <w:proofErr w:type="gramEnd"/>
    </w:p>
    <w:p w14:paraId="7AC760F5" w14:textId="77777777" w:rsidR="00926278" w:rsidRDefault="00926278" w:rsidP="00926278">
      <w:pPr>
        <w:pStyle w:val="SingleTxtG"/>
        <w:rPr>
          <w:b/>
          <w:bCs/>
        </w:rPr>
      </w:pPr>
      <w:r w:rsidRPr="00926278">
        <w:rPr>
          <w:b/>
          <w:bCs/>
        </w:rPr>
        <w:lastRenderedPageBreak/>
        <w:tab/>
        <w:t>d)</w:t>
      </w:r>
      <w:r w:rsidRPr="00926278">
        <w:rPr>
          <w:b/>
          <w:bCs/>
        </w:rPr>
        <w:tab/>
      </w:r>
      <w:r>
        <w:rPr>
          <w:b/>
          <w:bCs/>
        </w:rPr>
        <w:t>развитие и внедрение на всей территории страны программ реабилитации потерпевших и предоставления им возмещения, предусматривающих в том числе оказание специализированной медицинской, психологической и юридической помощи;</w:t>
      </w:r>
    </w:p>
    <w:p w14:paraId="4DDF7E7B" w14:textId="77777777" w:rsidR="00926278" w:rsidRDefault="00926278" w:rsidP="00926278">
      <w:pPr>
        <w:pStyle w:val="SingleTxtG"/>
        <w:rPr>
          <w:b/>
          <w:bCs/>
        </w:rPr>
      </w:pPr>
      <w:r w:rsidRPr="00926278">
        <w:rPr>
          <w:b/>
          <w:bCs/>
        </w:rPr>
        <w:tab/>
        <w:t>e)</w:t>
      </w:r>
      <w:r w:rsidRPr="00926278">
        <w:rPr>
          <w:b/>
          <w:bCs/>
        </w:rPr>
        <w:tab/>
      </w:r>
      <w:r>
        <w:rPr>
          <w:b/>
          <w:bCs/>
        </w:rPr>
        <w:t>эффективное использование и мониторинг существующей системы урегулирования семейных споров, в первую очередь с целью обеспечения защиты тех, кто подвергается насилию в семье, особенно женщин и детей.</w:t>
      </w:r>
    </w:p>
    <w:p w14:paraId="120408AE" w14:textId="77777777" w:rsidR="00926278" w:rsidRPr="00926278" w:rsidRDefault="00926278" w:rsidP="00926278">
      <w:pPr>
        <w:pStyle w:val="H23G"/>
        <w:rPr>
          <w:bCs/>
        </w:rPr>
      </w:pPr>
      <w:r w:rsidRPr="00926278">
        <w:rPr>
          <w:bCs/>
        </w:rPr>
        <w:tab/>
      </w:r>
      <w:r w:rsidRPr="00926278">
        <w:rPr>
          <w:bCs/>
        </w:rPr>
        <w:tab/>
        <w:t>Резюме ответа государства-участника</w:t>
      </w:r>
    </w:p>
    <w:p w14:paraId="3FCDC670" w14:textId="68713A79" w:rsidR="00926278" w:rsidRDefault="00926278" w:rsidP="00926278">
      <w:pPr>
        <w:pStyle w:val="SingleTxtG"/>
        <w:tabs>
          <w:tab w:val="left" w:pos="708"/>
        </w:tabs>
        <w:ind w:firstLine="567"/>
        <w:rPr>
          <w:rFonts w:eastAsia="SimSun"/>
        </w:rPr>
      </w:pPr>
      <w:r>
        <w:t>a)</w:t>
      </w:r>
      <w:r>
        <w:tab/>
        <w:t xml:space="preserve">С момента создания в 2014 году Министерской группы по вопросам насилия в семье и сексуального насилия правительство создает систему, интегрированную во все его компоненты и располагающую квалифицированным персоналом, способным распознавать риски и потребности и реагировать на них. Кроме того, государство-участник: i) создало Национальную службу безопасности жилья; </w:t>
      </w:r>
      <w:proofErr w:type="spellStart"/>
      <w:r>
        <w:t>ii</w:t>
      </w:r>
      <w:proofErr w:type="spellEnd"/>
      <w:r>
        <w:t xml:space="preserve">) разработало систему оценки рисков и управления ими; </w:t>
      </w:r>
      <w:proofErr w:type="spellStart"/>
      <w:r>
        <w:t>iii</w:t>
      </w:r>
      <w:proofErr w:type="spellEnd"/>
      <w:r>
        <w:t xml:space="preserve">) разработало Рамочную концепцию кадрового потенциала; </w:t>
      </w:r>
      <w:proofErr w:type="spellStart"/>
      <w:r>
        <w:t>iv</w:t>
      </w:r>
      <w:proofErr w:type="spellEnd"/>
      <w:r>
        <w:t>) расширило службу активного посещения семей «Семейный старт» для семей с детьми из групп высокого риска; v)</w:t>
      </w:r>
      <w:r>
        <w:rPr>
          <w:lang w:val="en-US"/>
        </w:rPr>
        <w:t> </w:t>
      </w:r>
      <w:r>
        <w:t xml:space="preserve">запустило в конце 2016 года кампанию по информированию общественности «Признаки опасности» в рамках кампании «Это не нормально»; </w:t>
      </w:r>
      <w:proofErr w:type="spellStart"/>
      <w:r>
        <w:t>vi</w:t>
      </w:r>
      <w:proofErr w:type="spellEnd"/>
      <w:r>
        <w:t xml:space="preserve">) распространило программу «E </w:t>
      </w:r>
      <w:proofErr w:type="spellStart"/>
      <w:r>
        <w:t>Tū</w:t>
      </w:r>
      <w:proofErr w:type="spellEnd"/>
      <w:r>
        <w:t xml:space="preserve"> </w:t>
      </w:r>
      <w:proofErr w:type="spellStart"/>
      <w:r>
        <w:t>Whānau</w:t>
      </w:r>
      <w:proofErr w:type="spellEnd"/>
      <w:r>
        <w:t xml:space="preserve">» (программу профилактики насилия на уровне общин) на труднодоступные общины, особенно те, в которых действуют банды, а также на общины беженцев и мигрантов; </w:t>
      </w:r>
      <w:proofErr w:type="spellStart"/>
      <w:r>
        <w:t>vii</w:t>
      </w:r>
      <w:proofErr w:type="spellEnd"/>
      <w:r>
        <w:t xml:space="preserve">) расширило пилотный проект по предоставлению информации об освобождении под залог из восьми вместо двух источников, чтобы дать судьям, принимающим решения об освобождении под залог, больше информации о предыдущей истории семейного насилия подсудимого и тем самым помочь поддержать обоснованные решения об освобождении под залог; и </w:t>
      </w:r>
      <w:proofErr w:type="spellStart"/>
      <w:r>
        <w:t>viii</w:t>
      </w:r>
      <w:proofErr w:type="spellEnd"/>
      <w:r>
        <w:t>) выделило 503</w:t>
      </w:r>
      <w:r>
        <w:rPr>
          <w:lang w:val="en-US"/>
        </w:rPr>
        <w:t> </w:t>
      </w:r>
      <w:r>
        <w:t>млн новозеландских долларов на пакет мер «Более безопасные сообщества» для существенного увеличения штата и ресурсов полиции по всей стране. Министерская группа также курирует работу по предотвращению насилия в семье и сексуального насилия, направленную на предупреждение насилия до его возникновения и недопущение его повторения.</w:t>
      </w:r>
    </w:p>
    <w:p w14:paraId="54429E9D" w14:textId="77777777" w:rsidR="00926278" w:rsidRDefault="00926278" w:rsidP="00926278">
      <w:pPr>
        <w:pStyle w:val="SingleTxtG"/>
        <w:tabs>
          <w:tab w:val="left" w:pos="708"/>
        </w:tabs>
        <w:ind w:firstLine="567"/>
      </w:pPr>
      <w:r>
        <w:t xml:space="preserve">Министр юстиции 15 марта 2017 года внес в парламент законопроект о насилии в семье и </w:t>
      </w:r>
      <w:proofErr w:type="spellStart"/>
      <w:r>
        <w:t>ванау</w:t>
      </w:r>
      <w:proofErr w:type="spellEnd"/>
      <w:r>
        <w:t xml:space="preserve"> (расширенной семье), направленный на усиление ответных мер сектора правосудия на насилие в семье и поддержку продолжающегося развития комплексной системы. Законопроект включает изменения, которые расширят доступ к оценкам рисков и потребностей и услугам; позволят более точно регистрировать правонарушения, связанные с домашним насилием, в системе уголовного правосудия; дадут возможность ввести кодексы практики и включить новые положения об обмене информацией. Он также вводит три новых преступления: несмертельное удушение, принуждение к вступлению в брак и нападение на члена семьи.</w:t>
      </w:r>
    </w:p>
    <w:p w14:paraId="1ACBC467" w14:textId="77777777" w:rsidR="00926278" w:rsidRDefault="00926278" w:rsidP="00926278">
      <w:pPr>
        <w:pStyle w:val="SingleTxtG"/>
        <w:tabs>
          <w:tab w:val="left" w:pos="708"/>
        </w:tabs>
        <w:ind w:firstLine="567"/>
      </w:pPr>
      <w:r>
        <w:t xml:space="preserve">Полиция внедрила инициативы, направленные на более эффективное реагирование на насилие в семье и гендерное насилие, включая сексуальное насилие, в число которых входят: i) партнерство между полицией и племенами маори для предотвращения последствий домашнего насилия, передающихся из поколения в поколение, и сокращения непропорционально большого числа маори, которые становятся жертвами и виновниками домашнего насилия; </w:t>
      </w:r>
      <w:proofErr w:type="spellStart"/>
      <w:r>
        <w:t>ii</w:t>
      </w:r>
      <w:proofErr w:type="spellEnd"/>
      <w:r>
        <w:t xml:space="preserve">) проведение видеоинтервью с жертвами домашнего насилия на месте происшествия, которое направлено на улучшение опыта жертв при посещении и расследовании полицией случаев домашнего насилия и на более эффективное применение законодательства о семейном насилии; </w:t>
      </w:r>
      <w:proofErr w:type="spellStart"/>
      <w:r>
        <w:t>iii</w:t>
      </w:r>
      <w:proofErr w:type="spellEnd"/>
      <w:r>
        <w:t xml:space="preserve">) реализация рабочей программы «Повышение безопасности </w:t>
      </w:r>
      <w:proofErr w:type="spellStart"/>
      <w:r>
        <w:t>ванау</w:t>
      </w:r>
      <w:proofErr w:type="spellEnd"/>
      <w:r>
        <w:t>», в рамках которой проводится подготовка всех оперативных сотрудников полиции по вопросам насилия в семье, включая возобновление в 2017 году специализированного курса для координаторов по вопросам домашнего насилия.</w:t>
      </w:r>
    </w:p>
    <w:p w14:paraId="163A7551" w14:textId="77777777" w:rsidR="00926278" w:rsidRDefault="00926278" w:rsidP="00926278">
      <w:pPr>
        <w:pStyle w:val="SingleTxtG"/>
        <w:tabs>
          <w:tab w:val="left" w:pos="708"/>
        </w:tabs>
        <w:ind w:firstLine="567"/>
      </w:pPr>
      <w:r>
        <w:t>b)</w:t>
      </w:r>
      <w:r>
        <w:tab/>
        <w:t xml:space="preserve">В соответствии с Национальным планом действий Новой Зеландии отслеживается прогресс в выполнении правительством 121 рекомендации, принятой им в ходе универсального периодического обзора в 2014 году. Комиссия по правам человека рассматривает вопрос о расширении этого плана, чтобы включить в него </w:t>
      </w:r>
      <w:r>
        <w:lastRenderedPageBreak/>
        <w:t>рекомендации договорных органов. План уже содержит большое количество мероприятий, направленных на борьбу с насилием в семье и гендерным насилием, включая сексуальное насилие, многие из которых уже завершены или находятся в стадии реализации.</w:t>
      </w:r>
    </w:p>
    <w:p w14:paraId="5BB36C5B" w14:textId="77777777" w:rsidR="00926278" w:rsidRDefault="00926278" w:rsidP="00926278">
      <w:pPr>
        <w:pStyle w:val="SingleTxtG"/>
        <w:tabs>
          <w:tab w:val="left" w:pos="708"/>
        </w:tabs>
        <w:ind w:firstLine="567"/>
      </w:pPr>
      <w:r>
        <w:t>c)</w:t>
      </w:r>
      <w:r>
        <w:tab/>
        <w:t>Новозеландское исследование проблем преступности и безопасности, которое является важным источником данных о жертвах, подвергающихся семейному насилию в Новой Зеландии, трансформируется в ежегодное исследование под названием «Исследование по вопросам преступности и жертв». Это позволит правительству лучше отслеживать и определять уровень насилия в семье. Для лучшего отслеживания тенденций распространенности насилия в семье, ущерба жертвам и ущерба/вреда от преступников были определены семь показателей такого насилия. Они будут использоваться для разработки целей в области улучшения государственных услуг и подготовки программы работы Министерской группы по вопросам насилия в семье и сексуального насилия на 2017 год. Кроме того, были внесены улучшения в статистику по зарегистрированным жертвам преступлений и правонарушителям, чтобы сделать ее более удобной для использования; теперь статистические данные публикуются ежемесячно и доступны на сайте полиции Новой Зеландии.</w:t>
      </w:r>
    </w:p>
    <w:p w14:paraId="0D50C74A" w14:textId="687B7411" w:rsidR="00926278" w:rsidRDefault="00926278" w:rsidP="00926278">
      <w:pPr>
        <w:pStyle w:val="SingleTxtG"/>
        <w:tabs>
          <w:tab w:val="left" w:pos="708"/>
        </w:tabs>
        <w:ind w:firstLine="567"/>
      </w:pPr>
      <w:r>
        <w:t>d)</w:t>
      </w:r>
      <w:r>
        <w:tab/>
        <w:t xml:space="preserve">В июле 2016 года Министерская группа запустила проект по оказанию помощи жертвам, в котором основное внимание уделяется консультированию и долгосрочному уходу за жертвами семейного насилия. Жертвам сексуального насилия также доступны комплексные услуги по рассмотрению конфиденциальных заявлений, включая помощь социальных работников, консультантов и психологов. Министерская группа также опробует новый подход </w:t>
      </w:r>
      <w:r w:rsidR="00331521" w:rsidRPr="00331521">
        <w:t>—</w:t>
      </w:r>
      <w:r>
        <w:t xml:space="preserve"> Комплексный ответ на обеспечение безопасности </w:t>
      </w:r>
      <w:r w:rsidR="00331521" w:rsidRPr="00331521">
        <w:t>—</w:t>
      </w:r>
      <w:r>
        <w:t xml:space="preserve"> с целью убедиться, что семьи, переживающие насилие, получают необходимую помощь.</w:t>
      </w:r>
    </w:p>
    <w:p w14:paraId="6EFA0865" w14:textId="77777777" w:rsidR="00926278" w:rsidRDefault="00926278" w:rsidP="00926278">
      <w:pPr>
        <w:pStyle w:val="SingleTxtG"/>
        <w:tabs>
          <w:tab w:val="left" w:pos="708"/>
        </w:tabs>
        <w:ind w:firstLine="567"/>
      </w:pPr>
      <w:r>
        <w:t>e)</w:t>
      </w:r>
      <w:r>
        <w:tab/>
        <w:t>Разрешение семейных споров может привести к долгосрочному урегулированию споров, связанных с заботой о детях. Такое разрешение не требуется в случае домашнего насилия, которому подвергается какая-либо сторона или ребенок. Жертвы семейного насилия могут обратиться непосредственно в суд по семейным делам.</w:t>
      </w:r>
    </w:p>
    <w:p w14:paraId="0920F279" w14:textId="77777777" w:rsidR="00926278" w:rsidRDefault="00926278" w:rsidP="0092627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Комитета:</w:t>
      </w:r>
    </w:p>
    <w:p w14:paraId="5002AF19" w14:textId="77777777" w:rsidR="00926278" w:rsidRDefault="00926278" w:rsidP="00926278">
      <w:pPr>
        <w:pStyle w:val="SingleTxtG"/>
        <w:tabs>
          <w:tab w:val="left" w:pos="708"/>
        </w:tabs>
        <w:rPr>
          <w:rFonts w:eastAsia="SimSun"/>
        </w:rPr>
      </w:pPr>
      <w:r>
        <w:t>[</w:t>
      </w:r>
      <w:r>
        <w:rPr>
          <w:b/>
          <w:bCs/>
        </w:rPr>
        <w:t>A</w:t>
      </w:r>
      <w:r>
        <w:t>]: a), b), c), d) и e)</w:t>
      </w:r>
    </w:p>
    <w:p w14:paraId="12043331" w14:textId="09EEA3ED" w:rsidR="00926278" w:rsidRDefault="00926278" w:rsidP="00926278">
      <w:pPr>
        <w:pStyle w:val="SingleTxtG"/>
        <w:tabs>
          <w:tab w:val="left" w:pos="708"/>
        </w:tabs>
        <w:ind w:firstLine="567"/>
      </w:pPr>
      <w:r>
        <w:t xml:space="preserve">Комитет с удовлетворением принимает к сведению подробную информацию, представленную государством-участником. Он просит представить дополнительную информацию, включая достигнутые результаты, относительно: i) системы, которая в настоящее время создается для формирования кадрового состава, способного выявлять риск и потребности в отношении домашнего и гендерного насилия; </w:t>
      </w:r>
      <w:proofErr w:type="spellStart"/>
      <w:r>
        <w:t>ii</w:t>
      </w:r>
      <w:proofErr w:type="spellEnd"/>
      <w:r>
        <w:t>)</w:t>
      </w:r>
      <w:r>
        <w:rPr>
          <w:lang w:val="en-US"/>
        </w:rPr>
        <w:t> </w:t>
      </w:r>
      <w:r>
        <w:t xml:space="preserve">системы оценки рисков и управления ими; </w:t>
      </w:r>
      <w:proofErr w:type="spellStart"/>
      <w:r>
        <w:t>iii</w:t>
      </w:r>
      <w:proofErr w:type="spellEnd"/>
      <w:r>
        <w:t xml:space="preserve">) Рамочной концепции кадрового потенциала; </w:t>
      </w:r>
      <w:proofErr w:type="spellStart"/>
      <w:r>
        <w:t>iv</w:t>
      </w:r>
      <w:proofErr w:type="spellEnd"/>
      <w:r>
        <w:t xml:space="preserve">) распространения программы «E </w:t>
      </w:r>
      <w:proofErr w:type="spellStart"/>
      <w:r>
        <w:t>Tū</w:t>
      </w:r>
      <w:proofErr w:type="spellEnd"/>
      <w:r>
        <w:t xml:space="preserve"> </w:t>
      </w:r>
      <w:proofErr w:type="spellStart"/>
      <w:r>
        <w:t>Whānau</w:t>
      </w:r>
      <w:proofErr w:type="spellEnd"/>
      <w:r>
        <w:t>» на труднодоступные сообщества; v) пакета мер по повышению безопасности сообществ стоимостью 503</w:t>
      </w:r>
      <w:r>
        <w:rPr>
          <w:lang w:val="en-US"/>
        </w:rPr>
        <w:t> </w:t>
      </w:r>
      <w:r>
        <w:t xml:space="preserve">млн новозеландских долларов для существенного увеличения штата и ресурсов полиции по всей стране; </w:t>
      </w:r>
      <w:proofErr w:type="spellStart"/>
      <w:r>
        <w:t>vi</w:t>
      </w:r>
      <w:proofErr w:type="spellEnd"/>
      <w:r>
        <w:t xml:space="preserve">) законопроекта о насилии в семье и </w:t>
      </w:r>
      <w:proofErr w:type="spellStart"/>
      <w:r>
        <w:t>ванау</w:t>
      </w:r>
      <w:proofErr w:type="spellEnd"/>
      <w:r>
        <w:t xml:space="preserve">, направленного на реформирование законодательства в отношении насилия в семье, включая сроки его принятия; и </w:t>
      </w:r>
      <w:proofErr w:type="spellStart"/>
      <w:r>
        <w:t>vii</w:t>
      </w:r>
      <w:proofErr w:type="spellEnd"/>
      <w:r>
        <w:t>) инициатив, предпринятых новозеландской полицией.</w:t>
      </w:r>
    </w:p>
    <w:p w14:paraId="462CA1DD" w14:textId="77777777" w:rsidR="00926278" w:rsidRDefault="00926278" w:rsidP="00926278">
      <w:pPr>
        <w:pStyle w:val="SingleTxtG"/>
        <w:tabs>
          <w:tab w:val="left" w:pos="708"/>
        </w:tabs>
        <w:ind w:firstLine="567"/>
      </w:pPr>
      <w:r>
        <w:t>Комитет принимает к сведению представленную информацию о включении большого числа рекомендаций универсального периодического обзора 2014 года в Национальный план действий Новой Зеландии. Он просит разъяснить меры, которые были приняты после принятия его заключительных замечаний для борьбы с насилием в семье и гендерным насилием, включая сексуальное насилие, и включить программы по борьбе с насилием в семье и гендерным насилием в Национальный план действий.</w:t>
      </w:r>
    </w:p>
    <w:p w14:paraId="394A6491" w14:textId="77777777" w:rsidR="00926278" w:rsidRDefault="00926278" w:rsidP="00926278">
      <w:pPr>
        <w:pStyle w:val="SingleTxtG"/>
        <w:tabs>
          <w:tab w:val="left" w:pos="708"/>
        </w:tabs>
        <w:ind w:firstLine="567"/>
      </w:pPr>
      <w:r>
        <w:t xml:space="preserve">Комитет приветствует шаги, предпринятые государством-участником для трансформации новозеландского исследования проблем преступности и безопасности в ежегодное исследование по вопросам преступности и жертв, включая определение показателей для лучшего мониторинга тенденций распространенности, вреда жертвам </w:t>
      </w:r>
      <w:r>
        <w:lastRenderedPageBreak/>
        <w:t>и ущерба/вреда от преступников. Он также приветствует улучшения, внесенные в статистику по зарегистрированным жертвам преступлений и правонарушителям, чтобы сделать ее более удобной для использования. Комитет просит государство-участник включить в свой следующий периодический доклад данные о случаях насилия в семье и гендерного насилия, в том числе о расследованиях, судебном преследовании и приговорах, а также информацию о том, как эти данные использовались для обоснования будущих политических инициатив и законодательства.</w:t>
      </w:r>
    </w:p>
    <w:p w14:paraId="7600DAE0" w14:textId="77777777" w:rsidR="00926278" w:rsidRDefault="00926278" w:rsidP="00926278">
      <w:pPr>
        <w:pStyle w:val="SingleTxtG"/>
        <w:tabs>
          <w:tab w:val="left" w:pos="708"/>
        </w:tabs>
        <w:ind w:firstLine="567"/>
      </w:pPr>
      <w:r>
        <w:t xml:space="preserve">Комитет приветствует запуск в 2016 году проекта по реагированию на потребности жертв и комплексных услуг по рассмотрению конфиденциальных заявлений. Он просит представить информацию, касающуюся: i) мер, принятых для оказания правовой помощи жертвам; </w:t>
      </w:r>
      <w:proofErr w:type="spellStart"/>
      <w:r>
        <w:t>ii</w:t>
      </w:r>
      <w:proofErr w:type="spellEnd"/>
      <w:r>
        <w:t xml:space="preserve">) количества жертв, получивших поддержку в рамках этого проекта и эти услуги за последние три года; </w:t>
      </w:r>
      <w:proofErr w:type="spellStart"/>
      <w:r>
        <w:t>iii</w:t>
      </w:r>
      <w:proofErr w:type="spellEnd"/>
      <w:r>
        <w:t xml:space="preserve">) того, охватывают ли проект и услуги всю территорию; и </w:t>
      </w:r>
      <w:proofErr w:type="spellStart"/>
      <w:r>
        <w:t>iv</w:t>
      </w:r>
      <w:proofErr w:type="spellEnd"/>
      <w:r>
        <w:t>) того, доступны ли эти услуги бесплатно всем женщинам, особенно женщинам из числа маори и выходцев с тихоокеанских островов, а также женщинам-инвалидам и девочкам-инвалидам.</w:t>
      </w:r>
    </w:p>
    <w:p w14:paraId="19D9B92A" w14:textId="77777777" w:rsidR="00926278" w:rsidRDefault="00926278" w:rsidP="00926278">
      <w:pPr>
        <w:pStyle w:val="SingleTxtG"/>
        <w:tabs>
          <w:tab w:val="left" w:pos="708"/>
        </w:tabs>
        <w:ind w:firstLine="567"/>
      </w:pPr>
      <w:r>
        <w:t>Комитет принимает к сведению представленную информацию, но сожалеет об отсутствии данных о конкретных мерах, принятых в отношении случаев насилия в семье, которые передаются на рассмотрение в органы по разрешению семейных споров, и о том, как эти случаи отслеживаются. Он просит представить информацию о количестве случаев насилия в семье, рассмотренных в рамках механизма урегулирования семейных споров за последние три года, и о том, планирует ли государство-участник принять какие-либо специальные меры для обеспечения эффективного применения механизма урегулирования споров, в частности для защиты лиц, подвергающихся насилию в семье, особенно женщин и детей.</w:t>
      </w:r>
    </w:p>
    <w:p w14:paraId="50A1486A" w14:textId="77777777" w:rsidR="00926278" w:rsidRDefault="00926278" w:rsidP="0092627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Пункт 32: Надругательства над детьми</w:t>
      </w:r>
    </w:p>
    <w:p w14:paraId="5663E146" w14:textId="77777777" w:rsidR="00926278" w:rsidRDefault="00926278" w:rsidP="00926278">
      <w:pPr>
        <w:pStyle w:val="SingleTxtG"/>
        <w:rPr>
          <w:rFonts w:eastAsia="SimSun"/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</w:p>
    <w:p w14:paraId="50C6214E" w14:textId="618D4953" w:rsidR="00926278" w:rsidRDefault="00926278" w:rsidP="00926278">
      <w:pPr>
        <w:pStyle w:val="SingleTxtG"/>
        <w:rPr>
          <w:b/>
          <w:bCs/>
        </w:rPr>
      </w:pPr>
      <w:r w:rsidRPr="00926278">
        <w:rPr>
          <w:b/>
          <w:bCs/>
        </w:rPr>
        <w:tab/>
        <w:t>a)</w:t>
      </w:r>
      <w:r w:rsidRPr="00926278">
        <w:rPr>
          <w:b/>
          <w:bCs/>
        </w:rPr>
        <w:tab/>
      </w:r>
      <w:r>
        <w:rPr>
          <w:b/>
          <w:bCs/>
        </w:rPr>
        <w:t>активизировать свои усилия по борьбе с</w:t>
      </w:r>
      <w:r w:rsidR="006F239E">
        <w:rPr>
          <w:b/>
          <w:bCs/>
        </w:rPr>
        <w:t>о</w:t>
      </w:r>
      <w:r>
        <w:rPr>
          <w:b/>
          <w:bCs/>
        </w:rPr>
        <w:t xml:space="preserve"> злоупотреблениями в отношении детей в любых условиях, в том числе путем разработки и создания с участием заинтересованных сторон механизмов, специально подготовленных для работы с детьми и предназначенных для раннего обнаружения злоупотреблений и сообщения о них, а также путем эффективного расследования дел и привлечения виновных к ответственности;</w:t>
      </w:r>
    </w:p>
    <w:p w14:paraId="5BF8963C" w14:textId="77777777" w:rsidR="00926278" w:rsidRDefault="00926278" w:rsidP="00926278">
      <w:pPr>
        <w:pStyle w:val="SingleTxtG"/>
        <w:rPr>
          <w:b/>
          <w:bCs/>
        </w:rPr>
      </w:pPr>
      <w:r w:rsidRPr="00926278">
        <w:rPr>
          <w:b/>
          <w:bCs/>
        </w:rPr>
        <w:tab/>
        <w:t>b)</w:t>
      </w:r>
      <w:r w:rsidRPr="00926278">
        <w:rPr>
          <w:b/>
          <w:bCs/>
        </w:rPr>
        <w:tab/>
      </w:r>
      <w:r>
        <w:rPr>
          <w:b/>
          <w:bCs/>
        </w:rPr>
        <w:t>представить в своем следующем периодическом докладе подробную информацию о результатах, достигнутых в процессе осуществления Плана действий в интересах детей, дать обзор деятельности Агентства по вопросам детей, подростков и семьи и ознакомить с мерами, принятыми с целью повышения эффективности и качества защиты детей и подростков и предоставляемых услуг по реабилитации;</w:t>
      </w:r>
    </w:p>
    <w:p w14:paraId="6AA86106" w14:textId="77777777" w:rsidR="00926278" w:rsidRDefault="00926278" w:rsidP="00926278">
      <w:pPr>
        <w:pStyle w:val="SingleTxtG"/>
        <w:rPr>
          <w:b/>
          <w:bCs/>
        </w:rPr>
      </w:pPr>
      <w:r w:rsidRPr="00926278">
        <w:rPr>
          <w:b/>
          <w:bCs/>
        </w:rPr>
        <w:tab/>
        <w:t>c)</w:t>
      </w:r>
      <w:r w:rsidRPr="00926278">
        <w:rPr>
          <w:b/>
          <w:bCs/>
        </w:rPr>
        <w:tab/>
      </w:r>
      <w:r>
        <w:rPr>
          <w:b/>
          <w:bCs/>
        </w:rPr>
        <w:t>обеспечить принятие всех необходимых мер, включая проведение в школах программ по повышению информированности, с целью предотвращения повторения событий того же типа, что в деле группы «</w:t>
      </w:r>
      <w:proofErr w:type="spellStart"/>
      <w:r>
        <w:rPr>
          <w:b/>
          <w:bCs/>
        </w:rPr>
        <w:t>Роуст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бастерз</w:t>
      </w:r>
      <w:proofErr w:type="spellEnd"/>
      <w:r>
        <w:rPr>
          <w:b/>
          <w:bCs/>
        </w:rPr>
        <w:t>».</w:t>
      </w:r>
    </w:p>
    <w:p w14:paraId="589F0C3A" w14:textId="77777777" w:rsidR="00926278" w:rsidRDefault="00926278" w:rsidP="0092627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68A5003C" w14:textId="11FD5898" w:rsidR="00926278" w:rsidRDefault="00926278" w:rsidP="00926278">
      <w:pPr>
        <w:pStyle w:val="SingleTxtG"/>
        <w:tabs>
          <w:tab w:val="left" w:pos="708"/>
        </w:tabs>
        <w:ind w:firstLine="567"/>
        <w:rPr>
          <w:rFonts w:eastAsia="SimSun"/>
        </w:rPr>
      </w:pPr>
      <w:r>
        <w:t>a)</w:t>
      </w:r>
      <w:r>
        <w:tab/>
        <w:t xml:space="preserve">По итогам обзора «Дети, молодежь и семья» правительство в 2016 году приняло решение разработать и внедрить новую операционную модель для систем опеки и защиты и правосудия в отношении молодежи. Было создано Министерство по делам уязвимых детей как новое самостоятельное министерство, ориентированное на детей и начавшее свою деятельность с 1 апреля 2017 года. Оно будет действовать в партнерстве с более широким социальным сектором, подтверждая тем самым, что может достичь результатов только во взаимодействии с другими, а не как основное агентство прямого исполнения. Новое министерство поставило перед собой задачу обеспечить, чтобы уязвимые дети, их семьи и </w:t>
      </w:r>
      <w:proofErr w:type="spellStart"/>
      <w:r>
        <w:t>ванау</w:t>
      </w:r>
      <w:proofErr w:type="spellEnd"/>
      <w:r>
        <w:t xml:space="preserve"> получали необходимые им услуги при первой же возможности. Согласно новой операционной модели, усилия по борьбе с жестоким обращением с детьми во всех условиях будут укреплены за счет пяти </w:t>
      </w:r>
      <w:r>
        <w:lastRenderedPageBreak/>
        <w:t xml:space="preserve">основных областей услуг: i) предотвращение вреда через услуги, к которым могут получить доступ семьи; </w:t>
      </w:r>
      <w:proofErr w:type="spellStart"/>
      <w:r>
        <w:t>ii</w:t>
      </w:r>
      <w:proofErr w:type="spellEnd"/>
      <w:r>
        <w:t xml:space="preserve">) активное вмешательство при обострении проблем для обеспечения необходимой помощи детям и семьям; </w:t>
      </w:r>
      <w:proofErr w:type="spellStart"/>
      <w:r>
        <w:t>iii</w:t>
      </w:r>
      <w:proofErr w:type="spellEnd"/>
      <w:r>
        <w:t xml:space="preserve">) оказание поддержки по уходу, когда дети не могут жить со своими родными семьями; </w:t>
      </w:r>
      <w:proofErr w:type="spellStart"/>
      <w:r>
        <w:t>iv</w:t>
      </w:r>
      <w:proofErr w:type="spellEnd"/>
      <w:r>
        <w:t>) отправление правосудия для молодых людей, совершивших правонарушения; и v) оказание содействия находящимся под опекой молодым людям во вступлении во взрослую жизнь. Новая операционная модель будет направлена на улучшение результатов для маори и будет внедряться в течение следующих четырех</w:t>
      </w:r>
      <w:r w:rsidR="006F239E">
        <w:t>–</w:t>
      </w:r>
      <w:r>
        <w:t>пяти лет, в течение которых правительство инвестирует около 350 млн новозеландских долларов. Государство-участник также предоставляет подробную информацию о существующих программах, услугах и мерах по предотвращению и решению проблемы жестокого обращения с детьми и отсутствия заботы о них.</w:t>
      </w:r>
    </w:p>
    <w:p w14:paraId="1D06DE9B" w14:textId="23136AE7" w:rsidR="00926278" w:rsidRDefault="00926278" w:rsidP="00926278">
      <w:pPr>
        <w:pStyle w:val="SingleTxtG"/>
        <w:tabs>
          <w:tab w:val="left" w:pos="708"/>
        </w:tabs>
      </w:pPr>
      <w:r>
        <w:tab/>
        <w:t>b)</w:t>
      </w:r>
      <w:r>
        <w:tab/>
        <w:t>Никакой информации представлено не было.</w:t>
      </w:r>
    </w:p>
    <w:p w14:paraId="2B96ADDC" w14:textId="100E258D" w:rsidR="00926278" w:rsidRDefault="00926278" w:rsidP="00926278">
      <w:pPr>
        <w:pStyle w:val="SingleTxtG"/>
        <w:tabs>
          <w:tab w:val="left" w:pos="708"/>
        </w:tabs>
      </w:pPr>
      <w:r>
        <w:tab/>
        <w:t>c)</w:t>
      </w:r>
      <w:r>
        <w:tab/>
        <w:t>В результате проверки по делу «</w:t>
      </w:r>
      <w:proofErr w:type="spellStart"/>
      <w:r>
        <w:t>Роуст</w:t>
      </w:r>
      <w:proofErr w:type="spellEnd"/>
      <w:r>
        <w:t xml:space="preserve"> </w:t>
      </w:r>
      <w:proofErr w:type="spellStart"/>
      <w:r>
        <w:t>бастерз</w:t>
      </w:r>
      <w:proofErr w:type="spellEnd"/>
      <w:r>
        <w:t>», проведенной в 2015 году Независимым органом по проверке поведения полицейских, Министерство социального развития приняло меры по недопущению повторения подобных событий, которые включали в себя изменения внутренней практики, например межведомственное ведение дел о жестоком обращении с детьми и отсутствии заботы о них. Новая операционная модель позволит улучшить защиту детей и молодых людей от сексуального насилия, например за счет акцента на более активное участие детей и создания служб профилактики и активного вмешательства. Кроме того, были введены совместные стандартные оперативные процедуры, определяющие согласованные механизмы взаимодействия между новозеландской полицией и новым министерством в случае расследования массовых заявлений. Кроме того, Министерство образования и полиция Новой Зеландии также активно готовят ресурсы, предоставляют консультации и организуют обучение в школах, чтобы школьный персонал был подготовлен к борьбе с травлей и ее предотвращению. Помимо этого в 2016 году в Протокол о защите детей был добавлен раздел, касающийся сексуального поведения несовершеннолетних, с подробным описанием факторов, которые должны быть рассмотрены на этапе консультаций между двумя учреждениями. Обучение в этой области было расширено и теперь является частью курса «Следователи по вопросам защиты детей». Кроме того, Корпорация по возмещению ущерба от несчастных случаев имеет в своем составе группу профилактики и активно участвует в инициативах по предотвращению сексуального насилия, проводимых в интересах детей и молодежи.</w:t>
      </w:r>
    </w:p>
    <w:p w14:paraId="4E98AAAF" w14:textId="77777777" w:rsidR="00926278" w:rsidRDefault="00926278" w:rsidP="0092627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Комитета:</w:t>
      </w:r>
    </w:p>
    <w:p w14:paraId="51D8ECA4" w14:textId="77777777" w:rsidR="00926278" w:rsidRDefault="00926278" w:rsidP="00926278">
      <w:pPr>
        <w:pStyle w:val="SingleTxtG"/>
        <w:tabs>
          <w:tab w:val="left" w:pos="708"/>
        </w:tabs>
        <w:rPr>
          <w:rFonts w:eastAsia="SimSun"/>
        </w:rPr>
      </w:pPr>
      <w:bookmarkStart w:id="3" w:name="_Hlk33449160"/>
      <w:r>
        <w:t>[</w:t>
      </w:r>
      <w:r w:rsidRPr="00926278">
        <w:rPr>
          <w:b/>
          <w:bCs/>
        </w:rPr>
        <w:t>A</w:t>
      </w:r>
      <w:r>
        <w:t>]: a)</w:t>
      </w:r>
    </w:p>
    <w:p w14:paraId="09FB2D18" w14:textId="77777777" w:rsidR="00926278" w:rsidRDefault="00926278" w:rsidP="00926278">
      <w:pPr>
        <w:pStyle w:val="SingleTxtG"/>
        <w:tabs>
          <w:tab w:val="left" w:pos="708"/>
        </w:tabs>
        <w:ind w:firstLine="567"/>
      </w:pPr>
      <w:r>
        <w:t>Комитет приветствует создание в 2017 году Министерства по делам уязвимых детей. Он просит предоставить дополнительную информацию о новой операционной модели, в том числе о мерах по обеспечению раннего выявления случаев жестокого обращения с детьми, о надлежащем расследовании властями выявленных случаев и, когда это необходимо, о привлечении виновных к ответственности и вынесенных им приговорах.</w:t>
      </w:r>
    </w:p>
    <w:p w14:paraId="03FD9936" w14:textId="77777777" w:rsidR="00926278" w:rsidRDefault="00926278" w:rsidP="00926278">
      <w:pPr>
        <w:spacing w:after="120"/>
        <w:ind w:left="1138" w:right="1138"/>
        <w:jc w:val="both"/>
        <w:rPr>
          <w:b/>
          <w:bCs/>
        </w:rPr>
      </w:pPr>
      <w:r>
        <w:rPr>
          <w:b/>
          <w:bCs/>
        </w:rPr>
        <w:t>К подпункту b) оценка не применима</w:t>
      </w:r>
    </w:p>
    <w:p w14:paraId="32EB5587" w14:textId="77777777" w:rsidR="00926278" w:rsidRDefault="00926278" w:rsidP="00926278">
      <w:pPr>
        <w:pStyle w:val="SingleTxtG"/>
        <w:tabs>
          <w:tab w:val="left" w:pos="708"/>
        </w:tabs>
        <w:ind w:firstLine="567"/>
      </w:pPr>
      <w:r>
        <w:t>Комитет отмечает, что эта информация должна быть представлена в следующем периодическом докладе государства-участника.</w:t>
      </w:r>
    </w:p>
    <w:p w14:paraId="093CFCA1" w14:textId="77777777" w:rsidR="00926278" w:rsidRDefault="00926278" w:rsidP="00926278">
      <w:pPr>
        <w:pStyle w:val="SingleTxtG"/>
        <w:keepNext/>
        <w:ind w:left="1138" w:right="1138"/>
      </w:pPr>
      <w:r>
        <w:t>[</w:t>
      </w:r>
      <w:r>
        <w:rPr>
          <w:b/>
          <w:bCs/>
        </w:rPr>
        <w:t>В</w:t>
      </w:r>
      <w:r>
        <w:t>]: с)</w:t>
      </w:r>
    </w:p>
    <w:p w14:paraId="03B46523" w14:textId="6621BDAB" w:rsidR="00926278" w:rsidRDefault="00926278" w:rsidP="00926278">
      <w:pPr>
        <w:pStyle w:val="SingleTxtG"/>
        <w:tabs>
          <w:tab w:val="left" w:pos="708"/>
        </w:tabs>
        <w:ind w:firstLine="567"/>
      </w:pPr>
      <w:r>
        <w:t>Комитет принимает к сведению меры, принятые для предотвращения повторения событий, подобных тем, которые имели место в деле «</w:t>
      </w:r>
      <w:proofErr w:type="spellStart"/>
      <w:r>
        <w:t>Роуст</w:t>
      </w:r>
      <w:proofErr w:type="spellEnd"/>
      <w:r>
        <w:t xml:space="preserve"> </w:t>
      </w:r>
      <w:proofErr w:type="spellStart"/>
      <w:r>
        <w:t>бастерз</w:t>
      </w:r>
      <w:proofErr w:type="spellEnd"/>
      <w:r>
        <w:t xml:space="preserve">». Вместе с тем он просит представить информацию относительно: i) даты создания межведомственного управления по делам о жестоком обращении с детьми и отсутствии заботы о них; </w:t>
      </w:r>
      <w:proofErr w:type="spellStart"/>
      <w:r>
        <w:t>ii</w:t>
      </w:r>
      <w:proofErr w:type="spellEnd"/>
      <w:r>
        <w:t xml:space="preserve">) даты введения совместных стандартных операционных процедур для расследования массовых заявлений; </w:t>
      </w:r>
      <w:proofErr w:type="spellStart"/>
      <w:r>
        <w:t>iii</w:t>
      </w:r>
      <w:proofErr w:type="spellEnd"/>
      <w:r>
        <w:t xml:space="preserve">) даты проведения и результатов подготовки по разделу, добавленному в Протокол о защите детей в 2016 году; </w:t>
      </w:r>
      <w:r w:rsidR="00852A31">
        <w:br/>
      </w:r>
      <w:r>
        <w:t xml:space="preserve">и </w:t>
      </w:r>
      <w:proofErr w:type="spellStart"/>
      <w:r>
        <w:t>iv</w:t>
      </w:r>
      <w:proofErr w:type="spellEnd"/>
      <w:r>
        <w:t>) работы, проведенной Корпорацией по возмещению ущерба от несчастных случаев после принятия заключительных замечаний Комитета.</w:t>
      </w:r>
    </w:p>
    <w:bookmarkEnd w:id="3"/>
    <w:p w14:paraId="3A98AF7B" w14:textId="77777777" w:rsidR="00926278" w:rsidRDefault="00926278" w:rsidP="0092627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Пункт 44: Закон о морской зоне и прибрежной полосе 2011 года («</w:t>
      </w:r>
      <w:proofErr w:type="spellStart"/>
      <w:r>
        <w:rPr>
          <w:bCs/>
        </w:rPr>
        <w:t>Такутай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моана</w:t>
      </w:r>
      <w:proofErr w:type="spellEnd"/>
      <w:r>
        <w:rPr>
          <w:bCs/>
        </w:rPr>
        <w:t>»)</w:t>
      </w:r>
    </w:p>
    <w:p w14:paraId="0E90CB44" w14:textId="77777777" w:rsidR="00926278" w:rsidRDefault="00926278" w:rsidP="00926278">
      <w:pPr>
        <w:pStyle w:val="SingleTxtG"/>
        <w:rPr>
          <w:rFonts w:eastAsia="SimSun"/>
          <w:b/>
          <w:bCs/>
        </w:rPr>
      </w:pPr>
      <w:r>
        <w:tab/>
      </w:r>
      <w:r>
        <w:rPr>
          <w:b/>
          <w:bCs/>
        </w:rPr>
        <w:t>Государству-участнику следует пересмотреть Закон о морской зоне и прибрежной полосе («</w:t>
      </w:r>
      <w:proofErr w:type="spellStart"/>
      <w:r>
        <w:rPr>
          <w:b/>
          <w:bCs/>
        </w:rPr>
        <w:t>Такутай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моана</w:t>
      </w:r>
      <w:proofErr w:type="spellEnd"/>
      <w:r>
        <w:rPr>
          <w:b/>
          <w:bCs/>
        </w:rPr>
        <w:t>») 2011 года таким образом, чтобы обеспечить соблюдение традиционных прав маори на их земли и ресурсы и поддержание их культурного развития.</w:t>
      </w:r>
    </w:p>
    <w:p w14:paraId="63D2B16A" w14:textId="77777777" w:rsidR="00926278" w:rsidRDefault="00926278" w:rsidP="0092627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24ED14D0" w14:textId="77777777" w:rsidR="00926278" w:rsidRDefault="00926278" w:rsidP="00926278">
      <w:pPr>
        <w:pStyle w:val="SingleTxtG"/>
        <w:tabs>
          <w:tab w:val="left" w:pos="708"/>
        </w:tabs>
        <w:ind w:firstLine="567"/>
        <w:rPr>
          <w:rFonts w:eastAsia="SimSun"/>
        </w:rPr>
      </w:pPr>
      <w:r>
        <w:t>Правительство не планирует пересматривать Закон о морской зоне и прибрежной полосе («</w:t>
      </w:r>
      <w:proofErr w:type="spellStart"/>
      <w:r>
        <w:t>Такутай</w:t>
      </w:r>
      <w:proofErr w:type="spellEnd"/>
      <w:r>
        <w:t xml:space="preserve"> </w:t>
      </w:r>
      <w:proofErr w:type="spellStart"/>
      <w:r>
        <w:t>моана</w:t>
      </w:r>
      <w:proofErr w:type="spellEnd"/>
      <w:r>
        <w:t>») 2011 года. Этот закон признает и поощряет реализацию традиционных интересов маори в общей морской и прибрежной полосе. Закон отменил право собственности Короны на эту территорию и восстановил интересы маори согласно обычному праву, которые ранее были уничтожены. Согласно этому закону, для исследования открыта вся береговая линия Новой Зеландии, а не ограниченные участки, которые были доступны для исследования в соответствии с предыдущим законом.</w:t>
      </w:r>
    </w:p>
    <w:p w14:paraId="36443938" w14:textId="77777777" w:rsidR="00926278" w:rsidRDefault="00926278" w:rsidP="00926278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Комитета:</w:t>
      </w:r>
    </w:p>
    <w:p w14:paraId="7253E205" w14:textId="77777777" w:rsidR="00926278" w:rsidRDefault="00926278" w:rsidP="00926278">
      <w:pPr>
        <w:pStyle w:val="SingleTxtG"/>
        <w:tabs>
          <w:tab w:val="left" w:pos="708"/>
        </w:tabs>
        <w:ind w:firstLine="567"/>
        <w:rPr>
          <w:rFonts w:eastAsia="SimSun"/>
        </w:rPr>
      </w:pPr>
      <w:r>
        <w:t>[</w:t>
      </w:r>
      <w:r>
        <w:rPr>
          <w:b/>
          <w:bCs/>
        </w:rPr>
        <w:t>C</w:t>
      </w:r>
      <w:r>
        <w:t>]: Комитет сожалеет, что государство-участник не планирует пересмотреть и изменить Закон о морской зоне и прибрежной полосе («</w:t>
      </w:r>
      <w:proofErr w:type="spellStart"/>
      <w:r>
        <w:t>Такутай</w:t>
      </w:r>
      <w:proofErr w:type="spellEnd"/>
      <w:r>
        <w:t xml:space="preserve"> </w:t>
      </w:r>
      <w:proofErr w:type="spellStart"/>
      <w:r>
        <w:t>моана</w:t>
      </w:r>
      <w:proofErr w:type="spellEnd"/>
      <w:r>
        <w:t>») 2011 года. Он принимает к сведению представленное разъяснение и просит предоставить дополнительную информацию о том, как Закон обеспечивает соблюдение не только интересов, но и обычных прав маори на их землю и ресурсы, а также их культурное развитие. Комитет подтверждает свою рекомендацию.</w:t>
      </w:r>
    </w:p>
    <w:p w14:paraId="1712E15D" w14:textId="77777777" w:rsidR="00926278" w:rsidRDefault="00926278" w:rsidP="00926278">
      <w:pPr>
        <w:pStyle w:val="SingleTxtG"/>
        <w:tabs>
          <w:tab w:val="left" w:pos="708"/>
        </w:tabs>
      </w:pPr>
      <w:r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4A5C76E4" w14:textId="12EA0588" w:rsidR="00926278" w:rsidRDefault="00926278" w:rsidP="00852A31">
      <w:pPr>
        <w:pStyle w:val="SingleTxtG"/>
        <w:tabs>
          <w:tab w:val="left" w:pos="708"/>
        </w:tabs>
        <w:rPr>
          <w:rFonts w:eastAsiaTheme="minorEastAsia"/>
          <w:lang w:val="en-GB"/>
        </w:rPr>
      </w:pPr>
      <w:r>
        <w:rPr>
          <w:b/>
          <w:bCs/>
        </w:rPr>
        <w:t>Сроки представления следующего периодического доклада</w:t>
      </w:r>
      <w:r>
        <w:t xml:space="preserve">: 2026 год (страновой обзор в 2027 году в соответствии с планируемым циклом обзора. </w:t>
      </w:r>
      <w:r>
        <w:rPr>
          <w:lang w:val="en-US"/>
        </w:rPr>
        <w:t xml:space="preserve">URL: </w:t>
      </w:r>
      <w:hyperlink r:id="rId10" w:history="1">
        <w:r w:rsidR="00852A31" w:rsidRPr="00852A31">
          <w:rPr>
            <w:rStyle w:val="af1"/>
            <w:lang w:val="en-US"/>
          </w:rPr>
          <w:t>https://www.ohchr.org/EN/HRBodies/CCPR/Pages/PredictableReviewCycle.aspx</w:t>
        </w:r>
      </w:hyperlink>
      <w:r>
        <w:rPr>
          <w:lang w:val="en-US"/>
        </w:rPr>
        <w:t>).</w:t>
      </w:r>
    </w:p>
    <w:p w14:paraId="5849D4F4" w14:textId="77777777" w:rsidR="00926278" w:rsidRPr="00926278" w:rsidRDefault="00926278" w:rsidP="00926278">
      <w:pPr>
        <w:spacing w:before="240"/>
        <w:jc w:val="center"/>
        <w:rPr>
          <w:rFonts w:eastAsia="Times New Roman"/>
          <w:u w:val="single"/>
          <w:lang w:val="en-US"/>
        </w:rPr>
      </w:pPr>
      <w:r w:rsidRPr="00926278">
        <w:rPr>
          <w:u w:val="single"/>
          <w:lang w:val="en-US"/>
        </w:rPr>
        <w:tab/>
      </w:r>
      <w:r w:rsidRPr="00926278">
        <w:rPr>
          <w:u w:val="single"/>
          <w:lang w:val="en-US"/>
        </w:rPr>
        <w:tab/>
      </w:r>
      <w:r w:rsidRPr="00926278">
        <w:rPr>
          <w:u w:val="single"/>
          <w:lang w:val="en-US"/>
        </w:rPr>
        <w:tab/>
      </w:r>
    </w:p>
    <w:sectPr w:rsidR="00926278" w:rsidRPr="00926278" w:rsidSect="00926278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B0915" w14:textId="77777777" w:rsidR="003E0A23" w:rsidRPr="00A312BC" w:rsidRDefault="003E0A23" w:rsidP="00A312BC"/>
  </w:endnote>
  <w:endnote w:type="continuationSeparator" w:id="0">
    <w:p w14:paraId="19BBB0EB" w14:textId="77777777" w:rsidR="003E0A23" w:rsidRPr="00A312BC" w:rsidRDefault="003E0A2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A21C9" w14:textId="6DEF6F32" w:rsidR="00926278" w:rsidRPr="00926278" w:rsidRDefault="00926278">
    <w:pPr>
      <w:pStyle w:val="a8"/>
    </w:pPr>
    <w:r w:rsidRPr="00926278">
      <w:rPr>
        <w:b/>
        <w:sz w:val="18"/>
      </w:rPr>
      <w:fldChar w:fldCharType="begin"/>
    </w:r>
    <w:r w:rsidRPr="00926278">
      <w:rPr>
        <w:b/>
        <w:sz w:val="18"/>
      </w:rPr>
      <w:instrText xml:space="preserve"> PAGE  \* MERGEFORMAT </w:instrText>
    </w:r>
    <w:r w:rsidRPr="00926278">
      <w:rPr>
        <w:b/>
        <w:sz w:val="18"/>
      </w:rPr>
      <w:fldChar w:fldCharType="separate"/>
    </w:r>
    <w:r w:rsidRPr="00926278">
      <w:rPr>
        <w:b/>
        <w:noProof/>
        <w:sz w:val="18"/>
      </w:rPr>
      <w:t>2</w:t>
    </w:r>
    <w:r w:rsidRPr="00926278">
      <w:rPr>
        <w:b/>
        <w:sz w:val="18"/>
      </w:rPr>
      <w:fldChar w:fldCharType="end"/>
    </w:r>
    <w:r>
      <w:rPr>
        <w:b/>
        <w:sz w:val="18"/>
      </w:rPr>
      <w:tab/>
    </w:r>
    <w:r>
      <w:t>GE.21-12376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86948" w14:textId="5D7705E5" w:rsidR="00926278" w:rsidRPr="00926278" w:rsidRDefault="00926278" w:rsidP="00926278">
    <w:pPr>
      <w:pStyle w:val="a8"/>
      <w:tabs>
        <w:tab w:val="clear" w:pos="9639"/>
        <w:tab w:val="right" w:pos="9638"/>
      </w:tabs>
      <w:rPr>
        <w:b/>
        <w:sz w:val="18"/>
      </w:rPr>
    </w:pPr>
    <w:r>
      <w:t>GE.21-12376</w:t>
    </w:r>
    <w:r>
      <w:tab/>
    </w:r>
    <w:r w:rsidRPr="00926278">
      <w:rPr>
        <w:b/>
        <w:sz w:val="18"/>
      </w:rPr>
      <w:fldChar w:fldCharType="begin"/>
    </w:r>
    <w:r w:rsidRPr="00926278">
      <w:rPr>
        <w:b/>
        <w:sz w:val="18"/>
      </w:rPr>
      <w:instrText xml:space="preserve"> PAGE  \* MERGEFORMAT </w:instrText>
    </w:r>
    <w:r w:rsidRPr="00926278">
      <w:rPr>
        <w:b/>
        <w:sz w:val="18"/>
      </w:rPr>
      <w:fldChar w:fldCharType="separate"/>
    </w:r>
    <w:r w:rsidRPr="00926278">
      <w:rPr>
        <w:b/>
        <w:noProof/>
        <w:sz w:val="18"/>
      </w:rPr>
      <w:t>3</w:t>
    </w:r>
    <w:r w:rsidRPr="0092627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A6969" w14:textId="07561A9D" w:rsidR="00042B72" w:rsidRPr="00926278" w:rsidRDefault="00926278" w:rsidP="0092627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32C6546" wp14:editId="33629BA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12376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6F52EB1" wp14:editId="17FF0C6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</w:t>
    </w:r>
    <w:r w:rsidR="00DC03D9">
      <w:rPr>
        <w:lang w:val="en-US"/>
      </w:rPr>
      <w:t>7</w:t>
    </w:r>
    <w:r>
      <w:rPr>
        <w:lang w:val="en-US"/>
      </w:rPr>
      <w:t>1021  2</w:t>
    </w:r>
    <w:r w:rsidR="00DC03D9">
      <w:rPr>
        <w:lang w:val="en-US"/>
      </w:rPr>
      <w:t>8</w:t>
    </w:r>
    <w:r>
      <w:rPr>
        <w:lang w:val="en-US"/>
      </w:rPr>
      <w:t>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5CD723" w14:textId="77777777" w:rsidR="003E0A23" w:rsidRPr="001075E9" w:rsidRDefault="003E0A2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8878E2" w14:textId="77777777" w:rsidR="003E0A23" w:rsidRDefault="003E0A2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37B8376" w14:textId="77777777" w:rsidR="00926278" w:rsidRDefault="00926278" w:rsidP="00926278">
      <w:pPr>
        <w:pStyle w:val="ad"/>
      </w:pPr>
      <w:r>
        <w:tab/>
      </w:r>
      <w:r w:rsidRPr="00926278">
        <w:rPr>
          <w:sz w:val="20"/>
        </w:rPr>
        <w:t>*</w:t>
      </w:r>
      <w:r>
        <w:tab/>
        <w:t>Принята Комитетом на его 132-й сессии (28 июня — 23 июля 2021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00B66" w14:textId="1A8D573B" w:rsidR="00926278" w:rsidRPr="00926278" w:rsidRDefault="005868A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CCPR/C/132/2/Add.3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9218DD" w14:textId="42CC899F" w:rsidR="00926278" w:rsidRPr="00926278" w:rsidRDefault="005868A0" w:rsidP="0092627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CCPR/C/132/2/Add.3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A23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506FD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31521"/>
    <w:rsid w:val="003402C2"/>
    <w:rsid w:val="00375F01"/>
    <w:rsid w:val="00381C24"/>
    <w:rsid w:val="003958D0"/>
    <w:rsid w:val="003B00E5"/>
    <w:rsid w:val="003E0A23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868A0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239E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52A31"/>
    <w:rsid w:val="0086445C"/>
    <w:rsid w:val="00894693"/>
    <w:rsid w:val="008A08D7"/>
    <w:rsid w:val="008B6909"/>
    <w:rsid w:val="00906890"/>
    <w:rsid w:val="00911BE4"/>
    <w:rsid w:val="00926278"/>
    <w:rsid w:val="00931A71"/>
    <w:rsid w:val="00951972"/>
    <w:rsid w:val="009608F3"/>
    <w:rsid w:val="009807A8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C03D9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F35DBF"/>
  <w15:docId w15:val="{1E50FDA5-2B47-4A04-AE2D-3468EA413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4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926278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852A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8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CCPR/C/NZL/CO/6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www.ohchr.org/EN/HRBodies/CCPR/Pages/PredictableReviewCycle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ndocs.org/en/CCPR/C/NZL/CO/6/Add.1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6</Pages>
  <Words>2483</Words>
  <Characters>16642</Characters>
  <Application>Microsoft Office Word</Application>
  <DocSecurity>0</DocSecurity>
  <Lines>308</Lines>
  <Paragraphs>75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CCPR/C/132/2/Add.3</vt:lpstr>
      <vt:lpstr>A/</vt:lpstr>
      <vt:lpstr>A/</vt:lpstr>
    </vt:vector>
  </TitlesOfParts>
  <Company>DCM</Company>
  <LinksUpToDate>false</LinksUpToDate>
  <CharactersWithSpaces>19050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CCPR/C/132/2/Add.3</dc:title>
  <dc:subject/>
  <dc:creator>Svetlana PROKOUDINA</dc:creator>
  <cp:keywords/>
  <cp:lastModifiedBy>Tatiana Chvets</cp:lastModifiedBy>
  <cp:revision>3</cp:revision>
  <cp:lastPrinted>2021-10-28T07:16:00Z</cp:lastPrinted>
  <dcterms:created xsi:type="dcterms:W3CDTF">2021-10-28T07:15:00Z</dcterms:created>
  <dcterms:modified xsi:type="dcterms:W3CDTF">2021-10-28T07:16:00Z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