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1A8650AC" w14:textId="77777777" w:rsidTr="00E866BF">
        <w:trPr>
          <w:trHeight w:hRule="exact" w:val="851"/>
        </w:trPr>
        <w:tc>
          <w:tcPr>
            <w:tcW w:w="1274" w:type="dxa"/>
            <w:tcBorders>
              <w:bottom w:val="single" w:sz="4" w:space="0" w:color="auto"/>
            </w:tcBorders>
          </w:tcPr>
          <w:p w14:paraId="153E50D2" w14:textId="77777777" w:rsidR="006B3E27" w:rsidRPr="008F729B" w:rsidRDefault="006B3E27" w:rsidP="00FB094B">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12AF3C84"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67B15E94" w14:textId="7F69EE0A" w:rsidR="006B3E27" w:rsidRPr="0037379C" w:rsidRDefault="0037379C" w:rsidP="0037379C">
            <w:pPr>
              <w:bidi w:val="0"/>
              <w:jc w:val="left"/>
            </w:pPr>
            <w:proofErr w:type="spellStart"/>
            <w:r w:rsidRPr="00C67DD9">
              <w:rPr>
                <w:sz w:val="40"/>
              </w:rPr>
              <w:t>CED</w:t>
            </w:r>
            <w:proofErr w:type="spellEnd"/>
            <w:r w:rsidRPr="00C67DD9">
              <w:t>/C/24/2</w:t>
            </w:r>
          </w:p>
        </w:tc>
      </w:tr>
      <w:tr w:rsidR="006B3E27" w:rsidRPr="008F729B" w14:paraId="6B229FEE" w14:textId="77777777" w:rsidTr="00E866BF">
        <w:trPr>
          <w:trHeight w:hRule="exact" w:val="2835"/>
        </w:trPr>
        <w:tc>
          <w:tcPr>
            <w:tcW w:w="1274" w:type="dxa"/>
            <w:tcBorders>
              <w:top w:val="single" w:sz="4" w:space="0" w:color="auto"/>
              <w:bottom w:val="single" w:sz="12" w:space="0" w:color="auto"/>
            </w:tcBorders>
          </w:tcPr>
          <w:p w14:paraId="2DD1A875" w14:textId="77777777" w:rsidR="006B3E27" w:rsidRPr="008F729B" w:rsidRDefault="0059622A" w:rsidP="008F729B">
            <w:pPr>
              <w:jc w:val="center"/>
              <w:rPr>
                <w:rtl/>
              </w:rPr>
            </w:pPr>
            <w:r w:rsidRPr="008F729B">
              <w:rPr>
                <w:noProof/>
              </w:rPr>
              <w:drawing>
                <wp:inline distT="0" distB="0" distL="0" distR="0" wp14:anchorId="7F71B4D1" wp14:editId="48329FE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F385F67"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CBAF2AB" w14:textId="36A716E8" w:rsidR="006A69CA" w:rsidRDefault="0037379C" w:rsidP="008F729B">
            <w:pPr>
              <w:bidi w:val="0"/>
              <w:spacing w:before="240"/>
              <w:jc w:val="left"/>
            </w:pPr>
            <w:r>
              <w:t>Dist</w:t>
            </w:r>
            <w:r w:rsidR="00C67DD9" w:rsidRPr="00C67DD9">
              <w:t>r.:</w:t>
            </w:r>
            <w:r>
              <w:t xml:space="preserve"> General</w:t>
            </w:r>
          </w:p>
          <w:p w14:paraId="24538F7C" w14:textId="58674453" w:rsidR="0037379C" w:rsidRDefault="00DF2C86" w:rsidP="0037379C">
            <w:pPr>
              <w:bidi w:val="0"/>
              <w:spacing w:line="240" w:lineRule="exact"/>
              <w:jc w:val="left"/>
            </w:pPr>
            <w:r>
              <w:t>27 April 2023</w:t>
            </w:r>
          </w:p>
          <w:p w14:paraId="78B66205" w14:textId="77777777" w:rsidR="0037379C" w:rsidRDefault="0037379C" w:rsidP="0037379C">
            <w:pPr>
              <w:bidi w:val="0"/>
              <w:spacing w:line="240" w:lineRule="exact"/>
              <w:jc w:val="left"/>
            </w:pPr>
            <w:r>
              <w:t>Arabic</w:t>
            </w:r>
          </w:p>
          <w:p w14:paraId="10B0D686" w14:textId="569BFF56" w:rsidR="0037379C" w:rsidRPr="0037379C" w:rsidRDefault="0037379C" w:rsidP="0037379C">
            <w:pPr>
              <w:bidi w:val="0"/>
              <w:spacing w:line="240" w:lineRule="exact"/>
              <w:jc w:val="left"/>
            </w:pPr>
            <w:r>
              <w:t>Origina</w:t>
            </w:r>
            <w:r w:rsidR="00C67DD9" w:rsidRPr="00C67DD9">
              <w:t xml:space="preserve">l: </w:t>
            </w:r>
            <w:r>
              <w:t>English</w:t>
            </w:r>
          </w:p>
        </w:tc>
      </w:tr>
    </w:tbl>
    <w:p w14:paraId="592EF54D" w14:textId="77777777" w:rsidR="0061073A" w:rsidRPr="00DE6441" w:rsidRDefault="0061073A" w:rsidP="00DE6441">
      <w:pPr>
        <w:spacing w:before="120" w:line="360" w:lineRule="exact"/>
        <w:jc w:val="both"/>
        <w:textDirection w:val="tbRlV"/>
        <w:rPr>
          <w:b/>
          <w:bCs/>
          <w:sz w:val="28"/>
          <w:szCs w:val="24"/>
          <w:lang w:val="ar-SA" w:eastAsia="zh-TW" w:bidi="en-GB"/>
        </w:rPr>
      </w:pPr>
      <w:r w:rsidRPr="00DE6441">
        <w:rPr>
          <w:b/>
          <w:bCs/>
          <w:sz w:val="24"/>
          <w:szCs w:val="26"/>
          <w:rtl/>
        </w:rPr>
        <w:t>اللجنة المعنية بحالات الاختفاء القسري</w:t>
      </w:r>
    </w:p>
    <w:p w14:paraId="798575E4" w14:textId="77777777" w:rsidR="0061073A" w:rsidRPr="00DE6441" w:rsidRDefault="0061073A" w:rsidP="00DE6441">
      <w:pPr>
        <w:pStyle w:val="HChGA"/>
        <w:rPr>
          <w:szCs w:val="20"/>
          <w:lang w:val="en-US" w:eastAsia="zh-TW" w:bidi="en-GB"/>
        </w:rPr>
      </w:pPr>
      <w:r>
        <w:rPr>
          <w:rtl/>
        </w:rPr>
        <w:tab/>
      </w:r>
      <w:r>
        <w:rPr>
          <w:rtl/>
        </w:rPr>
        <w:tab/>
        <w:t>تقرير عن متابعة الملاحظات الختامية للجنة المعنية بحالات الاختفاء القسري</w:t>
      </w:r>
      <w:r w:rsidRPr="0073649E">
        <w:rPr>
          <w:sz w:val="26"/>
          <w:szCs w:val="26"/>
          <w:rtl/>
        </w:rPr>
        <w:footnoteReference w:customMarkFollows="1" w:id="1"/>
        <w:t>*</w:t>
      </w:r>
    </w:p>
    <w:p w14:paraId="1008B3C0" w14:textId="0042E203" w:rsidR="0061073A" w:rsidRPr="00C62FFC" w:rsidRDefault="00DE6441" w:rsidP="00DE6441">
      <w:pPr>
        <w:pStyle w:val="HChGA"/>
        <w:rPr>
          <w:szCs w:val="20"/>
          <w:lang w:val="en-US" w:eastAsia="zh-TW" w:bidi="en-GB"/>
        </w:rPr>
      </w:pPr>
      <w:r>
        <w:rPr>
          <w:rtl/>
        </w:rPr>
        <w:tab/>
      </w:r>
      <w:r w:rsidR="0061073A">
        <w:rPr>
          <w:rtl/>
        </w:rPr>
        <w:t>أولا</w:t>
      </w:r>
      <w:r w:rsidR="00C71236">
        <w:rPr>
          <w:rFonts w:hint="cs"/>
          <w:rtl/>
        </w:rPr>
        <w:t>ً</w:t>
      </w:r>
      <w:r w:rsidR="0061073A" w:rsidRPr="00F26881">
        <w:rPr>
          <w:rtl/>
        </w:rPr>
        <w:t>-</w:t>
      </w:r>
      <w:r w:rsidR="0061073A">
        <w:rPr>
          <w:rtl/>
        </w:rPr>
        <w:tab/>
        <w:t>مقدمة</w:t>
      </w:r>
    </w:p>
    <w:p w14:paraId="4007EE45" w14:textId="1C05F8FA" w:rsidR="00C67DD9" w:rsidRPr="003746CE" w:rsidRDefault="0061073A" w:rsidP="00DE6441">
      <w:pPr>
        <w:pStyle w:val="SingleTxtGA"/>
        <w:rPr>
          <w:lang w:val="en-US" w:eastAsia="zh-TW" w:bidi="en-GB"/>
        </w:rPr>
      </w:pPr>
      <w:r w:rsidRPr="003746CE">
        <w:rPr>
          <w:rtl/>
        </w:rPr>
        <w:t>1-</w:t>
      </w:r>
      <w:r w:rsidRPr="003746CE">
        <w:rPr>
          <w:rtl/>
        </w:rPr>
        <w:tab/>
        <w:t>يبين هذا التقرير المعلومات التي تلقتها اللجنة بين دورتيها الثالثة والعشرين والرابعة والعشرين متابعة لملاحظاتها الختامية بشأن البرازيل ومنغوليا بموجب المادة 29(</w:t>
      </w:r>
      <w:r w:rsidR="00C67DD9" w:rsidRPr="003746CE">
        <w:rPr>
          <w:rtl/>
        </w:rPr>
        <w:t xml:space="preserve">1) </w:t>
      </w:r>
      <w:r w:rsidRPr="003746CE">
        <w:rPr>
          <w:rtl/>
        </w:rPr>
        <w:t>من الاتفاقية، والتقييمات والمقررات التي اعتمدتها اللجنة في دورتها الرابعة والعشرين</w:t>
      </w:r>
      <w:r w:rsidR="00C67DD9" w:rsidRPr="003746CE">
        <w:rPr>
          <w:rStyle w:val="FootnoteReference"/>
          <w:szCs w:val="22"/>
          <w:rtl/>
        </w:rPr>
        <w:t>(</w:t>
      </w:r>
      <w:r w:rsidR="00C67DD9" w:rsidRPr="003746CE">
        <w:rPr>
          <w:rStyle w:val="FootnoteReference"/>
          <w:szCs w:val="22"/>
          <w:rtl/>
        </w:rPr>
        <w:footnoteReference w:id="2"/>
      </w:r>
      <w:r w:rsidR="00C67DD9" w:rsidRPr="003746CE">
        <w:rPr>
          <w:rStyle w:val="FootnoteReference"/>
          <w:szCs w:val="22"/>
          <w:rtl/>
        </w:rPr>
        <w:t>)</w:t>
      </w:r>
      <w:r w:rsidR="00C67DD9" w:rsidRPr="003746CE">
        <w:rPr>
          <w:rtl/>
        </w:rPr>
        <w:t>.</w:t>
      </w:r>
    </w:p>
    <w:p w14:paraId="33F7E1A3" w14:textId="0B4CAE54" w:rsidR="0061073A" w:rsidRPr="00FF0ADB" w:rsidRDefault="0061073A" w:rsidP="00DE6441">
      <w:pPr>
        <w:pStyle w:val="SingleTxtGA"/>
        <w:rPr>
          <w:szCs w:val="20"/>
          <w:rtl/>
          <w:lang w:val="en-US" w:eastAsia="zh-TW"/>
        </w:rPr>
      </w:pPr>
      <w:r w:rsidRPr="00F26881">
        <w:rPr>
          <w:rtl/>
        </w:rPr>
        <w:t>2-</w:t>
      </w:r>
      <w:r>
        <w:rPr>
          <w:rtl/>
        </w:rPr>
        <w:tab/>
        <w:t>وتشير التقييمات الواردة في هذا التقرير إلى توصيات بعينها، اختيرت ضمن إجراء المتابعة، وطُلب إلى الدول الأطراف تقديم معلومات بشأنها في غضون سنة واحدة من اعتماد الملاحظات الختامية. ولا يشكل</w:t>
      </w:r>
      <w:r w:rsidR="00F26881">
        <w:rPr>
          <w:rtl/>
        </w:rPr>
        <w:t xml:space="preserve"> </w:t>
      </w:r>
      <w:r>
        <w:rPr>
          <w:rtl/>
        </w:rPr>
        <w:t>هذا التقرير تقييماً لتنفيذ جميع التوصيات المقدمة إلى الدولة الطرف في الملاحظات الختامية، أو مقارنة بين الدول الأطراف.</w:t>
      </w:r>
    </w:p>
    <w:p w14:paraId="4797F06C" w14:textId="77777777" w:rsidR="0061073A" w:rsidRPr="00AE7397" w:rsidRDefault="0061073A" w:rsidP="00DE6441">
      <w:pPr>
        <w:pStyle w:val="SingleTxtGA"/>
        <w:rPr>
          <w:szCs w:val="20"/>
          <w:lang w:val="ar-SA" w:eastAsia="zh-TW" w:bidi="en-GB"/>
        </w:rPr>
      </w:pPr>
      <w:r w:rsidRPr="00F26881">
        <w:rPr>
          <w:rtl/>
        </w:rPr>
        <w:t>3-</w:t>
      </w:r>
      <w:r>
        <w:rPr>
          <w:rtl/>
        </w:rPr>
        <w:tab/>
        <w:t>وتستخدم اللجنة في تقييم المعلومات المقدمة من الدول الأطراف المعنية، المعايير المبينة أدناه:</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61073A" w:rsidRPr="005D101A" w14:paraId="378FB283" w14:textId="77777777" w:rsidTr="00670197">
        <w:trPr>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AEF40A5" w14:textId="77777777" w:rsidR="0061073A" w:rsidRPr="005D101A" w:rsidRDefault="0061073A" w:rsidP="005D101A">
            <w:pPr>
              <w:spacing w:before="40" w:after="40" w:line="360" w:lineRule="exact"/>
              <w:ind w:left="57" w:right="113"/>
              <w:textDirection w:val="tbRlV"/>
              <w:rPr>
                <w:i/>
                <w:sz w:val="22"/>
                <w:szCs w:val="24"/>
                <w:lang w:eastAsia="zh-TW" w:bidi="en-GB"/>
              </w:rPr>
            </w:pPr>
            <w:r w:rsidRPr="005D101A">
              <w:rPr>
                <w:i/>
                <w:iCs/>
                <w:sz w:val="22"/>
                <w:szCs w:val="24"/>
                <w:rtl/>
              </w:rPr>
              <w:t>معايير التقييم</w:t>
            </w:r>
          </w:p>
        </w:tc>
      </w:tr>
      <w:tr w:rsidR="0061073A" w:rsidRPr="005D101A" w14:paraId="4D34D573" w14:textId="77777777" w:rsidTr="00670197">
        <w:trPr>
          <w:trHeight w:hRule="exact" w:val="113"/>
          <w:tblHeader/>
        </w:trPr>
        <w:tc>
          <w:tcPr>
            <w:tcW w:w="7370" w:type="dxa"/>
            <w:tcBorders>
              <w:top w:val="single" w:sz="12" w:space="0" w:color="auto"/>
              <w:bottom w:val="nil"/>
            </w:tcBorders>
            <w:shd w:val="clear" w:color="auto" w:fill="auto"/>
            <w:tcMar>
              <w:top w:w="0" w:type="dxa"/>
              <w:left w:w="0" w:type="dxa"/>
              <w:bottom w:w="0" w:type="dxa"/>
              <w:right w:w="0" w:type="dxa"/>
            </w:tcMar>
          </w:tcPr>
          <w:p w14:paraId="1EC02AC0" w14:textId="77777777" w:rsidR="0061073A" w:rsidRPr="005D101A" w:rsidRDefault="0061073A" w:rsidP="005D101A">
            <w:pPr>
              <w:spacing w:before="40" w:after="40" w:line="360" w:lineRule="exact"/>
              <w:ind w:left="57" w:right="113"/>
              <w:rPr>
                <w:sz w:val="22"/>
                <w:szCs w:val="24"/>
              </w:rPr>
            </w:pPr>
          </w:p>
        </w:tc>
      </w:tr>
      <w:tr w:rsidR="0061073A" w:rsidRPr="005D101A" w14:paraId="79002524" w14:textId="77777777" w:rsidTr="00670197">
        <w:tc>
          <w:tcPr>
            <w:tcW w:w="7370" w:type="dxa"/>
            <w:tcBorders>
              <w:top w:val="nil"/>
            </w:tcBorders>
            <w:shd w:val="clear" w:color="auto" w:fill="auto"/>
            <w:tcMar>
              <w:top w:w="0" w:type="dxa"/>
              <w:left w:w="0" w:type="dxa"/>
              <w:bottom w:w="0" w:type="dxa"/>
              <w:right w:w="0" w:type="dxa"/>
            </w:tcMar>
          </w:tcPr>
          <w:p w14:paraId="7EED8479" w14:textId="77777777" w:rsidR="0061073A" w:rsidRPr="005D101A" w:rsidRDefault="0061073A" w:rsidP="005D101A">
            <w:pPr>
              <w:adjustRightInd w:val="0"/>
              <w:spacing w:before="40" w:after="40" w:line="360" w:lineRule="exact"/>
              <w:ind w:left="493" w:right="113" w:hanging="436"/>
              <w:textDirection w:val="tbRlV"/>
              <w:rPr>
                <w:sz w:val="22"/>
                <w:szCs w:val="24"/>
                <w:lang w:val="ar-SA" w:eastAsia="zh-TW" w:bidi="en-GB"/>
              </w:rPr>
            </w:pPr>
            <w:r w:rsidRPr="005D101A">
              <w:rPr>
                <w:b/>
                <w:bCs/>
                <w:sz w:val="22"/>
                <w:szCs w:val="24"/>
                <w:rtl/>
              </w:rPr>
              <w:t>ألف</w:t>
            </w:r>
            <w:r w:rsidRPr="005D101A">
              <w:rPr>
                <w:sz w:val="22"/>
                <w:szCs w:val="24"/>
                <w:rtl/>
              </w:rPr>
              <w:tab/>
            </w:r>
            <w:r w:rsidRPr="005D101A">
              <w:rPr>
                <w:b/>
                <w:bCs/>
                <w:sz w:val="22"/>
                <w:szCs w:val="24"/>
                <w:rtl/>
              </w:rPr>
              <w:t>رد/إجراء مرضٍ:</w:t>
            </w:r>
            <w:r w:rsidRPr="005D101A">
              <w:rPr>
                <w:sz w:val="22"/>
                <w:szCs w:val="24"/>
                <w:rtl/>
              </w:rPr>
              <w:t xml:space="preserve"> قدمت الدولة الطرف أدلة على اتخاذ إجراءات مهمة لتنفيذ توصية اللجنة.</w:t>
            </w:r>
          </w:p>
        </w:tc>
      </w:tr>
      <w:tr w:rsidR="0061073A" w:rsidRPr="005D101A" w14:paraId="63DED224" w14:textId="77777777" w:rsidTr="00670197">
        <w:tc>
          <w:tcPr>
            <w:tcW w:w="7370" w:type="dxa"/>
            <w:shd w:val="clear" w:color="auto" w:fill="auto"/>
            <w:tcMar>
              <w:top w:w="0" w:type="dxa"/>
              <w:left w:w="0" w:type="dxa"/>
              <w:bottom w:w="0" w:type="dxa"/>
              <w:right w:w="0" w:type="dxa"/>
            </w:tcMar>
          </w:tcPr>
          <w:p w14:paraId="159DDAC7" w14:textId="5AB5CA40" w:rsidR="0061073A" w:rsidRPr="005D101A" w:rsidRDefault="0061073A" w:rsidP="005D101A">
            <w:pPr>
              <w:adjustRightInd w:val="0"/>
              <w:spacing w:before="40" w:after="40" w:line="360" w:lineRule="exact"/>
              <w:ind w:left="493" w:right="113" w:hanging="436"/>
              <w:textDirection w:val="tbRlV"/>
              <w:rPr>
                <w:sz w:val="22"/>
                <w:szCs w:val="24"/>
                <w:lang w:val="ar-SA" w:eastAsia="zh-TW" w:bidi="en-GB"/>
              </w:rPr>
            </w:pPr>
            <w:r w:rsidRPr="005D101A">
              <w:rPr>
                <w:b/>
                <w:bCs/>
                <w:sz w:val="22"/>
                <w:szCs w:val="24"/>
                <w:rtl/>
              </w:rPr>
              <w:t>باء</w:t>
            </w:r>
            <w:r w:rsidRPr="005D101A">
              <w:rPr>
                <w:sz w:val="22"/>
                <w:szCs w:val="24"/>
                <w:rtl/>
              </w:rPr>
              <w:tab/>
            </w:r>
            <w:r w:rsidRPr="005D101A">
              <w:rPr>
                <w:b/>
                <w:bCs/>
                <w:sz w:val="22"/>
                <w:szCs w:val="24"/>
                <w:rtl/>
              </w:rPr>
              <w:t>ردٌ/إجراءٌ مُرضٍ جزئياً:</w:t>
            </w:r>
            <w:r w:rsidRPr="005D101A">
              <w:rPr>
                <w:sz w:val="22"/>
                <w:szCs w:val="24"/>
                <w:rtl/>
              </w:rPr>
              <w:t xml:space="preserve"> اتخذت الدولة الطرف خطوات لتنفيذ التوصية، لكن لا يزال يتعيّن عليها تقديم معلومات إضافية أو اتخاذ مزيد من الإجراءات.</w:t>
            </w:r>
          </w:p>
        </w:tc>
      </w:tr>
      <w:tr w:rsidR="0061073A" w:rsidRPr="005D101A" w14:paraId="432BE110" w14:textId="77777777" w:rsidTr="00670197">
        <w:tc>
          <w:tcPr>
            <w:tcW w:w="7370" w:type="dxa"/>
            <w:tcBorders>
              <w:bottom w:val="nil"/>
            </w:tcBorders>
            <w:shd w:val="clear" w:color="auto" w:fill="auto"/>
            <w:tcMar>
              <w:top w:w="0" w:type="dxa"/>
              <w:left w:w="0" w:type="dxa"/>
              <w:bottom w:w="0" w:type="dxa"/>
              <w:right w:w="0" w:type="dxa"/>
            </w:tcMar>
          </w:tcPr>
          <w:p w14:paraId="7630A4B6" w14:textId="77777777" w:rsidR="0061073A" w:rsidRPr="005D101A" w:rsidRDefault="0061073A" w:rsidP="005D101A">
            <w:pPr>
              <w:adjustRightInd w:val="0"/>
              <w:spacing w:before="40" w:after="40" w:line="360" w:lineRule="exact"/>
              <w:ind w:left="493" w:right="113" w:hanging="436"/>
              <w:textDirection w:val="tbRlV"/>
              <w:rPr>
                <w:sz w:val="22"/>
                <w:szCs w:val="24"/>
                <w:lang w:val="ar-SA" w:eastAsia="zh-TW" w:bidi="en-GB"/>
              </w:rPr>
            </w:pPr>
            <w:r w:rsidRPr="005D101A">
              <w:rPr>
                <w:b/>
                <w:bCs/>
                <w:sz w:val="22"/>
                <w:szCs w:val="24"/>
                <w:rtl/>
              </w:rPr>
              <w:t>جيم</w:t>
            </w:r>
            <w:r w:rsidRPr="005D101A">
              <w:rPr>
                <w:sz w:val="22"/>
                <w:szCs w:val="24"/>
                <w:rtl/>
              </w:rPr>
              <w:tab/>
            </w:r>
            <w:r w:rsidRPr="005D101A">
              <w:rPr>
                <w:b/>
                <w:bCs/>
                <w:sz w:val="22"/>
                <w:szCs w:val="24"/>
                <w:rtl/>
              </w:rPr>
              <w:t>رد/إجراء غير مرض:</w:t>
            </w:r>
            <w:r w:rsidRPr="005D101A">
              <w:rPr>
                <w:sz w:val="22"/>
                <w:szCs w:val="24"/>
                <w:rtl/>
              </w:rPr>
              <w:t xml:space="preserve"> أرسلت الدولة الطرف رداً، لكن الإجراءات المتخذة أو المعلومات المقدمة ليست ذات صلة أو لا تؤدي إلى تنفيذ التوصية.</w:t>
            </w:r>
          </w:p>
        </w:tc>
      </w:tr>
      <w:tr w:rsidR="0061073A" w:rsidRPr="005D101A" w14:paraId="35639B4A" w14:textId="77777777" w:rsidTr="00670197">
        <w:tc>
          <w:tcPr>
            <w:tcW w:w="7370" w:type="dxa"/>
            <w:tcBorders>
              <w:top w:val="nil"/>
              <w:bottom w:val="nil"/>
            </w:tcBorders>
            <w:shd w:val="clear" w:color="auto" w:fill="auto"/>
            <w:tcMar>
              <w:top w:w="0" w:type="dxa"/>
              <w:left w:w="0" w:type="dxa"/>
              <w:bottom w:w="0" w:type="dxa"/>
              <w:right w:w="0" w:type="dxa"/>
            </w:tcMar>
          </w:tcPr>
          <w:p w14:paraId="056601E7" w14:textId="5FA64DF7" w:rsidR="0061073A" w:rsidRPr="005D101A" w:rsidRDefault="0061073A" w:rsidP="005D101A">
            <w:pPr>
              <w:adjustRightInd w:val="0"/>
              <w:spacing w:before="40" w:after="40" w:line="360" w:lineRule="exact"/>
              <w:ind w:left="493" w:right="113" w:hanging="436"/>
              <w:textDirection w:val="tbRlV"/>
              <w:rPr>
                <w:sz w:val="22"/>
                <w:szCs w:val="24"/>
                <w:lang w:val="ar-SA" w:eastAsia="zh-TW" w:bidi="en-GB"/>
              </w:rPr>
            </w:pPr>
            <w:r w:rsidRPr="005D101A">
              <w:rPr>
                <w:b/>
                <w:bCs/>
                <w:sz w:val="22"/>
                <w:szCs w:val="24"/>
                <w:rtl/>
              </w:rPr>
              <w:t>دال</w:t>
            </w:r>
            <w:r w:rsidRPr="005D101A">
              <w:rPr>
                <w:sz w:val="22"/>
                <w:szCs w:val="24"/>
                <w:rtl/>
              </w:rPr>
              <w:tab/>
            </w:r>
            <w:r w:rsidRPr="005D101A">
              <w:rPr>
                <w:b/>
                <w:bCs/>
                <w:sz w:val="22"/>
                <w:szCs w:val="24"/>
                <w:rtl/>
              </w:rPr>
              <w:t>لم يقدم رد بشأن أي توصية:</w:t>
            </w:r>
            <w:r w:rsidRPr="005D101A">
              <w:rPr>
                <w:sz w:val="22"/>
                <w:szCs w:val="24"/>
                <w:rtl/>
              </w:rPr>
              <w:t xml:space="preserve"> لم تقدم الدولة الطرف أي معلومات عن تنفيذ التوصية.</w:t>
            </w:r>
          </w:p>
        </w:tc>
      </w:tr>
      <w:tr w:rsidR="0061073A" w:rsidRPr="005D101A" w14:paraId="1710910F" w14:textId="77777777" w:rsidTr="00670197">
        <w:tc>
          <w:tcPr>
            <w:tcW w:w="7370" w:type="dxa"/>
            <w:tcBorders>
              <w:top w:val="nil"/>
            </w:tcBorders>
            <w:shd w:val="clear" w:color="auto" w:fill="auto"/>
            <w:tcMar>
              <w:top w:w="0" w:type="dxa"/>
              <w:left w:w="0" w:type="dxa"/>
              <w:bottom w:w="0" w:type="dxa"/>
              <w:right w:w="0" w:type="dxa"/>
            </w:tcMar>
          </w:tcPr>
          <w:p w14:paraId="49492B57" w14:textId="21CC7317" w:rsidR="0061073A" w:rsidRPr="005D101A" w:rsidRDefault="0061073A" w:rsidP="005D101A">
            <w:pPr>
              <w:adjustRightInd w:val="0"/>
              <w:spacing w:before="40" w:after="40" w:line="360" w:lineRule="exact"/>
              <w:ind w:left="493" w:right="113" w:hanging="436"/>
              <w:textDirection w:val="tbRlV"/>
              <w:rPr>
                <w:sz w:val="22"/>
                <w:szCs w:val="24"/>
                <w:lang w:val="ar-SA" w:eastAsia="zh-TW" w:bidi="en-GB"/>
              </w:rPr>
            </w:pPr>
            <w:r w:rsidRPr="005D101A">
              <w:rPr>
                <w:b/>
                <w:bCs/>
                <w:sz w:val="22"/>
                <w:szCs w:val="24"/>
                <w:rtl/>
              </w:rPr>
              <w:t>هاء</w:t>
            </w:r>
            <w:r w:rsidRPr="005D101A">
              <w:rPr>
                <w:sz w:val="22"/>
                <w:szCs w:val="24"/>
                <w:rtl/>
              </w:rPr>
              <w:tab/>
            </w:r>
            <w:r w:rsidRPr="005D101A">
              <w:rPr>
                <w:b/>
                <w:bCs/>
                <w:sz w:val="22"/>
                <w:szCs w:val="24"/>
                <w:rtl/>
              </w:rPr>
              <w:t>المعلومات أو التدابير المتخذة تتعارض مع توصية اللجنة أو تبين</w:t>
            </w:r>
            <w:r w:rsidR="00F26881" w:rsidRPr="005D101A">
              <w:rPr>
                <w:b/>
                <w:bCs/>
                <w:sz w:val="22"/>
                <w:szCs w:val="24"/>
                <w:rtl/>
              </w:rPr>
              <w:t xml:space="preserve"> </w:t>
            </w:r>
            <w:r w:rsidRPr="005D101A">
              <w:rPr>
                <w:b/>
                <w:bCs/>
                <w:sz w:val="22"/>
                <w:szCs w:val="24"/>
                <w:rtl/>
              </w:rPr>
              <w:t>رفضها:</w:t>
            </w:r>
            <w:r w:rsidRPr="005D101A">
              <w:rPr>
                <w:sz w:val="22"/>
                <w:szCs w:val="24"/>
                <w:rtl/>
              </w:rPr>
              <w:t xml:space="preserve"> يكشف الرد أن التدابير المتخذة تتعارض مع توصية اللجنة أو تترتب عليها نتائج أو عواقب تتعارض مع توصية اللجنة أو تنم عن رفضها.</w:t>
            </w:r>
          </w:p>
        </w:tc>
      </w:tr>
    </w:tbl>
    <w:p w14:paraId="7199A7DD" w14:textId="7FA19F99" w:rsidR="0061073A" w:rsidRPr="00AE7397" w:rsidRDefault="00DE6441" w:rsidP="00DE6441">
      <w:pPr>
        <w:pStyle w:val="HChGA"/>
        <w:rPr>
          <w:szCs w:val="20"/>
          <w:lang w:val="ar-SA" w:eastAsia="zh-TW" w:bidi="en-GB"/>
        </w:rPr>
      </w:pPr>
      <w:r>
        <w:rPr>
          <w:rtl/>
        </w:rPr>
        <w:lastRenderedPageBreak/>
        <w:tab/>
      </w:r>
      <w:r w:rsidR="0061073A">
        <w:rPr>
          <w:rtl/>
        </w:rPr>
        <w:t>ثانياً</w:t>
      </w:r>
      <w:r w:rsidR="0061073A" w:rsidRPr="00F26881">
        <w:rPr>
          <w:rtl/>
        </w:rPr>
        <w:t>-</w:t>
      </w:r>
      <w:r w:rsidR="0061073A">
        <w:rPr>
          <w:rtl/>
        </w:rPr>
        <w:tab/>
        <w:t xml:space="preserve">تقييم معلومات المتابعة المقدمة بموجب المادة </w:t>
      </w:r>
      <w:r w:rsidR="0061073A" w:rsidRPr="00F26881">
        <w:rPr>
          <w:rtl/>
        </w:rPr>
        <w:t>29(</w:t>
      </w:r>
      <w:r w:rsidR="00C67DD9" w:rsidRPr="00C67DD9">
        <w:rPr>
          <w:rtl/>
        </w:rPr>
        <w:t xml:space="preserve">1) </w:t>
      </w:r>
      <w:r w:rsidR="0061073A">
        <w:rPr>
          <w:rtl/>
        </w:rPr>
        <w:t>من الاتفاقية</w:t>
      </w:r>
    </w:p>
    <w:p w14:paraId="2EC9CB10" w14:textId="080ACC82" w:rsidR="0061073A" w:rsidRPr="00AE7397" w:rsidRDefault="00DE6441" w:rsidP="00DE6441">
      <w:pPr>
        <w:pStyle w:val="H1GA"/>
        <w:rPr>
          <w:szCs w:val="20"/>
          <w:lang w:val="ar-SA" w:eastAsia="zh-TW" w:bidi="en-GB"/>
        </w:rPr>
      </w:pPr>
      <w:r>
        <w:rPr>
          <w:rtl/>
        </w:rPr>
        <w:tab/>
      </w:r>
      <w:r w:rsidR="0061073A">
        <w:rPr>
          <w:rtl/>
        </w:rPr>
        <w:t>ألف</w:t>
      </w:r>
      <w:r w:rsidR="0061073A" w:rsidRPr="00F26881">
        <w:rPr>
          <w:rtl/>
        </w:rPr>
        <w:t>-</w:t>
      </w:r>
      <w:r w:rsidR="0061073A">
        <w:rPr>
          <w:rtl/>
        </w:rPr>
        <w:tab/>
        <w:t>البرازيل</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1073A" w:rsidRPr="005D101A" w14:paraId="18D1674D" w14:textId="77777777" w:rsidTr="00670197">
        <w:tc>
          <w:tcPr>
            <w:tcW w:w="3402" w:type="dxa"/>
            <w:tcBorders>
              <w:top w:val="single" w:sz="12" w:space="0" w:color="auto"/>
            </w:tcBorders>
            <w:shd w:val="clear" w:color="auto" w:fill="auto"/>
            <w:tcMar>
              <w:top w:w="0" w:type="dxa"/>
              <w:left w:w="0" w:type="dxa"/>
              <w:bottom w:w="0" w:type="dxa"/>
              <w:right w:w="0" w:type="dxa"/>
            </w:tcMar>
          </w:tcPr>
          <w:p w14:paraId="0E7FEF5F" w14:textId="77777777" w:rsidR="0061073A" w:rsidRPr="005D101A" w:rsidRDefault="0061073A" w:rsidP="005D101A">
            <w:pPr>
              <w:spacing w:before="40" w:after="40" w:line="360" w:lineRule="exact"/>
              <w:ind w:left="57" w:right="113"/>
              <w:textDirection w:val="tbRlV"/>
              <w:rPr>
                <w:sz w:val="22"/>
                <w:lang w:val="ar-SA" w:eastAsia="zh-TW" w:bidi="en-GB"/>
              </w:rPr>
            </w:pPr>
            <w:r w:rsidRPr="005D101A">
              <w:rPr>
                <w:b/>
                <w:bCs/>
                <w:sz w:val="22"/>
                <w:rtl/>
              </w:rPr>
              <w:t>ملاحظات ختامية:</w:t>
            </w:r>
          </w:p>
        </w:tc>
        <w:tc>
          <w:tcPr>
            <w:tcW w:w="3968" w:type="dxa"/>
            <w:tcBorders>
              <w:top w:val="single" w:sz="12" w:space="0" w:color="auto"/>
            </w:tcBorders>
            <w:shd w:val="clear" w:color="auto" w:fill="auto"/>
            <w:tcMar>
              <w:top w:w="0" w:type="dxa"/>
              <w:left w:w="0" w:type="dxa"/>
              <w:bottom w:w="0" w:type="dxa"/>
              <w:right w:w="0" w:type="dxa"/>
            </w:tcMar>
          </w:tcPr>
          <w:p w14:paraId="5D0EB8B9" w14:textId="70D03334" w:rsidR="0061073A" w:rsidRPr="005D101A" w:rsidRDefault="00791D4E" w:rsidP="005D101A">
            <w:pPr>
              <w:spacing w:before="40" w:after="40" w:line="360" w:lineRule="exact"/>
              <w:ind w:left="57" w:right="113"/>
              <w:textDirection w:val="tbRlV"/>
              <w:rPr>
                <w:sz w:val="22"/>
                <w:lang w:eastAsia="zh-TW" w:bidi="en-GB"/>
              </w:rPr>
            </w:pPr>
            <w:hyperlink r:id="rId9" w:history="1">
              <w:proofErr w:type="spellStart"/>
              <w:r w:rsidR="0061073A" w:rsidRPr="005D101A">
                <w:rPr>
                  <w:rStyle w:val="Hyperlink"/>
                  <w:spacing w:val="-4"/>
                  <w:sz w:val="22"/>
                </w:rPr>
                <w:t>CED</w:t>
              </w:r>
              <w:proofErr w:type="spellEnd"/>
              <w:r w:rsidR="0061073A" w:rsidRPr="005D101A">
                <w:rPr>
                  <w:rStyle w:val="Hyperlink"/>
                  <w:spacing w:val="-4"/>
                  <w:sz w:val="22"/>
                </w:rPr>
                <w:t>/C/BRA/CO/1</w:t>
              </w:r>
            </w:hyperlink>
            <w:r w:rsidR="0061073A" w:rsidRPr="005D101A">
              <w:rPr>
                <w:spacing w:val="-4"/>
                <w:sz w:val="22"/>
                <w:rtl/>
              </w:rPr>
              <w:t xml:space="preserve">، اعتمدت في 23 أيلول/سبتمبر 2021 </w:t>
            </w:r>
            <w:r w:rsidR="0061073A" w:rsidRPr="005D101A">
              <w:rPr>
                <w:sz w:val="22"/>
                <w:rtl/>
              </w:rPr>
              <w:t>(الدورة الحادية والعشرون)</w:t>
            </w:r>
          </w:p>
        </w:tc>
      </w:tr>
      <w:tr w:rsidR="0061073A" w:rsidRPr="005D101A" w14:paraId="13E208B3" w14:textId="77777777" w:rsidTr="00670197">
        <w:tc>
          <w:tcPr>
            <w:tcW w:w="3402" w:type="dxa"/>
            <w:shd w:val="clear" w:color="auto" w:fill="auto"/>
            <w:tcMar>
              <w:top w:w="0" w:type="dxa"/>
              <w:left w:w="0" w:type="dxa"/>
              <w:bottom w:w="0" w:type="dxa"/>
              <w:right w:w="0" w:type="dxa"/>
            </w:tcMar>
          </w:tcPr>
          <w:p w14:paraId="3474C380" w14:textId="77777777" w:rsidR="0061073A" w:rsidRPr="005D101A" w:rsidRDefault="0061073A" w:rsidP="005D101A">
            <w:pPr>
              <w:spacing w:before="40" w:after="40" w:line="360" w:lineRule="exact"/>
              <w:ind w:left="57" w:right="113"/>
              <w:textDirection w:val="tbRlV"/>
              <w:rPr>
                <w:sz w:val="22"/>
                <w:lang w:val="ar-SA" w:eastAsia="zh-TW" w:bidi="en-GB"/>
              </w:rPr>
            </w:pPr>
            <w:r w:rsidRPr="005D101A">
              <w:rPr>
                <w:b/>
                <w:bCs/>
                <w:sz w:val="22"/>
                <w:rtl/>
              </w:rPr>
              <w:t>التوصيات موضوع المتابعة:</w:t>
            </w:r>
          </w:p>
        </w:tc>
        <w:tc>
          <w:tcPr>
            <w:tcW w:w="3968" w:type="dxa"/>
            <w:shd w:val="clear" w:color="auto" w:fill="auto"/>
            <w:tcMar>
              <w:top w:w="0" w:type="dxa"/>
              <w:left w:w="0" w:type="dxa"/>
              <w:bottom w:w="0" w:type="dxa"/>
              <w:right w:w="0" w:type="dxa"/>
            </w:tcMar>
          </w:tcPr>
          <w:p w14:paraId="7E7CC6C2" w14:textId="77777777" w:rsidR="0061073A" w:rsidRPr="005D101A" w:rsidRDefault="0061073A" w:rsidP="005D101A">
            <w:pPr>
              <w:spacing w:before="40" w:after="40" w:line="360" w:lineRule="exact"/>
              <w:ind w:left="57" w:right="113"/>
              <w:textDirection w:val="tbRlV"/>
              <w:rPr>
                <w:sz w:val="22"/>
                <w:rtl/>
                <w:lang w:val="ar-SA" w:eastAsia="zh-TW" w:bidi="en-GB"/>
              </w:rPr>
            </w:pPr>
            <w:r w:rsidRPr="005D101A">
              <w:rPr>
                <w:sz w:val="22"/>
                <w:rtl/>
              </w:rPr>
              <w:t>الفقرات 13</w:t>
            </w:r>
            <w:r w:rsidRPr="005D101A">
              <w:rPr>
                <w:rFonts w:ascii="Simplified Arabic"/>
                <w:sz w:val="22"/>
                <w:rtl/>
              </w:rPr>
              <w:t xml:space="preserve"> </w:t>
            </w:r>
            <w:r w:rsidRPr="005D101A">
              <w:rPr>
                <w:sz w:val="22"/>
                <w:rtl/>
              </w:rPr>
              <w:t xml:space="preserve">(معلومات إحصائية) </w:t>
            </w:r>
            <w:proofErr w:type="spellStart"/>
            <w:r w:rsidRPr="005D101A">
              <w:rPr>
                <w:sz w:val="22"/>
                <w:rtl/>
              </w:rPr>
              <w:t>و15</w:t>
            </w:r>
            <w:proofErr w:type="spellEnd"/>
            <w:r w:rsidRPr="005D101A">
              <w:rPr>
                <w:rFonts w:ascii="Simplified Arabic"/>
                <w:sz w:val="22"/>
                <w:rtl/>
              </w:rPr>
              <w:t xml:space="preserve"> </w:t>
            </w:r>
            <w:r w:rsidRPr="005D101A">
              <w:rPr>
                <w:sz w:val="22"/>
                <w:rtl/>
              </w:rPr>
              <w:t xml:space="preserve">(جريمة الاختفاء القسري) </w:t>
            </w:r>
            <w:proofErr w:type="spellStart"/>
            <w:r w:rsidRPr="005D101A">
              <w:rPr>
                <w:sz w:val="22"/>
                <w:rtl/>
              </w:rPr>
              <w:t>و19</w:t>
            </w:r>
            <w:proofErr w:type="spellEnd"/>
            <w:r w:rsidRPr="005D101A">
              <w:rPr>
                <w:rFonts w:ascii="Simplified Arabic"/>
                <w:sz w:val="22"/>
                <w:rtl/>
              </w:rPr>
              <w:t xml:space="preserve"> </w:t>
            </w:r>
            <w:r w:rsidRPr="005D101A">
              <w:rPr>
                <w:sz w:val="22"/>
                <w:rtl/>
              </w:rPr>
              <w:t xml:space="preserve">(الولاية القضائية العسكرية) </w:t>
            </w:r>
          </w:p>
        </w:tc>
      </w:tr>
      <w:tr w:rsidR="0061073A" w:rsidRPr="005D101A" w14:paraId="3EFB887A" w14:textId="77777777" w:rsidTr="00670197">
        <w:tc>
          <w:tcPr>
            <w:tcW w:w="3402" w:type="dxa"/>
            <w:shd w:val="clear" w:color="auto" w:fill="auto"/>
            <w:tcMar>
              <w:top w:w="0" w:type="dxa"/>
              <w:left w:w="0" w:type="dxa"/>
              <w:bottom w:w="0" w:type="dxa"/>
              <w:right w:w="0" w:type="dxa"/>
            </w:tcMar>
          </w:tcPr>
          <w:p w14:paraId="61747731" w14:textId="77777777" w:rsidR="0061073A" w:rsidRPr="005D101A" w:rsidRDefault="0061073A" w:rsidP="005D101A">
            <w:pPr>
              <w:spacing w:before="40" w:after="40" w:line="360" w:lineRule="exact"/>
              <w:ind w:left="57" w:right="113"/>
              <w:textDirection w:val="tbRlV"/>
              <w:rPr>
                <w:sz w:val="22"/>
                <w:lang w:val="ar-SA" w:eastAsia="zh-TW" w:bidi="en-GB"/>
              </w:rPr>
            </w:pPr>
            <w:r w:rsidRPr="005D101A">
              <w:rPr>
                <w:b/>
                <w:bCs/>
                <w:sz w:val="22"/>
                <w:rtl/>
              </w:rPr>
              <w:t>الرد:</w:t>
            </w:r>
          </w:p>
        </w:tc>
        <w:tc>
          <w:tcPr>
            <w:tcW w:w="3968" w:type="dxa"/>
            <w:shd w:val="clear" w:color="auto" w:fill="auto"/>
            <w:tcMar>
              <w:top w:w="0" w:type="dxa"/>
              <w:left w:w="0" w:type="dxa"/>
              <w:bottom w:w="0" w:type="dxa"/>
              <w:right w:w="0" w:type="dxa"/>
            </w:tcMar>
          </w:tcPr>
          <w:p w14:paraId="4C0D8D88" w14:textId="0A211428" w:rsidR="0061073A" w:rsidRPr="005D101A" w:rsidRDefault="00791D4E" w:rsidP="005D101A">
            <w:pPr>
              <w:spacing w:before="40" w:after="40" w:line="360" w:lineRule="exact"/>
              <w:ind w:left="57" w:right="113"/>
              <w:textDirection w:val="tbRlV"/>
              <w:rPr>
                <w:sz w:val="22"/>
              </w:rPr>
            </w:pPr>
            <w:hyperlink r:id="rId10" w:history="1">
              <w:proofErr w:type="spellStart"/>
              <w:r w:rsidR="0061073A" w:rsidRPr="005D101A">
                <w:rPr>
                  <w:rStyle w:val="Hyperlink"/>
                  <w:sz w:val="22"/>
                </w:rPr>
                <w:t>CED</w:t>
              </w:r>
              <w:proofErr w:type="spellEnd"/>
              <w:r w:rsidR="0061073A" w:rsidRPr="005D101A">
                <w:rPr>
                  <w:rStyle w:val="Hyperlink"/>
                  <w:sz w:val="22"/>
                </w:rPr>
                <w:t>/C/BRA/</w:t>
              </w:r>
              <w:proofErr w:type="spellStart"/>
              <w:r w:rsidR="0061073A" w:rsidRPr="005D101A">
                <w:rPr>
                  <w:rStyle w:val="Hyperlink"/>
                  <w:sz w:val="22"/>
                </w:rPr>
                <w:t>FCO</w:t>
              </w:r>
              <w:proofErr w:type="spellEnd"/>
              <w:r w:rsidR="0061073A" w:rsidRPr="005D101A">
                <w:rPr>
                  <w:rStyle w:val="Hyperlink"/>
                  <w:sz w:val="22"/>
                </w:rPr>
                <w:t>/1</w:t>
              </w:r>
            </w:hyperlink>
            <w:r w:rsidR="0061073A" w:rsidRPr="005D101A">
              <w:rPr>
                <w:sz w:val="22"/>
                <w:rtl/>
              </w:rPr>
              <w:t>،</w:t>
            </w:r>
            <w:r w:rsidR="0061073A" w:rsidRPr="005D101A">
              <w:rPr>
                <w:sz w:val="22"/>
              </w:rPr>
              <w:t xml:space="preserve"> </w:t>
            </w:r>
            <w:r w:rsidR="0061073A" w:rsidRPr="005D101A">
              <w:rPr>
                <w:sz w:val="22"/>
                <w:rtl/>
              </w:rPr>
              <w:t>حل موعد تقديمه في 27 أيلول/سبتمبر 2022، وورد في 5 كانون الأول/ديسمبر</w:t>
            </w:r>
            <w:r w:rsidR="0061073A" w:rsidRPr="005D101A">
              <w:rPr>
                <w:sz w:val="22"/>
              </w:rPr>
              <w:t xml:space="preserve"> 2022</w:t>
            </w:r>
          </w:p>
        </w:tc>
      </w:tr>
      <w:tr w:rsidR="0061073A" w:rsidRPr="005D101A" w14:paraId="42514F94" w14:textId="77777777" w:rsidTr="00670197">
        <w:tc>
          <w:tcPr>
            <w:tcW w:w="3402" w:type="dxa"/>
            <w:shd w:val="clear" w:color="auto" w:fill="auto"/>
            <w:tcMar>
              <w:top w:w="0" w:type="dxa"/>
              <w:left w:w="0" w:type="dxa"/>
              <w:bottom w:w="0" w:type="dxa"/>
              <w:right w:w="0" w:type="dxa"/>
            </w:tcMar>
          </w:tcPr>
          <w:p w14:paraId="52AF83A4" w14:textId="77777777" w:rsidR="0061073A" w:rsidRPr="005D101A" w:rsidRDefault="0061073A" w:rsidP="005D101A">
            <w:pPr>
              <w:spacing w:before="40" w:after="40" w:line="360" w:lineRule="exact"/>
              <w:ind w:left="57" w:right="113"/>
              <w:textDirection w:val="tbRlV"/>
              <w:rPr>
                <w:sz w:val="22"/>
                <w:lang w:val="ar-SA" w:eastAsia="zh-TW" w:bidi="en-GB"/>
              </w:rPr>
            </w:pPr>
            <w:r w:rsidRPr="005D101A">
              <w:rPr>
                <w:b/>
                <w:bCs/>
                <w:sz w:val="22"/>
                <w:rtl/>
              </w:rPr>
              <w:t>المعلومات المقدمة من الجهات الأخرى صاحبة المصلحة:</w:t>
            </w:r>
          </w:p>
        </w:tc>
        <w:tc>
          <w:tcPr>
            <w:tcW w:w="3968" w:type="dxa"/>
            <w:shd w:val="clear" w:color="auto" w:fill="auto"/>
            <w:tcMar>
              <w:top w:w="0" w:type="dxa"/>
              <w:left w:w="0" w:type="dxa"/>
              <w:bottom w:w="0" w:type="dxa"/>
              <w:right w:w="0" w:type="dxa"/>
            </w:tcMar>
          </w:tcPr>
          <w:p w14:paraId="325A03D2" w14:textId="74FC7E5A" w:rsidR="0061073A" w:rsidRPr="005D101A" w:rsidRDefault="0061073A" w:rsidP="005D101A">
            <w:pPr>
              <w:spacing w:before="40" w:after="40" w:line="360" w:lineRule="exact"/>
              <w:ind w:left="57" w:right="113"/>
              <w:textDirection w:val="tbRlV"/>
              <w:rPr>
                <w:sz w:val="22"/>
                <w:rtl/>
                <w:lang w:val="ar-SA" w:eastAsia="zh-TW" w:bidi="en-GB"/>
              </w:rPr>
            </w:pPr>
            <w:r w:rsidRPr="005D101A">
              <w:rPr>
                <w:sz w:val="22"/>
                <w:rtl/>
              </w:rPr>
              <w:t xml:space="preserve">مكتب المحامي العام الاتحادي، ورد في 14 كانون الأول/ديسمبر 2022، ومنظمة </w:t>
            </w:r>
            <w:proofErr w:type="spellStart"/>
            <w:r w:rsidRPr="005D101A">
              <w:rPr>
                <w:sz w:val="22"/>
                <w:rtl/>
              </w:rPr>
              <w:t>كونيكتاش</w:t>
            </w:r>
            <w:proofErr w:type="spellEnd"/>
            <w:r w:rsidRPr="005D101A">
              <w:rPr>
                <w:sz w:val="22"/>
                <w:rtl/>
              </w:rPr>
              <w:t xml:space="preserve"> لحقوق الإنسان، ورد في 26 كانون الأول/ديسمبر 2022</w:t>
            </w:r>
          </w:p>
        </w:tc>
      </w:tr>
    </w:tbl>
    <w:p w14:paraId="4466B4C3" w14:textId="168B746D" w:rsidR="0061073A" w:rsidRPr="000924E6" w:rsidRDefault="0061073A" w:rsidP="000924E6">
      <w:pPr>
        <w:pStyle w:val="SingleTxtGA"/>
        <w:spacing w:before="120"/>
        <w:rPr>
          <w:b/>
          <w:bCs/>
          <w:szCs w:val="20"/>
          <w:lang w:val="ar-SA" w:eastAsia="zh-TW" w:bidi="en-GB"/>
        </w:rPr>
      </w:pPr>
      <w:r w:rsidRPr="000924E6">
        <w:rPr>
          <w:b/>
          <w:bCs/>
          <w:rtl/>
        </w:rPr>
        <w:t>الفقرة 1</w:t>
      </w:r>
      <w:r w:rsidR="00C67DD9" w:rsidRPr="00C67DD9">
        <w:rPr>
          <w:b/>
          <w:bCs/>
          <w:rtl/>
        </w:rPr>
        <w:t>3</w:t>
      </w:r>
      <w:r w:rsidR="00C67DD9" w:rsidRPr="00C67DD9">
        <w:rPr>
          <w:rFonts w:ascii="Simplified Arabic"/>
          <w:b/>
          <w:bCs/>
          <w:szCs w:val="20"/>
          <w:rtl/>
        </w:rPr>
        <w:t>:</w:t>
      </w:r>
      <w:r w:rsidR="00C67DD9" w:rsidRPr="00C67DD9">
        <w:rPr>
          <w:b/>
          <w:bCs/>
          <w:rtl/>
        </w:rPr>
        <w:t xml:space="preserve"> </w:t>
      </w:r>
      <w:r w:rsidRPr="000924E6">
        <w:rPr>
          <w:b/>
          <w:bCs/>
          <w:rtl/>
        </w:rPr>
        <w:t>ينبغي أن تتخذ الدولة الطرف الخطوات اللازمة للإسراع بإصدار معلومات إحصائية دقيقة ومحدَّثة عن الأشخاص المختفين، مصنفة حسب الجنس والسن والجنسية ومكان المنشأ والأصل العرقي أو الإثني. وينبغي أن تتضمن هذه المعلومات الإحصائية تاريخ الاختفاء؛ وعدد الأشخاص الذين حُدِّدت أماكنهم، سواء أكانوا أحياء أم متوفين؛ وعدد الحالات التي قد تنطوي على شكل من أشكال مشاركة</w:t>
      </w:r>
      <w:r w:rsidR="00C62FFC" w:rsidRPr="000924E6">
        <w:rPr>
          <w:rFonts w:hint="cs"/>
          <w:b/>
          <w:bCs/>
          <w:rtl/>
        </w:rPr>
        <w:t xml:space="preserve"> </w:t>
      </w:r>
      <w:r w:rsidRPr="000924E6">
        <w:rPr>
          <w:b/>
          <w:bCs/>
          <w:rtl/>
        </w:rPr>
        <w:t>الدولة بالمعنى المقصود في المادة 2 من الاتفاقية. وفي هذا الصدد، توصي اللجنة الدولة الطرف بالتعجيل بوضع السجل الوطني للأشخاص المختفين موضع التنفيذ، مع ضمان أن يشمل، على الأقل، جميع المعلومات المشار إليها في هذه التوصية.</w:t>
      </w:r>
    </w:p>
    <w:p w14:paraId="33316812" w14:textId="77777777" w:rsidR="0061073A" w:rsidRPr="00AE7397" w:rsidRDefault="0061073A" w:rsidP="00DE6441">
      <w:pPr>
        <w:pStyle w:val="H23GA"/>
        <w:rPr>
          <w:szCs w:val="20"/>
          <w:lang w:val="ar-SA" w:eastAsia="zh-TW" w:bidi="en-GB"/>
        </w:rPr>
      </w:pPr>
      <w:r>
        <w:rPr>
          <w:rtl/>
        </w:rPr>
        <w:tab/>
      </w:r>
      <w:r>
        <w:rPr>
          <w:rtl/>
        </w:rPr>
        <w:tab/>
        <w:t>ردّ الدولة الطرف</w:t>
      </w:r>
    </w:p>
    <w:p w14:paraId="4AD88E04" w14:textId="0370EE0C" w:rsidR="00C67DD9" w:rsidRPr="00C67DD9" w:rsidRDefault="0061073A" w:rsidP="00C67DD9">
      <w:pPr>
        <w:pStyle w:val="SingleTxtGA"/>
      </w:pPr>
      <w:r w:rsidRPr="000924E6">
        <w:rPr>
          <w:rtl/>
        </w:rPr>
        <w:t>4-</w:t>
      </w:r>
      <w:r w:rsidRPr="000924E6">
        <w:rPr>
          <w:rtl/>
        </w:rPr>
        <w:tab/>
        <w:t xml:space="preserve">يردّ رد الدولة الطرف في الفقرتين 1 </w:t>
      </w:r>
      <w:proofErr w:type="spellStart"/>
      <w:r w:rsidRPr="000924E6">
        <w:rPr>
          <w:rtl/>
        </w:rPr>
        <w:t>و2</w:t>
      </w:r>
      <w:proofErr w:type="spellEnd"/>
      <w:r w:rsidRPr="000924E6">
        <w:rPr>
          <w:rtl/>
        </w:rPr>
        <w:t xml:space="preserve"> من الوثيقة </w:t>
      </w:r>
      <w:hyperlink r:id="rId11" w:history="1">
        <w:proofErr w:type="spellStart"/>
        <w:r w:rsidRPr="00C67DD9">
          <w:rPr>
            <w:rStyle w:val="Hyperlink"/>
            <w:lang w:val="en-US"/>
          </w:rPr>
          <w:t>CED</w:t>
        </w:r>
        <w:proofErr w:type="spellEnd"/>
        <w:r w:rsidRPr="00C67DD9">
          <w:rPr>
            <w:rStyle w:val="Hyperlink"/>
            <w:lang w:val="en-US"/>
          </w:rPr>
          <w:t>/C/BRA/</w:t>
        </w:r>
        <w:proofErr w:type="spellStart"/>
        <w:r w:rsidRPr="00C67DD9">
          <w:rPr>
            <w:rStyle w:val="Hyperlink"/>
            <w:lang w:val="en-US"/>
          </w:rPr>
          <w:t>FCO</w:t>
        </w:r>
        <w:proofErr w:type="spellEnd"/>
        <w:r w:rsidRPr="00C67DD9">
          <w:rPr>
            <w:rStyle w:val="Hyperlink"/>
            <w:lang w:val="en-US"/>
          </w:rPr>
          <w:t>/</w:t>
        </w:r>
        <w:r w:rsidR="00C67DD9" w:rsidRPr="00C67DD9">
          <w:rPr>
            <w:rStyle w:val="Hyperlink"/>
            <w:lang w:val="en-US"/>
          </w:rPr>
          <w:t>1</w:t>
        </w:r>
      </w:hyperlink>
      <w:r w:rsidR="00C67DD9" w:rsidRPr="00C67DD9">
        <w:rPr>
          <w:rtl/>
        </w:rPr>
        <w:t>.</w:t>
      </w:r>
    </w:p>
    <w:p w14:paraId="7E7888CF" w14:textId="70CD0937" w:rsidR="0061073A" w:rsidRPr="00AE7397" w:rsidRDefault="0061073A" w:rsidP="00DE6441">
      <w:pPr>
        <w:pStyle w:val="H23GA"/>
        <w:rPr>
          <w:szCs w:val="20"/>
          <w:lang w:val="ar-SA" w:eastAsia="zh-TW" w:bidi="en-GB"/>
        </w:rPr>
      </w:pPr>
      <w:r>
        <w:rPr>
          <w:rtl/>
        </w:rPr>
        <w:tab/>
      </w:r>
      <w:r>
        <w:rPr>
          <w:rtl/>
        </w:rPr>
        <w:tab/>
        <w:t>تقييم اللجنة</w:t>
      </w:r>
    </w:p>
    <w:p w14:paraId="71256575" w14:textId="4D1FCDA6" w:rsidR="0061073A" w:rsidRPr="000924E6" w:rsidRDefault="0061073A" w:rsidP="00DE6441">
      <w:pPr>
        <w:pStyle w:val="SingleTxtGA"/>
      </w:pPr>
      <w:r w:rsidRPr="000924E6">
        <w:rPr>
          <w:rtl/>
        </w:rPr>
        <w:t>5-</w:t>
      </w:r>
      <w:r w:rsidRPr="000924E6">
        <w:rPr>
          <w:rtl/>
        </w:rPr>
        <w:tab/>
      </w:r>
      <w:r w:rsidRPr="00FC5BAB">
        <w:rPr>
          <w:b/>
          <w:bCs/>
          <w:rtl/>
        </w:rPr>
        <w:t>[جيم</w:t>
      </w:r>
      <w:r w:rsidR="00C67DD9" w:rsidRPr="00C67DD9">
        <w:rPr>
          <w:b/>
          <w:bCs/>
          <w:rtl/>
        </w:rPr>
        <w:t>]:</w:t>
      </w:r>
      <w:r w:rsidR="00C67DD9" w:rsidRPr="00C67DD9">
        <w:rPr>
          <w:rtl/>
        </w:rPr>
        <w:t xml:space="preserve"> </w:t>
      </w:r>
      <w:r w:rsidRPr="000924E6">
        <w:rPr>
          <w:rtl/>
        </w:rPr>
        <w:t>تحيط اللجنة علماً بالمعلومات التي قدمتها الدولة الطرف بشأن تجميع سلطات الدولة للبيانات الإحصائية المتعلقة بحالات الاختفاء. غير أن اللجنة تلاحظ أن البيانات المشار إليها لا تتيح تحديد هويات ضحايا الاختفاء القسري. وفي حين أن المعلومات المتاحة تفيد بأن الشرطة في البرازيل أُبلغت بما عدده 225 65 حالة اختفاء، فإنه لا يمكن استخلاص عدد حالات الاختفاء القسري من هذا الرقم الإجمالي، ولا تتاح معلومات عن جنس الأشخاص المختفين وسنهم وجنسيتهم ومكان نشأتهم وأصلهم العرقي أو الإثني، وتاريخ اختفائهم، أو عدد الأشخاص الذين حُدِّدت أماكنهم، سواء</w:t>
      </w:r>
      <w:r w:rsidR="00F26881" w:rsidRPr="000924E6">
        <w:rPr>
          <w:rtl/>
        </w:rPr>
        <w:t xml:space="preserve"> </w:t>
      </w:r>
      <w:r w:rsidRPr="000924E6">
        <w:rPr>
          <w:rtl/>
        </w:rPr>
        <w:t>أكانوا أحياء أم متوفين. ولذلك تكرر اللجنة توصيتها الواردة في الفقرة 13 من ملاحظاتها الختامية بأن تعجل الدولة الطرف بإصدار معلومات إحصائية دقيقة ومحدثة عن الأشخاص المختفين، وتطلب إلى الدولة الطرف أن تقدم</w:t>
      </w:r>
      <w:r w:rsidR="00F26881" w:rsidRPr="000924E6">
        <w:rPr>
          <w:rtl/>
        </w:rPr>
        <w:t xml:space="preserve"> </w:t>
      </w:r>
      <w:r w:rsidRPr="000924E6">
        <w:rPr>
          <w:rtl/>
        </w:rPr>
        <w:t>في تقريرها المقبل بموجب المادة 29(</w:t>
      </w:r>
      <w:r w:rsidR="00C67DD9" w:rsidRPr="00C67DD9">
        <w:rPr>
          <w:rtl/>
        </w:rPr>
        <w:t xml:space="preserve">4) </w:t>
      </w:r>
      <w:r w:rsidRPr="000924E6">
        <w:rPr>
          <w:rtl/>
        </w:rPr>
        <w:t>من الاتفاقية معلومات محدثة في هذا الصدد.</w:t>
      </w:r>
    </w:p>
    <w:p w14:paraId="42B227E0" w14:textId="1A83AF70" w:rsidR="0061073A" w:rsidRPr="00FC5BAB" w:rsidRDefault="0061073A" w:rsidP="00DE6441">
      <w:pPr>
        <w:pStyle w:val="SingleTxtGA"/>
        <w:rPr>
          <w:b/>
          <w:bCs/>
        </w:rPr>
      </w:pPr>
      <w:r w:rsidRPr="00FC5BAB">
        <w:rPr>
          <w:b/>
          <w:bCs/>
          <w:rtl/>
        </w:rPr>
        <w:t>الفقرة 1</w:t>
      </w:r>
      <w:r w:rsidR="00C67DD9" w:rsidRPr="00C67DD9">
        <w:rPr>
          <w:b/>
          <w:bCs/>
          <w:rtl/>
        </w:rPr>
        <w:t xml:space="preserve">5: </w:t>
      </w:r>
      <w:r w:rsidRPr="00FC5BAB">
        <w:rPr>
          <w:b/>
          <w:bCs/>
          <w:rtl/>
        </w:rPr>
        <w:t xml:space="preserve">توصي اللجنة الدولة الطرف باتخاذ التدابير اللازمة التالية: (أ) التعجيل باعتماد أحكام تجعل الاختفاء القسري جريمةً قائمة بذاتها، مع الحرص على أن تتضمن تعريفاً يتوافق تماماً مع المادة 2 من الاتفاقية وأن تنص على عقوبات مناسبة تراعي جسامة هذه الجريمة؛ و(ب) ضمان تطبيق أحكام </w:t>
      </w:r>
      <w:r w:rsidRPr="00FC5BAB">
        <w:rPr>
          <w:b/>
          <w:bCs/>
          <w:rtl/>
        </w:rPr>
        <w:lastRenderedPageBreak/>
        <w:t>جريمة الاختفاء القسري عند اعتمادها على حالات الاختفاء القسري التي بدأت قبل دخولها حيز النفاذ لكنها استمرت بعد ذلك من دون فرض أي قيود على هذا التطبيق، بما يشمل القيود التي قد تُفرض على أساس قانون العفو.</w:t>
      </w:r>
    </w:p>
    <w:p w14:paraId="47B08548" w14:textId="77777777" w:rsidR="0061073A" w:rsidRPr="000924E6" w:rsidRDefault="0061073A" w:rsidP="00DE6441">
      <w:pPr>
        <w:pStyle w:val="H23GA"/>
        <w:rPr>
          <w:szCs w:val="20"/>
          <w:lang w:val="en-US" w:eastAsia="zh-TW" w:bidi="en-GB"/>
        </w:rPr>
      </w:pPr>
      <w:r>
        <w:rPr>
          <w:rtl/>
        </w:rPr>
        <w:tab/>
      </w:r>
      <w:r>
        <w:rPr>
          <w:rtl/>
        </w:rPr>
        <w:tab/>
        <w:t>ردّ الدولة الطرف</w:t>
      </w:r>
    </w:p>
    <w:p w14:paraId="3666CFAE" w14:textId="6D1B3B0D" w:rsidR="00C67DD9" w:rsidRPr="00C67DD9" w:rsidRDefault="0061073A" w:rsidP="00C67DD9">
      <w:pPr>
        <w:pStyle w:val="SingleTxtGA"/>
        <w:rPr>
          <w:szCs w:val="20"/>
          <w:lang w:val="ar-SA" w:eastAsia="zh-TW" w:bidi="en-GB"/>
        </w:rPr>
      </w:pPr>
      <w:r w:rsidRPr="00F26881">
        <w:rPr>
          <w:rtl/>
        </w:rPr>
        <w:t>6-</w:t>
      </w:r>
      <w:r>
        <w:rPr>
          <w:rtl/>
        </w:rPr>
        <w:tab/>
        <w:t xml:space="preserve">يرد ردّ الدولة الطرف في الفقرتين </w:t>
      </w:r>
      <w:r w:rsidRPr="00F26881">
        <w:rPr>
          <w:rtl/>
        </w:rPr>
        <w:t>3</w:t>
      </w:r>
      <w:r>
        <w:rPr>
          <w:rtl/>
        </w:rPr>
        <w:t xml:space="preserve"> </w:t>
      </w:r>
      <w:proofErr w:type="spellStart"/>
      <w:r>
        <w:rPr>
          <w:rtl/>
        </w:rPr>
        <w:t>و</w:t>
      </w:r>
      <w:r w:rsidRPr="00F26881">
        <w:rPr>
          <w:rtl/>
        </w:rPr>
        <w:t>4</w:t>
      </w:r>
      <w:proofErr w:type="spellEnd"/>
      <w:r>
        <w:rPr>
          <w:rtl/>
        </w:rPr>
        <w:t xml:space="preserve"> من الوثيقة </w:t>
      </w:r>
      <w:hyperlink r:id="rId12" w:history="1">
        <w:proofErr w:type="spellStart"/>
        <w:r w:rsidRPr="00C67DD9">
          <w:rPr>
            <w:rStyle w:val="Hyperlink"/>
            <w:lang w:val="en-US"/>
          </w:rPr>
          <w:t>CED</w:t>
        </w:r>
        <w:proofErr w:type="spellEnd"/>
        <w:r w:rsidRPr="00C67DD9">
          <w:rPr>
            <w:rStyle w:val="Hyperlink"/>
            <w:lang w:val="en-US"/>
          </w:rPr>
          <w:t>/C/BRA/</w:t>
        </w:r>
        <w:proofErr w:type="spellStart"/>
        <w:r w:rsidRPr="00C67DD9">
          <w:rPr>
            <w:rStyle w:val="Hyperlink"/>
            <w:lang w:val="en-US"/>
          </w:rPr>
          <w:t>FCO</w:t>
        </w:r>
        <w:proofErr w:type="spellEnd"/>
        <w:r w:rsidRPr="00C67DD9">
          <w:rPr>
            <w:rStyle w:val="Hyperlink"/>
            <w:lang w:val="en-US"/>
          </w:rPr>
          <w:t>/</w:t>
        </w:r>
        <w:r w:rsidR="00C67DD9" w:rsidRPr="00C67DD9">
          <w:rPr>
            <w:rStyle w:val="Hyperlink"/>
            <w:lang w:val="en-US"/>
          </w:rPr>
          <w:t>1</w:t>
        </w:r>
      </w:hyperlink>
      <w:r w:rsidR="00C67DD9" w:rsidRPr="00C67DD9">
        <w:rPr>
          <w:rtl/>
        </w:rPr>
        <w:t>.</w:t>
      </w:r>
    </w:p>
    <w:p w14:paraId="4A409DC4" w14:textId="213A1E1B" w:rsidR="0061073A" w:rsidRPr="00AE7397" w:rsidRDefault="0061073A" w:rsidP="00DE6441">
      <w:pPr>
        <w:pStyle w:val="H23GA"/>
        <w:rPr>
          <w:szCs w:val="20"/>
          <w:lang w:val="ar-SA" w:eastAsia="zh-TW" w:bidi="en-GB"/>
        </w:rPr>
      </w:pPr>
      <w:r>
        <w:rPr>
          <w:rtl/>
        </w:rPr>
        <w:tab/>
      </w:r>
      <w:r>
        <w:rPr>
          <w:rtl/>
        </w:rPr>
        <w:tab/>
        <w:t>تقييم اللجنة</w:t>
      </w:r>
    </w:p>
    <w:p w14:paraId="2BF154DA" w14:textId="7DE4111C" w:rsidR="0061073A" w:rsidRPr="00AE7397" w:rsidRDefault="0061073A" w:rsidP="00DE6441">
      <w:pPr>
        <w:pStyle w:val="SingleTxtGA"/>
        <w:rPr>
          <w:szCs w:val="20"/>
          <w:lang w:val="ar-SA" w:eastAsia="zh-TW" w:bidi="en-GB"/>
        </w:rPr>
      </w:pPr>
      <w:r w:rsidRPr="00F26881">
        <w:rPr>
          <w:rtl/>
        </w:rPr>
        <w:t>7-</w:t>
      </w:r>
      <w:r>
        <w:rPr>
          <w:rtl/>
        </w:rPr>
        <w:tab/>
      </w:r>
      <w:r>
        <w:rPr>
          <w:rFonts w:ascii="Simplified Arabic"/>
          <w:b/>
          <w:bCs/>
          <w:szCs w:val="20"/>
          <w:rtl/>
        </w:rPr>
        <w:t>[</w:t>
      </w:r>
      <w:r>
        <w:rPr>
          <w:b/>
          <w:bCs/>
          <w:rtl/>
        </w:rPr>
        <w:t>جيم</w:t>
      </w:r>
      <w:r w:rsidR="00C67DD9" w:rsidRPr="00C67DD9">
        <w:rPr>
          <w:rFonts w:ascii="Simplified Arabic"/>
          <w:b/>
          <w:bCs/>
          <w:szCs w:val="20"/>
          <w:rtl/>
        </w:rPr>
        <w:t>]:</w:t>
      </w:r>
      <w:r w:rsidR="00C67DD9" w:rsidRPr="00C67DD9">
        <w:rPr>
          <w:rtl/>
        </w:rPr>
        <w:t xml:space="preserve"> </w:t>
      </w:r>
      <w:r>
        <w:rPr>
          <w:rtl/>
        </w:rPr>
        <w:t xml:space="preserve">تشير اللجنة إلى ما أفادت به الدولة الطرف وهو أنّ مكتب التنسيق العام المعني بالأشخاص المختفين أعرب عن رأي إيجابي بشأن مشروع القانون رقم </w:t>
      </w:r>
      <w:r w:rsidRPr="00F26881">
        <w:rPr>
          <w:rtl/>
        </w:rPr>
        <w:t>6240</w:t>
      </w:r>
      <w:r>
        <w:rPr>
          <w:rFonts w:ascii="Simplified Arabic"/>
          <w:szCs w:val="20"/>
          <w:rtl/>
        </w:rPr>
        <w:t>/</w:t>
      </w:r>
      <w:r w:rsidRPr="00F26881">
        <w:rPr>
          <w:rtl/>
        </w:rPr>
        <w:t>2013</w:t>
      </w:r>
      <w:r>
        <w:rPr>
          <w:rtl/>
        </w:rPr>
        <w:t xml:space="preserve"> الذي تؤكد الدولة الطرف أنه يبرهن على اهتمامها بالترحيب بالتوصيات المقدمة من اللجنة. وفي حين أن مشروع القانون قيد المناقشة في مجلس النواب يعرّف جريمة الاختفاء القسري وفقاً للمادة </w:t>
      </w:r>
      <w:r w:rsidRPr="00F26881">
        <w:rPr>
          <w:rtl/>
        </w:rPr>
        <w:t>2</w:t>
      </w:r>
      <w:r>
        <w:rPr>
          <w:rtl/>
        </w:rPr>
        <w:t xml:space="preserve"> من الاتفاقية ويقرّ بأن الجريمة لا تسقط بالتقادم، فإن الأحكام التي تجعل جريمة الاختفاء القسري جريمة قائمة بذاتها لم تُعتمد بعد. وإضافة إلى ذلك، تلاحظ اللجنة أن الدولة الطرف لا تقدم معلومات عن الجزء الثاني من توصياتها المتعلقة بقانون العفو، الذي قد يمنع مقاضاة الجناة المسؤولين عن الجرائم التي ارتكبت أثناء فترة الحكم الدكتاتوري. ولذلك تكرر اللجنة التوصية الواردة في الفقرة </w:t>
      </w:r>
      <w:r w:rsidRPr="00F26881">
        <w:rPr>
          <w:rtl/>
        </w:rPr>
        <w:t>15</w:t>
      </w:r>
      <w:r>
        <w:rPr>
          <w:rtl/>
        </w:rPr>
        <w:t xml:space="preserve"> من ملاحظاتها الختامية وتطلب إلى الدولة الطرف موافاتها بمعلومات محدثة في هذا الصدد في تقريرها المقبل بموجب المادة </w:t>
      </w:r>
      <w:r w:rsidRPr="00F26881">
        <w:rPr>
          <w:rtl/>
        </w:rPr>
        <w:t>29(</w:t>
      </w:r>
      <w:r w:rsidR="00C67DD9" w:rsidRPr="00C67DD9">
        <w:rPr>
          <w:rtl/>
        </w:rPr>
        <w:t xml:space="preserve">4) </w:t>
      </w:r>
      <w:r>
        <w:rPr>
          <w:rtl/>
        </w:rPr>
        <w:t>من الاتفاقية.</w:t>
      </w:r>
    </w:p>
    <w:p w14:paraId="6450F135" w14:textId="095A1694" w:rsidR="0061073A" w:rsidRPr="00F73A57" w:rsidRDefault="0061073A" w:rsidP="00DE6441">
      <w:pPr>
        <w:pStyle w:val="SingleTxtGA"/>
        <w:rPr>
          <w:b/>
          <w:bCs/>
          <w:lang w:val="ar-SA" w:eastAsia="zh-TW" w:bidi="en-GB"/>
        </w:rPr>
      </w:pPr>
      <w:r w:rsidRPr="00F73A57">
        <w:rPr>
          <w:b/>
          <w:bCs/>
          <w:rtl/>
        </w:rPr>
        <w:t>الفقرة 1</w:t>
      </w:r>
      <w:r w:rsidR="00C67DD9" w:rsidRPr="00F73A57">
        <w:rPr>
          <w:b/>
          <w:bCs/>
          <w:rtl/>
        </w:rPr>
        <w:t>9</w:t>
      </w:r>
      <w:r w:rsidR="00C67DD9" w:rsidRPr="00F73A57">
        <w:rPr>
          <w:rFonts w:ascii="Simplified Arabic"/>
          <w:b/>
          <w:bCs/>
          <w:rtl/>
        </w:rPr>
        <w:t>:</w:t>
      </w:r>
      <w:r w:rsidR="00C67DD9" w:rsidRPr="00F73A57">
        <w:rPr>
          <w:b/>
          <w:bCs/>
          <w:rtl/>
        </w:rPr>
        <w:t xml:space="preserve"> </w:t>
      </w:r>
      <w:r w:rsidRPr="00F73A57">
        <w:rPr>
          <w:b/>
          <w:bCs/>
          <w:rtl/>
        </w:rPr>
        <w:t>تذكّر اللجنة ببيانها عن الاختفاء القسري والولاية القضائية العسكرية</w:t>
      </w:r>
      <w:r w:rsidR="00C67DD9" w:rsidRPr="00F73A57">
        <w:rPr>
          <w:rStyle w:val="FootnoteReference"/>
          <w:b/>
          <w:bCs/>
          <w:szCs w:val="22"/>
          <w:rtl/>
        </w:rPr>
        <w:t>(</w:t>
      </w:r>
      <w:r w:rsidR="00C67DD9" w:rsidRPr="00F73A57">
        <w:rPr>
          <w:rStyle w:val="FootnoteReference"/>
          <w:b/>
          <w:bCs/>
          <w:szCs w:val="22"/>
          <w:rtl/>
        </w:rPr>
        <w:footnoteReference w:id="3"/>
      </w:r>
      <w:r w:rsidR="00C67DD9" w:rsidRPr="00F73A57">
        <w:rPr>
          <w:rStyle w:val="FootnoteReference"/>
          <w:b/>
          <w:bCs/>
          <w:szCs w:val="22"/>
          <w:rtl/>
        </w:rPr>
        <w:t>)</w:t>
      </w:r>
      <w:r w:rsidR="00C67DD9" w:rsidRPr="00F73A57">
        <w:rPr>
          <w:b/>
          <w:bCs/>
          <w:rtl/>
        </w:rPr>
        <w:t xml:space="preserve">، </w:t>
      </w:r>
      <w:r w:rsidRPr="00F73A57">
        <w:rPr>
          <w:b/>
          <w:bCs/>
          <w:rtl/>
        </w:rPr>
        <w:t>وتوصي بأن تعجل الدولة الطرف باتخاذ التدابير اللازمة حرصا</w:t>
      </w:r>
      <w:r w:rsidR="00E62080" w:rsidRPr="00F73A57">
        <w:rPr>
          <w:rFonts w:hint="cs"/>
          <w:b/>
          <w:bCs/>
          <w:rtl/>
        </w:rPr>
        <w:t>ً</w:t>
      </w:r>
      <w:r w:rsidRPr="00F73A57">
        <w:rPr>
          <w:b/>
          <w:bCs/>
          <w:rtl/>
        </w:rPr>
        <w:t xml:space="preserve"> على استبعاد التحقيق في حالات الاختفاء القسري وملاحقة مرتكبيها صراحةً من اختصاص المحاكم العسكرية.</w:t>
      </w:r>
    </w:p>
    <w:p w14:paraId="10425912" w14:textId="77777777" w:rsidR="0061073A" w:rsidRPr="00AE7397" w:rsidRDefault="0061073A" w:rsidP="00DE6441">
      <w:pPr>
        <w:pStyle w:val="H23GA"/>
        <w:rPr>
          <w:szCs w:val="20"/>
          <w:lang w:val="ar-SA" w:eastAsia="zh-TW" w:bidi="en-GB"/>
        </w:rPr>
      </w:pPr>
      <w:r>
        <w:rPr>
          <w:rtl/>
        </w:rPr>
        <w:tab/>
      </w:r>
      <w:r>
        <w:rPr>
          <w:rtl/>
        </w:rPr>
        <w:tab/>
        <w:t>ردّ الدولة الطرف</w:t>
      </w:r>
    </w:p>
    <w:p w14:paraId="7B12DECB" w14:textId="419C37DC" w:rsidR="00C67DD9" w:rsidRPr="00C67DD9" w:rsidRDefault="0061073A" w:rsidP="00C67DD9">
      <w:pPr>
        <w:pStyle w:val="SingleTxtGA"/>
        <w:rPr>
          <w:szCs w:val="20"/>
          <w:lang w:val="ar-SA" w:eastAsia="zh-TW" w:bidi="en-GB"/>
        </w:rPr>
      </w:pPr>
      <w:r w:rsidRPr="00F26881">
        <w:rPr>
          <w:rtl/>
        </w:rPr>
        <w:t>8-</w:t>
      </w:r>
      <w:r>
        <w:rPr>
          <w:rtl/>
        </w:rPr>
        <w:tab/>
        <w:t xml:space="preserve">يرد ردّ الدولة الطرف في الفقرات من </w:t>
      </w:r>
      <w:r w:rsidRPr="00F26881">
        <w:rPr>
          <w:rtl/>
        </w:rPr>
        <w:t>5</w:t>
      </w:r>
      <w:r>
        <w:rPr>
          <w:rtl/>
        </w:rPr>
        <w:t xml:space="preserve"> إلى </w:t>
      </w:r>
      <w:r w:rsidRPr="00F26881">
        <w:rPr>
          <w:rtl/>
        </w:rPr>
        <w:t>7</w:t>
      </w:r>
      <w:r>
        <w:rPr>
          <w:rtl/>
        </w:rPr>
        <w:t xml:space="preserve"> من الوثيقة </w:t>
      </w:r>
      <w:hyperlink r:id="rId13" w:history="1">
        <w:proofErr w:type="spellStart"/>
        <w:r w:rsidRPr="00C67DD9">
          <w:rPr>
            <w:rStyle w:val="Hyperlink"/>
            <w:lang w:val="en-US"/>
          </w:rPr>
          <w:t>CED</w:t>
        </w:r>
        <w:proofErr w:type="spellEnd"/>
        <w:r w:rsidRPr="00C67DD9">
          <w:rPr>
            <w:rStyle w:val="Hyperlink"/>
            <w:lang w:val="en-US"/>
          </w:rPr>
          <w:t>/C/BRA/</w:t>
        </w:r>
        <w:proofErr w:type="spellStart"/>
        <w:r w:rsidRPr="00C67DD9">
          <w:rPr>
            <w:rStyle w:val="Hyperlink"/>
            <w:lang w:val="en-US"/>
          </w:rPr>
          <w:t>FCO</w:t>
        </w:r>
        <w:proofErr w:type="spellEnd"/>
        <w:r w:rsidRPr="00C67DD9">
          <w:rPr>
            <w:rStyle w:val="Hyperlink"/>
            <w:lang w:val="en-US"/>
          </w:rPr>
          <w:t>/</w:t>
        </w:r>
        <w:r w:rsidR="00C67DD9" w:rsidRPr="00C67DD9">
          <w:rPr>
            <w:rStyle w:val="Hyperlink"/>
            <w:lang w:val="en-US"/>
          </w:rPr>
          <w:t>1</w:t>
        </w:r>
      </w:hyperlink>
      <w:r w:rsidR="00C67DD9" w:rsidRPr="00C67DD9">
        <w:rPr>
          <w:rtl/>
        </w:rPr>
        <w:t>.</w:t>
      </w:r>
    </w:p>
    <w:p w14:paraId="6070D04B" w14:textId="1DFA043D" w:rsidR="0061073A" w:rsidRPr="00AE7397" w:rsidRDefault="0061073A" w:rsidP="00DE6441">
      <w:pPr>
        <w:pStyle w:val="H23GA"/>
        <w:rPr>
          <w:szCs w:val="20"/>
          <w:lang w:val="ar-SA" w:eastAsia="zh-TW" w:bidi="en-GB"/>
        </w:rPr>
      </w:pPr>
      <w:r>
        <w:rPr>
          <w:rtl/>
        </w:rPr>
        <w:tab/>
      </w:r>
      <w:r>
        <w:rPr>
          <w:rtl/>
        </w:rPr>
        <w:tab/>
        <w:t>تقييم اللجنة</w:t>
      </w:r>
    </w:p>
    <w:p w14:paraId="62F3C6B4" w14:textId="67994504" w:rsidR="0061073A" w:rsidRPr="00AE7397" w:rsidRDefault="0061073A" w:rsidP="00DE6441">
      <w:pPr>
        <w:pStyle w:val="SingleTxtGA"/>
        <w:rPr>
          <w:szCs w:val="20"/>
          <w:lang w:val="ar-SA" w:eastAsia="zh-TW" w:bidi="en-GB"/>
        </w:rPr>
      </w:pPr>
      <w:r w:rsidRPr="00F26881">
        <w:rPr>
          <w:rtl/>
        </w:rPr>
        <w:t>9-</w:t>
      </w:r>
      <w:r>
        <w:rPr>
          <w:rtl/>
        </w:rPr>
        <w:tab/>
      </w:r>
      <w:r>
        <w:rPr>
          <w:rFonts w:ascii="Simplified Arabic"/>
          <w:b/>
          <w:bCs/>
          <w:szCs w:val="20"/>
          <w:rtl/>
        </w:rPr>
        <w:t>[</w:t>
      </w:r>
      <w:r>
        <w:rPr>
          <w:b/>
          <w:bCs/>
          <w:rtl/>
        </w:rPr>
        <w:t>جيم</w:t>
      </w:r>
      <w:r w:rsidR="00C67DD9" w:rsidRPr="00C67DD9">
        <w:rPr>
          <w:rFonts w:ascii="Simplified Arabic"/>
          <w:b/>
          <w:bCs/>
          <w:szCs w:val="20"/>
          <w:rtl/>
        </w:rPr>
        <w:t>]:</w:t>
      </w:r>
      <w:r w:rsidR="00C67DD9" w:rsidRPr="00C67DD9">
        <w:rPr>
          <w:rtl/>
        </w:rPr>
        <w:t xml:space="preserve"> </w:t>
      </w:r>
      <w:r>
        <w:rPr>
          <w:rtl/>
        </w:rPr>
        <w:t>تحيط اللجنة علماً بتأكيد الدولة الطرف أن المحاكم العسكرية ليست مختصة بمقاضاة المسؤولين عن حالات الاختفاء القسري وإصدار أحكام في حقهم. ومع ذلك، لم تُقدَّم أيّ معلومات إضافية عن التدابير المتخذة من أجل ضمان تنفيذ هذا المبدأ عمليا</w:t>
      </w:r>
      <w:r w:rsidR="004A5FB7">
        <w:rPr>
          <w:rFonts w:hint="cs"/>
          <w:rtl/>
        </w:rPr>
        <w:t>ً</w:t>
      </w:r>
      <w:r>
        <w:rPr>
          <w:rtl/>
        </w:rPr>
        <w:t xml:space="preserve">، خاصة بالنظر إلى الادعاءات التي تلقتها اللجنة والتي تفيد باتساع نطاق اختصاص القضاء العسكري منذ عام </w:t>
      </w:r>
      <w:r w:rsidRPr="00F26881">
        <w:rPr>
          <w:rtl/>
        </w:rPr>
        <w:t>200</w:t>
      </w:r>
      <w:r w:rsidR="00C67DD9" w:rsidRPr="00C67DD9">
        <w:rPr>
          <w:rtl/>
        </w:rPr>
        <w:t>4</w:t>
      </w:r>
      <w:r w:rsidR="00C67DD9" w:rsidRPr="00C67DD9">
        <w:rPr>
          <w:rFonts w:ascii="Simplified Arabic"/>
          <w:szCs w:val="20"/>
          <w:rtl/>
        </w:rPr>
        <w:t>.</w:t>
      </w:r>
      <w:r w:rsidR="00C67DD9" w:rsidRPr="00C67DD9">
        <w:rPr>
          <w:rtl/>
        </w:rPr>
        <w:t xml:space="preserve"> </w:t>
      </w:r>
      <w:r>
        <w:rPr>
          <w:rtl/>
        </w:rPr>
        <w:t>وفي هذا الصدد، تلاحظ اللجنة، برغم أن نظام العدالة المدنية يحتفظ باختصاصه في</w:t>
      </w:r>
      <w:r w:rsidR="00F26881">
        <w:rPr>
          <w:rtl/>
        </w:rPr>
        <w:t xml:space="preserve"> </w:t>
      </w:r>
      <w:r>
        <w:rPr>
          <w:rtl/>
        </w:rPr>
        <w:t>جرائم القتل العمد للمدنيين على أيدي الأفراد العسكريين، أن المعلومات المتاحة تفيد بأنّ نظام القضاء العسكري الحكومي والشرطة العسكرية يعتبران</w:t>
      </w:r>
      <w:r w:rsidR="00F26881">
        <w:rPr>
          <w:rtl/>
        </w:rPr>
        <w:t xml:space="preserve"> </w:t>
      </w:r>
      <w:r>
        <w:rPr>
          <w:rtl/>
        </w:rPr>
        <w:t xml:space="preserve">أن الشرطة العسكرية هي التي لا تزال تجري التحقيقات وليس الشرطة المدنية. وإلى جانب ذلك، تنص أحكام القانون رقم </w:t>
      </w:r>
      <w:r w:rsidRPr="00F26881">
        <w:t>2017</w:t>
      </w:r>
      <w:r>
        <w:rPr>
          <w:rFonts w:ascii="Simplified Arabic"/>
          <w:szCs w:val="20"/>
        </w:rPr>
        <w:t>/</w:t>
      </w:r>
      <w:r w:rsidRPr="00F26881">
        <w:t>13491</w:t>
      </w:r>
      <w:r>
        <w:rPr>
          <w:rtl/>
        </w:rPr>
        <w:t xml:space="preserve"> على أن السلطات العسكرية يمكنها دوماً أن تحقق في الجرائم العسكرية التي تنطوي على اختفاء قسري وأن المحاكم العسكرية لاتزال تبت</w:t>
      </w:r>
      <w:r w:rsidR="00F26881">
        <w:rPr>
          <w:rtl/>
        </w:rPr>
        <w:t xml:space="preserve"> </w:t>
      </w:r>
      <w:r>
        <w:rPr>
          <w:rtl/>
        </w:rPr>
        <w:t xml:space="preserve">في هذه الجرائم. وفي ضوء ما تقدم، تكرر اللجنة التوصية الواردة في الفقرة </w:t>
      </w:r>
      <w:r w:rsidRPr="00F26881">
        <w:rPr>
          <w:rtl/>
        </w:rPr>
        <w:t>19</w:t>
      </w:r>
      <w:r>
        <w:rPr>
          <w:rtl/>
        </w:rPr>
        <w:t xml:space="preserve"> من ملاحظاتها الختامية وتطلب إلى الدولة الطرف موافاتها بمعلومات محدثة في هذا الصدد في تقريرها المقبل بموجب المادة </w:t>
      </w:r>
      <w:r w:rsidRPr="00F26881">
        <w:rPr>
          <w:rtl/>
        </w:rPr>
        <w:t>29(</w:t>
      </w:r>
      <w:r w:rsidR="00C67DD9" w:rsidRPr="00C67DD9">
        <w:rPr>
          <w:rtl/>
        </w:rPr>
        <w:t xml:space="preserve">4) </w:t>
      </w:r>
      <w:r>
        <w:rPr>
          <w:rtl/>
        </w:rPr>
        <w:t>من الاتفاقية.</w:t>
      </w:r>
    </w:p>
    <w:p w14:paraId="3D1AD217" w14:textId="77777777" w:rsidR="0061073A" w:rsidRPr="00AE7397" w:rsidRDefault="0061073A" w:rsidP="00DE6441">
      <w:pPr>
        <w:pStyle w:val="H23GA"/>
        <w:rPr>
          <w:szCs w:val="20"/>
          <w:lang w:val="ar-SA" w:eastAsia="zh-TW" w:bidi="en-GB"/>
        </w:rPr>
      </w:pPr>
      <w:r>
        <w:rPr>
          <w:rtl/>
        </w:rPr>
        <w:lastRenderedPageBreak/>
        <w:tab/>
      </w:r>
      <w:r>
        <w:rPr>
          <w:rtl/>
        </w:rPr>
        <w:tab/>
        <w:t>قرار اللجنة</w:t>
      </w:r>
    </w:p>
    <w:p w14:paraId="48FA8902" w14:textId="43ACC0E2" w:rsidR="0061073A" w:rsidRPr="00AE7397" w:rsidRDefault="0061073A" w:rsidP="00DE6441">
      <w:pPr>
        <w:pStyle w:val="SingleTxtGA"/>
        <w:rPr>
          <w:szCs w:val="20"/>
          <w:lang w:val="ar-SA" w:eastAsia="zh-TW" w:bidi="en-GB"/>
        </w:rPr>
      </w:pPr>
      <w:r w:rsidRPr="00F26881">
        <w:rPr>
          <w:rtl/>
        </w:rPr>
        <w:t>10-</w:t>
      </w:r>
      <w:r>
        <w:rPr>
          <w:rtl/>
        </w:rPr>
        <w:tab/>
        <w:t xml:space="preserve">تقرر اللجنة توجيه رسالة إلى الدولة الطرف تبلغها فيها بتقييمها. وستؤكد الرسالة على أنه ينبغي للدولة الطرف، عند تنفيذ توصيات اللجنة وتقديم معلومات إضافية بموجب المادة </w:t>
      </w:r>
      <w:r w:rsidRPr="00F26881">
        <w:rPr>
          <w:rtl/>
        </w:rPr>
        <w:t>29(</w:t>
      </w:r>
      <w:r w:rsidR="00C67DD9" w:rsidRPr="00C67DD9">
        <w:rPr>
          <w:rtl/>
        </w:rPr>
        <w:t xml:space="preserve">4) </w:t>
      </w:r>
      <w:r>
        <w:rPr>
          <w:rtl/>
        </w:rPr>
        <w:t>من الاتفاقية، أن تراعي التوجيهات المحددة وطلبات المعلومات الواردة في هذا التقرير.</w:t>
      </w:r>
    </w:p>
    <w:p w14:paraId="0F21C351" w14:textId="0E445BDD" w:rsidR="00C67DD9" w:rsidRPr="00C67DD9" w:rsidRDefault="0061073A" w:rsidP="00DE6441">
      <w:pPr>
        <w:pStyle w:val="SingleTxtGA"/>
        <w:rPr>
          <w:szCs w:val="20"/>
          <w:lang w:val="ar-SA" w:eastAsia="zh-TW" w:bidi="en-GB"/>
        </w:rPr>
      </w:pPr>
      <w:r w:rsidRPr="00F26881">
        <w:rPr>
          <w:rtl/>
        </w:rPr>
        <w:t>11-</w:t>
      </w:r>
      <w:r>
        <w:rPr>
          <w:rtl/>
        </w:rPr>
        <w:tab/>
        <w:t xml:space="preserve">ويحدد الموعد النهائي لتقديم الدولة الطرف معلومات إضافية بموجب المادة </w:t>
      </w:r>
      <w:r w:rsidRPr="00F26881">
        <w:rPr>
          <w:rtl/>
        </w:rPr>
        <w:t>29(</w:t>
      </w:r>
      <w:r w:rsidR="00C67DD9" w:rsidRPr="00C67DD9">
        <w:rPr>
          <w:rtl/>
        </w:rPr>
        <w:t xml:space="preserve">4) </w:t>
      </w:r>
      <w:r>
        <w:rPr>
          <w:rtl/>
        </w:rPr>
        <w:t xml:space="preserve">من الاتفاقية في </w:t>
      </w:r>
      <w:r w:rsidRPr="00F26881">
        <w:rPr>
          <w:rtl/>
        </w:rPr>
        <w:t>27</w:t>
      </w:r>
      <w:r>
        <w:rPr>
          <w:rtl/>
        </w:rPr>
        <w:t xml:space="preserve"> أيلول/سبتمبر </w:t>
      </w:r>
      <w:r w:rsidRPr="00F26881">
        <w:rPr>
          <w:rtl/>
        </w:rPr>
        <w:t>202</w:t>
      </w:r>
      <w:r w:rsidR="00C67DD9" w:rsidRPr="00C67DD9">
        <w:rPr>
          <w:rtl/>
        </w:rPr>
        <w:t>7.</w:t>
      </w:r>
    </w:p>
    <w:p w14:paraId="5C5C9760" w14:textId="1D4EB240" w:rsidR="0061073A" w:rsidRPr="00DE6441" w:rsidRDefault="00DE6441" w:rsidP="00DE6441">
      <w:pPr>
        <w:pStyle w:val="H1GA"/>
        <w:rPr>
          <w:szCs w:val="20"/>
          <w:lang w:val="en-US" w:eastAsia="zh-TW" w:bidi="en-GB"/>
        </w:rPr>
      </w:pPr>
      <w:r>
        <w:rPr>
          <w:rtl/>
        </w:rPr>
        <w:tab/>
      </w:r>
      <w:r w:rsidR="0061073A">
        <w:rPr>
          <w:rtl/>
        </w:rPr>
        <w:t>باء</w:t>
      </w:r>
      <w:r w:rsidR="0061073A" w:rsidRPr="00F26881">
        <w:rPr>
          <w:rtl/>
        </w:rPr>
        <w:t>-</w:t>
      </w:r>
      <w:r w:rsidR="0061073A">
        <w:rPr>
          <w:rtl/>
        </w:rPr>
        <w:tab/>
        <w:t>منغوليا</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1073A" w:rsidRPr="005D101A" w14:paraId="7553B9C2" w14:textId="77777777" w:rsidTr="00670197">
        <w:trPr>
          <w:trHeight w:val="239"/>
        </w:trPr>
        <w:tc>
          <w:tcPr>
            <w:tcW w:w="3402" w:type="dxa"/>
            <w:tcBorders>
              <w:top w:val="single" w:sz="12" w:space="0" w:color="auto"/>
            </w:tcBorders>
            <w:shd w:val="clear" w:color="auto" w:fill="auto"/>
            <w:tcMar>
              <w:top w:w="0" w:type="dxa"/>
              <w:left w:w="0" w:type="dxa"/>
              <w:bottom w:w="0" w:type="dxa"/>
              <w:right w:w="0" w:type="dxa"/>
            </w:tcMar>
          </w:tcPr>
          <w:p w14:paraId="672816E3" w14:textId="77777777" w:rsidR="0061073A" w:rsidRPr="005D101A" w:rsidRDefault="0061073A" w:rsidP="005D101A">
            <w:pPr>
              <w:spacing w:before="40" w:after="40" w:line="360" w:lineRule="exact"/>
              <w:ind w:left="57" w:right="113"/>
              <w:textDirection w:val="tbRlV"/>
              <w:rPr>
                <w:sz w:val="22"/>
                <w:lang w:eastAsia="zh-TW" w:bidi="en-GB"/>
              </w:rPr>
            </w:pPr>
            <w:r w:rsidRPr="005D101A">
              <w:rPr>
                <w:b/>
                <w:bCs/>
                <w:sz w:val="22"/>
                <w:rtl/>
              </w:rPr>
              <w:t>ملاحظات ختامية:</w:t>
            </w:r>
          </w:p>
        </w:tc>
        <w:tc>
          <w:tcPr>
            <w:tcW w:w="3968" w:type="dxa"/>
            <w:tcBorders>
              <w:top w:val="single" w:sz="12" w:space="0" w:color="auto"/>
            </w:tcBorders>
            <w:shd w:val="clear" w:color="auto" w:fill="auto"/>
            <w:tcMar>
              <w:top w:w="0" w:type="dxa"/>
              <w:left w:w="0" w:type="dxa"/>
              <w:bottom w:w="0" w:type="dxa"/>
              <w:right w:w="0" w:type="dxa"/>
            </w:tcMar>
          </w:tcPr>
          <w:p w14:paraId="0802FA94" w14:textId="245B0452" w:rsidR="0061073A" w:rsidRPr="005D101A" w:rsidRDefault="00791D4E" w:rsidP="005D101A">
            <w:pPr>
              <w:spacing w:before="40" w:after="40" w:line="360" w:lineRule="exact"/>
              <w:ind w:left="57" w:right="113"/>
              <w:textDirection w:val="tbRlV"/>
              <w:rPr>
                <w:sz w:val="22"/>
                <w:rtl/>
              </w:rPr>
            </w:pPr>
            <w:hyperlink r:id="rId14" w:history="1">
              <w:proofErr w:type="spellStart"/>
              <w:r w:rsidR="0061073A" w:rsidRPr="005D101A">
                <w:rPr>
                  <w:rStyle w:val="Hyperlink"/>
                  <w:sz w:val="22"/>
                </w:rPr>
                <w:t>CED</w:t>
              </w:r>
              <w:proofErr w:type="spellEnd"/>
              <w:r w:rsidR="0061073A" w:rsidRPr="005D101A">
                <w:rPr>
                  <w:rStyle w:val="Hyperlink"/>
                  <w:sz w:val="22"/>
                </w:rPr>
                <w:t>/C/</w:t>
              </w:r>
              <w:proofErr w:type="spellStart"/>
              <w:r w:rsidR="0061073A" w:rsidRPr="005D101A">
                <w:rPr>
                  <w:rStyle w:val="Hyperlink"/>
                  <w:sz w:val="22"/>
                </w:rPr>
                <w:t>MNG</w:t>
              </w:r>
              <w:proofErr w:type="spellEnd"/>
              <w:r w:rsidR="0061073A" w:rsidRPr="005D101A">
                <w:rPr>
                  <w:rStyle w:val="Hyperlink"/>
                  <w:sz w:val="22"/>
                </w:rPr>
                <w:t>/CO/1</w:t>
              </w:r>
            </w:hyperlink>
            <w:r w:rsidR="0061073A" w:rsidRPr="005D101A">
              <w:rPr>
                <w:sz w:val="22"/>
                <w:rtl/>
              </w:rPr>
              <w:t xml:space="preserve">، اعتمدت في 6 أيار/مايو 2021 </w:t>
            </w:r>
            <w:r w:rsidR="00B56C6A" w:rsidRPr="005D101A">
              <w:rPr>
                <w:rFonts w:hint="cs"/>
                <w:sz w:val="22"/>
                <w:rtl/>
              </w:rPr>
              <w:t>(</w:t>
            </w:r>
            <w:r w:rsidR="0061073A" w:rsidRPr="005D101A">
              <w:rPr>
                <w:sz w:val="22"/>
                <w:rtl/>
              </w:rPr>
              <w:t>الدورة العشرون)</w:t>
            </w:r>
          </w:p>
        </w:tc>
      </w:tr>
      <w:tr w:rsidR="0061073A" w:rsidRPr="005D101A" w14:paraId="47E44D53" w14:textId="77777777" w:rsidTr="00670197">
        <w:trPr>
          <w:trHeight w:val="519"/>
        </w:trPr>
        <w:tc>
          <w:tcPr>
            <w:tcW w:w="3402" w:type="dxa"/>
            <w:shd w:val="clear" w:color="auto" w:fill="auto"/>
            <w:tcMar>
              <w:top w:w="0" w:type="dxa"/>
              <w:left w:w="0" w:type="dxa"/>
              <w:bottom w:w="0" w:type="dxa"/>
              <w:right w:w="0" w:type="dxa"/>
            </w:tcMar>
          </w:tcPr>
          <w:p w14:paraId="280A37F2" w14:textId="77777777" w:rsidR="0061073A" w:rsidRPr="005D101A" w:rsidRDefault="0061073A" w:rsidP="005D101A">
            <w:pPr>
              <w:spacing w:before="40" w:after="40" w:line="360" w:lineRule="exact"/>
              <w:ind w:left="57" w:right="113"/>
              <w:textDirection w:val="tbRlV"/>
              <w:rPr>
                <w:sz w:val="22"/>
                <w:lang w:val="ar-SA" w:eastAsia="zh-TW" w:bidi="en-GB"/>
              </w:rPr>
            </w:pPr>
            <w:r w:rsidRPr="005D101A">
              <w:rPr>
                <w:b/>
                <w:bCs/>
                <w:sz w:val="22"/>
                <w:rtl/>
              </w:rPr>
              <w:t>التوصيات موضوع المتابعة</w:t>
            </w:r>
            <w:r w:rsidRPr="005D101A">
              <w:rPr>
                <w:rFonts w:ascii="Simplified Arabic"/>
                <w:b/>
                <w:bCs/>
                <w:sz w:val="22"/>
              </w:rPr>
              <w:t>:</w:t>
            </w:r>
            <w:r w:rsidRPr="005D101A">
              <w:rPr>
                <w:sz w:val="22"/>
                <w:rtl/>
              </w:rPr>
              <w:t xml:space="preserve"> </w:t>
            </w:r>
          </w:p>
        </w:tc>
        <w:tc>
          <w:tcPr>
            <w:tcW w:w="3968" w:type="dxa"/>
            <w:shd w:val="clear" w:color="auto" w:fill="auto"/>
            <w:tcMar>
              <w:top w:w="0" w:type="dxa"/>
              <w:left w:w="0" w:type="dxa"/>
              <w:bottom w:w="0" w:type="dxa"/>
              <w:right w:w="0" w:type="dxa"/>
            </w:tcMar>
          </w:tcPr>
          <w:p w14:paraId="2B110B1E" w14:textId="77777777" w:rsidR="0061073A" w:rsidRPr="005D101A" w:rsidRDefault="0061073A" w:rsidP="005D101A">
            <w:pPr>
              <w:spacing w:before="40" w:after="40" w:line="360" w:lineRule="exact"/>
              <w:ind w:left="57" w:right="113"/>
              <w:textDirection w:val="tbRlV"/>
              <w:rPr>
                <w:sz w:val="22"/>
                <w:rtl/>
              </w:rPr>
            </w:pPr>
            <w:r w:rsidRPr="005D101A">
              <w:rPr>
                <w:sz w:val="22"/>
                <w:rtl/>
              </w:rPr>
              <w:t xml:space="preserve">الفقرات 17 (جريمة الاختفاء القسري) </w:t>
            </w:r>
            <w:proofErr w:type="spellStart"/>
            <w:r w:rsidRPr="005D101A">
              <w:rPr>
                <w:sz w:val="22"/>
                <w:rtl/>
              </w:rPr>
              <w:t>و35</w:t>
            </w:r>
            <w:proofErr w:type="spellEnd"/>
            <w:r w:rsidRPr="005D101A">
              <w:rPr>
                <w:sz w:val="22"/>
                <w:rtl/>
              </w:rPr>
              <w:t xml:space="preserve"> (التدريب) </w:t>
            </w:r>
            <w:proofErr w:type="spellStart"/>
            <w:r w:rsidRPr="005D101A">
              <w:rPr>
                <w:sz w:val="22"/>
                <w:rtl/>
              </w:rPr>
              <w:t>و39</w:t>
            </w:r>
            <w:proofErr w:type="spellEnd"/>
            <w:r w:rsidRPr="005D101A">
              <w:rPr>
                <w:sz w:val="22"/>
                <w:rtl/>
              </w:rPr>
              <w:t xml:space="preserve"> (الوضع القانوني للأشخاص المختفين الذين لم يتضح مصيرهم والوضع القانوني لأقربائهم).</w:t>
            </w:r>
          </w:p>
        </w:tc>
      </w:tr>
      <w:tr w:rsidR="0061073A" w:rsidRPr="005D101A" w14:paraId="04860E1C" w14:textId="77777777" w:rsidTr="00670197">
        <w:tc>
          <w:tcPr>
            <w:tcW w:w="3402" w:type="dxa"/>
            <w:shd w:val="clear" w:color="auto" w:fill="auto"/>
            <w:tcMar>
              <w:top w:w="0" w:type="dxa"/>
              <w:left w:w="0" w:type="dxa"/>
              <w:bottom w:w="0" w:type="dxa"/>
              <w:right w:w="0" w:type="dxa"/>
            </w:tcMar>
          </w:tcPr>
          <w:p w14:paraId="1C773150" w14:textId="77777777" w:rsidR="0061073A" w:rsidRPr="005D101A" w:rsidRDefault="0061073A" w:rsidP="005D101A">
            <w:pPr>
              <w:spacing w:before="40" w:after="40" w:line="360" w:lineRule="exact"/>
              <w:ind w:left="57" w:right="113"/>
              <w:textDirection w:val="tbRlV"/>
              <w:rPr>
                <w:sz w:val="22"/>
                <w:lang w:val="ar-SA" w:eastAsia="zh-TW" w:bidi="en-GB"/>
              </w:rPr>
            </w:pPr>
            <w:r w:rsidRPr="005D101A">
              <w:rPr>
                <w:b/>
                <w:bCs/>
                <w:sz w:val="22"/>
                <w:rtl/>
              </w:rPr>
              <w:t>الردّ:</w:t>
            </w:r>
          </w:p>
        </w:tc>
        <w:tc>
          <w:tcPr>
            <w:tcW w:w="3968" w:type="dxa"/>
            <w:shd w:val="clear" w:color="auto" w:fill="auto"/>
            <w:tcMar>
              <w:top w:w="0" w:type="dxa"/>
              <w:left w:w="0" w:type="dxa"/>
              <w:bottom w:w="0" w:type="dxa"/>
              <w:right w:w="0" w:type="dxa"/>
            </w:tcMar>
          </w:tcPr>
          <w:p w14:paraId="23AB7A78" w14:textId="1A1C5EAB" w:rsidR="0061073A" w:rsidRPr="005D101A" w:rsidRDefault="00791D4E" w:rsidP="005D101A">
            <w:pPr>
              <w:spacing w:before="40" w:after="40" w:line="360" w:lineRule="exact"/>
              <w:ind w:left="57" w:right="113"/>
              <w:textDirection w:val="tbRlV"/>
              <w:rPr>
                <w:sz w:val="22"/>
                <w:rtl/>
              </w:rPr>
            </w:pPr>
            <w:hyperlink r:id="rId15" w:history="1">
              <w:proofErr w:type="spellStart"/>
              <w:r w:rsidR="0061073A" w:rsidRPr="005D101A">
                <w:rPr>
                  <w:rStyle w:val="Hyperlink"/>
                  <w:sz w:val="22"/>
                </w:rPr>
                <w:t>CED</w:t>
              </w:r>
              <w:proofErr w:type="spellEnd"/>
              <w:r w:rsidR="0061073A" w:rsidRPr="005D101A">
                <w:rPr>
                  <w:rStyle w:val="Hyperlink"/>
                  <w:sz w:val="22"/>
                </w:rPr>
                <w:t>/C/</w:t>
              </w:r>
              <w:proofErr w:type="spellStart"/>
              <w:r w:rsidR="0061073A" w:rsidRPr="005D101A">
                <w:rPr>
                  <w:rStyle w:val="Hyperlink"/>
                  <w:sz w:val="22"/>
                </w:rPr>
                <w:t>MNG</w:t>
              </w:r>
              <w:proofErr w:type="spellEnd"/>
              <w:r w:rsidR="0061073A" w:rsidRPr="005D101A">
                <w:rPr>
                  <w:rStyle w:val="Hyperlink"/>
                  <w:sz w:val="22"/>
                </w:rPr>
                <w:t>/</w:t>
              </w:r>
              <w:proofErr w:type="spellStart"/>
              <w:r w:rsidR="0061073A" w:rsidRPr="005D101A">
                <w:rPr>
                  <w:rStyle w:val="Hyperlink"/>
                  <w:sz w:val="22"/>
                </w:rPr>
                <w:t>FCO</w:t>
              </w:r>
              <w:proofErr w:type="spellEnd"/>
              <w:r w:rsidR="0061073A" w:rsidRPr="005D101A">
                <w:rPr>
                  <w:rStyle w:val="Hyperlink"/>
                  <w:sz w:val="22"/>
                </w:rPr>
                <w:t>/1</w:t>
              </w:r>
            </w:hyperlink>
            <w:r w:rsidR="0061073A" w:rsidRPr="005D101A">
              <w:rPr>
                <w:sz w:val="22"/>
                <w:rtl/>
              </w:rPr>
              <w:t>، حل موعد تقديمه في 7 أيار/</w:t>
            </w:r>
            <w:r w:rsidR="00311EBB" w:rsidRPr="005D101A">
              <w:rPr>
                <w:rFonts w:hint="cs"/>
                <w:sz w:val="22"/>
                <w:rtl/>
              </w:rPr>
              <w:t xml:space="preserve"> </w:t>
            </w:r>
            <w:r w:rsidR="0061073A" w:rsidRPr="005D101A">
              <w:rPr>
                <w:sz w:val="22"/>
                <w:rtl/>
              </w:rPr>
              <w:t>مايو 2022، وورد في 9 أيلول/سبتمبر 2022</w:t>
            </w:r>
          </w:p>
        </w:tc>
      </w:tr>
    </w:tbl>
    <w:p w14:paraId="25D80AB6" w14:textId="64659264" w:rsidR="0061073A" w:rsidRPr="006152E1" w:rsidRDefault="0061073A" w:rsidP="006152E1">
      <w:pPr>
        <w:pStyle w:val="SingleTxtGA"/>
        <w:spacing w:before="120"/>
        <w:rPr>
          <w:b/>
          <w:bCs/>
          <w:szCs w:val="20"/>
          <w:lang w:val="ar-SA" w:eastAsia="zh-TW" w:bidi="en-GB"/>
        </w:rPr>
      </w:pPr>
      <w:r w:rsidRPr="006152E1">
        <w:rPr>
          <w:b/>
          <w:bCs/>
          <w:rtl/>
        </w:rPr>
        <w:t>الفقرة 1</w:t>
      </w:r>
      <w:r w:rsidR="00C67DD9" w:rsidRPr="00C67DD9">
        <w:rPr>
          <w:b/>
          <w:bCs/>
          <w:rtl/>
        </w:rPr>
        <w:t>7</w:t>
      </w:r>
      <w:r w:rsidR="00C67DD9" w:rsidRPr="00C67DD9">
        <w:rPr>
          <w:rFonts w:ascii="Simplified Arabic"/>
          <w:b/>
          <w:bCs/>
          <w:szCs w:val="20"/>
          <w:rtl/>
        </w:rPr>
        <w:t>:</w:t>
      </w:r>
      <w:r w:rsidR="00C67DD9" w:rsidRPr="00C67DD9">
        <w:rPr>
          <w:b/>
          <w:bCs/>
          <w:rtl/>
        </w:rPr>
        <w:t xml:space="preserve"> </w:t>
      </w:r>
      <w:r w:rsidRPr="006152E1">
        <w:rPr>
          <w:b/>
          <w:bCs/>
          <w:rtl/>
        </w:rPr>
        <w:t>توصي اللجنة بأن تتخذ الدولة الطرف التدابير التشريعية اللازمة لجعل تعريف الاختفاء القسري الوارد في المادة 13-4 من القانون الجنائي متوافقاً تماماً مع التعريف الوارد في المادة 2 من الاتفاقية.</w:t>
      </w:r>
    </w:p>
    <w:p w14:paraId="6C1FA6FB" w14:textId="77777777" w:rsidR="0061073A" w:rsidRPr="00AE7397" w:rsidRDefault="0061073A" w:rsidP="0061073A">
      <w:pPr>
        <w:pStyle w:val="H23GA"/>
        <w:rPr>
          <w:szCs w:val="20"/>
          <w:lang w:val="ar-SA" w:eastAsia="zh-TW" w:bidi="en-GB"/>
        </w:rPr>
      </w:pPr>
      <w:r>
        <w:rPr>
          <w:rtl/>
        </w:rPr>
        <w:tab/>
      </w:r>
      <w:r>
        <w:rPr>
          <w:rtl/>
        </w:rPr>
        <w:tab/>
        <w:t>ردّ الدولة الطرف</w:t>
      </w:r>
    </w:p>
    <w:p w14:paraId="2E572372" w14:textId="32CA7A3B" w:rsidR="00C67DD9" w:rsidRPr="00C67DD9" w:rsidRDefault="0061073A" w:rsidP="00C67DD9">
      <w:pPr>
        <w:pStyle w:val="SingleTxtGA"/>
        <w:rPr>
          <w:szCs w:val="20"/>
          <w:lang w:val="ar-SA" w:eastAsia="zh-TW" w:bidi="en-GB"/>
        </w:rPr>
      </w:pPr>
      <w:r w:rsidRPr="00F26881">
        <w:rPr>
          <w:rtl/>
        </w:rPr>
        <w:t>12-</w:t>
      </w:r>
      <w:r>
        <w:rPr>
          <w:rtl/>
        </w:rPr>
        <w:tab/>
        <w:t xml:space="preserve">يرد ردّ الدولة الطرف في الفقرتين </w:t>
      </w:r>
      <w:r w:rsidRPr="00F26881">
        <w:rPr>
          <w:rtl/>
        </w:rPr>
        <w:t>2</w:t>
      </w:r>
      <w:r>
        <w:rPr>
          <w:rtl/>
        </w:rPr>
        <w:t xml:space="preserve"> </w:t>
      </w:r>
      <w:proofErr w:type="spellStart"/>
      <w:r>
        <w:rPr>
          <w:rtl/>
        </w:rPr>
        <w:t>و</w:t>
      </w:r>
      <w:r w:rsidRPr="00F26881">
        <w:rPr>
          <w:rtl/>
        </w:rPr>
        <w:t>3</w:t>
      </w:r>
      <w:proofErr w:type="spellEnd"/>
      <w:r>
        <w:rPr>
          <w:rtl/>
        </w:rPr>
        <w:t xml:space="preserve"> من الوثيقة </w:t>
      </w:r>
      <w:hyperlink r:id="rId16" w:history="1">
        <w:proofErr w:type="spellStart"/>
        <w:r w:rsidRPr="00C67DD9">
          <w:rPr>
            <w:rStyle w:val="Hyperlink"/>
            <w:lang w:val="en-US"/>
          </w:rPr>
          <w:t>CED</w:t>
        </w:r>
        <w:proofErr w:type="spellEnd"/>
        <w:r w:rsidRPr="00C67DD9">
          <w:rPr>
            <w:rStyle w:val="Hyperlink"/>
            <w:lang w:val="en-US"/>
          </w:rPr>
          <w:t>/C/</w:t>
        </w:r>
        <w:proofErr w:type="spellStart"/>
        <w:r w:rsidRPr="00C67DD9">
          <w:rPr>
            <w:rStyle w:val="Hyperlink"/>
            <w:lang w:val="en-US"/>
          </w:rPr>
          <w:t>MNG</w:t>
        </w:r>
        <w:proofErr w:type="spellEnd"/>
        <w:r w:rsidRPr="00C67DD9">
          <w:rPr>
            <w:rStyle w:val="Hyperlink"/>
            <w:lang w:val="en-US"/>
          </w:rPr>
          <w:t>/</w:t>
        </w:r>
        <w:proofErr w:type="spellStart"/>
        <w:r w:rsidRPr="00C67DD9">
          <w:rPr>
            <w:rStyle w:val="Hyperlink"/>
            <w:lang w:val="en-US"/>
          </w:rPr>
          <w:t>FCO</w:t>
        </w:r>
        <w:proofErr w:type="spellEnd"/>
        <w:r w:rsidRPr="00C67DD9">
          <w:rPr>
            <w:rStyle w:val="Hyperlink"/>
            <w:lang w:val="en-US"/>
          </w:rPr>
          <w:t>/</w:t>
        </w:r>
        <w:r w:rsidR="00C67DD9" w:rsidRPr="00C67DD9">
          <w:rPr>
            <w:rStyle w:val="Hyperlink"/>
            <w:lang w:val="en-US"/>
          </w:rPr>
          <w:t>1</w:t>
        </w:r>
      </w:hyperlink>
      <w:r w:rsidR="00C67DD9" w:rsidRPr="00C67DD9">
        <w:rPr>
          <w:rtl/>
        </w:rPr>
        <w:t>.</w:t>
      </w:r>
    </w:p>
    <w:p w14:paraId="18BBCEC0" w14:textId="5FF7A1E8" w:rsidR="0061073A" w:rsidRPr="00B03060" w:rsidRDefault="0061073A" w:rsidP="0061073A">
      <w:pPr>
        <w:pStyle w:val="H23GA"/>
        <w:rPr>
          <w:szCs w:val="20"/>
          <w:lang w:val="en-US" w:eastAsia="zh-TW" w:bidi="en-GB"/>
        </w:rPr>
      </w:pPr>
      <w:r>
        <w:rPr>
          <w:rtl/>
        </w:rPr>
        <w:tab/>
      </w:r>
      <w:r>
        <w:rPr>
          <w:rtl/>
        </w:rPr>
        <w:tab/>
        <w:t>تقييم اللجنة</w:t>
      </w:r>
    </w:p>
    <w:p w14:paraId="77F76421" w14:textId="6C9DED54" w:rsidR="0061073A" w:rsidRPr="00B03060" w:rsidRDefault="0061073A" w:rsidP="0061073A">
      <w:pPr>
        <w:pStyle w:val="SingleTxtGA"/>
        <w:rPr>
          <w:lang w:val="ar-SA" w:eastAsia="zh-TW" w:bidi="en-GB"/>
        </w:rPr>
      </w:pPr>
      <w:r w:rsidRPr="00B03060">
        <w:rPr>
          <w:rtl/>
        </w:rPr>
        <w:t>13-</w:t>
      </w:r>
      <w:r w:rsidRPr="00B03060">
        <w:rPr>
          <w:rtl/>
        </w:rPr>
        <w:tab/>
      </w:r>
      <w:r w:rsidRPr="005D101A">
        <w:rPr>
          <w:rFonts w:ascii="Simplified Arabic"/>
          <w:b/>
          <w:bCs/>
          <w:rtl/>
        </w:rPr>
        <w:t>[</w:t>
      </w:r>
      <w:r w:rsidRPr="005D101A">
        <w:rPr>
          <w:b/>
          <w:bCs/>
          <w:rtl/>
        </w:rPr>
        <w:t>جيم</w:t>
      </w:r>
      <w:r w:rsidR="00C67DD9" w:rsidRPr="005D101A">
        <w:rPr>
          <w:rFonts w:ascii="Simplified Arabic"/>
          <w:b/>
          <w:bCs/>
          <w:rtl/>
        </w:rPr>
        <w:t>]</w:t>
      </w:r>
      <w:r w:rsidR="00C67DD9" w:rsidRPr="00B03060">
        <w:rPr>
          <w:rtl/>
        </w:rPr>
        <w:t xml:space="preserve">: </w:t>
      </w:r>
      <w:r w:rsidRPr="00B03060">
        <w:rPr>
          <w:rtl/>
        </w:rPr>
        <w:t xml:space="preserve">تلاحظ اللجنة مع التقدير أن الدولة الطرف اتخذت تدابير تشريعية لتعديل قانونها الجنائي </w:t>
      </w:r>
      <w:r w:rsidRPr="00B03060">
        <w:rPr>
          <w:spacing w:val="-4"/>
          <w:rtl/>
        </w:rPr>
        <w:t>من أجل إعادة النظر في تعريف جريمة الاختفاء القسري القائمة بذاتها الذي كان يرد سابقاً في المادة 13-4</w:t>
      </w:r>
      <w:r w:rsidRPr="00B03060">
        <w:rPr>
          <w:rtl/>
        </w:rPr>
        <w:t xml:space="preserve"> من القانون الجنائي، وأن </w:t>
      </w:r>
      <w:proofErr w:type="gramStart"/>
      <w:r w:rsidRPr="00B03060">
        <w:rPr>
          <w:rtl/>
        </w:rPr>
        <w:t>البرلمان</w:t>
      </w:r>
      <w:proofErr w:type="gramEnd"/>
      <w:r w:rsidRPr="00B03060">
        <w:rPr>
          <w:rtl/>
        </w:rPr>
        <w:t xml:space="preserve"> ينظر حالياً في مشروع القانون ذي الصلة، بما يشمل مشروع المادة</w:t>
      </w:r>
      <w:r w:rsidR="00B56C6A" w:rsidRPr="00B03060">
        <w:rPr>
          <w:rFonts w:hint="cs"/>
          <w:rtl/>
        </w:rPr>
        <w:t> </w:t>
      </w:r>
      <w:r w:rsidRPr="00B03060">
        <w:rPr>
          <w:rtl/>
        </w:rPr>
        <w:t xml:space="preserve">29-12 المتعلق بالاختفاء القسري. ومع ذلك، لا تزال اللجنة تشعر بالقلق لأن صياغة مشروع القانون الحالية لا تتفق تماماً مع الاتفاقية، وإن كانت تتضمن بعض عناصر التعريف الوارد في المواد 2 </w:t>
      </w:r>
      <w:proofErr w:type="spellStart"/>
      <w:r w:rsidRPr="00B03060">
        <w:rPr>
          <w:rtl/>
        </w:rPr>
        <w:t>و5</w:t>
      </w:r>
      <w:proofErr w:type="spellEnd"/>
      <w:r w:rsidRPr="00B03060">
        <w:rPr>
          <w:rtl/>
        </w:rPr>
        <w:t xml:space="preserve"> </w:t>
      </w:r>
      <w:proofErr w:type="spellStart"/>
      <w:r w:rsidRPr="00B03060">
        <w:rPr>
          <w:rtl/>
        </w:rPr>
        <w:t>و6</w:t>
      </w:r>
      <w:proofErr w:type="spellEnd"/>
      <w:r w:rsidRPr="00B03060">
        <w:rPr>
          <w:rtl/>
        </w:rPr>
        <w:t xml:space="preserve"> </w:t>
      </w:r>
      <w:proofErr w:type="spellStart"/>
      <w:r w:rsidRPr="00B03060">
        <w:rPr>
          <w:rtl/>
        </w:rPr>
        <w:t>و7</w:t>
      </w:r>
      <w:proofErr w:type="spellEnd"/>
      <w:r w:rsidRPr="00B03060">
        <w:rPr>
          <w:rtl/>
        </w:rPr>
        <w:t xml:space="preserve"> من الاتفاقية. </w:t>
      </w:r>
    </w:p>
    <w:p w14:paraId="68C931A8" w14:textId="77777777" w:rsidR="0061073A" w:rsidRPr="00AE7397" w:rsidRDefault="0061073A" w:rsidP="0061073A">
      <w:pPr>
        <w:pStyle w:val="SingleTxtGA"/>
        <w:rPr>
          <w:szCs w:val="20"/>
          <w:lang w:val="ar-SA" w:eastAsia="zh-TW" w:bidi="en-GB"/>
        </w:rPr>
      </w:pPr>
      <w:r w:rsidRPr="00F26881">
        <w:rPr>
          <w:rtl/>
        </w:rPr>
        <w:t>14-</w:t>
      </w:r>
      <w:r>
        <w:rPr>
          <w:rtl/>
        </w:rPr>
        <w:tab/>
        <w:t xml:space="preserve">وفي هذا الصدد، تود اللجنة أن توجه انتباه الدولة الطرف إلى النقاط الرئيسية التالية في مشروع المادة </w:t>
      </w:r>
      <w:r w:rsidRPr="00F26881">
        <w:rPr>
          <w:rtl/>
        </w:rPr>
        <w:t>29-12</w:t>
      </w:r>
      <w:r>
        <w:rPr>
          <w:rtl/>
        </w:rPr>
        <w:t xml:space="preserve"> الحالي من مشروع القانون.</w:t>
      </w:r>
    </w:p>
    <w:p w14:paraId="0982FAFD" w14:textId="77777777" w:rsidR="0061073A" w:rsidRPr="00AE7397" w:rsidRDefault="0061073A" w:rsidP="0061073A">
      <w:pPr>
        <w:pStyle w:val="H4GA"/>
        <w:rPr>
          <w:szCs w:val="20"/>
          <w:lang w:val="ar-SA" w:eastAsia="zh-TW" w:bidi="en-GB"/>
        </w:rPr>
      </w:pPr>
      <w:r>
        <w:rPr>
          <w:rtl/>
        </w:rPr>
        <w:tab/>
      </w:r>
      <w:r>
        <w:rPr>
          <w:rtl/>
        </w:rPr>
        <w:tab/>
        <w:t xml:space="preserve">المادة </w:t>
      </w:r>
      <w:r w:rsidRPr="00F26881">
        <w:rPr>
          <w:rtl/>
        </w:rPr>
        <w:t>2</w:t>
      </w:r>
      <w:r>
        <w:rPr>
          <w:rtl/>
        </w:rPr>
        <w:t xml:space="preserve"> من الاتفاقية</w:t>
      </w:r>
    </w:p>
    <w:p w14:paraId="00E3602E" w14:textId="3E9D69CC" w:rsidR="0061073A" w:rsidRPr="00AE7397" w:rsidRDefault="0061073A" w:rsidP="0061073A">
      <w:pPr>
        <w:pStyle w:val="SingleTxtGA"/>
        <w:rPr>
          <w:szCs w:val="20"/>
          <w:lang w:val="ar-SA" w:eastAsia="zh-TW" w:bidi="en-GB"/>
        </w:rPr>
      </w:pPr>
      <w:r w:rsidRPr="00F26881">
        <w:rPr>
          <w:rtl/>
        </w:rPr>
        <w:t>15-</w:t>
      </w:r>
      <w:r>
        <w:rPr>
          <w:rtl/>
        </w:rPr>
        <w:tab/>
        <w:t>فيما يتعلق بسلب الحرية رغماً عن إرادة الشخص المختفي، أياً كان شكله، توصي اللجنة الدولة الطرف بما يلي:</w:t>
      </w:r>
    </w:p>
    <w:p w14:paraId="4A33D70D" w14:textId="06A279F6" w:rsidR="00C67DD9" w:rsidRPr="00B03060" w:rsidRDefault="0061073A" w:rsidP="0061073A">
      <w:pPr>
        <w:pStyle w:val="SingleTxtGA"/>
        <w:rPr>
          <w:lang w:val="ar-SA" w:eastAsia="zh-TW" w:bidi="en-GB"/>
        </w:rPr>
      </w:pPr>
      <w:r w:rsidRPr="00B03060">
        <w:rPr>
          <w:rtl/>
        </w:rPr>
        <w:lastRenderedPageBreak/>
        <w:tab/>
        <w:t>(أ)</w:t>
      </w:r>
      <w:r w:rsidRPr="00B03060">
        <w:rPr>
          <w:rtl/>
        </w:rPr>
        <w:tab/>
        <w:t>حذف عبارة "بصورة غير قانونية" في الإشارة إلى أفعال سلب الحرية، لأن الاختفاء القسري قد يبدأ بسلب قانوني للحرية تتبعه أفعال أخرى تجعله غير قانوني</w:t>
      </w:r>
      <w:r w:rsidR="00C67DD9" w:rsidRPr="00B03060">
        <w:rPr>
          <w:rStyle w:val="FootnoteReference"/>
          <w:szCs w:val="22"/>
          <w:rtl/>
        </w:rPr>
        <w:t>(</w:t>
      </w:r>
      <w:r w:rsidR="00C67DD9" w:rsidRPr="00B03060">
        <w:rPr>
          <w:rStyle w:val="FootnoteReference"/>
          <w:szCs w:val="22"/>
          <w:rtl/>
        </w:rPr>
        <w:footnoteReference w:id="4"/>
      </w:r>
      <w:r w:rsidR="00C67DD9" w:rsidRPr="00B03060">
        <w:rPr>
          <w:rStyle w:val="FootnoteReference"/>
          <w:szCs w:val="22"/>
          <w:rtl/>
        </w:rPr>
        <w:t>)</w:t>
      </w:r>
      <w:r w:rsidR="00C67DD9" w:rsidRPr="00B03060">
        <w:rPr>
          <w:rtl/>
        </w:rPr>
        <w:t>؛</w:t>
      </w:r>
    </w:p>
    <w:p w14:paraId="09AA20CE" w14:textId="1AB6DE7B" w:rsidR="0061073A" w:rsidRPr="00AE7397" w:rsidRDefault="0061073A" w:rsidP="005D101A">
      <w:pPr>
        <w:pStyle w:val="SingleTxtGA"/>
        <w:spacing w:line="350" w:lineRule="exact"/>
        <w:rPr>
          <w:szCs w:val="20"/>
          <w:lang w:val="ar-SA" w:eastAsia="zh-TW" w:bidi="en-GB"/>
        </w:rPr>
      </w:pPr>
      <w:r>
        <w:rPr>
          <w:rtl/>
        </w:rPr>
        <w:tab/>
      </w:r>
      <w:r w:rsidRPr="00F26881">
        <w:rPr>
          <w:rtl/>
        </w:rPr>
        <w:t>(</w:t>
      </w:r>
      <w:r>
        <w:rPr>
          <w:rtl/>
        </w:rPr>
        <w:t>ب</w:t>
      </w:r>
      <w:r w:rsidRPr="00F26881">
        <w:rPr>
          <w:rtl/>
        </w:rPr>
        <w:t>)</w:t>
      </w:r>
      <w:r>
        <w:rPr>
          <w:rtl/>
        </w:rPr>
        <w:tab/>
        <w:t xml:space="preserve">حذف عبارة "أو تسبب في إلحاق الضرر أو الأذى بالحقوق والمصالح القانونية لشخص ما نتيجة سلبه حريته" </w:t>
      </w:r>
      <w:r w:rsidRPr="00F26881">
        <w:rPr>
          <w:rtl/>
        </w:rPr>
        <w:t>(</w:t>
      </w:r>
      <w:r>
        <w:rPr>
          <w:rtl/>
        </w:rPr>
        <w:t xml:space="preserve">الفقرة </w:t>
      </w:r>
      <w:r w:rsidRPr="00F26881">
        <w:rPr>
          <w:rtl/>
        </w:rPr>
        <w:t>1</w:t>
      </w:r>
      <w:r w:rsidR="00C67DD9" w:rsidRPr="00C67DD9">
        <w:rPr>
          <w:rtl/>
        </w:rPr>
        <w:t xml:space="preserve">)، </w:t>
      </w:r>
      <w:r>
        <w:rPr>
          <w:rtl/>
        </w:rPr>
        <w:t xml:space="preserve">لأن المادة </w:t>
      </w:r>
      <w:r w:rsidRPr="00F26881">
        <w:rPr>
          <w:rtl/>
        </w:rPr>
        <w:t>2</w:t>
      </w:r>
      <w:r>
        <w:rPr>
          <w:rtl/>
        </w:rPr>
        <w:t xml:space="preserve"> من الاتفاقية لا تنص على هذه النتيجة، ولأن العبارة تضيف شروطاً قد تخل بمفهوم جريمة الاختفاء القسري ونطاق تطبيقها.</w:t>
      </w:r>
    </w:p>
    <w:p w14:paraId="5EB932DF" w14:textId="77777777" w:rsidR="0061073A" w:rsidRPr="00AE7397" w:rsidRDefault="0061073A" w:rsidP="005D101A">
      <w:pPr>
        <w:pStyle w:val="SingleTxtGA"/>
        <w:spacing w:line="350" w:lineRule="exact"/>
        <w:rPr>
          <w:szCs w:val="20"/>
          <w:lang w:val="ar-SA" w:eastAsia="zh-TW" w:bidi="en-GB"/>
        </w:rPr>
      </w:pPr>
      <w:r w:rsidRPr="00F26881">
        <w:rPr>
          <w:rtl/>
        </w:rPr>
        <w:t>16-</w:t>
      </w:r>
      <w:r>
        <w:rPr>
          <w:rtl/>
        </w:rPr>
        <w:tab/>
        <w:t xml:space="preserve">وفيما يتعلق برفض الاعتراف بسلب الشخص المختفي حريته أو إخفاء مصيره أو مكان وجوده، تدعو اللجنة الدولة الطرف إلى استخدام الصيغة الدقيقة التي ترد في المادة </w:t>
      </w:r>
      <w:r w:rsidRPr="00F26881">
        <w:rPr>
          <w:rtl/>
        </w:rPr>
        <w:t>2</w:t>
      </w:r>
      <w:r>
        <w:rPr>
          <w:rtl/>
        </w:rPr>
        <w:t xml:space="preserve"> من الاتفاقية على النحو التالي: "يعقبه رفض الاعتراف بحرمان الشخص من حريته أو إخفاء مصير الشخص المختفي أو مكان وجوده، مما يحرمه من حماية القانون".</w:t>
      </w:r>
    </w:p>
    <w:p w14:paraId="01E187C5" w14:textId="37F07BE5" w:rsidR="0061073A" w:rsidRPr="006152E1" w:rsidRDefault="0061073A" w:rsidP="005D101A">
      <w:pPr>
        <w:pStyle w:val="SingleTxtGA"/>
        <w:spacing w:line="350" w:lineRule="exact"/>
        <w:rPr>
          <w:spacing w:val="-2"/>
          <w:szCs w:val="20"/>
          <w:lang w:val="ar-SA" w:eastAsia="zh-TW" w:bidi="en-GB"/>
        </w:rPr>
      </w:pPr>
      <w:r w:rsidRPr="006152E1">
        <w:rPr>
          <w:spacing w:val="-2"/>
          <w:rtl/>
        </w:rPr>
        <w:t>17-</w:t>
      </w:r>
      <w:r w:rsidRPr="006152E1">
        <w:rPr>
          <w:spacing w:val="-2"/>
          <w:rtl/>
        </w:rPr>
        <w:tab/>
        <w:t>وفيما يتعلق بمشاركة الدولة بصورة مباشرة أو غير مباشرة، توصي اللجنة الدولة الطرف بما يلي:</w:t>
      </w:r>
    </w:p>
    <w:p w14:paraId="442237D4" w14:textId="53E75828" w:rsidR="0061073A" w:rsidRPr="00AE7397" w:rsidRDefault="0061073A" w:rsidP="005D101A">
      <w:pPr>
        <w:pStyle w:val="SingleTxtGA"/>
        <w:spacing w:line="350" w:lineRule="exact"/>
        <w:rPr>
          <w:szCs w:val="20"/>
          <w:lang w:val="ar-SA" w:eastAsia="zh-TW" w:bidi="en-GB"/>
        </w:rPr>
      </w:pPr>
      <w:r>
        <w:rPr>
          <w:rtl/>
        </w:rPr>
        <w:tab/>
      </w:r>
      <w:r w:rsidRPr="00F26881">
        <w:rPr>
          <w:rtl/>
        </w:rPr>
        <w:t>(</w:t>
      </w:r>
      <w:r>
        <w:rPr>
          <w:rtl/>
        </w:rPr>
        <w:t>أ</w:t>
      </w:r>
      <w:r w:rsidRPr="00F26881">
        <w:rPr>
          <w:rtl/>
        </w:rPr>
        <w:t>)</w:t>
      </w:r>
      <w:r>
        <w:rPr>
          <w:rtl/>
        </w:rPr>
        <w:tab/>
        <w:t xml:space="preserve">تعديل مصطلح "مسؤول الدولة" إلى "موظف الدولة"، من أجل ضمان الامتثال الكامل لصياغة المادة </w:t>
      </w:r>
      <w:r w:rsidRPr="00F26881">
        <w:rPr>
          <w:rtl/>
        </w:rPr>
        <w:t>2</w:t>
      </w:r>
      <w:r>
        <w:rPr>
          <w:rtl/>
        </w:rPr>
        <w:t xml:space="preserve"> من الاتفاقية؛ </w:t>
      </w:r>
    </w:p>
    <w:p w14:paraId="6FC4A0BF" w14:textId="6435DC9E" w:rsidR="0061073A" w:rsidRPr="006152E1" w:rsidRDefault="0061073A" w:rsidP="005D101A">
      <w:pPr>
        <w:pStyle w:val="SingleTxtGA"/>
        <w:spacing w:line="350" w:lineRule="exact"/>
        <w:rPr>
          <w:szCs w:val="20"/>
          <w:lang w:val="en-US" w:eastAsia="zh-TW" w:bidi="en-GB"/>
        </w:rPr>
      </w:pPr>
      <w:r>
        <w:rPr>
          <w:rtl/>
        </w:rPr>
        <w:tab/>
      </w:r>
      <w:r w:rsidRPr="00F26881">
        <w:rPr>
          <w:rtl/>
        </w:rPr>
        <w:t>(</w:t>
      </w:r>
      <w:r>
        <w:rPr>
          <w:rtl/>
        </w:rPr>
        <w:t>ب</w:t>
      </w:r>
      <w:r w:rsidRPr="00F26881">
        <w:rPr>
          <w:rtl/>
        </w:rPr>
        <w:t>)</w:t>
      </w:r>
      <w:r>
        <w:rPr>
          <w:rtl/>
        </w:rPr>
        <w:tab/>
        <w:t xml:space="preserve">إدراج كلمة "دعم"، بغية الامتثال التام لصيغة المادة </w:t>
      </w:r>
      <w:r w:rsidRPr="00F26881">
        <w:rPr>
          <w:rtl/>
        </w:rPr>
        <w:t>2</w:t>
      </w:r>
      <w:r>
        <w:rPr>
          <w:rtl/>
        </w:rPr>
        <w:t xml:space="preserve"> من الاتفاقية، والنص على ما يلي: "يتصرفون بإذن أو دعم من الدولة أو بموافقتها"</w:t>
      </w:r>
      <w:r w:rsidR="006152E1">
        <w:rPr>
          <w:rFonts w:hint="cs"/>
          <w:rtl/>
        </w:rPr>
        <w:t>؛</w:t>
      </w:r>
    </w:p>
    <w:p w14:paraId="6557C355" w14:textId="275F14C7" w:rsidR="0061073A" w:rsidRPr="00AE7397" w:rsidRDefault="0061073A" w:rsidP="005D101A">
      <w:pPr>
        <w:pStyle w:val="SingleTxtGA"/>
        <w:spacing w:line="350" w:lineRule="exact"/>
        <w:rPr>
          <w:szCs w:val="20"/>
          <w:lang w:val="ar-SA" w:eastAsia="zh-TW" w:bidi="en-GB"/>
        </w:rPr>
      </w:pPr>
      <w:r>
        <w:rPr>
          <w:rtl/>
        </w:rPr>
        <w:tab/>
      </w:r>
      <w:r w:rsidRPr="00F26881">
        <w:rPr>
          <w:rtl/>
        </w:rPr>
        <w:t>(</w:t>
      </w:r>
      <w:r>
        <w:rPr>
          <w:rtl/>
        </w:rPr>
        <w:t>ج</w:t>
      </w:r>
      <w:r w:rsidRPr="00F26881">
        <w:rPr>
          <w:rtl/>
        </w:rPr>
        <w:t>)</w:t>
      </w:r>
      <w:r>
        <w:rPr>
          <w:rtl/>
        </w:rPr>
        <w:tab/>
        <w:t xml:space="preserve">حذف عبارة "بصورة غير قانونية" المستخدمة في مشروع المادة للإشارة إلى مفهوم الإخفاء، إذ توحي هذه العبارة بإمكانية الإخفاء "القانوني" لمصير الشخص المختفي أو مكان وجوده، وهو ما يتنافى مع الحظر المطلق للاختفاء القسري المنصوص عليه في المادة </w:t>
      </w:r>
      <w:r w:rsidRPr="00F26881">
        <w:rPr>
          <w:rtl/>
        </w:rPr>
        <w:t>1</w:t>
      </w:r>
      <w:r>
        <w:rPr>
          <w:rtl/>
        </w:rPr>
        <w:t xml:space="preserve"> من الاتفاقية.</w:t>
      </w:r>
    </w:p>
    <w:p w14:paraId="72ED8F22" w14:textId="77777777" w:rsidR="0061073A" w:rsidRPr="00AE7397" w:rsidRDefault="0061073A" w:rsidP="0061073A">
      <w:pPr>
        <w:pStyle w:val="H4GA"/>
        <w:rPr>
          <w:szCs w:val="20"/>
          <w:lang w:val="ar-SA" w:eastAsia="zh-TW" w:bidi="en-GB"/>
        </w:rPr>
      </w:pPr>
      <w:r>
        <w:rPr>
          <w:rtl/>
        </w:rPr>
        <w:tab/>
      </w:r>
      <w:r>
        <w:rPr>
          <w:rtl/>
        </w:rPr>
        <w:tab/>
        <w:t xml:space="preserve">المواد </w:t>
      </w:r>
      <w:r w:rsidRPr="00F26881">
        <w:rPr>
          <w:rtl/>
        </w:rPr>
        <w:t>5</w:t>
      </w:r>
      <w:r>
        <w:rPr>
          <w:rtl/>
        </w:rPr>
        <w:t xml:space="preserve"> </w:t>
      </w:r>
      <w:proofErr w:type="spellStart"/>
      <w:r>
        <w:rPr>
          <w:rtl/>
        </w:rPr>
        <w:t>و</w:t>
      </w:r>
      <w:r w:rsidRPr="00F26881">
        <w:rPr>
          <w:rtl/>
        </w:rPr>
        <w:t>6</w:t>
      </w:r>
      <w:proofErr w:type="spellEnd"/>
      <w:r>
        <w:rPr>
          <w:rtl/>
        </w:rPr>
        <w:t xml:space="preserve"> </w:t>
      </w:r>
      <w:proofErr w:type="spellStart"/>
      <w:r>
        <w:rPr>
          <w:rtl/>
        </w:rPr>
        <w:t>و</w:t>
      </w:r>
      <w:r w:rsidRPr="00F26881">
        <w:rPr>
          <w:rtl/>
        </w:rPr>
        <w:t>7</w:t>
      </w:r>
      <w:proofErr w:type="spellEnd"/>
      <w:r>
        <w:rPr>
          <w:rtl/>
        </w:rPr>
        <w:t xml:space="preserve"> من الاتفاقية</w:t>
      </w:r>
    </w:p>
    <w:p w14:paraId="1E9903D7" w14:textId="77777777" w:rsidR="0061073A" w:rsidRPr="00AE7397" w:rsidRDefault="0061073A" w:rsidP="0061073A">
      <w:pPr>
        <w:pStyle w:val="SingleTxtGA"/>
        <w:rPr>
          <w:szCs w:val="20"/>
          <w:lang w:val="ar-SA" w:eastAsia="zh-TW" w:bidi="en-GB"/>
        </w:rPr>
      </w:pPr>
      <w:r w:rsidRPr="00F26881">
        <w:rPr>
          <w:rtl/>
        </w:rPr>
        <w:t>18-</w:t>
      </w:r>
      <w:r>
        <w:rPr>
          <w:rtl/>
        </w:rPr>
        <w:tab/>
        <w:t xml:space="preserve">فيما يتعلق بالمسؤولية الجنائية والعقوبات، تلاحظ اللجنة أن مشروع القانون يتناول عناصر </w:t>
      </w:r>
      <w:r w:rsidRPr="006152E1">
        <w:rPr>
          <w:spacing w:val="-2"/>
          <w:rtl/>
        </w:rPr>
        <w:t xml:space="preserve">المادتين 6 </w:t>
      </w:r>
      <w:proofErr w:type="spellStart"/>
      <w:r w:rsidRPr="006152E1">
        <w:rPr>
          <w:spacing w:val="-2"/>
          <w:rtl/>
        </w:rPr>
        <w:t>و7</w:t>
      </w:r>
      <w:proofErr w:type="spellEnd"/>
      <w:r w:rsidRPr="006152E1">
        <w:rPr>
          <w:spacing w:val="-2"/>
          <w:rtl/>
        </w:rPr>
        <w:t xml:space="preserve"> من الاتفاقية. ومع ذلك، يساور اللجنة القلق لأن مشروع القانون لا يمتثل بالكامل للمادتين 6</w:t>
      </w:r>
      <w:r>
        <w:rPr>
          <w:rtl/>
        </w:rPr>
        <w:t xml:space="preserve"> </w:t>
      </w:r>
      <w:proofErr w:type="spellStart"/>
      <w:r>
        <w:rPr>
          <w:rtl/>
        </w:rPr>
        <w:t>و</w:t>
      </w:r>
      <w:r w:rsidRPr="00F26881">
        <w:rPr>
          <w:rtl/>
        </w:rPr>
        <w:t>7</w:t>
      </w:r>
      <w:proofErr w:type="spellEnd"/>
      <w:r>
        <w:rPr>
          <w:rtl/>
        </w:rPr>
        <w:t xml:space="preserve"> من الاتفاقية.</w:t>
      </w:r>
    </w:p>
    <w:p w14:paraId="6F350593" w14:textId="77777777" w:rsidR="0061073A" w:rsidRPr="00AE7397" w:rsidRDefault="0061073A" w:rsidP="0061073A">
      <w:pPr>
        <w:pStyle w:val="SingleTxtGA"/>
        <w:rPr>
          <w:szCs w:val="20"/>
          <w:lang w:val="ar-SA" w:eastAsia="zh-TW" w:bidi="en-GB"/>
        </w:rPr>
      </w:pPr>
      <w:r w:rsidRPr="00F26881">
        <w:rPr>
          <w:rtl/>
        </w:rPr>
        <w:t>19-</w:t>
      </w:r>
      <w:r>
        <w:rPr>
          <w:rtl/>
        </w:rPr>
        <w:tab/>
        <w:t xml:space="preserve">وفيما يتعلق بالمسؤولية الجنائية، توصي اللجنة الدولة الطرف بأن تعتمد صياغة المادة </w:t>
      </w:r>
      <w:r w:rsidRPr="00F26881">
        <w:rPr>
          <w:rtl/>
        </w:rPr>
        <w:t>6</w:t>
      </w:r>
      <w:r>
        <w:rPr>
          <w:rtl/>
        </w:rPr>
        <w:t xml:space="preserve"> من الاتفاقية كلياً وحرفياً.</w:t>
      </w:r>
    </w:p>
    <w:p w14:paraId="6023DAA0" w14:textId="6DBF3045" w:rsidR="0061073A" w:rsidRPr="00AE7397" w:rsidRDefault="0061073A" w:rsidP="0061073A">
      <w:pPr>
        <w:pStyle w:val="SingleTxtGA"/>
        <w:rPr>
          <w:szCs w:val="20"/>
          <w:lang w:val="ar-SA" w:eastAsia="zh-TW" w:bidi="en-GB"/>
        </w:rPr>
      </w:pPr>
      <w:r w:rsidRPr="00F26881">
        <w:rPr>
          <w:rtl/>
        </w:rPr>
        <w:t>20-</w:t>
      </w:r>
      <w:r>
        <w:rPr>
          <w:rtl/>
        </w:rPr>
        <w:tab/>
        <w:t>وفي حين تحيط اللجنة علماً بالعقوبات التي يتضمنها مشروع القانون، فإنها تؤكد من جديد أن هذه العقوبات، لا سيما الحد الأدنى للعقوبة بالسجن لمدة سنة واحدة في غياب ظروف مشددة، لا تتناسب مع جسامة جريمة الاختفاء القسري</w:t>
      </w:r>
      <w:r w:rsidR="00C67DD9">
        <w:rPr>
          <w:rStyle w:val="FootnoteReference"/>
          <w:rtl/>
        </w:rPr>
        <w:t>(</w:t>
      </w:r>
      <w:r w:rsidR="00C67DD9" w:rsidRPr="00AE7397" w:rsidDel="006B28EE">
        <w:rPr>
          <w:rStyle w:val="FootnoteReference"/>
          <w:rtl/>
        </w:rPr>
        <w:footnoteReference w:id="5"/>
      </w:r>
      <w:r w:rsidR="00C67DD9" w:rsidRPr="00C67DD9">
        <w:rPr>
          <w:rStyle w:val="FootnoteReference"/>
          <w:rtl/>
        </w:rPr>
        <w:t>)</w:t>
      </w:r>
      <w:r w:rsidR="00C67DD9" w:rsidRPr="00C67DD9">
        <w:rPr>
          <w:rtl/>
        </w:rPr>
        <w:t xml:space="preserve">. </w:t>
      </w:r>
    </w:p>
    <w:p w14:paraId="5A8720A3" w14:textId="16A0FF84" w:rsidR="0061073A" w:rsidRPr="00AE7397" w:rsidRDefault="0061073A" w:rsidP="0061073A">
      <w:pPr>
        <w:pStyle w:val="SingleTxtGA"/>
        <w:rPr>
          <w:szCs w:val="20"/>
          <w:lang w:val="ar-SA" w:eastAsia="zh-TW" w:bidi="en-GB"/>
        </w:rPr>
      </w:pPr>
      <w:r w:rsidRPr="00F26881">
        <w:rPr>
          <w:rtl/>
        </w:rPr>
        <w:t>21-</w:t>
      </w:r>
      <w:r>
        <w:rPr>
          <w:rtl/>
        </w:rPr>
        <w:tab/>
        <w:t>وإلى جانب ذلك، يساور اللجنة القلق لأن مشروع القانون يربط عقوبة الاختفاء القسري بالعقوبات المفروضة على الجرائم الأخرى التي قد ينطوي عليها الاختفاء القسري، من خلال عبارة "ما لم يكن ارتكاب هذه الأفعال يحمل طابع</w:t>
      </w:r>
      <w:r w:rsidR="00F26881">
        <w:rPr>
          <w:rtl/>
        </w:rPr>
        <w:t xml:space="preserve"> </w:t>
      </w:r>
      <w:r>
        <w:rPr>
          <w:rtl/>
        </w:rPr>
        <w:t>الجرائم الأخرى المشار إليها في الجزء الخاص من هذا القانون".</w:t>
      </w:r>
    </w:p>
    <w:p w14:paraId="0CFBF85E" w14:textId="77777777" w:rsidR="0061073A" w:rsidRPr="00AE7397" w:rsidRDefault="0061073A" w:rsidP="0061073A">
      <w:pPr>
        <w:pStyle w:val="SingleTxtGA"/>
        <w:rPr>
          <w:szCs w:val="20"/>
          <w:lang w:val="ar-SA" w:eastAsia="zh-TW" w:bidi="en-GB"/>
        </w:rPr>
      </w:pPr>
      <w:r w:rsidRPr="00F26881">
        <w:rPr>
          <w:rtl/>
        </w:rPr>
        <w:t>22-</w:t>
      </w:r>
      <w:r>
        <w:rPr>
          <w:rtl/>
        </w:rPr>
        <w:tab/>
        <w:t>وفي ضوء ما تقدم، توصي اللجنة الدولة الطرف بما يلي</w:t>
      </w:r>
      <w:r>
        <w:rPr>
          <w:rFonts w:ascii="Simplified Arabic"/>
          <w:szCs w:val="20"/>
        </w:rPr>
        <w:t>:</w:t>
      </w:r>
      <w:r>
        <w:rPr>
          <w:rtl/>
        </w:rPr>
        <w:t xml:space="preserve"> </w:t>
      </w:r>
    </w:p>
    <w:p w14:paraId="3973D7E2" w14:textId="67ABDA8D" w:rsidR="0061073A" w:rsidRPr="00AE7397" w:rsidRDefault="0061073A" w:rsidP="0061073A">
      <w:pPr>
        <w:pStyle w:val="SingleTxtGA"/>
        <w:rPr>
          <w:szCs w:val="20"/>
          <w:lang w:val="ar-SA" w:eastAsia="zh-TW" w:bidi="en-GB"/>
        </w:rPr>
      </w:pPr>
      <w:r>
        <w:rPr>
          <w:rtl/>
        </w:rPr>
        <w:tab/>
      </w:r>
      <w:r w:rsidRPr="00F26881">
        <w:rPr>
          <w:rtl/>
        </w:rPr>
        <w:t>(</w:t>
      </w:r>
      <w:r>
        <w:rPr>
          <w:rtl/>
        </w:rPr>
        <w:t>أ</w:t>
      </w:r>
      <w:r w:rsidRPr="00F26881">
        <w:rPr>
          <w:rtl/>
        </w:rPr>
        <w:t>)</w:t>
      </w:r>
      <w:r>
        <w:rPr>
          <w:rtl/>
        </w:rPr>
        <w:tab/>
        <w:t>الحرص على أن تراعي العقوبات الواردة في قانونها الجنائي الجديد على النحو الواجب جسامة جريمة الاختفاء القسري؛</w:t>
      </w:r>
    </w:p>
    <w:p w14:paraId="2C2DD99C" w14:textId="2FE41629" w:rsidR="0061073A" w:rsidRPr="00AE7397" w:rsidRDefault="0061073A" w:rsidP="0061073A">
      <w:pPr>
        <w:pStyle w:val="SingleTxtGA"/>
        <w:rPr>
          <w:szCs w:val="20"/>
          <w:lang w:val="ar-SA" w:eastAsia="zh-TW" w:bidi="en-GB"/>
        </w:rPr>
      </w:pPr>
      <w:r>
        <w:rPr>
          <w:rtl/>
        </w:rPr>
        <w:lastRenderedPageBreak/>
        <w:tab/>
      </w:r>
      <w:r w:rsidRPr="00F26881">
        <w:rPr>
          <w:rtl/>
        </w:rPr>
        <w:t>(</w:t>
      </w:r>
      <w:r>
        <w:rPr>
          <w:rtl/>
        </w:rPr>
        <w:t>ب</w:t>
      </w:r>
      <w:r w:rsidRPr="00F26881">
        <w:rPr>
          <w:rtl/>
        </w:rPr>
        <w:t>)</w:t>
      </w:r>
      <w:r>
        <w:rPr>
          <w:rtl/>
        </w:rPr>
        <w:tab/>
        <w:t>حذف جميع العبارات التي تربط عقوبة الاختفاء القسري بالعقوبات المفروضة على الجرائم الأخرى التي قد ينطوي عليها الاختفاء القسري.</w:t>
      </w:r>
    </w:p>
    <w:p w14:paraId="76020DB6" w14:textId="77777777" w:rsidR="0061073A" w:rsidRPr="00AE7397" w:rsidRDefault="0061073A" w:rsidP="0061073A">
      <w:pPr>
        <w:pStyle w:val="SingleTxtGA"/>
        <w:rPr>
          <w:szCs w:val="20"/>
          <w:lang w:val="ar-SA" w:eastAsia="zh-TW" w:bidi="en-GB"/>
        </w:rPr>
      </w:pPr>
      <w:r w:rsidRPr="00F26881">
        <w:rPr>
          <w:rtl/>
        </w:rPr>
        <w:t>23-</w:t>
      </w:r>
      <w:r>
        <w:rPr>
          <w:rtl/>
        </w:rPr>
        <w:tab/>
        <w:t xml:space="preserve">وإلى جانب ذلك، يساور اللجنة القلق إزاء اللغة المستخدمة في الفقرة </w:t>
      </w:r>
      <w:r w:rsidRPr="00F26881">
        <w:rPr>
          <w:rtl/>
        </w:rPr>
        <w:t>3</w:t>
      </w:r>
      <w:r>
        <w:rPr>
          <w:rtl/>
        </w:rPr>
        <w:t xml:space="preserve"> من مشروع المادة من حيث خروجها عن الاتفاقية. فعلى وجه الخصوص، لا تميز الاتفاقية بين ما إذا كانت المسؤولية الجنائية تقع على عاتق شخص واحد أو على مجموعة، أو ما إذا كانت الجريمة تمسّ بشخص واحد أو بعدة أشخاص. وعليه، توصي اللجنة الدولة الطرف بما يلي:</w:t>
      </w:r>
    </w:p>
    <w:p w14:paraId="47D4E95E" w14:textId="166D7C7C" w:rsidR="0061073A" w:rsidRPr="00AE7397" w:rsidRDefault="0061073A" w:rsidP="0061073A">
      <w:pPr>
        <w:pStyle w:val="SingleTxtGA"/>
        <w:rPr>
          <w:szCs w:val="20"/>
          <w:lang w:val="ar-SA" w:eastAsia="zh-TW" w:bidi="en-GB"/>
        </w:rPr>
      </w:pPr>
      <w:r>
        <w:rPr>
          <w:rtl/>
        </w:rPr>
        <w:tab/>
      </w:r>
      <w:r w:rsidRPr="00F26881">
        <w:rPr>
          <w:rtl/>
        </w:rPr>
        <w:t>(</w:t>
      </w:r>
      <w:r>
        <w:rPr>
          <w:rtl/>
        </w:rPr>
        <w:t>أ</w:t>
      </w:r>
      <w:r w:rsidRPr="00F26881">
        <w:rPr>
          <w:rtl/>
        </w:rPr>
        <w:t>)</w:t>
      </w:r>
      <w:r>
        <w:rPr>
          <w:rtl/>
        </w:rPr>
        <w:tab/>
        <w:t xml:space="preserve">استخدام الصياغة الدقيقة للمادة </w:t>
      </w:r>
      <w:r w:rsidRPr="00F26881">
        <w:rPr>
          <w:rtl/>
        </w:rPr>
        <w:t>7(</w:t>
      </w:r>
      <w:r w:rsidR="00C67DD9" w:rsidRPr="00C67DD9">
        <w:rPr>
          <w:rtl/>
        </w:rPr>
        <w:t xml:space="preserve">2) </w:t>
      </w:r>
      <w:r>
        <w:rPr>
          <w:rtl/>
        </w:rPr>
        <w:t>في إشارتها إلى الظروف المخففة والمشددة، وحذف الملاحظة التي لا تتفق مع الاتفاقية؛</w:t>
      </w:r>
    </w:p>
    <w:p w14:paraId="4E098481" w14:textId="485E2B7E" w:rsidR="0061073A" w:rsidRPr="00AE7397" w:rsidRDefault="0061073A" w:rsidP="0061073A">
      <w:pPr>
        <w:pStyle w:val="SingleTxtGA"/>
        <w:rPr>
          <w:szCs w:val="20"/>
          <w:lang w:val="ar-SA" w:eastAsia="zh-TW" w:bidi="en-GB"/>
        </w:rPr>
      </w:pPr>
      <w:r>
        <w:rPr>
          <w:rtl/>
        </w:rPr>
        <w:tab/>
      </w:r>
      <w:r w:rsidRPr="00F26881">
        <w:rPr>
          <w:rtl/>
        </w:rPr>
        <w:t>(</w:t>
      </w:r>
      <w:r>
        <w:rPr>
          <w:rtl/>
        </w:rPr>
        <w:t>ب</w:t>
      </w:r>
      <w:r w:rsidRPr="00F26881">
        <w:rPr>
          <w:rtl/>
        </w:rPr>
        <w:t>)</w:t>
      </w:r>
      <w:r>
        <w:rPr>
          <w:rtl/>
        </w:rPr>
        <w:tab/>
        <w:t xml:space="preserve">ضمان إجراء استعراض لصياغة الفقرة </w:t>
      </w:r>
      <w:r w:rsidRPr="00F26881">
        <w:rPr>
          <w:rtl/>
        </w:rPr>
        <w:t>3-1</w:t>
      </w:r>
      <w:r w:rsidR="00F26881">
        <w:rPr>
          <w:rFonts w:ascii="Simplified Arabic"/>
          <w:szCs w:val="20"/>
          <w:rtl/>
        </w:rPr>
        <w:t xml:space="preserve"> </w:t>
      </w:r>
      <w:r>
        <w:rPr>
          <w:rtl/>
        </w:rPr>
        <w:t>في ظل</w:t>
      </w:r>
      <w:r w:rsidR="00F26881">
        <w:rPr>
          <w:rtl/>
        </w:rPr>
        <w:t xml:space="preserve"> </w:t>
      </w:r>
      <w:r>
        <w:rPr>
          <w:rtl/>
        </w:rPr>
        <w:t>الامتثال التام للاتفاقية والمعايير الدولية الأخرى. وفي هذا الصدد، تشير اللجنة إلى ما يلي:</w:t>
      </w:r>
    </w:p>
    <w:p w14:paraId="5E2D1C08" w14:textId="5D45C3ED" w:rsidR="0061073A" w:rsidRPr="00AE7397" w:rsidRDefault="0061073A" w:rsidP="0061073A">
      <w:pPr>
        <w:pStyle w:val="Roman1GA"/>
        <w:rPr>
          <w:szCs w:val="20"/>
          <w:lang w:val="ar-SA" w:bidi="en-GB"/>
        </w:rPr>
      </w:pPr>
      <w:r>
        <w:rPr>
          <w:rtl/>
        </w:rPr>
        <w:t>ينبغي الاستعاضة عن كلمة "العجز" بكلمة "الإعاقة" عملاً باتفاقية حقوق الأشخاص ذوي الإعاقة؛</w:t>
      </w:r>
    </w:p>
    <w:p w14:paraId="03995094" w14:textId="587A5215" w:rsidR="0061073A" w:rsidRPr="00AE7397" w:rsidRDefault="0061073A" w:rsidP="0061073A">
      <w:pPr>
        <w:pStyle w:val="Roman1GA"/>
        <w:rPr>
          <w:szCs w:val="20"/>
          <w:lang w:val="ar-SA" w:bidi="en-GB"/>
        </w:rPr>
      </w:pPr>
      <w:r>
        <w:rPr>
          <w:rtl/>
        </w:rPr>
        <w:t>ينبغي تعديل النص حرصا</w:t>
      </w:r>
      <w:r w:rsidR="00770DD3">
        <w:rPr>
          <w:rFonts w:hint="cs"/>
          <w:rtl/>
        </w:rPr>
        <w:t>ً</w:t>
      </w:r>
      <w:r>
        <w:rPr>
          <w:rtl/>
        </w:rPr>
        <w:t xml:space="preserve"> على ألاّ تقتصر المسؤولية المشددة للجناة على الحالات التي يكون فيها الجاني غير مدرك لإعاقة الضحية؛</w:t>
      </w:r>
    </w:p>
    <w:p w14:paraId="2BB4DFEF" w14:textId="47869A86" w:rsidR="0061073A" w:rsidRPr="00AE7397" w:rsidRDefault="0061073A" w:rsidP="0061073A">
      <w:pPr>
        <w:pStyle w:val="Roman1GA"/>
        <w:rPr>
          <w:szCs w:val="20"/>
          <w:lang w:val="ar-SA" w:bidi="en-GB"/>
        </w:rPr>
      </w:pPr>
      <w:r>
        <w:rPr>
          <w:rtl/>
        </w:rPr>
        <w:t xml:space="preserve">ينبغي إلغاء الشروط الأخرى المتعلقة بالمسؤولية المشددة للجناة غير المنصوص عليها في المادة </w:t>
      </w:r>
      <w:r w:rsidRPr="00F26881">
        <w:rPr>
          <w:rtl/>
        </w:rPr>
        <w:t>2</w:t>
      </w:r>
      <w:r>
        <w:rPr>
          <w:rtl/>
        </w:rPr>
        <w:t xml:space="preserve"> من الاتفاقية، وهي شرط ارتكاب الجريمة في حق "شخص يخضع لسيطرة الجاني" أو "شخص غير قادر على الدفاع عن نفسه"؛</w:t>
      </w:r>
    </w:p>
    <w:p w14:paraId="54FFA712" w14:textId="441A3AEE" w:rsidR="0061073A" w:rsidRPr="00AE7397" w:rsidRDefault="0061073A" w:rsidP="0061073A">
      <w:pPr>
        <w:pStyle w:val="SingleTxtGA"/>
        <w:rPr>
          <w:szCs w:val="20"/>
          <w:lang w:val="ar-SA" w:eastAsia="zh-TW" w:bidi="en-GB"/>
        </w:rPr>
      </w:pPr>
      <w:r>
        <w:rPr>
          <w:rtl/>
        </w:rPr>
        <w:tab/>
      </w:r>
      <w:r w:rsidRPr="00F26881">
        <w:rPr>
          <w:rtl/>
        </w:rPr>
        <w:t>(</w:t>
      </w:r>
      <w:r>
        <w:rPr>
          <w:rtl/>
        </w:rPr>
        <w:t>ج</w:t>
      </w:r>
      <w:r w:rsidRPr="00F26881">
        <w:rPr>
          <w:rtl/>
        </w:rPr>
        <w:t>)</w:t>
      </w:r>
      <w:r>
        <w:rPr>
          <w:rtl/>
        </w:rPr>
        <w:tab/>
        <w:t xml:space="preserve">الاعتراف صراحةً بأن الاختفاء القسري جريمة في حق الإنسانية، وفقاً للمادة </w:t>
      </w:r>
      <w:r w:rsidRPr="00F26881">
        <w:rPr>
          <w:rtl/>
        </w:rPr>
        <w:t>5</w:t>
      </w:r>
      <w:r>
        <w:rPr>
          <w:rtl/>
        </w:rPr>
        <w:t xml:space="preserve"> من الاتفاقية</w:t>
      </w:r>
      <w:r w:rsidR="00C67DD9">
        <w:rPr>
          <w:rStyle w:val="FootnoteReference"/>
          <w:rtl/>
        </w:rPr>
        <w:t>(</w:t>
      </w:r>
      <w:r w:rsidR="00C67DD9" w:rsidRPr="00AE7397">
        <w:rPr>
          <w:rStyle w:val="FootnoteReference"/>
          <w:rtl/>
        </w:rPr>
        <w:footnoteReference w:id="6"/>
      </w:r>
      <w:r w:rsidR="00C67DD9" w:rsidRPr="00C67DD9">
        <w:rPr>
          <w:rStyle w:val="FootnoteReference"/>
          <w:rtl/>
        </w:rPr>
        <w:t>)</w:t>
      </w:r>
      <w:r w:rsidR="00C67DD9" w:rsidRPr="00C67DD9">
        <w:rPr>
          <w:rtl/>
        </w:rPr>
        <w:t xml:space="preserve">. </w:t>
      </w:r>
    </w:p>
    <w:p w14:paraId="6EB92FCF" w14:textId="08B56C84" w:rsidR="0061073A" w:rsidRPr="00AE7397" w:rsidRDefault="0061073A" w:rsidP="0061073A">
      <w:pPr>
        <w:pStyle w:val="SingleTxtGA"/>
        <w:rPr>
          <w:szCs w:val="20"/>
          <w:lang w:val="ar-SA" w:eastAsia="zh-TW" w:bidi="en-GB"/>
        </w:rPr>
      </w:pPr>
      <w:r w:rsidRPr="00F26881">
        <w:rPr>
          <w:rtl/>
        </w:rPr>
        <w:t>24-</w:t>
      </w:r>
      <w:r>
        <w:rPr>
          <w:rtl/>
        </w:rPr>
        <w:tab/>
        <w:t xml:space="preserve">ولذلك تكرر اللجنة توصياتها الواردة في الفقرات </w:t>
      </w:r>
      <w:r w:rsidRPr="00F26881">
        <w:rPr>
          <w:rtl/>
        </w:rPr>
        <w:t>17</w:t>
      </w:r>
      <w:r>
        <w:rPr>
          <w:rtl/>
        </w:rPr>
        <w:t xml:space="preserve"> </w:t>
      </w:r>
      <w:proofErr w:type="spellStart"/>
      <w:r>
        <w:rPr>
          <w:rtl/>
        </w:rPr>
        <w:t>و</w:t>
      </w:r>
      <w:r w:rsidRPr="00F26881">
        <w:rPr>
          <w:rtl/>
        </w:rPr>
        <w:t>19</w:t>
      </w:r>
      <w:proofErr w:type="spellEnd"/>
      <w:r>
        <w:rPr>
          <w:rtl/>
        </w:rPr>
        <w:t xml:space="preserve"> </w:t>
      </w:r>
      <w:proofErr w:type="spellStart"/>
      <w:r>
        <w:rPr>
          <w:rtl/>
        </w:rPr>
        <w:t>و</w:t>
      </w:r>
      <w:r w:rsidRPr="00F26881">
        <w:rPr>
          <w:rtl/>
        </w:rPr>
        <w:t>21</w:t>
      </w:r>
      <w:proofErr w:type="spellEnd"/>
      <w:r>
        <w:rPr>
          <w:rtl/>
        </w:rPr>
        <w:t xml:space="preserve"> </w:t>
      </w:r>
      <w:proofErr w:type="spellStart"/>
      <w:r>
        <w:rPr>
          <w:rtl/>
        </w:rPr>
        <w:t>و</w:t>
      </w:r>
      <w:r w:rsidRPr="00F26881">
        <w:rPr>
          <w:rtl/>
        </w:rPr>
        <w:t>23</w:t>
      </w:r>
      <w:proofErr w:type="spellEnd"/>
      <w:r>
        <w:rPr>
          <w:rtl/>
        </w:rPr>
        <w:t xml:space="preserve"> من ملاحظاتها الختامية، وتطلب إلى الدولة الطرف موافاتها بمعلومات محدثة عن تنفيذ هذه التوصيات عند تقديم تقريرها المقبل بموجب المادة </w:t>
      </w:r>
      <w:r w:rsidRPr="00F26881">
        <w:rPr>
          <w:rtl/>
        </w:rPr>
        <w:t>29(</w:t>
      </w:r>
      <w:r w:rsidR="00C67DD9" w:rsidRPr="00C67DD9">
        <w:rPr>
          <w:rtl/>
        </w:rPr>
        <w:t xml:space="preserve">4) </w:t>
      </w:r>
      <w:r>
        <w:rPr>
          <w:rtl/>
        </w:rPr>
        <w:t xml:space="preserve">من الاتفاقية. </w:t>
      </w:r>
    </w:p>
    <w:p w14:paraId="7C1222D4" w14:textId="426565DB" w:rsidR="00C67DD9" w:rsidRPr="00C67DD9" w:rsidRDefault="0061073A" w:rsidP="0061073A">
      <w:pPr>
        <w:pStyle w:val="SingleTxtGA"/>
        <w:rPr>
          <w:b/>
          <w:bCs/>
          <w:szCs w:val="20"/>
          <w:rtl/>
          <w:lang w:val="en-US" w:eastAsia="zh-TW"/>
        </w:rPr>
      </w:pPr>
      <w:r w:rsidRPr="00BE0EC7">
        <w:rPr>
          <w:b/>
          <w:bCs/>
          <w:rtl/>
        </w:rPr>
        <w:t>الفقرة 3</w:t>
      </w:r>
      <w:r w:rsidR="00C67DD9" w:rsidRPr="00C67DD9">
        <w:rPr>
          <w:b/>
          <w:bCs/>
          <w:rtl/>
        </w:rPr>
        <w:t>5</w:t>
      </w:r>
      <w:r w:rsidR="00C67DD9" w:rsidRPr="00C67DD9">
        <w:rPr>
          <w:rFonts w:hint="cs"/>
          <w:b/>
          <w:bCs/>
          <w:rtl/>
        </w:rPr>
        <w:t xml:space="preserve">: </w:t>
      </w:r>
      <w:r w:rsidRPr="00BE0EC7">
        <w:rPr>
          <w:b/>
          <w:bCs/>
          <w:rtl/>
        </w:rPr>
        <w:t>توصي اللجنة الدولة الطرف بأن تكفل لجميع موظفي إنفاذ القانون والعاملين في قطاع الأمن، مدنيين كانوا أم عسكريين، والعاملين في المجال الطبي، والموظفين الحكوميين وسائر الأشخاص الذين يمكن أن يتدخلوا في حراسة أو معاملة أشخاص سلبت حريتهم، بمن فيهم القضاة وأعضاء النيابة العامة وسواهم من الموظفين المسؤولين عن إقامة العدل، الحصولَ على تدريب محدد ومنتظم بشأن أحكام الاتفاقية وفقاً للفقرة 1 من المادة 2</w:t>
      </w:r>
      <w:r w:rsidR="00C67DD9" w:rsidRPr="00C67DD9">
        <w:rPr>
          <w:b/>
          <w:bCs/>
          <w:rtl/>
        </w:rPr>
        <w:t>3</w:t>
      </w:r>
      <w:r w:rsidR="00C67DD9" w:rsidRPr="00C67DD9">
        <w:rPr>
          <w:rFonts w:hint="cs"/>
          <w:b/>
          <w:bCs/>
          <w:rtl/>
        </w:rPr>
        <w:t>.</w:t>
      </w:r>
    </w:p>
    <w:p w14:paraId="37BADE27" w14:textId="5ECF274F" w:rsidR="0061073A" w:rsidRPr="00AE7397" w:rsidRDefault="0061073A" w:rsidP="0061073A">
      <w:pPr>
        <w:pStyle w:val="H23GA"/>
        <w:rPr>
          <w:szCs w:val="20"/>
          <w:lang w:val="ar-SA" w:eastAsia="zh-TW" w:bidi="en-GB"/>
        </w:rPr>
      </w:pPr>
      <w:r>
        <w:rPr>
          <w:rtl/>
        </w:rPr>
        <w:tab/>
      </w:r>
      <w:r>
        <w:rPr>
          <w:rtl/>
        </w:rPr>
        <w:tab/>
        <w:t>ردّ الدولة الطرف</w:t>
      </w:r>
    </w:p>
    <w:p w14:paraId="44A9E861" w14:textId="3AB62969" w:rsidR="00C67DD9" w:rsidRPr="00C67DD9" w:rsidRDefault="0061073A" w:rsidP="00C67DD9">
      <w:pPr>
        <w:pStyle w:val="SingleTxtGA"/>
        <w:rPr>
          <w:szCs w:val="20"/>
          <w:lang w:val="ar-SA" w:eastAsia="zh-TW" w:bidi="en-GB"/>
        </w:rPr>
      </w:pPr>
      <w:r w:rsidRPr="00F26881">
        <w:rPr>
          <w:rtl/>
        </w:rPr>
        <w:t>25-</w:t>
      </w:r>
      <w:r>
        <w:rPr>
          <w:rtl/>
        </w:rPr>
        <w:tab/>
        <w:t xml:space="preserve">يرد رد الدولة الطرف في الفقرة </w:t>
      </w:r>
      <w:r w:rsidRPr="00F26881">
        <w:rPr>
          <w:rtl/>
        </w:rPr>
        <w:t>4</w:t>
      </w:r>
      <w:r>
        <w:rPr>
          <w:rtl/>
        </w:rPr>
        <w:t xml:space="preserve"> من الوثيقة </w:t>
      </w:r>
      <w:hyperlink r:id="rId17" w:history="1">
        <w:proofErr w:type="spellStart"/>
        <w:r w:rsidRPr="00C67DD9">
          <w:rPr>
            <w:rStyle w:val="Hyperlink"/>
            <w:lang w:val="en-US"/>
          </w:rPr>
          <w:t>CED</w:t>
        </w:r>
        <w:proofErr w:type="spellEnd"/>
        <w:r w:rsidRPr="00C67DD9">
          <w:rPr>
            <w:rStyle w:val="Hyperlink"/>
            <w:lang w:val="en-US"/>
          </w:rPr>
          <w:t>/C/</w:t>
        </w:r>
        <w:proofErr w:type="spellStart"/>
        <w:r w:rsidRPr="00C67DD9">
          <w:rPr>
            <w:rStyle w:val="Hyperlink"/>
            <w:lang w:val="en-US"/>
          </w:rPr>
          <w:t>MNG</w:t>
        </w:r>
        <w:proofErr w:type="spellEnd"/>
        <w:r w:rsidRPr="00C67DD9">
          <w:rPr>
            <w:rStyle w:val="Hyperlink"/>
            <w:lang w:val="en-US"/>
          </w:rPr>
          <w:t>/</w:t>
        </w:r>
        <w:proofErr w:type="spellStart"/>
        <w:r w:rsidRPr="00C67DD9">
          <w:rPr>
            <w:rStyle w:val="Hyperlink"/>
            <w:lang w:val="en-US"/>
          </w:rPr>
          <w:t>FCO</w:t>
        </w:r>
        <w:proofErr w:type="spellEnd"/>
        <w:r w:rsidRPr="00C67DD9">
          <w:rPr>
            <w:rStyle w:val="Hyperlink"/>
            <w:lang w:val="en-US"/>
          </w:rPr>
          <w:t>/</w:t>
        </w:r>
        <w:r w:rsidR="00C67DD9" w:rsidRPr="00C67DD9">
          <w:rPr>
            <w:rStyle w:val="Hyperlink"/>
            <w:lang w:val="en-US"/>
          </w:rPr>
          <w:t>1</w:t>
        </w:r>
      </w:hyperlink>
      <w:r w:rsidR="00C67DD9" w:rsidRPr="00C67DD9">
        <w:rPr>
          <w:rtl/>
        </w:rPr>
        <w:t>.</w:t>
      </w:r>
    </w:p>
    <w:p w14:paraId="1043FD84" w14:textId="454498B8" w:rsidR="0061073A" w:rsidRPr="00AE7397" w:rsidRDefault="0061073A" w:rsidP="0061073A">
      <w:pPr>
        <w:pStyle w:val="H23GA"/>
        <w:rPr>
          <w:szCs w:val="20"/>
          <w:lang w:val="ar-SA" w:eastAsia="zh-TW" w:bidi="en-GB"/>
        </w:rPr>
      </w:pPr>
      <w:r>
        <w:rPr>
          <w:rtl/>
        </w:rPr>
        <w:tab/>
      </w:r>
      <w:r>
        <w:rPr>
          <w:rtl/>
        </w:rPr>
        <w:tab/>
        <w:t>تقييم اللجنة</w:t>
      </w:r>
    </w:p>
    <w:p w14:paraId="1B616076" w14:textId="6A4C0C49" w:rsidR="0061073A" w:rsidRPr="00AE7397" w:rsidRDefault="0061073A" w:rsidP="0061073A">
      <w:pPr>
        <w:pStyle w:val="SingleTxtGA"/>
        <w:rPr>
          <w:szCs w:val="20"/>
          <w:lang w:val="ar-SA" w:eastAsia="zh-TW" w:bidi="en-GB"/>
        </w:rPr>
      </w:pPr>
      <w:r w:rsidRPr="00F26881">
        <w:rPr>
          <w:rtl/>
        </w:rPr>
        <w:t>26-</w:t>
      </w:r>
      <w:r>
        <w:rPr>
          <w:rtl/>
        </w:rPr>
        <w:tab/>
      </w:r>
      <w:r w:rsidRPr="006E5BC5">
        <w:rPr>
          <w:rFonts w:ascii="Simplified Arabic"/>
          <w:b/>
          <w:bCs/>
          <w:szCs w:val="20"/>
          <w:rtl/>
        </w:rPr>
        <w:t>[</w:t>
      </w:r>
      <w:r w:rsidRPr="006E5BC5">
        <w:rPr>
          <w:b/>
          <w:bCs/>
          <w:rtl/>
        </w:rPr>
        <w:t>باء</w:t>
      </w:r>
      <w:r w:rsidR="00C67DD9" w:rsidRPr="006E5BC5">
        <w:rPr>
          <w:rFonts w:ascii="Simplified Arabic"/>
          <w:b/>
          <w:bCs/>
          <w:szCs w:val="20"/>
          <w:rtl/>
        </w:rPr>
        <w:t>]</w:t>
      </w:r>
      <w:r w:rsidR="00C67DD9" w:rsidRPr="006E5BC5">
        <w:rPr>
          <w:b/>
          <w:bCs/>
          <w:rtl/>
        </w:rPr>
        <w:t>:</w:t>
      </w:r>
      <w:r w:rsidR="00C67DD9" w:rsidRPr="00C67DD9">
        <w:rPr>
          <w:rtl/>
        </w:rPr>
        <w:t xml:space="preserve"> </w:t>
      </w:r>
      <w:r>
        <w:rPr>
          <w:rtl/>
        </w:rPr>
        <w:t xml:space="preserve">تحيط اللجنة علماً بالمعلومات التي قدمتها الدولة الطرف ومفادها أن العمل جارٍ لإنشاء فريق عامل، وتشير كذلك إلى أن تقرير الدولة الطرف لا يتضمن أي معلومات عن الإجراءات المحددة </w:t>
      </w:r>
      <w:r>
        <w:rPr>
          <w:rtl/>
        </w:rPr>
        <w:lastRenderedPageBreak/>
        <w:t xml:space="preserve">التي اتُّخذت في هذا الصدد. غير أن البعثة الدائمة لمنغوليا لدى مكتب الأمم المتحدة والمنظمات الدولية الأخرى في جنيف أبلغت اللجنة، في رسالة بريد إلكتروني مؤرخة </w:t>
      </w:r>
      <w:r w:rsidRPr="00F26881">
        <w:rPr>
          <w:rtl/>
        </w:rPr>
        <w:t>7</w:t>
      </w:r>
      <w:r>
        <w:rPr>
          <w:rtl/>
        </w:rPr>
        <w:t xml:space="preserve"> كانون الأول/ديسمبر </w:t>
      </w:r>
      <w:r w:rsidRPr="00F26881">
        <w:rPr>
          <w:rtl/>
        </w:rPr>
        <w:t>2022</w:t>
      </w:r>
      <w:r>
        <w:rPr>
          <w:rtl/>
        </w:rPr>
        <w:t>، باقتراب موعد إنشاء فريق عامل مشترك بين الوزارات مسؤول عن تنفيذ توصيات اللجنة في إطار وزارة العدل والشؤون الداخلية، وبصياغة خطة عمل تضمنت تنظيم أنشطة تدريبية متعددة بشأن الاتفاقية واستخدامها،</w:t>
      </w:r>
      <w:r w:rsidR="00F26881">
        <w:rPr>
          <w:rtl/>
        </w:rPr>
        <w:t xml:space="preserve"> </w:t>
      </w:r>
      <w:r>
        <w:rPr>
          <w:rtl/>
        </w:rPr>
        <w:t xml:space="preserve">لفائدة القضاة والمدعين العامين والموظفين المكلفين بإنفاذ القانون والمحامين والطلاب من كليات الحقوق. وترحب اللجنة بتأكيد إحراز هذا التقدم، وتطلب إلى الدولة الطرف أن توافيها، في تقريرها المقبل المقدم بموجب المادة </w:t>
      </w:r>
      <w:r w:rsidRPr="00F26881">
        <w:rPr>
          <w:rtl/>
        </w:rPr>
        <w:t>29(</w:t>
      </w:r>
      <w:r w:rsidR="00C67DD9" w:rsidRPr="00C67DD9">
        <w:rPr>
          <w:rtl/>
        </w:rPr>
        <w:t xml:space="preserve">4) </w:t>
      </w:r>
      <w:r>
        <w:rPr>
          <w:rtl/>
        </w:rPr>
        <w:t xml:space="preserve">من الاتفاقية، بمعلومات أكثر استيفاءً وأحدث في هذا الصدد، ومنها ما إذا كان الفريق العامل قد أنشئ وما إذا كانت أنشطة التدريب المقررة قد عقدت. </w:t>
      </w:r>
      <w:bookmarkStart w:id="0" w:name="_Hlk75950090"/>
      <w:bookmarkStart w:id="1" w:name="_Hlk75948647"/>
      <w:bookmarkStart w:id="2" w:name="_Hlk26365471"/>
      <w:bookmarkEnd w:id="0"/>
      <w:bookmarkEnd w:id="1"/>
      <w:bookmarkEnd w:id="2"/>
    </w:p>
    <w:p w14:paraId="01BE487E" w14:textId="078D12DD" w:rsidR="0061073A" w:rsidRPr="00BE1A27" w:rsidRDefault="0061073A" w:rsidP="0061073A">
      <w:pPr>
        <w:pStyle w:val="SingleTxtGA"/>
        <w:rPr>
          <w:b/>
          <w:bCs/>
          <w:spacing w:val="-4"/>
          <w:szCs w:val="20"/>
          <w:rtl/>
          <w:lang w:eastAsia="zh-TW"/>
        </w:rPr>
      </w:pPr>
      <w:r w:rsidRPr="003067B6">
        <w:rPr>
          <w:b/>
          <w:bCs/>
          <w:spacing w:val="-4"/>
          <w:rtl/>
        </w:rPr>
        <w:t>الفقرة 3</w:t>
      </w:r>
      <w:r w:rsidR="00C67DD9" w:rsidRPr="00C67DD9">
        <w:rPr>
          <w:b/>
          <w:bCs/>
          <w:spacing w:val="-4"/>
          <w:rtl/>
        </w:rPr>
        <w:t>9</w:t>
      </w:r>
      <w:r w:rsidR="00C67DD9" w:rsidRPr="00C67DD9">
        <w:rPr>
          <w:rFonts w:ascii="Simplified Arabic"/>
          <w:b/>
          <w:bCs/>
          <w:spacing w:val="-4"/>
          <w:szCs w:val="20"/>
          <w:rtl/>
        </w:rPr>
        <w:t>:</w:t>
      </w:r>
      <w:r w:rsidR="00C67DD9" w:rsidRPr="00C67DD9">
        <w:rPr>
          <w:b/>
          <w:bCs/>
          <w:spacing w:val="-4"/>
          <w:rtl/>
        </w:rPr>
        <w:t xml:space="preserve"> </w:t>
      </w:r>
      <w:r w:rsidRPr="003067B6">
        <w:rPr>
          <w:b/>
          <w:bCs/>
          <w:spacing w:val="-4"/>
          <w:rtl/>
        </w:rPr>
        <w:t>في ضوء المادة 24(</w:t>
      </w:r>
      <w:r w:rsidR="00C67DD9" w:rsidRPr="00C67DD9">
        <w:rPr>
          <w:b/>
          <w:bCs/>
          <w:spacing w:val="-4"/>
          <w:rtl/>
        </w:rPr>
        <w:t xml:space="preserve">6) </w:t>
      </w:r>
      <w:r w:rsidRPr="003067B6">
        <w:rPr>
          <w:b/>
          <w:bCs/>
          <w:spacing w:val="-4"/>
          <w:rtl/>
        </w:rPr>
        <w:t>من الاتفاقية، توصي اللجنة بأن تتخذ الدولة الطرف التدابير اللازمة لمراجعة تشريعاتها المحلية لكي تكفل تناولها على النحو المناسب الوضعَ القانوني للأشخاص المختفين الذين لم يتضح مصيرهم والوضع القانوني لأقاربهم، في مجالات مثل الرعاية الاجتماعية، والمسائل المالية، وقانون الأسرة، وحقوق الملكية، من دون أن يستلزم الأمر إعلان وفاة الشخص المختفي. وفي هذا الصدد، تشجع اللجنة الدولة الطرف على وضع إجراء للحصول على إعلان الغياب نتيجة للاختفاء القسري.</w:t>
      </w:r>
    </w:p>
    <w:p w14:paraId="7BEFB108" w14:textId="77777777" w:rsidR="0061073A" w:rsidRPr="00AE7397" w:rsidRDefault="0061073A" w:rsidP="0061073A">
      <w:pPr>
        <w:pStyle w:val="H23GA"/>
        <w:rPr>
          <w:szCs w:val="20"/>
          <w:lang w:val="ar-SA" w:eastAsia="zh-TW" w:bidi="en-GB"/>
        </w:rPr>
      </w:pPr>
      <w:r>
        <w:rPr>
          <w:rtl/>
        </w:rPr>
        <w:tab/>
      </w:r>
      <w:r>
        <w:rPr>
          <w:rtl/>
        </w:rPr>
        <w:tab/>
        <w:t>ردّ الدولة الطرف</w:t>
      </w:r>
    </w:p>
    <w:p w14:paraId="0A86A71E" w14:textId="2D014351" w:rsidR="00C67DD9" w:rsidRPr="00C67DD9" w:rsidRDefault="0061073A" w:rsidP="00C67DD9">
      <w:pPr>
        <w:pStyle w:val="SingleTxtGA"/>
        <w:rPr>
          <w:szCs w:val="20"/>
          <w:lang w:val="ar-SA" w:eastAsia="zh-TW" w:bidi="en-GB"/>
        </w:rPr>
      </w:pPr>
      <w:r w:rsidRPr="00F26881">
        <w:rPr>
          <w:rtl/>
        </w:rPr>
        <w:t>27-</w:t>
      </w:r>
      <w:r>
        <w:rPr>
          <w:rtl/>
        </w:rPr>
        <w:tab/>
        <w:t xml:space="preserve">يرد ردّ الدولة الطرف في الفقرة </w:t>
      </w:r>
      <w:r w:rsidRPr="00F26881">
        <w:rPr>
          <w:rtl/>
        </w:rPr>
        <w:t>5</w:t>
      </w:r>
      <w:r>
        <w:rPr>
          <w:rtl/>
        </w:rPr>
        <w:t xml:space="preserve"> من الوثيقة </w:t>
      </w:r>
      <w:hyperlink r:id="rId18" w:history="1">
        <w:proofErr w:type="spellStart"/>
        <w:r w:rsidRPr="00C67DD9">
          <w:rPr>
            <w:rStyle w:val="Hyperlink"/>
            <w:lang w:val="en-US"/>
          </w:rPr>
          <w:t>CED</w:t>
        </w:r>
        <w:proofErr w:type="spellEnd"/>
        <w:r w:rsidRPr="00C67DD9">
          <w:rPr>
            <w:rStyle w:val="Hyperlink"/>
            <w:lang w:val="en-US"/>
          </w:rPr>
          <w:t>/C/</w:t>
        </w:r>
        <w:proofErr w:type="spellStart"/>
        <w:r w:rsidRPr="00C67DD9">
          <w:rPr>
            <w:rStyle w:val="Hyperlink"/>
            <w:lang w:val="en-US"/>
          </w:rPr>
          <w:t>MNG</w:t>
        </w:r>
        <w:proofErr w:type="spellEnd"/>
        <w:r w:rsidRPr="00C67DD9">
          <w:rPr>
            <w:rStyle w:val="Hyperlink"/>
            <w:lang w:val="en-US"/>
          </w:rPr>
          <w:t>/</w:t>
        </w:r>
        <w:proofErr w:type="spellStart"/>
        <w:r w:rsidRPr="00C67DD9">
          <w:rPr>
            <w:rStyle w:val="Hyperlink"/>
            <w:lang w:val="en-US"/>
          </w:rPr>
          <w:t>FCO</w:t>
        </w:r>
        <w:proofErr w:type="spellEnd"/>
        <w:r w:rsidRPr="00C67DD9">
          <w:rPr>
            <w:rStyle w:val="Hyperlink"/>
            <w:lang w:val="en-US"/>
          </w:rPr>
          <w:t>/</w:t>
        </w:r>
        <w:r w:rsidR="00C67DD9" w:rsidRPr="00C67DD9">
          <w:rPr>
            <w:rStyle w:val="Hyperlink"/>
            <w:lang w:val="en-US"/>
          </w:rPr>
          <w:t>1</w:t>
        </w:r>
      </w:hyperlink>
      <w:r w:rsidR="00C67DD9" w:rsidRPr="00C67DD9">
        <w:rPr>
          <w:rtl/>
        </w:rPr>
        <w:t>.</w:t>
      </w:r>
    </w:p>
    <w:p w14:paraId="5FB30EF2" w14:textId="6AC5E1F1" w:rsidR="0061073A" w:rsidRPr="00AE7397" w:rsidRDefault="0061073A" w:rsidP="0061073A">
      <w:pPr>
        <w:pStyle w:val="H23GA"/>
        <w:rPr>
          <w:szCs w:val="20"/>
          <w:lang w:val="ar-SA" w:eastAsia="zh-TW" w:bidi="en-GB"/>
        </w:rPr>
      </w:pPr>
      <w:r>
        <w:rPr>
          <w:rtl/>
        </w:rPr>
        <w:tab/>
      </w:r>
      <w:r>
        <w:rPr>
          <w:rtl/>
        </w:rPr>
        <w:tab/>
        <w:t>تقييم اللجنة</w:t>
      </w:r>
    </w:p>
    <w:p w14:paraId="73515518" w14:textId="7B098EAA" w:rsidR="0061073A" w:rsidRPr="00AE7397" w:rsidRDefault="0061073A" w:rsidP="0061073A">
      <w:pPr>
        <w:pStyle w:val="SingleTxtGA"/>
        <w:rPr>
          <w:szCs w:val="20"/>
          <w:lang w:val="ar-SA" w:eastAsia="zh-TW" w:bidi="en-GB"/>
        </w:rPr>
      </w:pPr>
      <w:r w:rsidRPr="00F26881">
        <w:rPr>
          <w:rtl/>
        </w:rPr>
        <w:t>28-</w:t>
      </w:r>
      <w:r>
        <w:rPr>
          <w:rtl/>
        </w:rPr>
        <w:tab/>
      </w:r>
      <w:r w:rsidRPr="00EE2D49">
        <w:rPr>
          <w:rFonts w:ascii="Simplified Arabic"/>
          <w:b/>
          <w:bCs/>
          <w:szCs w:val="20"/>
          <w:rtl/>
        </w:rPr>
        <w:t>[</w:t>
      </w:r>
      <w:r w:rsidRPr="00EE2D49">
        <w:rPr>
          <w:b/>
          <w:bCs/>
          <w:rtl/>
        </w:rPr>
        <w:t>جيم</w:t>
      </w:r>
      <w:r w:rsidR="00C67DD9" w:rsidRPr="00EE2D49">
        <w:rPr>
          <w:rFonts w:ascii="Simplified Arabic"/>
          <w:b/>
          <w:bCs/>
          <w:szCs w:val="20"/>
          <w:rtl/>
        </w:rPr>
        <w:t>]</w:t>
      </w:r>
      <w:r w:rsidR="00C67DD9" w:rsidRPr="00EE2D49">
        <w:rPr>
          <w:b/>
          <w:bCs/>
          <w:rtl/>
        </w:rPr>
        <w:t>:</w:t>
      </w:r>
      <w:r w:rsidR="00C67DD9" w:rsidRPr="00C67DD9">
        <w:rPr>
          <w:rtl/>
        </w:rPr>
        <w:t xml:space="preserve"> </w:t>
      </w:r>
      <w:r>
        <w:rPr>
          <w:rtl/>
        </w:rPr>
        <w:t xml:space="preserve">تحيط اللجنة علماً بالمعلومات التي قدمتها الدولة الطرف ومفادها أن العمل جار لإنشاء فريق عامل. ومع ذلك، لم تُقدَّم أي معلومات إضافية. ولذلك تكرر اللجنة التوصية الواردة في الفقرة </w:t>
      </w:r>
      <w:r w:rsidRPr="00F26881">
        <w:rPr>
          <w:rtl/>
        </w:rPr>
        <w:t>39</w:t>
      </w:r>
      <w:r>
        <w:rPr>
          <w:rtl/>
        </w:rPr>
        <w:t xml:space="preserve"> من ملاحظاتها الختامية وتطلب إلى الدولة الطرف موافاتها بمعلومات محدثة في هذا الصدد في تقريرها المقبل بموجب المادة </w:t>
      </w:r>
      <w:r w:rsidRPr="00F26881">
        <w:rPr>
          <w:rtl/>
        </w:rPr>
        <w:t>29(</w:t>
      </w:r>
      <w:r w:rsidR="00C67DD9" w:rsidRPr="00C67DD9">
        <w:rPr>
          <w:rtl/>
        </w:rPr>
        <w:t xml:space="preserve">4) </w:t>
      </w:r>
      <w:r>
        <w:rPr>
          <w:rtl/>
        </w:rPr>
        <w:t xml:space="preserve">من الاتفاقية. </w:t>
      </w:r>
    </w:p>
    <w:p w14:paraId="123A6B3D" w14:textId="77777777" w:rsidR="0061073A" w:rsidRPr="00AE7397" w:rsidRDefault="0061073A" w:rsidP="0061073A">
      <w:pPr>
        <w:pStyle w:val="H23GA"/>
        <w:rPr>
          <w:szCs w:val="20"/>
          <w:lang w:val="ar-SA" w:eastAsia="zh-TW" w:bidi="en-GB"/>
        </w:rPr>
      </w:pPr>
      <w:r>
        <w:rPr>
          <w:rtl/>
        </w:rPr>
        <w:tab/>
      </w:r>
      <w:r>
        <w:rPr>
          <w:rtl/>
        </w:rPr>
        <w:tab/>
        <w:t>قرار اللجنة</w:t>
      </w:r>
    </w:p>
    <w:p w14:paraId="647EB2EE" w14:textId="67463AA4" w:rsidR="00C67DD9" w:rsidRPr="00DE373D" w:rsidRDefault="0061073A" w:rsidP="0061073A">
      <w:pPr>
        <w:pStyle w:val="SingleTxtGA"/>
        <w:rPr>
          <w:lang w:val="ar-SA" w:eastAsia="zh-TW" w:bidi="en-GB"/>
        </w:rPr>
      </w:pPr>
      <w:r w:rsidRPr="00DE373D">
        <w:rPr>
          <w:rtl/>
        </w:rPr>
        <w:t>29-</w:t>
      </w:r>
      <w:r w:rsidRPr="00DE373D">
        <w:rPr>
          <w:rtl/>
        </w:rPr>
        <w:tab/>
        <w:t>تقرر اللجنة توجيه رسالة إلى الدولة الطرف تبلغها بتقييمها وتدعو فيها الدولة الطرف إلى تقديم تقرير بموجب المادة 29(</w:t>
      </w:r>
      <w:r w:rsidR="00C67DD9" w:rsidRPr="00DE373D">
        <w:rPr>
          <w:rtl/>
        </w:rPr>
        <w:t xml:space="preserve">4) </w:t>
      </w:r>
      <w:r w:rsidRPr="00DE373D">
        <w:rPr>
          <w:rtl/>
        </w:rPr>
        <w:t>من الاتفاقية. وينبغي أن يتضمن ذلك التقرير معلومات محدثة عن التدابير المتخذة لتنفيذ جميع توصيات اللجنة الواردة في ملاحظاتها الختامية، وعلى وجه التحديد الفقرات الثلاث ذات الأولوية للمتابعة. وفي هذا السياق، ستشدد الرسالة على ضرورة أن تأخذ الدولة الطرف في اعتبارها التوجيهات المحددة وطلبات الحصول على المعلومات الواردة في هذا التقرير، والمبادئ التوجيهية التي وضعتها اللجنة للبحث عن الأشخاص المختفين</w:t>
      </w:r>
      <w:r w:rsidR="00C67DD9" w:rsidRPr="00DE373D">
        <w:rPr>
          <w:rStyle w:val="FootnoteReference"/>
          <w:szCs w:val="22"/>
          <w:rtl/>
        </w:rPr>
        <w:t>(</w:t>
      </w:r>
      <w:r w:rsidR="00C67DD9" w:rsidRPr="00DE373D">
        <w:rPr>
          <w:rStyle w:val="FootnoteReference"/>
          <w:szCs w:val="22"/>
          <w:rtl/>
        </w:rPr>
        <w:footnoteReference w:id="7"/>
      </w:r>
      <w:r w:rsidR="00C67DD9" w:rsidRPr="00DE373D">
        <w:rPr>
          <w:rStyle w:val="FootnoteReference"/>
          <w:szCs w:val="22"/>
          <w:rtl/>
        </w:rPr>
        <w:t>)</w:t>
      </w:r>
      <w:r w:rsidR="00C67DD9" w:rsidRPr="00DE373D">
        <w:rPr>
          <w:rtl/>
        </w:rPr>
        <w:t>.</w:t>
      </w:r>
    </w:p>
    <w:p w14:paraId="34D81A68" w14:textId="07B25559" w:rsidR="00C67DD9" w:rsidRPr="00C67DD9" w:rsidRDefault="0061073A" w:rsidP="0061073A">
      <w:pPr>
        <w:pStyle w:val="SingleTxtGA"/>
        <w:rPr>
          <w:szCs w:val="20"/>
          <w:lang w:val="ar-SA" w:eastAsia="zh-TW" w:bidi="en-GB"/>
        </w:rPr>
      </w:pPr>
      <w:r w:rsidRPr="00F26881">
        <w:rPr>
          <w:rtl/>
        </w:rPr>
        <w:t>30-</w:t>
      </w:r>
      <w:r>
        <w:rPr>
          <w:rtl/>
        </w:rPr>
        <w:tab/>
        <w:t xml:space="preserve">ويحدد الموعد النهائي لتقديم الدولة الطرف تقريرها المقبل بموجب المادة </w:t>
      </w:r>
      <w:r w:rsidRPr="00F26881">
        <w:rPr>
          <w:rtl/>
        </w:rPr>
        <w:t>29(</w:t>
      </w:r>
      <w:r w:rsidR="00C67DD9" w:rsidRPr="00C67DD9">
        <w:rPr>
          <w:rtl/>
        </w:rPr>
        <w:t xml:space="preserve">4) </w:t>
      </w:r>
      <w:r>
        <w:rPr>
          <w:rtl/>
        </w:rPr>
        <w:t>من الاتفاقية في</w:t>
      </w:r>
      <w:r w:rsidR="00BE0EC7">
        <w:rPr>
          <w:rFonts w:hint="cs"/>
          <w:rtl/>
        </w:rPr>
        <w:t> </w:t>
      </w:r>
      <w:r w:rsidRPr="00F26881">
        <w:rPr>
          <w:rtl/>
        </w:rPr>
        <w:t>5</w:t>
      </w:r>
      <w:r>
        <w:rPr>
          <w:rtl/>
        </w:rPr>
        <w:t xml:space="preserve"> نيسان/أبريل </w:t>
      </w:r>
      <w:r w:rsidRPr="00F26881">
        <w:rPr>
          <w:rtl/>
        </w:rPr>
        <w:t>202</w:t>
      </w:r>
      <w:r w:rsidR="00C67DD9" w:rsidRPr="00C67DD9">
        <w:rPr>
          <w:rtl/>
        </w:rPr>
        <w:t>7.</w:t>
      </w:r>
    </w:p>
    <w:p w14:paraId="55EEFF5B" w14:textId="6179CBE4" w:rsidR="0061073A" w:rsidRPr="00342AC8" w:rsidRDefault="0061073A" w:rsidP="0061073A">
      <w:pPr>
        <w:spacing w:before="240"/>
        <w:jc w:val="center"/>
        <w:rPr>
          <w:rtl/>
        </w:rPr>
      </w:pPr>
      <w:r w:rsidRPr="00AE7397">
        <w:rPr>
          <w:u w:val="single"/>
        </w:rPr>
        <w:tab/>
      </w:r>
      <w:r w:rsidRPr="00AE7397">
        <w:rPr>
          <w:u w:val="single"/>
        </w:rPr>
        <w:tab/>
      </w:r>
      <w:r w:rsidRPr="00AE7397">
        <w:rPr>
          <w:u w:val="single"/>
        </w:rPr>
        <w:tab/>
      </w:r>
    </w:p>
    <w:sectPr w:rsidR="0061073A" w:rsidRPr="00342AC8" w:rsidSect="0037379C">
      <w:headerReference w:type="even" r:id="rId19"/>
      <w:headerReference w:type="default" r:id="rId20"/>
      <w:footerReference w:type="even" r:id="rId21"/>
      <w:footerReference w:type="default" r:id="rId22"/>
      <w:footerReference w:type="first" r:id="rId2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ADD15" w14:textId="77777777" w:rsidR="00DF7A1A" w:rsidRPr="002901D9" w:rsidRDefault="00DF7A1A" w:rsidP="00DF5E71">
      <w:pPr>
        <w:spacing w:after="60" w:line="240" w:lineRule="auto"/>
        <w:ind w:left="57"/>
        <w:rPr>
          <w:i/>
          <w:iCs/>
        </w:rPr>
      </w:pPr>
      <w:r>
        <w:rPr>
          <w:rFonts w:hint="cs"/>
          <w:i/>
          <w:iCs/>
          <w:rtl/>
        </w:rPr>
        <w:t>الحواشي</w:t>
      </w:r>
    </w:p>
  </w:endnote>
  <w:endnote w:type="continuationSeparator" w:id="0">
    <w:p w14:paraId="26C72F43" w14:textId="77777777" w:rsidR="00DF7A1A" w:rsidRDefault="00DF7A1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DA6CC" w14:textId="7E5D6AD8" w:rsidR="00FB094B" w:rsidRPr="00FB094B" w:rsidRDefault="00FB094B" w:rsidP="00FB094B">
    <w:pPr>
      <w:pStyle w:val="Footer"/>
      <w:tabs>
        <w:tab w:val="right" w:pos="9638"/>
      </w:tabs>
      <w:rPr>
        <w:b/>
        <w:sz w:val="18"/>
        <w:lang w:val="en-US"/>
      </w:rPr>
    </w:pPr>
    <w:proofErr w:type="spellStart"/>
    <w:r>
      <w:rPr>
        <w:lang w:val="en-US"/>
      </w:rPr>
      <w:t>GE.23</w:t>
    </w:r>
    <w:proofErr w:type="spellEnd"/>
    <w:r>
      <w:rPr>
        <w:lang w:val="en-US"/>
      </w:rPr>
      <w:t>-06836</w:t>
    </w:r>
    <w:r>
      <w:rPr>
        <w:lang w:val="en-US"/>
      </w:rPr>
      <w:tab/>
    </w:r>
    <w:r w:rsidRPr="00FB094B">
      <w:rPr>
        <w:b/>
        <w:sz w:val="18"/>
        <w:lang w:val="en-US"/>
      </w:rPr>
      <w:fldChar w:fldCharType="begin"/>
    </w:r>
    <w:r w:rsidRPr="00FB094B">
      <w:rPr>
        <w:b/>
        <w:sz w:val="18"/>
        <w:lang w:val="en-US"/>
      </w:rPr>
      <w:instrText xml:space="preserve"> PAGE  \* MERGEFORMAT </w:instrText>
    </w:r>
    <w:r w:rsidRPr="00FB094B">
      <w:rPr>
        <w:b/>
        <w:sz w:val="18"/>
        <w:lang w:val="en-US"/>
      </w:rPr>
      <w:fldChar w:fldCharType="separate"/>
    </w:r>
    <w:r w:rsidRPr="00FB094B">
      <w:rPr>
        <w:b/>
        <w:noProof/>
        <w:sz w:val="18"/>
        <w:lang w:val="en-US"/>
      </w:rPr>
      <w:t>2</w:t>
    </w:r>
    <w:r w:rsidRPr="00FB094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6D30" w14:textId="57901AF3" w:rsidR="006959B0" w:rsidRPr="00FB094B" w:rsidRDefault="00FB094B" w:rsidP="00FB094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GE.23</w:t>
    </w:r>
    <w:proofErr w:type="spellEnd"/>
    <w:r>
      <w:rPr>
        <w:lang w:val="en-US"/>
      </w:rPr>
      <w:t>-06836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CA3E7" w14:textId="2FA749A7" w:rsidR="00AB4F93" w:rsidRPr="00FB094B" w:rsidRDefault="00FB094B" w:rsidP="00FB094B">
    <w:pPr>
      <w:pStyle w:val="Footer"/>
      <w:spacing w:before="600"/>
      <w:ind w:left="567"/>
      <w:jc w:val="right"/>
      <w:rPr>
        <w:sz w:val="20"/>
        <w:lang w:val="en-US"/>
      </w:rPr>
    </w:pPr>
    <w:proofErr w:type="spellStart"/>
    <w:r>
      <w:rPr>
        <w:sz w:val="20"/>
        <w:lang w:val="en-US"/>
      </w:rPr>
      <w:t>GE.</w:t>
    </w:r>
    <w:r w:rsidR="007F55ED">
      <w:rPr>
        <w:noProof/>
      </w:rPr>
      <w:drawing>
        <wp:anchor distT="0" distB="0" distL="114300" distR="114300" simplePos="0" relativeHeight="251659264" behindDoc="1" locked="1" layoutInCell="0" allowOverlap="1" wp14:anchorId="65C52A9A" wp14:editId="4ED84DA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proofErr w:type="spellEnd"/>
    <w:r>
      <w:rPr>
        <w:sz w:val="20"/>
        <w:lang w:val="en-US"/>
      </w:rPr>
      <w:t>-06836 (A)</w:t>
    </w:r>
    <w:r>
      <w:rPr>
        <w:noProof/>
        <w:sz w:val="20"/>
        <w:lang w:val="en-US"/>
      </w:rPr>
      <w:drawing>
        <wp:anchor distT="0" distB="0" distL="114300" distR="114300" simplePos="0" relativeHeight="251660288" behindDoc="0" locked="0" layoutInCell="1" allowOverlap="1" wp14:anchorId="769A412C" wp14:editId="68CE318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C2838" w14:textId="77777777" w:rsidR="00DF7A1A" w:rsidRPr="00CB28F9" w:rsidRDefault="00DF7A1A" w:rsidP="00317B22">
      <w:pPr>
        <w:pStyle w:val="Footer"/>
        <w:bidi/>
        <w:spacing w:after="80" w:line="200" w:lineRule="exact"/>
        <w:ind w:left="680"/>
      </w:pPr>
      <w:r>
        <w:rPr>
          <w:rtl/>
        </w:rPr>
        <w:t>__________</w:t>
      </w:r>
    </w:p>
  </w:footnote>
  <w:footnote w:type="continuationSeparator" w:id="0">
    <w:p w14:paraId="0FAB59CF" w14:textId="77777777" w:rsidR="00DF7A1A" w:rsidRDefault="00DF7A1A" w:rsidP="00656392">
      <w:pPr>
        <w:spacing w:line="240" w:lineRule="auto"/>
      </w:pPr>
      <w:r>
        <w:continuationSeparator/>
      </w:r>
    </w:p>
  </w:footnote>
  <w:footnote w:id="1">
    <w:p w14:paraId="58FE3ED1" w14:textId="3990809E" w:rsidR="0061073A" w:rsidRPr="004A5FB7" w:rsidRDefault="0061073A" w:rsidP="006152E1">
      <w:pPr>
        <w:pStyle w:val="FootnoteText"/>
        <w:tabs>
          <w:tab w:val="clear" w:pos="1021"/>
        </w:tabs>
        <w:bidi/>
        <w:spacing w:after="60" w:line="280" w:lineRule="exact"/>
        <w:ind w:left="1247" w:right="1247" w:hanging="567"/>
        <w:jc w:val="lowKashida"/>
        <w:textDirection w:val="tbRlV"/>
        <w:rPr>
          <w:szCs w:val="18"/>
          <w:lang w:eastAsia="zh-TW" w:bidi="en-GB"/>
        </w:rPr>
      </w:pPr>
      <w:r w:rsidRPr="006152E1">
        <w:rPr>
          <w:rFonts w:ascii="Simplified Arabic"/>
          <w:szCs w:val="18"/>
        </w:rPr>
        <w:t>*</w:t>
      </w:r>
      <w:r w:rsidRPr="006152E1">
        <w:rPr>
          <w:szCs w:val="18"/>
          <w:rtl/>
        </w:rPr>
        <w:tab/>
        <w:t xml:space="preserve">اعتمدته اللجنة في دورتها الرابعة والعشرين </w:t>
      </w:r>
      <w:r w:rsidRPr="006152E1">
        <w:rPr>
          <w:rFonts w:ascii="Simplified Arabic"/>
          <w:szCs w:val="18"/>
          <w:rtl/>
        </w:rPr>
        <w:t>(20-31</w:t>
      </w:r>
      <w:r w:rsidRPr="006152E1">
        <w:rPr>
          <w:szCs w:val="18"/>
          <w:rtl/>
        </w:rPr>
        <w:t xml:space="preserve"> آذار/مارس </w:t>
      </w:r>
      <w:r w:rsidRPr="006152E1">
        <w:rPr>
          <w:rFonts w:ascii="Simplified Arabic"/>
          <w:szCs w:val="18"/>
          <w:rtl/>
        </w:rPr>
        <w:t>2023</w:t>
      </w:r>
      <w:r w:rsidR="00C67DD9" w:rsidRPr="00C67DD9">
        <w:rPr>
          <w:rFonts w:ascii="Simplified Arabic"/>
          <w:szCs w:val="18"/>
          <w:rtl/>
        </w:rPr>
        <w:t>)</w:t>
      </w:r>
      <w:r w:rsidR="00C67DD9" w:rsidRPr="00C67DD9">
        <w:rPr>
          <w:szCs w:val="18"/>
          <w:rtl/>
        </w:rPr>
        <w:t xml:space="preserve">. </w:t>
      </w:r>
    </w:p>
  </w:footnote>
  <w:footnote w:id="2">
    <w:p w14:paraId="2C2D3CD4" w14:textId="77777777" w:rsidR="00C67DD9" w:rsidRPr="006152E1" w:rsidRDefault="00C67DD9" w:rsidP="00C67DD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152E1">
        <w:rPr>
          <w:rStyle w:val="FootnoteReference"/>
          <w:vertAlign w:val="baseline"/>
          <w:rtl/>
        </w:rPr>
        <w:footnoteRef/>
      </w:r>
      <w:r>
        <w:rPr>
          <w:rStyle w:val="FootnoteReference"/>
          <w:vertAlign w:val="baseline"/>
          <w:rtl/>
        </w:rPr>
        <w:t>)</w:t>
      </w:r>
      <w:r w:rsidRPr="006152E1">
        <w:rPr>
          <w:szCs w:val="18"/>
          <w:rtl/>
        </w:rPr>
        <w:tab/>
      </w:r>
      <w:hyperlink r:id="rId1" w:history="1">
        <w:proofErr w:type="spellStart"/>
        <w:r w:rsidRPr="00C67DD9">
          <w:rPr>
            <w:rStyle w:val="Hyperlink"/>
          </w:rPr>
          <w:t>CED</w:t>
        </w:r>
        <w:proofErr w:type="spellEnd"/>
        <w:r w:rsidRPr="00C67DD9">
          <w:rPr>
            <w:rStyle w:val="Hyperlink"/>
          </w:rPr>
          <w:t>/C/BRA/</w:t>
        </w:r>
        <w:proofErr w:type="spellStart"/>
        <w:r w:rsidRPr="00C67DD9">
          <w:rPr>
            <w:rStyle w:val="Hyperlink"/>
          </w:rPr>
          <w:t>FCO</w:t>
        </w:r>
        <w:proofErr w:type="spellEnd"/>
        <w:r w:rsidRPr="00C67DD9">
          <w:rPr>
            <w:rStyle w:val="Hyperlink"/>
          </w:rPr>
          <w:t>/1</w:t>
        </w:r>
      </w:hyperlink>
      <w:r w:rsidRPr="006152E1">
        <w:rPr>
          <w:szCs w:val="18"/>
          <w:rtl/>
        </w:rPr>
        <w:t xml:space="preserve"> و</w:t>
      </w:r>
      <w:hyperlink r:id="rId2" w:history="1">
        <w:proofErr w:type="spellStart"/>
        <w:r w:rsidRPr="00C67DD9">
          <w:rPr>
            <w:rStyle w:val="Hyperlink"/>
          </w:rPr>
          <w:t>CED</w:t>
        </w:r>
        <w:proofErr w:type="spellEnd"/>
        <w:r w:rsidRPr="00C67DD9">
          <w:rPr>
            <w:rStyle w:val="Hyperlink"/>
          </w:rPr>
          <w:t>/C/</w:t>
        </w:r>
        <w:proofErr w:type="spellStart"/>
        <w:r w:rsidRPr="00C67DD9">
          <w:rPr>
            <w:rStyle w:val="Hyperlink"/>
          </w:rPr>
          <w:t>MNG</w:t>
        </w:r>
        <w:proofErr w:type="spellEnd"/>
        <w:r w:rsidRPr="00C67DD9">
          <w:rPr>
            <w:rStyle w:val="Hyperlink"/>
          </w:rPr>
          <w:t>/</w:t>
        </w:r>
        <w:proofErr w:type="spellStart"/>
        <w:r w:rsidRPr="00C67DD9">
          <w:rPr>
            <w:rStyle w:val="Hyperlink"/>
          </w:rPr>
          <w:t>FCO</w:t>
        </w:r>
        <w:proofErr w:type="spellEnd"/>
        <w:r w:rsidRPr="00C67DD9">
          <w:rPr>
            <w:rStyle w:val="Hyperlink"/>
          </w:rPr>
          <w:t>/1</w:t>
        </w:r>
      </w:hyperlink>
      <w:r w:rsidRPr="00C67DD9">
        <w:rPr>
          <w:rFonts w:cs="Times New Roman"/>
          <w:szCs w:val="18"/>
          <w:rtl/>
        </w:rPr>
        <w:t xml:space="preserve">. </w:t>
      </w:r>
    </w:p>
  </w:footnote>
  <w:footnote w:id="3">
    <w:p w14:paraId="5EF01274" w14:textId="77777777" w:rsidR="00C67DD9" w:rsidRPr="006152E1" w:rsidRDefault="00C67DD9" w:rsidP="00C67DD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152E1">
        <w:rPr>
          <w:rStyle w:val="FootnoteReference"/>
          <w:vertAlign w:val="baseline"/>
          <w:rtl/>
        </w:rPr>
        <w:footnoteRef/>
      </w:r>
      <w:r>
        <w:rPr>
          <w:rStyle w:val="FootnoteReference"/>
          <w:vertAlign w:val="baseline"/>
          <w:rtl/>
        </w:rPr>
        <w:t>)</w:t>
      </w:r>
      <w:r w:rsidRPr="006152E1">
        <w:rPr>
          <w:szCs w:val="18"/>
          <w:rtl/>
        </w:rPr>
        <w:tab/>
      </w:r>
      <w:hyperlink r:id="rId3" w:history="1">
        <w:r w:rsidRPr="00C67DD9">
          <w:rPr>
            <w:rStyle w:val="Hyperlink"/>
          </w:rPr>
          <w:t>A/70/56</w:t>
        </w:r>
      </w:hyperlink>
      <w:r w:rsidRPr="006152E1">
        <w:rPr>
          <w:szCs w:val="18"/>
          <w:rtl/>
        </w:rPr>
        <w:t>، المرفق الثالث</w:t>
      </w:r>
      <w:r>
        <w:rPr>
          <w:szCs w:val="18"/>
          <w:rtl/>
        </w:rPr>
        <w:t xml:space="preserve">. </w:t>
      </w:r>
    </w:p>
  </w:footnote>
  <w:footnote w:id="4">
    <w:p w14:paraId="222D907C" w14:textId="77777777" w:rsidR="00C67DD9" w:rsidRPr="006152E1" w:rsidRDefault="00C67DD9" w:rsidP="00C67DD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152E1">
        <w:rPr>
          <w:rStyle w:val="FootnoteReference"/>
          <w:vertAlign w:val="baseline"/>
          <w:rtl/>
        </w:rPr>
        <w:footnoteRef/>
      </w:r>
      <w:r>
        <w:rPr>
          <w:rStyle w:val="FootnoteReference"/>
          <w:vertAlign w:val="baseline"/>
          <w:rtl/>
        </w:rPr>
        <w:t>)</w:t>
      </w:r>
      <w:r w:rsidRPr="006152E1">
        <w:rPr>
          <w:szCs w:val="18"/>
          <w:rtl/>
        </w:rPr>
        <w:tab/>
      </w:r>
      <w:hyperlink r:id="rId4" w:history="1">
        <w:proofErr w:type="spellStart"/>
        <w:r w:rsidRPr="00C67DD9">
          <w:rPr>
            <w:rStyle w:val="Hyperlink"/>
          </w:rPr>
          <w:t>CED</w:t>
        </w:r>
        <w:proofErr w:type="spellEnd"/>
        <w:r w:rsidRPr="00C67DD9">
          <w:rPr>
            <w:rStyle w:val="Hyperlink"/>
          </w:rPr>
          <w:t>/C/</w:t>
        </w:r>
        <w:proofErr w:type="spellStart"/>
        <w:r w:rsidRPr="00C67DD9">
          <w:rPr>
            <w:rStyle w:val="Hyperlink"/>
          </w:rPr>
          <w:t>MNG</w:t>
        </w:r>
        <w:proofErr w:type="spellEnd"/>
        <w:r w:rsidRPr="00C67DD9">
          <w:rPr>
            <w:rStyle w:val="Hyperlink"/>
          </w:rPr>
          <w:t>/CO/1</w:t>
        </w:r>
      </w:hyperlink>
      <w:r w:rsidRPr="006152E1">
        <w:rPr>
          <w:szCs w:val="18"/>
          <w:rtl/>
        </w:rPr>
        <w:t xml:space="preserve">، الفقرة </w:t>
      </w:r>
      <w:r w:rsidRPr="006152E1">
        <w:rPr>
          <w:rFonts w:ascii="Simplified Arabic"/>
          <w:szCs w:val="18"/>
          <w:rtl/>
        </w:rPr>
        <w:t>1</w:t>
      </w:r>
      <w:r w:rsidRPr="00C67DD9">
        <w:rPr>
          <w:rFonts w:ascii="Simplified Arabic"/>
          <w:szCs w:val="18"/>
          <w:rtl/>
        </w:rPr>
        <w:t>6</w:t>
      </w:r>
      <w:r w:rsidRPr="00C67DD9">
        <w:rPr>
          <w:szCs w:val="18"/>
          <w:rtl/>
        </w:rPr>
        <w:t xml:space="preserve">. </w:t>
      </w:r>
    </w:p>
  </w:footnote>
  <w:footnote w:id="5">
    <w:p w14:paraId="5AABBB34" w14:textId="77777777" w:rsidR="00C67DD9" w:rsidRPr="006152E1" w:rsidRDefault="00C67DD9" w:rsidP="00C67DD9">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152E1">
        <w:rPr>
          <w:rStyle w:val="FootnoteReference"/>
          <w:vertAlign w:val="baseline"/>
          <w:rtl/>
        </w:rPr>
        <w:footnoteRef/>
      </w:r>
      <w:r>
        <w:rPr>
          <w:rStyle w:val="FootnoteReference"/>
          <w:vertAlign w:val="baseline"/>
          <w:rtl/>
        </w:rPr>
        <w:t>)</w:t>
      </w:r>
      <w:r w:rsidRPr="006152E1">
        <w:rPr>
          <w:szCs w:val="18"/>
          <w:rtl/>
        </w:rPr>
        <w:tab/>
      </w:r>
      <w:hyperlink r:id="rId5" w:history="1">
        <w:proofErr w:type="spellStart"/>
        <w:r w:rsidRPr="00C67DD9">
          <w:rPr>
            <w:rStyle w:val="Hyperlink"/>
          </w:rPr>
          <w:t>CED</w:t>
        </w:r>
        <w:proofErr w:type="spellEnd"/>
        <w:r w:rsidRPr="00C67DD9">
          <w:rPr>
            <w:rStyle w:val="Hyperlink"/>
          </w:rPr>
          <w:t>/C/</w:t>
        </w:r>
        <w:proofErr w:type="spellStart"/>
        <w:r w:rsidRPr="00C67DD9">
          <w:rPr>
            <w:rStyle w:val="Hyperlink"/>
          </w:rPr>
          <w:t>MNG</w:t>
        </w:r>
        <w:proofErr w:type="spellEnd"/>
        <w:r w:rsidRPr="00C67DD9">
          <w:rPr>
            <w:rStyle w:val="Hyperlink"/>
          </w:rPr>
          <w:t>/CO/1</w:t>
        </w:r>
      </w:hyperlink>
      <w:r w:rsidRPr="006152E1">
        <w:rPr>
          <w:szCs w:val="18"/>
          <w:rtl/>
        </w:rPr>
        <w:t xml:space="preserve">، الفقرة </w:t>
      </w:r>
      <w:r w:rsidRPr="006152E1">
        <w:rPr>
          <w:rFonts w:ascii="Simplified Arabic"/>
          <w:szCs w:val="18"/>
          <w:rtl/>
        </w:rPr>
        <w:t>2</w:t>
      </w:r>
      <w:r w:rsidRPr="00C67DD9">
        <w:rPr>
          <w:rFonts w:ascii="Simplified Arabic"/>
          <w:szCs w:val="18"/>
          <w:rtl/>
        </w:rPr>
        <w:t>2</w:t>
      </w:r>
      <w:r w:rsidRPr="00C67DD9">
        <w:rPr>
          <w:szCs w:val="18"/>
          <w:rtl/>
        </w:rPr>
        <w:t xml:space="preserve">. </w:t>
      </w:r>
    </w:p>
  </w:footnote>
  <w:footnote w:id="6">
    <w:p w14:paraId="3D5390E8" w14:textId="77777777" w:rsidR="00C67DD9" w:rsidRPr="006152E1" w:rsidRDefault="00C67DD9" w:rsidP="00C67DD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152E1">
        <w:rPr>
          <w:rStyle w:val="FootnoteReference"/>
          <w:vertAlign w:val="baseline"/>
          <w:rtl/>
        </w:rPr>
        <w:footnoteRef/>
      </w:r>
      <w:r>
        <w:rPr>
          <w:rStyle w:val="FootnoteReference"/>
          <w:vertAlign w:val="baseline"/>
          <w:rtl/>
        </w:rPr>
        <w:t>)</w:t>
      </w:r>
      <w:r w:rsidRPr="006152E1">
        <w:rPr>
          <w:szCs w:val="18"/>
          <w:rtl/>
        </w:rPr>
        <w:tab/>
      </w:r>
      <w:hyperlink r:id="rId6" w:history="1">
        <w:proofErr w:type="spellStart"/>
        <w:r w:rsidRPr="00C67DD9">
          <w:rPr>
            <w:rStyle w:val="Hyperlink"/>
          </w:rPr>
          <w:t>CED</w:t>
        </w:r>
        <w:proofErr w:type="spellEnd"/>
        <w:r w:rsidRPr="00C67DD9">
          <w:rPr>
            <w:rStyle w:val="Hyperlink"/>
          </w:rPr>
          <w:t>/C/</w:t>
        </w:r>
        <w:proofErr w:type="spellStart"/>
        <w:r w:rsidRPr="00C67DD9">
          <w:rPr>
            <w:rStyle w:val="Hyperlink"/>
          </w:rPr>
          <w:t>MNG</w:t>
        </w:r>
        <w:proofErr w:type="spellEnd"/>
        <w:r w:rsidRPr="00C67DD9">
          <w:rPr>
            <w:rStyle w:val="Hyperlink"/>
          </w:rPr>
          <w:t>/CO/1</w:t>
        </w:r>
      </w:hyperlink>
      <w:r w:rsidRPr="006152E1">
        <w:rPr>
          <w:szCs w:val="18"/>
          <w:rtl/>
        </w:rPr>
        <w:t xml:space="preserve">، الفقرة </w:t>
      </w:r>
      <w:r w:rsidRPr="006152E1">
        <w:rPr>
          <w:rFonts w:ascii="Simplified Arabic"/>
          <w:szCs w:val="18"/>
          <w:rtl/>
        </w:rPr>
        <w:t>1</w:t>
      </w:r>
      <w:r w:rsidRPr="00C67DD9">
        <w:rPr>
          <w:rFonts w:ascii="Simplified Arabic"/>
          <w:szCs w:val="18"/>
          <w:rtl/>
        </w:rPr>
        <w:t>9</w:t>
      </w:r>
      <w:r w:rsidRPr="00C67DD9">
        <w:rPr>
          <w:szCs w:val="18"/>
          <w:rtl/>
        </w:rPr>
        <w:t xml:space="preserve">. </w:t>
      </w:r>
    </w:p>
  </w:footnote>
  <w:footnote w:id="7">
    <w:p w14:paraId="0C44A243" w14:textId="77777777" w:rsidR="00C67DD9" w:rsidRPr="006152E1" w:rsidRDefault="00C67DD9" w:rsidP="00C67DD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152E1">
        <w:rPr>
          <w:rStyle w:val="FootnoteReference"/>
          <w:vertAlign w:val="baseline"/>
          <w:rtl/>
        </w:rPr>
        <w:footnoteRef/>
      </w:r>
      <w:r>
        <w:rPr>
          <w:rStyle w:val="FootnoteReference"/>
          <w:vertAlign w:val="baseline"/>
          <w:rtl/>
        </w:rPr>
        <w:t>)</w:t>
      </w:r>
      <w:r w:rsidRPr="006152E1">
        <w:rPr>
          <w:szCs w:val="18"/>
          <w:rtl/>
        </w:rPr>
        <w:tab/>
      </w:r>
      <w:hyperlink r:id="rId7" w:history="1">
        <w:proofErr w:type="spellStart"/>
        <w:r w:rsidRPr="00C67DD9">
          <w:rPr>
            <w:rStyle w:val="Hyperlink"/>
          </w:rPr>
          <w:t>CED</w:t>
        </w:r>
        <w:proofErr w:type="spellEnd"/>
        <w:r w:rsidRPr="00C67DD9">
          <w:rPr>
            <w:rStyle w:val="Hyperlink"/>
          </w:rPr>
          <w:t>/C/7</w:t>
        </w:r>
      </w:hyperlink>
      <w:r w:rsidRPr="006152E1">
        <w:rPr>
          <w:szCs w:val="18"/>
          <w:rtl/>
        </w:rPr>
        <w:t>، المرفق</w:t>
      </w:r>
      <w:r>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4ED1C" w14:textId="09D1E5F1" w:rsidR="00FB094B" w:rsidRPr="00FB094B" w:rsidRDefault="00FB094B" w:rsidP="00FB094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791D4E">
      <w:t>CED</w:t>
    </w:r>
    <w:proofErr w:type="spellEnd"/>
    <w:r w:rsidR="00791D4E">
      <w:t>/C/24/2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3934C" w14:textId="41239E6C" w:rsidR="00FB094B" w:rsidRPr="00FB094B" w:rsidRDefault="00FB094B" w:rsidP="00FB094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791D4E">
      <w:t>CED</w:t>
    </w:r>
    <w:proofErr w:type="spellEnd"/>
    <w:r w:rsidR="00791D4E">
      <w:t>/C/24/2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24139780">
    <w:abstractNumId w:val="15"/>
  </w:num>
  <w:num w:numId="2" w16cid:durableId="141851990">
    <w:abstractNumId w:val="12"/>
  </w:num>
  <w:num w:numId="3" w16cid:durableId="1185483306">
    <w:abstractNumId w:val="2"/>
  </w:num>
  <w:num w:numId="4" w16cid:durableId="1619675187">
    <w:abstractNumId w:val="11"/>
  </w:num>
  <w:num w:numId="5" w16cid:durableId="952204516">
    <w:abstractNumId w:val="8"/>
  </w:num>
  <w:num w:numId="6" w16cid:durableId="1453357415">
    <w:abstractNumId w:val="5"/>
  </w:num>
  <w:num w:numId="7" w16cid:durableId="830829211">
    <w:abstractNumId w:val="17"/>
  </w:num>
  <w:num w:numId="8" w16cid:durableId="267392499">
    <w:abstractNumId w:val="2"/>
  </w:num>
  <w:num w:numId="9" w16cid:durableId="1945649039">
    <w:abstractNumId w:val="11"/>
  </w:num>
  <w:num w:numId="10" w16cid:durableId="1102187674">
    <w:abstractNumId w:val="5"/>
  </w:num>
  <w:num w:numId="11" w16cid:durableId="125005860">
    <w:abstractNumId w:val="17"/>
  </w:num>
  <w:num w:numId="12" w16cid:durableId="1045176896">
    <w:abstractNumId w:val="4"/>
  </w:num>
  <w:num w:numId="13" w16cid:durableId="924340254">
    <w:abstractNumId w:val="3"/>
  </w:num>
  <w:num w:numId="14" w16cid:durableId="1811826866">
    <w:abstractNumId w:val="16"/>
  </w:num>
  <w:num w:numId="15" w16cid:durableId="148987634">
    <w:abstractNumId w:val="13"/>
  </w:num>
  <w:num w:numId="16" w16cid:durableId="394816395">
    <w:abstractNumId w:val="1"/>
  </w:num>
  <w:num w:numId="17" w16cid:durableId="1751661524">
    <w:abstractNumId w:val="14"/>
  </w:num>
  <w:num w:numId="18" w16cid:durableId="547759487">
    <w:abstractNumId w:val="0"/>
  </w:num>
  <w:num w:numId="19" w16cid:durableId="429662405">
    <w:abstractNumId w:val="9"/>
  </w:num>
  <w:num w:numId="20" w16cid:durableId="71875109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818291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739299">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4879672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50516624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496533162">
    <w:abstractNumId w:val="7"/>
  </w:num>
  <w:num w:numId="26" w16cid:durableId="114381377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5750197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A1A"/>
    <w:rsid w:val="00001E1B"/>
    <w:rsid w:val="000076D5"/>
    <w:rsid w:val="00027F2D"/>
    <w:rsid w:val="00043663"/>
    <w:rsid w:val="000505CF"/>
    <w:rsid w:val="000924E6"/>
    <w:rsid w:val="000A1B1A"/>
    <w:rsid w:val="000D701C"/>
    <w:rsid w:val="000E2A71"/>
    <w:rsid w:val="000F4E15"/>
    <w:rsid w:val="0010772C"/>
    <w:rsid w:val="00130236"/>
    <w:rsid w:val="00130C2D"/>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901D9"/>
    <w:rsid w:val="002976C2"/>
    <w:rsid w:val="002A4AF3"/>
    <w:rsid w:val="002C11AF"/>
    <w:rsid w:val="002C1778"/>
    <w:rsid w:val="003067B6"/>
    <w:rsid w:val="00311EBB"/>
    <w:rsid w:val="00317B22"/>
    <w:rsid w:val="00322AD2"/>
    <w:rsid w:val="003260FF"/>
    <w:rsid w:val="00343D95"/>
    <w:rsid w:val="0037379C"/>
    <w:rsid w:val="00374341"/>
    <w:rsid w:val="003746CE"/>
    <w:rsid w:val="003D1062"/>
    <w:rsid w:val="00420D7B"/>
    <w:rsid w:val="004247C6"/>
    <w:rsid w:val="00450B21"/>
    <w:rsid w:val="00453B63"/>
    <w:rsid w:val="00455780"/>
    <w:rsid w:val="004A5FB7"/>
    <w:rsid w:val="004B0A1C"/>
    <w:rsid w:val="004D298E"/>
    <w:rsid w:val="004D5DE0"/>
    <w:rsid w:val="004E1586"/>
    <w:rsid w:val="00534020"/>
    <w:rsid w:val="0054472E"/>
    <w:rsid w:val="005662A9"/>
    <w:rsid w:val="005827D4"/>
    <w:rsid w:val="00587BB7"/>
    <w:rsid w:val="00594275"/>
    <w:rsid w:val="0059622A"/>
    <w:rsid w:val="005A0C8A"/>
    <w:rsid w:val="005C5878"/>
    <w:rsid w:val="005C7CEA"/>
    <w:rsid w:val="005D101A"/>
    <w:rsid w:val="005D1F6A"/>
    <w:rsid w:val="005D3C0B"/>
    <w:rsid w:val="005E5217"/>
    <w:rsid w:val="005E67F5"/>
    <w:rsid w:val="005F0FA4"/>
    <w:rsid w:val="005F2681"/>
    <w:rsid w:val="005F30EE"/>
    <w:rsid w:val="0060473A"/>
    <w:rsid w:val="0061073A"/>
    <w:rsid w:val="006152E1"/>
    <w:rsid w:val="00656392"/>
    <w:rsid w:val="0068781D"/>
    <w:rsid w:val="006959B0"/>
    <w:rsid w:val="006A69CA"/>
    <w:rsid w:val="006B3E27"/>
    <w:rsid w:val="006B6507"/>
    <w:rsid w:val="006C104C"/>
    <w:rsid w:val="006D39EA"/>
    <w:rsid w:val="006D698E"/>
    <w:rsid w:val="006E5BC5"/>
    <w:rsid w:val="00733704"/>
    <w:rsid w:val="0073649E"/>
    <w:rsid w:val="00770DD3"/>
    <w:rsid w:val="00774AF4"/>
    <w:rsid w:val="0078071A"/>
    <w:rsid w:val="00791D4E"/>
    <w:rsid w:val="007F55ED"/>
    <w:rsid w:val="00807312"/>
    <w:rsid w:val="008313E3"/>
    <w:rsid w:val="00852A9A"/>
    <w:rsid w:val="00893D14"/>
    <w:rsid w:val="008C2897"/>
    <w:rsid w:val="008C6E7E"/>
    <w:rsid w:val="008D6989"/>
    <w:rsid w:val="008E3ECB"/>
    <w:rsid w:val="008E7BA8"/>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56900"/>
    <w:rsid w:val="00AB4F93"/>
    <w:rsid w:val="00AB6758"/>
    <w:rsid w:val="00B03060"/>
    <w:rsid w:val="00B13614"/>
    <w:rsid w:val="00B13763"/>
    <w:rsid w:val="00B27391"/>
    <w:rsid w:val="00B33568"/>
    <w:rsid w:val="00B40C02"/>
    <w:rsid w:val="00B477A4"/>
    <w:rsid w:val="00B54045"/>
    <w:rsid w:val="00B56C6A"/>
    <w:rsid w:val="00B62784"/>
    <w:rsid w:val="00B65387"/>
    <w:rsid w:val="00BB449E"/>
    <w:rsid w:val="00BD2E35"/>
    <w:rsid w:val="00BE0EC7"/>
    <w:rsid w:val="00BE1A27"/>
    <w:rsid w:val="00C05EA5"/>
    <w:rsid w:val="00C438D7"/>
    <w:rsid w:val="00C62FFC"/>
    <w:rsid w:val="00C67DD9"/>
    <w:rsid w:val="00C71236"/>
    <w:rsid w:val="00C81B50"/>
    <w:rsid w:val="00C92253"/>
    <w:rsid w:val="00CB28F9"/>
    <w:rsid w:val="00CC276B"/>
    <w:rsid w:val="00CD1801"/>
    <w:rsid w:val="00CF7E4E"/>
    <w:rsid w:val="00D10EF1"/>
    <w:rsid w:val="00D42810"/>
    <w:rsid w:val="00D90CF2"/>
    <w:rsid w:val="00D914A7"/>
    <w:rsid w:val="00DD13C3"/>
    <w:rsid w:val="00DD596E"/>
    <w:rsid w:val="00DD621E"/>
    <w:rsid w:val="00DE373D"/>
    <w:rsid w:val="00DE6441"/>
    <w:rsid w:val="00DF0575"/>
    <w:rsid w:val="00DF2C86"/>
    <w:rsid w:val="00DF5E71"/>
    <w:rsid w:val="00DF7A1A"/>
    <w:rsid w:val="00E62080"/>
    <w:rsid w:val="00E70E04"/>
    <w:rsid w:val="00E76499"/>
    <w:rsid w:val="00E866BF"/>
    <w:rsid w:val="00EB6F59"/>
    <w:rsid w:val="00EC05A7"/>
    <w:rsid w:val="00EC4B6B"/>
    <w:rsid w:val="00EE2A27"/>
    <w:rsid w:val="00EE2D49"/>
    <w:rsid w:val="00EF1EE5"/>
    <w:rsid w:val="00F156CA"/>
    <w:rsid w:val="00F26881"/>
    <w:rsid w:val="00F52C23"/>
    <w:rsid w:val="00F6781A"/>
    <w:rsid w:val="00F73A57"/>
    <w:rsid w:val="00F763B4"/>
    <w:rsid w:val="00F900C3"/>
    <w:rsid w:val="00FB094B"/>
    <w:rsid w:val="00FB70A6"/>
    <w:rsid w:val="00FC5BAB"/>
    <w:rsid w:val="00FD3946"/>
    <w:rsid w:val="00FF0ADB"/>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43EC20"/>
  <w15:docId w15:val="{42A2FBAE-0F80-41DF-A19B-8AE85CA8D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iPriority w:val="9"/>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C11A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C11A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C11AF"/>
    <w:pPr>
      <w:keepNext/>
      <w:keepLines/>
      <w:spacing w:before="200"/>
      <w:outlineLvl w:val="4"/>
    </w:pPr>
    <w:rPr>
      <w:color w:val="243F60"/>
    </w:rPr>
  </w:style>
  <w:style w:type="paragraph" w:styleId="Heading6">
    <w:name w:val="heading 6"/>
    <w:basedOn w:val="Normal"/>
    <w:next w:val="Normal"/>
    <w:link w:val="Heading6Char"/>
    <w:uiPriority w:val="9"/>
    <w:unhideWhenUsed/>
    <w:rsid w:val="002C11A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C11A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C11A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uiPriority w:val="9"/>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uiPriority w:val="9"/>
    <w:rsid w:val="002C11AF"/>
    <w:rPr>
      <w:rFonts w:ascii="Times New Roman" w:eastAsia="PMingLiU" w:hAnsi="Times New Roman" w:cs="Simplified Arabic"/>
      <w:b/>
      <w:bCs/>
      <w:color w:val="4F81BD"/>
      <w:sz w:val="20"/>
    </w:rPr>
  </w:style>
  <w:style w:type="character" w:customStyle="1" w:styleId="Heading4Char">
    <w:name w:val="Heading 4 Char"/>
    <w:link w:val="Heading4"/>
    <w:uiPriority w:val="9"/>
    <w:rsid w:val="002C11A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C11AF"/>
    <w:rPr>
      <w:rFonts w:ascii="Times New Roman" w:eastAsia="PMingLiU" w:hAnsi="Times New Roman" w:cs="Simplified Arabic"/>
      <w:color w:val="243F60"/>
      <w:sz w:val="20"/>
    </w:rPr>
  </w:style>
  <w:style w:type="character" w:customStyle="1" w:styleId="Heading6Char">
    <w:name w:val="Heading 6 Char"/>
    <w:link w:val="Heading6"/>
    <w:uiPriority w:val="9"/>
    <w:rsid w:val="002C11AF"/>
    <w:rPr>
      <w:rFonts w:ascii="Times New Roman" w:eastAsia="PMingLiU" w:hAnsi="Times New Roman" w:cs="Simplified Arabic"/>
      <w:i/>
      <w:iCs/>
      <w:color w:val="243F60"/>
      <w:sz w:val="20"/>
    </w:rPr>
  </w:style>
  <w:style w:type="character" w:customStyle="1" w:styleId="Heading7Char">
    <w:name w:val="Heading 7 Char"/>
    <w:link w:val="Heading7"/>
    <w:uiPriority w:val="9"/>
    <w:rsid w:val="002C11AF"/>
    <w:rPr>
      <w:rFonts w:ascii="Times New Roman" w:eastAsia="PMingLiU" w:hAnsi="Times New Roman" w:cs="Simplified Arabic"/>
      <w:i/>
      <w:iCs/>
      <w:color w:val="404040"/>
      <w:sz w:val="20"/>
    </w:rPr>
  </w:style>
  <w:style w:type="character" w:customStyle="1" w:styleId="Heading8Char">
    <w:name w:val="Heading 8 Char"/>
    <w:link w:val="Heading8"/>
    <w:uiPriority w:val="9"/>
    <w:rsid w:val="002C11A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1AF"/>
    <w:pPr>
      <w:spacing w:line="240" w:lineRule="auto"/>
    </w:pPr>
    <w:rPr>
      <w:sz w:val="16"/>
      <w:szCs w:val="16"/>
    </w:rPr>
  </w:style>
  <w:style w:type="character" w:customStyle="1" w:styleId="BalloonTextChar">
    <w:name w:val="Balloon Text Char"/>
    <w:link w:val="BalloonText"/>
    <w:uiPriority w:val="99"/>
    <w:semiHidden/>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2C11A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C11A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C11A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C11A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unhideWhenUsed/>
    <w:rsid w:val="002C11AF"/>
    <w:pPr>
      <w:spacing w:line="240" w:lineRule="auto"/>
    </w:pPr>
    <w:rPr>
      <w:kern w:val="14"/>
    </w:rPr>
  </w:style>
  <w:style w:type="character" w:customStyle="1" w:styleId="CommentTextChar">
    <w:name w:val="Comment Text Char"/>
    <w:basedOn w:val="DefaultParagraphFont"/>
    <w:link w:val="CommentText"/>
    <w:uiPriority w:val="99"/>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ED/C/BRA/FCO/1" TargetMode="External"/><Relationship Id="rId18" Type="http://schemas.openxmlformats.org/officeDocument/2006/relationships/hyperlink" Target="https://undocs.org/ar/CED/C/MNG/FCO/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ndocs.org/ar/CED/C/BRA/FCO/1" TargetMode="External"/><Relationship Id="rId17" Type="http://schemas.openxmlformats.org/officeDocument/2006/relationships/hyperlink" Target="https://undocs.org/ar/CED/C/MNG/FCO/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C/MNG/FCO/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ED/C/BRA/FCO/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ar/CED/C/MNG/FCO/1" TargetMode="External"/><Relationship Id="rId23" Type="http://schemas.openxmlformats.org/officeDocument/2006/relationships/footer" Target="footer3.xml"/><Relationship Id="rId10" Type="http://schemas.openxmlformats.org/officeDocument/2006/relationships/hyperlink" Target="https://undocs.org/ar/CED/C/BRA/FCO/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CED/C/BRA/CO/1" TargetMode="External"/><Relationship Id="rId14" Type="http://schemas.openxmlformats.org/officeDocument/2006/relationships/hyperlink" Target="https://undocs.org/ar/CED/C/MNG/CO/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70/56" TargetMode="External"/><Relationship Id="rId7" Type="http://schemas.openxmlformats.org/officeDocument/2006/relationships/hyperlink" Target="https://undocs.org/ar/CED/C/7" TargetMode="External"/><Relationship Id="rId2" Type="http://schemas.openxmlformats.org/officeDocument/2006/relationships/hyperlink" Target="https://undocs.org/ar/CED/C/MNG/FCO/1" TargetMode="External"/><Relationship Id="rId1" Type="http://schemas.openxmlformats.org/officeDocument/2006/relationships/hyperlink" Target="https://undocs.org/ar/CED/C/BRA/FCO/1" TargetMode="External"/><Relationship Id="rId6" Type="http://schemas.openxmlformats.org/officeDocument/2006/relationships/hyperlink" Target="https://undocs.org/ar/CED/C/MNG/CO/1" TargetMode="External"/><Relationship Id="rId5" Type="http://schemas.openxmlformats.org/officeDocument/2006/relationships/hyperlink" Target="https://undocs.org/ar/CED/C/MNG/CO/1" TargetMode="External"/><Relationship Id="rId4" Type="http://schemas.openxmlformats.org/officeDocument/2006/relationships/hyperlink" Target="https://undocs.org/ar/CED/C/MN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7</Pages>
  <Words>2526</Words>
  <Characters>12934</Characters>
  <Application>Microsoft Office Word</Application>
  <DocSecurity>0</DocSecurity>
  <Lines>244</Lines>
  <Paragraphs>121</Paragraphs>
  <ScaleCrop>false</ScaleCrop>
  <HeadingPairs>
    <vt:vector size="2" baseType="variant">
      <vt:variant>
        <vt:lpstr>Title</vt:lpstr>
      </vt:variant>
      <vt:variant>
        <vt:i4>1</vt:i4>
      </vt:variant>
    </vt:vector>
  </HeadingPairs>
  <TitlesOfParts>
    <vt:vector size="1" baseType="lpstr">
      <vt:lpstr>CED/C/24/2</vt:lpstr>
    </vt:vector>
  </TitlesOfParts>
  <Company>DCM</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CED/C/24/2</dc:title>
  <dc:subject>GE.2306836(A)</dc:subject>
  <dc:creator>Ihab RIZ - </dc:creator>
  <cp:keywords>GE.(A)</cp:keywords>
  <dc:description>General_x000d_
_x000d_
Arabic_x000d_
English</dc:description>
  <cp:lastModifiedBy>Ibrahim Balan</cp:lastModifiedBy>
  <cp:revision>3</cp:revision>
  <cp:lastPrinted>2023-11-13T08:10:00Z</cp:lastPrinted>
  <dcterms:created xsi:type="dcterms:W3CDTF">2023-11-13T08:10:00Z</dcterms:created>
  <dcterms:modified xsi:type="dcterms:W3CDTF">2023-11-13T08:10:00Z</dcterms:modified>
</cp:coreProperties>
</file>