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0" w:type="auto"/>
        <w:tblInd w:w="793" w:type="dxa"/>
        <w:tblLayout w:type="fixed"/>
        <w:tblCellMar>
          <w:left w:w="793" w:type="dxa"/>
          <w:right w:w="793" w:type="dxa"/>
        </w:tblCellMar>
        <w:tblLook w:val="0000" w:firstRow="0" w:lastRow="0" w:firstColumn="0" w:lastColumn="0" w:noHBand="0" w:noVBand="0"/>
      </w:tblPr>
      <w:tblGrid>
        <w:gridCol w:w="4734"/>
        <w:gridCol w:w="473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4734" w:type="dxa"/>
          </w:tcPr>
          <w:p w:rsidR="00000000" w:rsidRDefault="00000000">
            <w:pPr>
              <w:spacing w:after="58"/>
              <w:ind w:left="-651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0;margin-top:.35pt;width:96.3pt;height:37.35pt;flip:y;z-index:3;mso-position-horizontal-relative:page;mso-position-vertical-relative:page" filled="f" stroked="f">
                  <v:textbox inset="0">
                    <w:txbxContent>
                      <w:p w:rsidR="00000000" w:rsidRDefault="00000000">
                        <w:pPr>
                          <w:pStyle w:val="BodyText"/>
                        </w:pPr>
                        <w:r>
                          <w:t>NATIONS UNIES</w:t>
                        </w:r>
                      </w:p>
                    </w:txbxContent>
                  </v:textbox>
                  <w10:wrap anchorx="page" anchory="page"/>
                </v:shape>
              </w:pict>
            </w:r>
          </w:p>
        </w:tc>
        <w:tc>
          <w:tcPr>
            <w:tcW w:w="4734" w:type="dxa"/>
          </w:tcPr>
          <w:p w:rsidR="00000000" w:rsidRDefault="00000000">
            <w:pPr>
              <w:pStyle w:val="Heading1"/>
              <w:ind w:left="2268" w:right="-539"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E</w:t>
            </w:r>
          </w:p>
        </w:tc>
      </w:tr>
    </w:tbl>
    <w:p w:rsidR="00000000" w:rsidRDefault="00000000">
      <w:pPr>
        <w:tabs>
          <w:tab w:val="right" w:pos="3195"/>
        </w:tabs>
        <w:spacing w:line="19" w:lineRule="exact"/>
        <w:ind w:hanging="1"/>
        <w:rPr>
          <w:rFonts w:ascii="Courier New" w:hAnsi="Courier New"/>
          <w:sz w:val="20"/>
        </w:rPr>
      </w:pPr>
      <w:r>
        <w:rPr>
          <w:noProof/>
        </w:rPr>
        <w:pict>
          <v:rect id="_x0000_s1026" style="position:absolute;margin-left:86.4pt;margin-top:-6.6pt;width:467.7pt;height:.95pt;z-index:-4;mso-position-horizontal-relative:pag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4534"/>
        <w:gridCol w:w="3402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496"/>
        </w:trPr>
        <w:tc>
          <w:tcPr>
            <w:tcW w:w="1530" w:type="dxa"/>
          </w:tcPr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noProof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margin-left:1.95pt;margin-top:3.45pt;width:68.05pt;height:63.9pt;z-index:4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29" DrawAspect="Content" ObjectID="_1395476355" r:id="rId8"/>
              </w:pi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-6pt;margin-top:136.2pt;width:467.7pt;height:4.25pt;z-index:-3;mso-position-horizontal-relative:margin;mso-position-vertical-relative:page" fillcolor="black" stroked="f" strokeweight="0">
                  <v:fill color2="black"/>
                  <w10:wrap anchorx="margin" anchory="page"/>
                  <w10:anchorlock/>
                </v:rect>
              </w:pict>
            </w:r>
          </w:p>
        </w:tc>
        <w:tc>
          <w:tcPr>
            <w:tcW w:w="4534" w:type="dxa"/>
          </w:tcPr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Conseil économique </w:t>
            </w:r>
            <w:r>
              <w:rPr>
                <w:rFonts w:ascii="Arial" w:hAnsi="Arial"/>
                <w:b/>
                <w:sz w:val="32"/>
              </w:rPr>
              <w:br/>
              <w:t>et social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</w:p>
        </w:tc>
        <w:tc>
          <w:tcPr>
            <w:tcW w:w="3402" w:type="dxa"/>
          </w:tcPr>
          <w:p w:rsidR="00000000" w:rsidRDefault="00000000"/>
          <w:p w:rsidR="00000000" w:rsidRDefault="00000000">
            <w:r>
              <w:t>Distr.</w:t>
            </w:r>
          </w:p>
          <w:p w:rsidR="00000000" w:rsidRDefault="00000000">
            <w:r>
              <w:t>GÉNÉRALE</w:t>
            </w:r>
          </w:p>
          <w:p w:rsidR="00000000" w:rsidRDefault="00000000"/>
          <w:p w:rsidR="00000000" w:rsidRDefault="00000000">
            <w:pPr>
              <w:rPr>
                <w:lang w:val="fr-FR"/>
              </w:rPr>
            </w:pPr>
            <w:r>
              <w:rPr>
                <w:lang w:val="fr-FR"/>
              </w:rPr>
              <w:t>E/CN.4/Sub.2/AC.4/2005/1</w:t>
            </w:r>
          </w:p>
          <w:p w:rsidR="00000000" w:rsidRDefault="00000000">
            <w:r>
              <w:t>4 mai 2005</w:t>
            </w:r>
          </w:p>
          <w:p w:rsidR="00000000" w:rsidRDefault="00000000"/>
          <w:p w:rsidR="00000000" w:rsidRDefault="00000000">
            <w:r>
              <w:t>FRANÇAIS</w:t>
            </w:r>
          </w:p>
          <w:p w:rsidR="00000000" w:rsidRDefault="00000000">
            <w:r>
              <w:t>Original: ANGLAIS</w:t>
            </w:r>
          </w:p>
          <w:p w:rsidR="00000000" w:rsidRDefault="00000000"/>
        </w:tc>
      </w:tr>
    </w:tbl>
    <w:p w:rsidR="00000000" w:rsidRDefault="00000000"/>
    <w:p w:rsidR="00000000" w:rsidRDefault="00000000">
      <w:r>
        <w:t>COMMISSION DES DROITS DE L’HOMME</w:t>
      </w:r>
    </w:p>
    <w:p w:rsidR="00000000" w:rsidRDefault="00000000">
      <w:r>
        <w:t>Sous</w:t>
      </w:r>
      <w:r>
        <w:noBreakHyphen/>
        <w:t>Commission de la promotion et</w:t>
      </w:r>
      <w:r>
        <w:br/>
        <w:t xml:space="preserve">  de la protection des droits de l’homme</w:t>
      </w:r>
    </w:p>
    <w:p w:rsidR="00000000" w:rsidRDefault="00000000">
      <w:r>
        <w:t>Cinquante-septième session</w:t>
      </w:r>
    </w:p>
    <w:p w:rsidR="00000000" w:rsidRDefault="00000000">
      <w:r>
        <w:t>Groupe de travail sur les populations autochtones</w:t>
      </w:r>
    </w:p>
    <w:p w:rsidR="00000000" w:rsidRDefault="00000000">
      <w:pPr>
        <w:spacing w:after="480"/>
      </w:pPr>
      <w:r>
        <w:t>Vingt-troisième session</w:t>
      </w:r>
      <w:r>
        <w:br/>
        <w:t>18-22 juillet 2005</w:t>
      </w:r>
    </w:p>
    <w:p w:rsidR="00000000" w:rsidRDefault="00000000">
      <w:pPr>
        <w:spacing w:after="360"/>
        <w:jc w:val="center"/>
        <w:rPr>
          <w:b/>
          <w:bCs/>
        </w:rPr>
      </w:pPr>
      <w:r>
        <w:rPr>
          <w:b/>
          <w:bCs/>
        </w:rPr>
        <w:t>ORDRE DU JOUR PROVISOIRE</w:t>
      </w:r>
    </w:p>
    <w:p w:rsidR="00000000" w:rsidRDefault="00000000">
      <w:pPr>
        <w:spacing w:after="240"/>
      </w:pPr>
      <w:r>
        <w:t>1.</w:t>
      </w:r>
      <w:r>
        <w:tab/>
        <w:t>Élection du Bureau.</w:t>
      </w:r>
    </w:p>
    <w:p w:rsidR="00000000" w:rsidRDefault="00000000">
      <w:pPr>
        <w:spacing w:after="240"/>
      </w:pPr>
      <w:r>
        <w:t>2.</w:t>
      </w:r>
      <w:r>
        <w:tab/>
        <w:t>Adoption de l’ordre du jour.</w:t>
      </w:r>
    </w:p>
    <w:p w:rsidR="00000000" w:rsidRDefault="00000000">
      <w:pPr>
        <w:spacing w:after="240"/>
      </w:pPr>
      <w:r>
        <w:t>3.</w:t>
      </w:r>
      <w:r>
        <w:tab/>
        <w:t>Organisation des travaux de la session.</w:t>
      </w:r>
    </w:p>
    <w:p w:rsidR="00000000" w:rsidRDefault="00000000">
      <w:pPr>
        <w:spacing w:after="240"/>
        <w:ind w:left="567" w:hanging="567"/>
      </w:pPr>
      <w:r>
        <w:t>4.</w:t>
      </w:r>
      <w:r>
        <w:tab/>
        <w:t>Examen des faits nouveaux concernant la promotion et la protection des droits des peuples autochtones, notamment leurs droits de l’homme et libertés fondamentales:</w:t>
      </w:r>
    </w:p>
    <w:p w:rsidR="00000000" w:rsidRDefault="00000000">
      <w:pPr>
        <w:spacing w:after="240"/>
        <w:ind w:left="567"/>
      </w:pPr>
      <w:r>
        <w:t>a)</w:t>
      </w:r>
      <w:r>
        <w:tab/>
        <w:t>Débat général;</w:t>
      </w:r>
    </w:p>
    <w:p w:rsidR="00000000" w:rsidRDefault="00000000">
      <w:pPr>
        <w:spacing w:after="240"/>
        <w:ind w:left="1134" w:hanging="567"/>
      </w:pPr>
      <w:r>
        <w:t>b)</w:t>
      </w:r>
      <w:r>
        <w:tab/>
        <w:t>Thème principal: «Les peuples autochtones et la protection des savoirs traditionnels sur le plan international et sur le plan interne»;</w:t>
      </w:r>
    </w:p>
    <w:p w:rsidR="00000000" w:rsidRDefault="00000000">
      <w:pPr>
        <w:spacing w:after="240"/>
        <w:ind w:left="567"/>
      </w:pPr>
      <w:r>
        <w:t>c)</w:t>
      </w:r>
      <w:r>
        <w:tab/>
        <w:t>Les peuples autochtones et la prévention et la résolution des conflits.</w:t>
      </w:r>
    </w:p>
    <w:p w:rsidR="00000000" w:rsidRDefault="00000000">
      <w:pPr>
        <w:spacing w:after="240"/>
        <w:ind w:left="567" w:hanging="567"/>
      </w:pPr>
      <w:r>
        <w:t>5.</w:t>
      </w:r>
      <w:r>
        <w:tab/>
        <w:t>Activités normatives:</w:t>
      </w:r>
    </w:p>
    <w:p w:rsidR="00000000" w:rsidRDefault="00000000">
      <w:pPr>
        <w:spacing w:after="240"/>
        <w:ind w:left="1134" w:hanging="567"/>
      </w:pPr>
      <w:r>
        <w:t>a)</w:t>
      </w:r>
      <w:r>
        <w:tab/>
        <w:t>Commentaire juridique relatif au principe de consentement préalable donné librement en connaissance de cause;</w:t>
      </w:r>
    </w:p>
    <w:p w:rsidR="00000000" w:rsidRDefault="00000000">
      <w:pPr>
        <w:spacing w:after="240"/>
        <w:ind w:left="1134" w:hanging="567"/>
      </w:pPr>
      <w:r>
        <w:t>b)</w:t>
      </w:r>
      <w:r>
        <w:tab/>
        <w:t>Examen du projet de principes et directives pour la protection du patrimoine des peuples autochtones.</w:t>
      </w:r>
    </w:p>
    <w:p w:rsidR="00000000" w:rsidRDefault="00000000">
      <w:pPr>
        <w:spacing w:after="240"/>
      </w:pPr>
      <w:r>
        <w:t>6.</w:t>
      </w:r>
      <w:r>
        <w:tab/>
        <w:t xml:space="preserve">Décennie internationale des populations autochtones. </w:t>
      </w:r>
    </w:p>
    <w:p w:rsidR="00000000" w:rsidRDefault="00000000">
      <w:pPr>
        <w:spacing w:after="240"/>
      </w:pPr>
      <w:r>
        <w:t>7.</w:t>
      </w:r>
      <w:r>
        <w:tab/>
        <w:t>Questions diverses:</w:t>
      </w:r>
    </w:p>
    <w:p w:rsidR="00000000" w:rsidRDefault="00000000">
      <w:pPr>
        <w:spacing w:after="240"/>
        <w:ind w:left="360" w:firstLine="207"/>
      </w:pPr>
      <w:r>
        <w:t>a)</w:t>
      </w:r>
      <w:r>
        <w:tab/>
        <w:t>Coopération avec d’autres organes des Nations Unies;</w:t>
      </w:r>
    </w:p>
    <w:p w:rsidR="00000000" w:rsidRDefault="00000000">
      <w:pPr>
        <w:spacing w:after="240"/>
        <w:ind w:left="1134" w:hanging="567"/>
      </w:pPr>
      <w:r>
        <w:t>b)</w:t>
      </w:r>
      <w:r>
        <w:tab/>
        <w:t xml:space="preserve">État du Fonds de contributions volontaires des Nations Unies pour les populations autochtones; </w:t>
      </w:r>
    </w:p>
    <w:p w:rsidR="00000000" w:rsidRDefault="00000000">
      <w:pPr>
        <w:spacing w:after="240"/>
        <w:ind w:left="1134" w:hanging="567"/>
      </w:pPr>
      <w:r>
        <w:t>c)</w:t>
      </w:r>
      <w:r>
        <w:tab/>
        <w:t xml:space="preserve">La situation des droits de l’homme des peuples autochtones dans les États et territoires menacés de disparition par des facteurs d’ordre environnemental. </w:t>
      </w:r>
    </w:p>
    <w:p w:rsidR="00000000" w:rsidRDefault="00000000">
      <w:pPr>
        <w:spacing w:after="240"/>
      </w:pPr>
      <w:r>
        <w:t>8.</w:t>
      </w:r>
      <w:r>
        <w:tab/>
        <w:t>Présentation d’éléments en vue des conclusions et recommandations.</w:t>
      </w:r>
    </w:p>
    <w:p w:rsidR="00000000" w:rsidRDefault="00000000">
      <w:pPr>
        <w:spacing w:after="240"/>
      </w:pPr>
      <w:r>
        <w:t>9.</w:t>
      </w:r>
      <w:r>
        <w:tab/>
        <w:t>Adoption du rapport.</w:t>
      </w:r>
    </w:p>
    <w:p w:rsidR="00000000" w:rsidRDefault="00000000">
      <w:pPr>
        <w:spacing w:after="180"/>
        <w:jc w:val="center"/>
      </w:pPr>
      <w:r>
        <w:t>-----</w:t>
      </w:r>
    </w:p>
    <w:p w:rsidR="00000000" w:rsidRDefault="00000000"/>
    <w:p w:rsidR="00000000" w:rsidRDefault="00000000"/>
    <w:sectPr w:rsidR="00000000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spacing w:before="240"/>
    </w:pPr>
    <w:r>
      <w:t>GE.05-14110  (F)    100505    100505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de-CH"/>
      </w:rPr>
    </w:pPr>
    <w:r>
      <w:rPr>
        <w:lang w:val="de-CH"/>
      </w:rPr>
      <w:t>E/CN.4/Sub.2/AC.4/2005/1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320"/>
        <w:tab w:val="clear" w:pos="8640"/>
        <w:tab w:val="left" w:pos="6480"/>
      </w:tabs>
      <w:rPr>
        <w:lang w:val="de-CH"/>
      </w:rPr>
    </w:pPr>
    <w:r>
      <w:tab/>
    </w:r>
    <w:r>
      <w:rPr>
        <w:lang w:val="de-CH"/>
      </w:rPr>
      <w:t>E/CN.4/Sub.2/AC.4/2005/1</w:t>
    </w:r>
  </w:p>
  <w:p w:rsidR="00000000" w:rsidRDefault="00000000">
    <w:pPr>
      <w:pStyle w:val="Header"/>
      <w:tabs>
        <w:tab w:val="clear" w:pos="4320"/>
        <w:tab w:val="clear" w:pos="8640"/>
        <w:tab w:val="left" w:pos="6480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000000" w:rsidRDefault="00000000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6922EE9"/>
    <w:multiLevelType w:val="hybridMultilevel"/>
    <w:tmpl w:val="11CE5E88"/>
    <w:lvl w:ilvl="0" w:tplc="4EDE057E">
      <w:start w:val="3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>
    <w:nsid w:val="7C161BA3"/>
    <w:multiLevelType w:val="hybridMultilevel"/>
    <w:tmpl w:val="DC008AFC"/>
    <w:lvl w:ilvl="0" w:tplc="CE0426CC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F349BD"/>
    <w:multiLevelType w:val="singleLevel"/>
    <w:tmpl w:val="1AEC463A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5"/>
  </w:num>
  <w:num w:numId="5">
    <w:abstractNumId w:val="0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2"/>
  </w:num>
  <w:num w:numId="11">
    <w:abstractNumId w:val="2"/>
  </w:num>
  <w:num w:numId="12">
    <w:abstractNumId w:val="5"/>
  </w:num>
  <w:num w:numId="13">
    <w:abstractNumId w:val="2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5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2"/>
  </w:num>
  <w:num w:numId="26">
    <w:abstractNumId w:val="2"/>
  </w:num>
  <w:num w:numId="27">
    <w:abstractNumId w:val="0"/>
  </w:num>
  <w:num w:numId="28">
    <w:abstractNumId w:val="2"/>
  </w:num>
  <w:num w:numId="29">
    <w:abstractNumId w:val="2"/>
  </w:num>
  <w:num w:numId="30">
    <w:abstractNumId w:val="2"/>
  </w:num>
  <w:num w:numId="31">
    <w:abstractNumId w:val="0"/>
  </w:num>
  <w:num w:numId="32">
    <w:abstractNumId w:val="0"/>
  </w:num>
  <w:num w:numId="33">
    <w:abstractNumId w:val="5"/>
  </w:num>
  <w:num w:numId="34">
    <w:abstractNumId w:val="0"/>
  </w:num>
  <w:num w:numId="35">
    <w:abstractNumId w:val="5"/>
  </w:num>
  <w:num w:numId="36">
    <w:abstractNumId w:val="5"/>
  </w:num>
  <w:num w:numId="37">
    <w:abstractNumId w:val="0"/>
  </w:num>
  <w:num w:numId="38">
    <w:abstractNumId w:val="5"/>
  </w:num>
  <w:num w:numId="39">
    <w:abstractNumId w:val="0"/>
  </w:num>
  <w:num w:numId="40">
    <w:abstractNumId w:val="0"/>
  </w:num>
  <w:num w:numId="41">
    <w:abstractNumId w:val="0"/>
  </w:num>
  <w:num w:numId="42">
    <w:abstractNumId w:val="5"/>
  </w:num>
  <w:num w:numId="43">
    <w:abstractNumId w:val="0"/>
  </w:num>
  <w:num w:numId="44">
    <w:abstractNumId w:val="5"/>
  </w:num>
  <w:num w:numId="45">
    <w:abstractNumId w:val="0"/>
  </w:num>
  <w:num w:numId="46">
    <w:abstractNumId w:val="0"/>
  </w:num>
  <w:num w:numId="47">
    <w:abstractNumId w:val="3"/>
  </w:num>
  <w:num w:numId="48">
    <w:abstractNumId w:val="4"/>
  </w:num>
  <w:num w:numId="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fr-FR" w:vendorID="9" w:dllVersion="512" w:checkStyle="1"/>
  <w:attachedTemplate r:id="rId1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58"/>
      <w:ind w:firstLine="1561"/>
      <w:outlineLvl w:val="0"/>
    </w:pPr>
    <w:rPr>
      <w:rFonts w:ascii="Times New Roman Gras" w:hAnsi="Times New Roman Gras"/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44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46"/>
      </w:numPr>
      <w:tabs>
        <w:tab w:val="clear" w:pos="927"/>
      </w:tabs>
      <w:ind w:left="1712" w:hanging="465"/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customStyle="1" w:styleId="Style1">
    <w:name w:val="Style1"/>
    <w:basedOn w:val="Normal"/>
    <w:pPr>
      <w:tabs>
        <w:tab w:val="left" w:pos="567"/>
      </w:tabs>
    </w:pPr>
  </w:style>
  <w:style w:type="paragraph" w:styleId="BodyText">
    <w:name w:val="Body Text"/>
    <w:basedOn w:val="Normal"/>
    <w:semiHidden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2</Pages>
  <Words>234</Words>
  <Characters>1334</Characters>
  <Application>Microsoft Office Word</Application>
  <DocSecurity>4</DocSecurity>
  <Lines>11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Secchi</dc:creator>
  <cp:keywords/>
  <dc:description/>
  <cp:lastModifiedBy>Secchi</cp:lastModifiedBy>
  <cp:revision>2</cp:revision>
  <cp:lastPrinted>2005-05-10T07:45:00Z</cp:lastPrinted>
  <dcterms:created xsi:type="dcterms:W3CDTF">2005-05-10T08:07:00Z</dcterms:created>
  <dcterms:modified xsi:type="dcterms:W3CDTF">2005-05-10T08:07:00Z</dcterms:modified>
</cp:coreProperties>
</file>